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54F50">
      <w:pPr>
        <w:jc w:val="right"/>
        <w:rPr>
          <w:rFonts w:ascii="宋体" w:hAnsi="宋体"/>
          <w:color w:val="auto"/>
          <w:w w:val="93"/>
          <w:sz w:val="30"/>
          <w:szCs w:val="30"/>
          <w:highlight w:val="none"/>
        </w:rPr>
      </w:pPr>
      <w:bookmarkStart w:id="0" w:name="_Hlk69393945"/>
      <w:bookmarkStart w:id="1" w:name="_Toc528771312"/>
      <w:bookmarkStart w:id="2" w:name="_Toc27744861"/>
      <w:r>
        <w:rPr>
          <w:rFonts w:hint="eastAsia" w:ascii="Segoe UI" w:hAnsi="Segoe UI" w:cs="Segoe UI"/>
          <w:color w:val="auto"/>
          <w:szCs w:val="21"/>
          <w:highlight w:val="none"/>
          <w:shd w:val="clear" w:color="auto" w:fill="FFFFFF"/>
        </w:rPr>
        <w:t>编号：</w:t>
      </w:r>
      <w:r>
        <w:rPr>
          <w:rFonts w:hint="eastAsia" w:ascii="Segoe UI" w:hAnsi="Segoe UI" w:cs="Segoe UI"/>
          <w:color w:val="auto"/>
          <w:szCs w:val="21"/>
          <w:highlight w:val="none"/>
          <w:shd w:val="clear" w:color="auto" w:fill="FFFFFF"/>
          <w:lang w:eastAsia="zh-CN"/>
        </w:rPr>
        <w:t>JSZC-321012-JCQY-G2026-0005</w:t>
      </w:r>
    </w:p>
    <w:p w14:paraId="1FBFAAD5">
      <w:pPr>
        <w:jc w:val="center"/>
        <w:rPr>
          <w:rFonts w:ascii="宋体"/>
          <w:color w:val="auto"/>
          <w:w w:val="93"/>
          <w:sz w:val="36"/>
          <w:szCs w:val="36"/>
          <w:highlight w:val="none"/>
        </w:rPr>
      </w:pPr>
    </w:p>
    <w:p w14:paraId="400004ED">
      <w:pPr>
        <w:jc w:val="center"/>
        <w:rPr>
          <w:rFonts w:ascii="宋体"/>
          <w:color w:val="auto"/>
          <w:w w:val="93"/>
          <w:sz w:val="32"/>
          <w:szCs w:val="32"/>
          <w:highlight w:val="none"/>
        </w:rPr>
      </w:pPr>
      <w:r>
        <w:rPr>
          <w:rFonts w:hint="eastAsia" w:ascii="宋体"/>
          <w:color w:val="auto"/>
          <w:w w:val="93"/>
          <w:sz w:val="36"/>
          <w:szCs w:val="36"/>
          <w:highlight w:val="none"/>
          <w:lang w:eastAsia="zh-CN"/>
        </w:rPr>
        <w:t>江苏省江都中学部分校园文化建设项目采购及安装</w:t>
      </w:r>
      <w:r>
        <w:rPr>
          <w:rFonts w:hint="eastAsia" w:ascii="宋体"/>
          <w:color w:val="auto"/>
          <w:w w:val="93"/>
          <w:sz w:val="36"/>
          <w:szCs w:val="36"/>
          <w:highlight w:val="none"/>
        </w:rPr>
        <w:t>公开招标文件</w:t>
      </w:r>
    </w:p>
    <w:p w14:paraId="012A9934">
      <w:pPr>
        <w:jc w:val="center"/>
        <w:rPr>
          <w:rFonts w:ascii="宋体"/>
          <w:b/>
          <w:color w:val="auto"/>
          <w:sz w:val="36"/>
          <w:szCs w:val="36"/>
          <w:highlight w:val="none"/>
        </w:rPr>
      </w:pPr>
    </w:p>
    <w:p w14:paraId="46E8EAF8">
      <w:pPr>
        <w:pStyle w:val="17"/>
        <w:rPr>
          <w:color w:val="auto"/>
          <w:highlight w:val="none"/>
        </w:rPr>
      </w:pPr>
    </w:p>
    <w:p w14:paraId="0832B329">
      <w:pPr>
        <w:pStyle w:val="17"/>
        <w:rPr>
          <w:color w:val="auto"/>
          <w:highlight w:val="none"/>
        </w:rPr>
      </w:pPr>
    </w:p>
    <w:p w14:paraId="50730617">
      <w:pPr>
        <w:jc w:val="center"/>
        <w:rPr>
          <w:rFonts w:eastAsia="Times New Roman"/>
          <w:color w:val="auto"/>
          <w:highlight w:val="none"/>
        </w:rPr>
      </w:pPr>
      <w:r>
        <w:rPr>
          <w:color w:val="auto"/>
          <w:highlight w:val="none"/>
        </w:rPr>
        <w:object>
          <v:shape id="_x0000_i1025" o:spt="75" type="#_x0000_t75" style="height:293.25pt;width:391.5pt;" o:ole="t" filled="f" o:preferrelative="t" stroked="f" coordsize="21600,21600">
            <v:path/>
            <v:fill on="f" focussize="0,0"/>
            <v:stroke on="f" joinstyle="miter"/>
            <v:imagedata r:id="rId7" o:title=""/>
            <o:lock v:ext="edit" aspectratio="t"/>
            <w10:wrap type="none"/>
            <w10:anchorlock/>
          </v:shape>
          <o:OLEObject Type="Embed" ProgID="StaticMetafile" ShapeID="_x0000_i1025" DrawAspect="Content" ObjectID="_1468075725" r:id="rId6">
            <o:LockedField>false</o:LockedField>
          </o:OLEObject>
        </w:object>
      </w:r>
    </w:p>
    <w:p w14:paraId="335F962D">
      <w:pPr>
        <w:rPr>
          <w:rFonts w:eastAsia="Times New Roman"/>
          <w:color w:val="auto"/>
          <w:highlight w:val="none"/>
        </w:rPr>
      </w:pPr>
    </w:p>
    <w:p w14:paraId="44E2E666">
      <w:pPr>
        <w:jc w:val="center"/>
        <w:rPr>
          <w:rFonts w:ascii="黑体" w:hAnsi="黑体" w:eastAsia="黑体"/>
          <w:color w:val="auto"/>
          <w:sz w:val="48"/>
          <w:szCs w:val="48"/>
          <w:highlight w:val="none"/>
        </w:rPr>
      </w:pPr>
    </w:p>
    <w:p w14:paraId="4BE7A77F">
      <w:pPr>
        <w:jc w:val="center"/>
        <w:rPr>
          <w:rFonts w:ascii="黑体" w:hAnsi="黑体" w:eastAsia="黑体"/>
          <w:color w:val="auto"/>
          <w:sz w:val="48"/>
          <w:szCs w:val="48"/>
          <w:highlight w:val="none"/>
        </w:rPr>
      </w:pPr>
    </w:p>
    <w:p w14:paraId="646DC13B">
      <w:pPr>
        <w:jc w:val="center"/>
        <w:rPr>
          <w:rFonts w:ascii="宋体" w:hAnsi="宋体"/>
          <w:color w:val="auto"/>
          <w:sz w:val="32"/>
          <w:szCs w:val="32"/>
          <w:highlight w:val="none"/>
        </w:rPr>
      </w:pPr>
    </w:p>
    <w:p w14:paraId="5A48B05E">
      <w:pPr>
        <w:pStyle w:val="17"/>
        <w:rPr>
          <w:color w:val="auto"/>
          <w:highlight w:val="none"/>
        </w:rPr>
      </w:pPr>
    </w:p>
    <w:p w14:paraId="74EA3231">
      <w:pPr>
        <w:spacing w:line="360" w:lineRule="auto"/>
        <w:jc w:val="center"/>
        <w:rPr>
          <w:rFonts w:hint="eastAsia" w:eastAsia="宋体"/>
          <w:color w:val="auto"/>
          <w:kern w:val="2"/>
          <w:sz w:val="30"/>
          <w:szCs w:val="30"/>
          <w:highlight w:val="none"/>
          <w:lang w:eastAsia="zh-CN"/>
        </w:rPr>
      </w:pPr>
      <w:r>
        <w:rPr>
          <w:rFonts w:hint="eastAsia"/>
          <w:color w:val="auto"/>
          <w:kern w:val="2"/>
          <w:sz w:val="30"/>
          <w:szCs w:val="30"/>
          <w:highlight w:val="none"/>
          <w:lang w:eastAsia="zh-CN"/>
        </w:rPr>
        <w:t>江苏省江都中学</w:t>
      </w:r>
    </w:p>
    <w:p w14:paraId="51B0B7D7">
      <w:pPr>
        <w:spacing w:line="360" w:lineRule="auto"/>
        <w:jc w:val="center"/>
        <w:rPr>
          <w:color w:val="auto"/>
          <w:kern w:val="2"/>
          <w:sz w:val="30"/>
          <w:szCs w:val="30"/>
          <w:highlight w:val="none"/>
        </w:rPr>
      </w:pPr>
      <w:r>
        <w:rPr>
          <w:rFonts w:hint="eastAsia"/>
          <w:color w:val="auto"/>
          <w:kern w:val="2"/>
          <w:sz w:val="30"/>
          <w:szCs w:val="30"/>
          <w:highlight w:val="none"/>
        </w:rPr>
        <w:t>江苏精诚群业项目咨询管理有限公司</w:t>
      </w:r>
    </w:p>
    <w:p w14:paraId="75768571">
      <w:pPr>
        <w:spacing w:line="360" w:lineRule="auto"/>
        <w:jc w:val="center"/>
        <w:rPr>
          <w:color w:val="auto"/>
          <w:kern w:val="2"/>
          <w:sz w:val="30"/>
          <w:szCs w:val="30"/>
          <w:highlight w:val="none"/>
        </w:rPr>
      </w:pPr>
      <w:r>
        <w:rPr>
          <w:rFonts w:hint="eastAsia"/>
          <w:color w:val="auto"/>
          <w:kern w:val="2"/>
          <w:sz w:val="30"/>
          <w:szCs w:val="30"/>
          <w:highlight w:val="none"/>
        </w:rPr>
        <w:t>202</w:t>
      </w:r>
      <w:r>
        <w:rPr>
          <w:rFonts w:hint="eastAsia"/>
          <w:color w:val="auto"/>
          <w:kern w:val="2"/>
          <w:sz w:val="30"/>
          <w:szCs w:val="30"/>
          <w:highlight w:val="none"/>
          <w:lang w:val="en-US" w:eastAsia="zh-CN"/>
        </w:rPr>
        <w:t>6</w:t>
      </w:r>
      <w:r>
        <w:rPr>
          <w:rFonts w:hint="eastAsia"/>
          <w:color w:val="auto"/>
          <w:kern w:val="2"/>
          <w:sz w:val="30"/>
          <w:szCs w:val="30"/>
          <w:highlight w:val="none"/>
        </w:rPr>
        <w:t>年</w:t>
      </w:r>
      <w:r>
        <w:rPr>
          <w:rFonts w:hint="eastAsia"/>
          <w:color w:val="auto"/>
          <w:kern w:val="2"/>
          <w:sz w:val="30"/>
          <w:szCs w:val="30"/>
          <w:highlight w:val="none"/>
          <w:lang w:val="en-US" w:eastAsia="zh-CN"/>
        </w:rPr>
        <w:t>8</w:t>
      </w:r>
      <w:r>
        <w:rPr>
          <w:rFonts w:hint="eastAsia"/>
          <w:color w:val="auto"/>
          <w:kern w:val="2"/>
          <w:sz w:val="30"/>
          <w:szCs w:val="30"/>
          <w:highlight w:val="none"/>
        </w:rPr>
        <w:t>月</w:t>
      </w:r>
    </w:p>
    <w:p w14:paraId="1B2A5572">
      <w:pPr>
        <w:spacing w:line="360" w:lineRule="auto"/>
        <w:jc w:val="center"/>
        <w:rPr>
          <w:color w:val="auto"/>
          <w:highlight w:val="none"/>
        </w:rPr>
      </w:pPr>
      <w:r>
        <w:rPr>
          <w:color w:val="auto"/>
          <w:highlight w:val="none"/>
        </w:rPr>
        <w:br w:type="page" w:clear="all"/>
      </w:r>
    </w:p>
    <w:p w14:paraId="6FBEBC2B">
      <w:pPr>
        <w:spacing w:line="360" w:lineRule="auto"/>
        <w:jc w:val="center"/>
        <w:rPr>
          <w:color w:val="auto"/>
          <w:highlight w:val="none"/>
        </w:rPr>
      </w:pPr>
    </w:p>
    <w:p w14:paraId="7298D2B0">
      <w:pPr>
        <w:jc w:val="center"/>
        <w:rPr>
          <w:rFonts w:ascii="宋体"/>
          <w:b/>
          <w:bCs/>
          <w:color w:val="auto"/>
          <w:sz w:val="36"/>
          <w:szCs w:val="36"/>
          <w:highlight w:val="none"/>
        </w:rPr>
      </w:pPr>
      <w:r>
        <w:rPr>
          <w:rFonts w:hint="eastAsia" w:ascii="宋体" w:hAnsi="宋体" w:cs="宋体"/>
          <w:b/>
          <w:bCs/>
          <w:color w:val="auto"/>
          <w:sz w:val="36"/>
          <w:szCs w:val="36"/>
          <w:highlight w:val="none"/>
        </w:rPr>
        <w:t>目录</w:t>
      </w:r>
    </w:p>
    <w:p w14:paraId="08755669">
      <w:pPr>
        <w:tabs>
          <w:tab w:val="right" w:leader="dot" w:pos="8296"/>
        </w:tabs>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begin"/>
      </w:r>
      <w:r>
        <w:rPr>
          <w:rFonts w:hint="eastAsia" w:ascii="仿宋" w:hAnsi="仿宋" w:eastAsia="仿宋" w:cs="仿宋"/>
          <w:color w:val="auto"/>
          <w:sz w:val="28"/>
          <w:szCs w:val="28"/>
          <w:highlight w:val="none"/>
        </w:rPr>
        <w:instrText xml:space="preserve"> TOC \o "1-3" \f </w:instrText>
      </w:r>
      <w:r>
        <w:rPr>
          <w:rFonts w:hint="eastAsia" w:ascii="仿宋" w:hAnsi="仿宋" w:eastAsia="仿宋" w:cs="仿宋"/>
          <w:color w:val="auto"/>
          <w:sz w:val="28"/>
          <w:szCs w:val="28"/>
          <w:highlight w:val="none"/>
        </w:rPr>
        <w:fldChar w:fldCharType="separate"/>
      </w:r>
      <w:r>
        <w:rPr>
          <w:rFonts w:hint="eastAsia" w:ascii="仿宋" w:hAnsi="仿宋" w:eastAsia="仿宋" w:cs="仿宋"/>
          <w:color w:val="auto"/>
          <w:sz w:val="28"/>
          <w:szCs w:val="28"/>
          <w:highlight w:val="none"/>
        </w:rPr>
        <w:t>第一章 招标公告</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3</w:t>
      </w:r>
    </w:p>
    <w:p w14:paraId="7FB9FEEA">
      <w:pPr>
        <w:tabs>
          <w:tab w:val="right" w:leader="dot" w:pos="8296"/>
        </w:tabs>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第二章 投标人须知</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7</w:t>
      </w:r>
    </w:p>
    <w:p w14:paraId="46511BFB">
      <w:pPr>
        <w:tabs>
          <w:tab w:val="right" w:leader="dot" w:pos="8296"/>
        </w:tabs>
        <w:spacing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第三章 合同条款及格式</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CN"/>
        </w:rPr>
        <w:t>8</w:t>
      </w:r>
    </w:p>
    <w:p w14:paraId="3034D0A1">
      <w:pPr>
        <w:tabs>
          <w:tab w:val="right" w:leader="dot" w:pos="8296"/>
        </w:tabs>
        <w:spacing w:line="360" w:lineRule="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第四章 项目需求</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3</w:t>
      </w:r>
    </w:p>
    <w:p w14:paraId="72B4376D">
      <w:pPr>
        <w:tabs>
          <w:tab w:val="right" w:leader="dot" w:pos="8296"/>
        </w:tabs>
        <w:spacing w:line="360" w:lineRule="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第五章 评标方法及评标标准</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lang w:val="en-US" w:eastAsia="zh-CN"/>
        </w:rPr>
        <w:t>25</w:t>
      </w:r>
    </w:p>
    <w:p w14:paraId="6068B111">
      <w:pPr>
        <w:tabs>
          <w:tab w:val="right" w:leader="dot" w:pos="8296"/>
        </w:tabs>
        <w:spacing w:line="360" w:lineRule="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第六章 投标文件格式</w:t>
      </w:r>
      <w:r>
        <w:rPr>
          <w:rFonts w:hint="eastAsia" w:ascii="仿宋" w:hAnsi="仿宋" w:eastAsia="仿宋" w:cs="仿宋"/>
          <w:color w:val="auto"/>
          <w:sz w:val="28"/>
          <w:szCs w:val="28"/>
          <w:highlight w:val="none"/>
        </w:rPr>
        <w:tab/>
      </w:r>
      <w:r>
        <w:rPr>
          <w:rFonts w:hint="eastAsia" w:ascii="仿宋" w:hAnsi="仿宋" w:eastAsia="仿宋" w:cs="仿宋"/>
          <w:color w:val="auto"/>
          <w:sz w:val="28"/>
          <w:szCs w:val="28"/>
          <w:highlight w:val="none"/>
          <w:lang w:val="en-US" w:eastAsia="zh-CN"/>
        </w:rPr>
        <w:t>29</w:t>
      </w:r>
    </w:p>
    <w:p w14:paraId="0D00F8DD">
      <w:pPr>
        <w:tabs>
          <w:tab w:val="right" w:leader="dot" w:pos="8296"/>
        </w:tabs>
        <w:spacing w:line="360" w:lineRule="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fldChar w:fldCharType="end"/>
      </w:r>
    </w:p>
    <w:p w14:paraId="2A3B5AE7">
      <w:pPr>
        <w:spacing w:line="360" w:lineRule="auto"/>
        <w:rPr>
          <w:rFonts w:ascii="宋体" w:hAnsi="宋体"/>
          <w:color w:val="auto"/>
          <w:sz w:val="28"/>
          <w:highlight w:val="none"/>
        </w:rPr>
      </w:pPr>
    </w:p>
    <w:p w14:paraId="3C8E4C32">
      <w:pPr>
        <w:spacing w:line="360" w:lineRule="auto"/>
        <w:rPr>
          <w:color w:val="auto"/>
          <w:highlight w:val="none"/>
        </w:rPr>
      </w:pPr>
    </w:p>
    <w:p w14:paraId="2BDC89FA">
      <w:pPr>
        <w:pStyle w:val="2"/>
        <w:numPr>
          <w:ilvl w:val="0"/>
          <w:numId w:val="1"/>
        </w:numPr>
        <w:tabs>
          <w:tab w:val="left" w:pos="0"/>
        </w:tabs>
        <w:autoSpaceDE w:val="0"/>
        <w:autoSpaceDN w:val="0"/>
        <w:adjustRightInd w:val="0"/>
        <w:spacing w:before="0" w:after="0" w:line="360" w:lineRule="auto"/>
        <w:jc w:val="center"/>
        <w:rPr>
          <w:rFonts w:ascii="宋体" w:hAnsi="宋体" w:eastAsia="宋体" w:cs="宋体"/>
          <w:b/>
          <w:bCs/>
          <w:color w:val="auto"/>
          <w:sz w:val="30"/>
          <w:szCs w:val="30"/>
          <w:highlight w:val="none"/>
        </w:rPr>
        <w:sectPr>
          <w:footerReference r:id="rId3" w:type="default"/>
          <w:pgSz w:w="11906" w:h="16838"/>
          <w:pgMar w:top="1440" w:right="1800" w:bottom="1440" w:left="1800" w:header="851" w:footer="992" w:gutter="0"/>
          <w:cols w:space="720" w:num="1"/>
          <w:docGrid w:linePitch="360" w:charSpace="0"/>
        </w:sectPr>
      </w:pPr>
      <w:bookmarkStart w:id="3" w:name="_Toc35393797"/>
      <w:bookmarkStart w:id="4" w:name="_Toc28359011"/>
    </w:p>
    <w:p w14:paraId="67248602">
      <w:pPr>
        <w:pStyle w:val="2"/>
        <w:tabs>
          <w:tab w:val="left" w:pos="0"/>
        </w:tabs>
        <w:autoSpaceDE w:val="0"/>
        <w:autoSpaceDN w:val="0"/>
        <w:adjustRightInd w:val="0"/>
        <w:spacing w:before="0" w:after="0" w:line="36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 xml:space="preserve">第一章 </w:t>
      </w:r>
      <w:r>
        <w:rPr>
          <w:rFonts w:hint="eastAsia" w:ascii="宋体" w:hAnsi="宋体" w:eastAsia="宋体" w:cs="宋体"/>
          <w:b/>
          <w:bCs/>
          <w:color w:val="auto"/>
          <w:sz w:val="30"/>
          <w:szCs w:val="30"/>
          <w:highlight w:val="none"/>
          <w:lang w:eastAsia="zh-CN"/>
        </w:rPr>
        <w:t>江苏省江都中学部分校园文化建设项目采购及安装</w:t>
      </w:r>
      <w:r>
        <w:rPr>
          <w:rFonts w:hint="eastAsia" w:ascii="宋体" w:hAnsi="宋体" w:eastAsia="宋体" w:cs="宋体"/>
          <w:b/>
          <w:bCs/>
          <w:color w:val="auto"/>
          <w:sz w:val="30"/>
          <w:szCs w:val="30"/>
          <w:highlight w:val="none"/>
        </w:rPr>
        <w:t>招标公告</w:t>
      </w:r>
      <w:bookmarkEnd w:id="3"/>
      <w:bookmarkEnd w:id="4"/>
    </w:p>
    <w:p w14:paraId="5BDA589F">
      <w:pPr>
        <w:pStyle w:val="36"/>
        <w:tabs>
          <w:tab w:val="right" w:pos="7886"/>
        </w:tabs>
        <w:spacing w:line="360" w:lineRule="auto"/>
        <w:ind w:firstLine="420"/>
        <w:rPr>
          <w:rFonts w:hAnsi="宋体" w:cs="宋体"/>
          <w:color w:val="auto"/>
          <w:sz w:val="21"/>
          <w:szCs w:val="22"/>
          <w:highlight w:val="none"/>
          <w:lang w:eastAsia="zh-CN"/>
        </w:rPr>
      </w:pPr>
      <w:r>
        <w:rPr>
          <w:rFonts w:hint="eastAsia" w:hAnsi="宋体" w:cs="宋体"/>
          <w:color w:val="auto"/>
          <w:sz w:val="21"/>
          <w:szCs w:val="22"/>
          <w:highlight w:val="none"/>
          <w:lang w:eastAsia="zh-CN"/>
        </w:rPr>
        <w:t>受江苏省江都中学的委托，江苏精诚群业项目咨询管理有限公司就江苏省江都中学部分校园文化建设项目采购及安装项目进行公开招标采购，欢迎符合条件的供应商投标。</w:t>
      </w:r>
    </w:p>
    <w:p w14:paraId="48B258B5">
      <w:pPr>
        <w:pBdr>
          <w:top w:val="single" w:color="000000" w:sz="4" w:space="1"/>
          <w:left w:val="single" w:color="000000" w:sz="4" w:space="4"/>
          <w:bottom w:val="single" w:color="000000" w:sz="4" w:space="1"/>
          <w:right w:val="single" w:color="000000" w:sz="4" w:space="4"/>
        </w:pBd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 xml:space="preserve">项目概况： </w:t>
      </w:r>
    </w:p>
    <w:p w14:paraId="61E35CB2">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cs="宋体"/>
          <w:color w:val="auto"/>
          <w:szCs w:val="21"/>
          <w:highlight w:val="none"/>
        </w:rPr>
      </w:pPr>
      <w:r>
        <w:rPr>
          <w:rFonts w:hint="eastAsia" w:ascii="宋体" w:hAnsi="宋体" w:cs="宋体"/>
          <w:color w:val="auto"/>
          <w:szCs w:val="21"/>
          <w:highlight w:val="none"/>
          <w:u w:val="single"/>
        </w:rPr>
        <w:t xml:space="preserve"> </w:t>
      </w:r>
      <w:r>
        <w:rPr>
          <w:rFonts w:hint="eastAsia" w:ascii="宋体" w:hAnsi="宋体" w:cs="宋体"/>
          <w:color w:val="auto"/>
          <w:sz w:val="21"/>
          <w:szCs w:val="22"/>
          <w:highlight w:val="none"/>
          <w:u w:val="single"/>
          <w:lang w:eastAsia="zh-CN"/>
        </w:rPr>
        <w:t>江苏省江都中学部分校园文化建设项目采购及安装</w:t>
      </w:r>
      <w:r>
        <w:rPr>
          <w:rFonts w:hint="eastAsia" w:ascii="宋体" w:hAnsi="宋体" w:cs="宋体"/>
          <w:color w:val="auto"/>
          <w:szCs w:val="21"/>
          <w:highlight w:val="none"/>
        </w:rPr>
        <w:t>项目的潜在供应商</w:t>
      </w:r>
      <w:r>
        <w:rPr>
          <w:rFonts w:hint="eastAsia" w:ascii="宋体" w:hAnsi="宋体" w:cs="宋体"/>
          <w:color w:val="auto"/>
          <w:szCs w:val="21"/>
          <w:highlight w:val="none"/>
          <w:u w:val="single"/>
        </w:rPr>
        <w:t>可在</w:t>
      </w:r>
      <w:r>
        <w:rPr>
          <w:rFonts w:hint="eastAsia" w:ascii="宋体" w:hAnsi="宋体" w:cs="宋体"/>
          <w:color w:val="auto"/>
          <w:szCs w:val="21"/>
          <w:highlight w:val="none"/>
          <w:u w:val="single"/>
          <w:shd w:val="clear" w:color="auto" w:fill="FFFFFF"/>
        </w:rPr>
        <w:t>“</w:t>
      </w:r>
      <w:r>
        <w:rPr>
          <w:rFonts w:hint="eastAsia" w:ascii="宋体" w:hAnsi="宋体" w:cs="宋体"/>
          <w:color w:val="auto"/>
          <w:highlight w:val="none"/>
          <w:u w:val="single"/>
        </w:rPr>
        <w:t>江都区政府采购网</w:t>
      </w:r>
      <w:r>
        <w:rPr>
          <w:rFonts w:hint="eastAsia" w:ascii="宋体" w:hAnsi="宋体" w:cs="宋体"/>
          <w:color w:val="auto"/>
          <w:szCs w:val="21"/>
          <w:highlight w:val="none"/>
          <w:u w:val="single"/>
          <w:shd w:val="clear" w:color="auto" w:fill="FFFFFF"/>
        </w:rPr>
        <w:t>”、</w:t>
      </w:r>
      <w:r>
        <w:rPr>
          <w:rFonts w:hint="eastAsia" w:ascii="宋体" w:hAnsi="宋体" w:cs="宋体"/>
          <w:color w:val="auto"/>
          <w:szCs w:val="21"/>
          <w:highlight w:val="none"/>
          <w:u w:val="single"/>
        </w:rPr>
        <w:t>“扬州市政府采购网”</w:t>
      </w:r>
      <w:r>
        <w:rPr>
          <w:rFonts w:hint="eastAsia" w:ascii="宋体" w:hAnsi="宋体" w:cs="宋体"/>
          <w:color w:val="auto"/>
          <w:szCs w:val="21"/>
          <w:highlight w:val="none"/>
        </w:rPr>
        <w:t>自行免费下载采购文件，并于</w:t>
      </w:r>
      <w:bookmarkStart w:id="5" w:name="XMTBJSR_1"/>
      <w:r>
        <w:rPr>
          <w:rFonts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6</w:t>
      </w:r>
      <w:r>
        <w:rPr>
          <w:rFonts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9</w:t>
      </w:r>
      <w:r>
        <w:rPr>
          <w:rFonts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30</w:t>
      </w:r>
      <w:bookmarkStart w:id="44" w:name="_GoBack"/>
      <w:bookmarkEnd w:id="44"/>
      <w:r>
        <w:rPr>
          <w:rFonts w:ascii="宋体" w:hAnsi="宋体" w:cs="宋体"/>
          <w:bCs/>
          <w:color w:val="auto"/>
          <w:szCs w:val="21"/>
          <w:highlight w:val="none"/>
          <w:u w:val="single"/>
        </w:rPr>
        <w:t>日</w:t>
      </w:r>
      <w:r>
        <w:rPr>
          <w:rFonts w:hint="eastAsia" w:ascii="宋体" w:hAnsi="宋体" w:cs="宋体"/>
          <w:bCs/>
          <w:color w:val="auto"/>
          <w:szCs w:val="21"/>
          <w:highlight w:val="none"/>
          <w:u w:val="single"/>
          <w:lang w:val="en-US" w:eastAsia="zh-CN"/>
        </w:rPr>
        <w:t>9</w:t>
      </w:r>
      <w:r>
        <w:rPr>
          <w:rFonts w:ascii="宋体" w:hAnsi="宋体" w:cs="宋体"/>
          <w:bCs/>
          <w:color w:val="auto"/>
          <w:szCs w:val="21"/>
          <w:highlight w:val="none"/>
          <w:u w:val="single"/>
        </w:rPr>
        <w:t>点</w:t>
      </w:r>
      <w:r>
        <w:rPr>
          <w:rFonts w:hint="eastAsia" w:ascii="宋体" w:hAnsi="宋体" w:cs="宋体"/>
          <w:bCs/>
          <w:color w:val="auto"/>
          <w:szCs w:val="21"/>
          <w:highlight w:val="none"/>
          <w:u w:val="single"/>
        </w:rPr>
        <w:t>30</w:t>
      </w:r>
      <w:r>
        <w:rPr>
          <w:rFonts w:ascii="宋体" w:hAnsi="宋体" w:cs="宋体"/>
          <w:bCs/>
          <w:color w:val="auto"/>
          <w:szCs w:val="21"/>
          <w:highlight w:val="none"/>
          <w:u w:val="single"/>
        </w:rPr>
        <w:t>分</w:t>
      </w:r>
      <w:bookmarkEnd w:id="5"/>
      <w:r>
        <w:rPr>
          <w:rFonts w:hint="eastAsia" w:ascii="宋体" w:hAnsi="宋体" w:cs="宋体"/>
          <w:bCs/>
          <w:color w:val="auto"/>
          <w:szCs w:val="21"/>
          <w:highlight w:val="none"/>
        </w:rPr>
        <w:t>（北京时间）前提交响应文件</w:t>
      </w:r>
      <w:r>
        <w:rPr>
          <w:rFonts w:hint="eastAsia" w:ascii="宋体" w:hAnsi="宋体" w:cs="宋体"/>
          <w:color w:val="auto"/>
          <w:szCs w:val="21"/>
          <w:highlight w:val="none"/>
        </w:rPr>
        <w:t>。</w:t>
      </w:r>
    </w:p>
    <w:p w14:paraId="2BF0EA56">
      <w:pPr>
        <w:spacing w:line="360" w:lineRule="auto"/>
        <w:ind w:firstLine="420"/>
        <w:rPr>
          <w:rFonts w:ascii="宋体" w:hAnsi="宋体" w:cs="宋体"/>
          <w:color w:val="auto"/>
          <w:highlight w:val="none"/>
        </w:rPr>
      </w:pPr>
      <w:bookmarkStart w:id="6" w:name="_Toc109304963"/>
      <w:r>
        <w:rPr>
          <w:rFonts w:hint="eastAsia" w:ascii="宋体" w:hAnsi="宋体" w:cs="宋体"/>
          <w:color w:val="auto"/>
          <w:szCs w:val="21"/>
          <w:highlight w:val="none"/>
        </w:rPr>
        <w:t>一、项目基本情况</w:t>
      </w:r>
      <w:bookmarkEnd w:id="6"/>
    </w:p>
    <w:p w14:paraId="31FF3879">
      <w:pPr>
        <w:spacing w:line="360" w:lineRule="auto"/>
        <w:ind w:firstLine="420"/>
        <w:rPr>
          <w:rFonts w:hint="eastAsia" w:ascii="宋体" w:hAnsi="宋体" w:eastAsia="宋体" w:cs="宋体"/>
          <w:color w:val="auto"/>
          <w:highlight w:val="none"/>
        </w:rPr>
      </w:pPr>
      <w:r>
        <w:rPr>
          <w:rFonts w:hint="eastAsia" w:ascii="宋体" w:hAnsi="宋体" w:cs="宋体"/>
          <w:color w:val="auto"/>
          <w:highlight w:val="none"/>
        </w:rPr>
        <w:t>项目</w:t>
      </w:r>
      <w:r>
        <w:rPr>
          <w:rFonts w:hint="eastAsia" w:ascii="宋体" w:hAnsi="宋体" w:eastAsia="宋体" w:cs="宋体"/>
          <w:color w:val="auto"/>
          <w:highlight w:val="none"/>
        </w:rPr>
        <w:t>编</w:t>
      </w:r>
      <w:r>
        <w:rPr>
          <w:rFonts w:hint="eastAsia" w:ascii="宋体" w:hAnsi="宋体" w:eastAsia="宋体" w:cs="宋体"/>
          <w:color w:val="auto"/>
          <w:highlight w:val="none"/>
          <w:lang w:eastAsia="zh-CN"/>
        </w:rPr>
        <w:t>号：</w:t>
      </w:r>
      <w:r>
        <w:rPr>
          <w:rFonts w:hint="eastAsia" w:ascii="宋体" w:hAnsi="宋体" w:cs="宋体"/>
          <w:color w:val="auto"/>
          <w:highlight w:val="none"/>
          <w:lang w:eastAsia="zh-CN"/>
        </w:rPr>
        <w:t>JSZC-321012-JCQY-G2026-0005</w:t>
      </w:r>
    </w:p>
    <w:p w14:paraId="4389C1E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项目名称：</w:t>
      </w:r>
      <w:r>
        <w:rPr>
          <w:rFonts w:hint="eastAsia" w:ascii="宋体" w:hAnsi="宋体" w:cs="宋体"/>
          <w:color w:val="auto"/>
          <w:sz w:val="21"/>
          <w:szCs w:val="22"/>
          <w:highlight w:val="none"/>
          <w:lang w:eastAsia="zh-CN"/>
        </w:rPr>
        <w:t>江苏省江都中学部分校园文化建设项目采购及安装</w:t>
      </w:r>
    </w:p>
    <w:p w14:paraId="0028E5F0">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预算金额：</w:t>
      </w:r>
      <w:r>
        <w:rPr>
          <w:rFonts w:hint="eastAsia" w:ascii="宋体" w:hAnsi="宋体" w:cs="宋体"/>
          <w:color w:val="auto"/>
          <w:szCs w:val="21"/>
          <w:highlight w:val="none"/>
          <w:lang w:val="en-US" w:eastAsia="zh-CN"/>
        </w:rPr>
        <w:t>270</w:t>
      </w:r>
      <w:r>
        <w:rPr>
          <w:rFonts w:hint="eastAsia" w:ascii="宋体" w:hAnsi="宋体" w:cs="宋体"/>
          <w:color w:val="auto"/>
          <w:szCs w:val="21"/>
          <w:highlight w:val="none"/>
        </w:rPr>
        <w:t>万元</w:t>
      </w:r>
    </w:p>
    <w:p w14:paraId="084160B8">
      <w:pPr>
        <w:tabs>
          <w:tab w:val="left" w:pos="900"/>
        </w:tabs>
        <w:spacing w:line="360" w:lineRule="auto"/>
        <w:ind w:firstLine="420"/>
        <w:contextualSpacing/>
        <w:rPr>
          <w:rFonts w:ascii="宋体" w:hAnsi="宋体" w:cs="宋体"/>
          <w:color w:val="auto"/>
          <w:szCs w:val="21"/>
          <w:highlight w:val="none"/>
        </w:rPr>
      </w:pPr>
      <w:r>
        <w:rPr>
          <w:rFonts w:hint="eastAsia" w:ascii="宋体" w:hAnsi="宋体" w:cs="宋体"/>
          <w:color w:val="auto"/>
          <w:szCs w:val="21"/>
          <w:highlight w:val="none"/>
        </w:rPr>
        <w:t>最高限价：</w:t>
      </w:r>
      <w:r>
        <w:rPr>
          <w:rFonts w:hint="eastAsia" w:ascii="宋体" w:hAnsi="宋体" w:cs="宋体"/>
          <w:color w:val="auto"/>
          <w:szCs w:val="21"/>
          <w:highlight w:val="none"/>
          <w:lang w:val="en-US" w:eastAsia="zh-CN"/>
        </w:rPr>
        <w:t>270</w:t>
      </w:r>
      <w:r>
        <w:rPr>
          <w:rFonts w:hint="eastAsia" w:ascii="宋体" w:hAnsi="宋体" w:cs="宋体"/>
          <w:color w:val="auto"/>
          <w:szCs w:val="21"/>
          <w:highlight w:val="none"/>
        </w:rPr>
        <w:t>万元。最后报价超过最高限价的为无效报价，按照无效响应处理。</w:t>
      </w:r>
    </w:p>
    <w:p w14:paraId="13EDFC3C">
      <w:pPr>
        <w:spacing w:line="360" w:lineRule="auto"/>
        <w:ind w:firstLine="420"/>
        <w:rPr>
          <w:rFonts w:ascii="宋体" w:hAnsi="宋体" w:cs="宋体"/>
          <w:color w:val="auto"/>
          <w:szCs w:val="21"/>
          <w:highlight w:val="none"/>
          <w:u w:val="single"/>
        </w:rPr>
      </w:pPr>
      <w:r>
        <w:rPr>
          <w:rFonts w:hint="eastAsia" w:ascii="宋体" w:hAnsi="宋体" w:cs="宋体"/>
          <w:color w:val="auto"/>
          <w:szCs w:val="21"/>
          <w:highlight w:val="none"/>
        </w:rPr>
        <w:t>采购需求：见招标文件第四章</w:t>
      </w:r>
    </w:p>
    <w:p w14:paraId="6B02D99D">
      <w:pPr>
        <w:spacing w:line="360" w:lineRule="auto"/>
        <w:ind w:firstLine="420"/>
        <w:rPr>
          <w:rFonts w:ascii="宋体" w:hAnsi="宋体" w:cs="宋体"/>
          <w:color w:val="auto"/>
          <w:szCs w:val="21"/>
          <w:highlight w:val="none"/>
          <w:u w:val="single"/>
        </w:rPr>
      </w:pPr>
      <w:r>
        <w:rPr>
          <w:rFonts w:hint="eastAsia" w:ascii="宋体" w:hAnsi="宋体" w:cs="宋体"/>
          <w:color w:val="auto"/>
          <w:szCs w:val="21"/>
          <w:highlight w:val="none"/>
        </w:rPr>
        <w:t>合同履行期限：见招标文件第四章</w:t>
      </w:r>
    </w:p>
    <w:p w14:paraId="79180313">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Cs w:val="21"/>
          <w:highlight w:val="none"/>
          <w:u w:val="single"/>
        </w:rPr>
        <w:t>不接受</w:t>
      </w:r>
      <w:r>
        <w:rPr>
          <w:rFonts w:hint="eastAsia" w:ascii="宋体" w:hAnsi="宋体" w:cs="宋体"/>
          <w:color w:val="auto"/>
          <w:szCs w:val="21"/>
          <w:highlight w:val="none"/>
        </w:rPr>
        <w:t>联合体响应。</w:t>
      </w:r>
    </w:p>
    <w:p w14:paraId="5AD7F3D7">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本项目</w:t>
      </w:r>
      <w:r>
        <w:rPr>
          <w:rFonts w:hint="eastAsia" w:ascii="宋体" w:hAnsi="宋体" w:cs="宋体"/>
          <w:color w:val="auto"/>
          <w:szCs w:val="21"/>
          <w:highlight w:val="none"/>
          <w:u w:val="single"/>
        </w:rPr>
        <w:t>不接受</w:t>
      </w:r>
      <w:r>
        <w:rPr>
          <w:rFonts w:hint="eastAsia" w:ascii="宋体" w:hAnsi="宋体" w:cs="宋体"/>
          <w:color w:val="auto"/>
          <w:szCs w:val="21"/>
          <w:highlight w:val="none"/>
        </w:rPr>
        <w:t>进口产品响应。</w:t>
      </w:r>
    </w:p>
    <w:p w14:paraId="0E2B5F85">
      <w:pPr>
        <w:pStyle w:val="34"/>
        <w:spacing w:before="0" w:after="0" w:line="360" w:lineRule="auto"/>
        <w:rPr>
          <w:rFonts w:ascii="宋体" w:hAnsi="宋体" w:cs="宋体"/>
          <w:bCs w:val="0"/>
          <w:color w:val="auto"/>
          <w:sz w:val="21"/>
          <w:szCs w:val="21"/>
          <w:highlight w:val="none"/>
          <w:lang w:eastAsia="zh-CN"/>
        </w:rPr>
      </w:pPr>
      <w:bookmarkStart w:id="7" w:name="_Toc109304964"/>
      <w:r>
        <w:rPr>
          <w:rFonts w:hint="eastAsia" w:ascii="宋体" w:hAnsi="宋体" w:cs="宋体"/>
          <w:bCs w:val="0"/>
          <w:color w:val="auto"/>
          <w:sz w:val="21"/>
          <w:szCs w:val="21"/>
          <w:highlight w:val="none"/>
          <w:lang w:eastAsia="zh-CN"/>
        </w:rPr>
        <w:t>二、申请人的资格要求：</w:t>
      </w:r>
      <w:bookmarkEnd w:id="7"/>
    </w:p>
    <w:p w14:paraId="4EC609BD">
      <w:pPr>
        <w:spacing w:line="360" w:lineRule="auto"/>
        <w:ind w:firstLine="420"/>
        <w:rPr>
          <w:rFonts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1.满足《中华人民共和国政府采购法》第二十二条规定，并提供下列材料：</w:t>
      </w:r>
    </w:p>
    <w:p w14:paraId="73D6EAC6">
      <w:pPr>
        <w:spacing w:line="360" w:lineRule="auto"/>
        <w:ind w:firstLine="420"/>
        <w:rPr>
          <w:rFonts w:ascii="宋体" w:hAnsi="宋体" w:cs="宋体"/>
          <w:i/>
          <w:iCs/>
          <w:color w:val="auto"/>
          <w:szCs w:val="21"/>
          <w:highlight w:val="none"/>
          <w:u w:val="single"/>
        </w:rPr>
      </w:pPr>
      <w:r>
        <w:rPr>
          <w:rFonts w:hint="eastAsia" w:ascii="宋体" w:hAnsi="宋体" w:cs="宋体"/>
          <w:i/>
          <w:iCs/>
          <w:color w:val="auto"/>
          <w:szCs w:val="21"/>
          <w:highlight w:val="none"/>
          <w:u w:val="single"/>
        </w:rPr>
        <w:t>1.1法人或者其他组织的营业执照等证明文件，自然人的身份证明</w:t>
      </w:r>
      <w:r>
        <w:rPr>
          <w:rFonts w:hint="eastAsia" w:ascii="宋体" w:hAnsi="宋体"/>
          <w:i/>
          <w:iCs/>
          <w:color w:val="auto"/>
          <w:szCs w:val="21"/>
          <w:highlight w:val="none"/>
          <w:u w:val="single"/>
        </w:rPr>
        <w:t>（身份证为正、反面）</w:t>
      </w:r>
    </w:p>
    <w:p w14:paraId="53E73E2F">
      <w:pPr>
        <w:spacing w:line="360" w:lineRule="auto"/>
        <w:ind w:firstLine="420"/>
        <w:rPr>
          <w:rFonts w:ascii="宋体" w:hAnsi="宋体" w:cs="宋体"/>
          <w:i/>
          <w:iCs/>
          <w:color w:val="auto"/>
          <w:szCs w:val="21"/>
          <w:highlight w:val="none"/>
          <w:u w:val="single"/>
        </w:rPr>
      </w:pPr>
      <w:r>
        <w:rPr>
          <w:rFonts w:hint="eastAsia" w:ascii="宋体" w:hAnsi="宋体" w:cs="宋体"/>
          <w:i/>
          <w:iCs/>
          <w:color w:val="auto"/>
          <w:szCs w:val="21"/>
          <w:highlight w:val="none"/>
          <w:u w:val="single"/>
        </w:rPr>
        <w:t>1.2 依法缴纳职工社会保障资金的证明材料</w:t>
      </w:r>
      <w:r>
        <w:rPr>
          <w:rFonts w:hint="eastAsia" w:ascii="宋体" w:hAnsi="宋体" w:cs="宋体"/>
          <w:b/>
          <w:bCs/>
          <w:i/>
          <w:iCs/>
          <w:color w:val="auto"/>
          <w:szCs w:val="21"/>
          <w:highlight w:val="none"/>
          <w:u w:val="single"/>
        </w:rPr>
        <w:t>（可提供“基本资格条件承诺函”）</w:t>
      </w:r>
    </w:p>
    <w:p w14:paraId="5F8EC029">
      <w:pPr>
        <w:spacing w:line="360" w:lineRule="auto"/>
        <w:ind w:firstLine="420"/>
        <w:rPr>
          <w:rFonts w:ascii="宋体" w:hAnsi="宋体"/>
          <w:b/>
          <w:bCs/>
          <w:i/>
          <w:iCs/>
          <w:color w:val="auto"/>
          <w:highlight w:val="none"/>
          <w:u w:val="single"/>
        </w:rPr>
      </w:pPr>
      <w:r>
        <w:rPr>
          <w:rFonts w:hint="eastAsia" w:ascii="宋体" w:hAnsi="宋体" w:cs="宋体"/>
          <w:i/>
          <w:iCs/>
          <w:color w:val="auto"/>
          <w:szCs w:val="21"/>
          <w:highlight w:val="none"/>
          <w:u w:val="single"/>
        </w:rPr>
        <w:t>1.3 依法纳税的缴款凭证</w:t>
      </w:r>
      <w:r>
        <w:rPr>
          <w:rFonts w:hint="eastAsia" w:ascii="宋体" w:hAnsi="宋体" w:cs="宋体"/>
          <w:b/>
          <w:bCs/>
          <w:i/>
          <w:iCs/>
          <w:color w:val="auto"/>
          <w:szCs w:val="21"/>
          <w:highlight w:val="none"/>
          <w:u w:val="single"/>
        </w:rPr>
        <w:t>（可提供“基本资格条件承诺函”）</w:t>
      </w:r>
    </w:p>
    <w:p w14:paraId="58BEA370">
      <w:pPr>
        <w:spacing w:line="360" w:lineRule="auto"/>
        <w:ind w:firstLine="420"/>
        <w:rPr>
          <w:rFonts w:ascii="宋体" w:hAnsi="宋体" w:cs="宋体"/>
          <w:b/>
          <w:bCs/>
          <w:i/>
          <w:iCs/>
          <w:color w:val="auto"/>
          <w:szCs w:val="21"/>
          <w:highlight w:val="none"/>
          <w:u w:val="single"/>
        </w:rPr>
      </w:pPr>
      <w:r>
        <w:rPr>
          <w:rFonts w:hint="eastAsia" w:ascii="宋体" w:hAnsi="宋体" w:cs="宋体"/>
          <w:i/>
          <w:iCs/>
          <w:color w:val="auto"/>
          <w:szCs w:val="21"/>
          <w:highlight w:val="none"/>
          <w:u w:val="single"/>
        </w:rPr>
        <w:t>1.4 具有良好的商业信誉和健全的财务会计制度</w:t>
      </w:r>
      <w:r>
        <w:rPr>
          <w:rFonts w:hint="eastAsia" w:ascii="宋体" w:hAnsi="宋体" w:cs="宋体"/>
          <w:b/>
          <w:bCs/>
          <w:i/>
          <w:iCs/>
          <w:color w:val="auto"/>
          <w:szCs w:val="21"/>
          <w:highlight w:val="none"/>
          <w:u w:val="single"/>
        </w:rPr>
        <w:t>（可提供“基本资格条件承诺函”）</w:t>
      </w:r>
    </w:p>
    <w:p w14:paraId="0D349DB3">
      <w:pPr>
        <w:spacing w:line="360" w:lineRule="auto"/>
        <w:ind w:firstLine="420"/>
        <w:rPr>
          <w:rFonts w:ascii="宋体" w:hAnsi="宋体" w:cs="宋体"/>
          <w:i/>
          <w:iCs/>
          <w:color w:val="auto"/>
          <w:szCs w:val="21"/>
          <w:highlight w:val="none"/>
          <w:u w:val="single"/>
        </w:rPr>
      </w:pPr>
      <w:r>
        <w:rPr>
          <w:rFonts w:hint="eastAsia" w:ascii="宋体" w:hAnsi="宋体" w:cs="宋体"/>
          <w:i/>
          <w:iCs/>
          <w:color w:val="auto"/>
          <w:szCs w:val="21"/>
          <w:highlight w:val="none"/>
          <w:u w:val="single"/>
        </w:rPr>
        <w:t>1.5 具备履行合同所必需的设备和专业技术能力</w:t>
      </w:r>
      <w:r>
        <w:rPr>
          <w:rFonts w:hint="eastAsia" w:ascii="宋体" w:hAnsi="宋体" w:cs="宋体"/>
          <w:b/>
          <w:bCs/>
          <w:i/>
          <w:iCs/>
          <w:color w:val="auto"/>
          <w:szCs w:val="21"/>
          <w:highlight w:val="none"/>
          <w:u w:val="single"/>
        </w:rPr>
        <w:t>（可提供“基本资格条件承诺函”）</w:t>
      </w:r>
    </w:p>
    <w:p w14:paraId="5E9C83EC">
      <w:pPr>
        <w:spacing w:line="360" w:lineRule="auto"/>
        <w:ind w:left="420" w:leftChars="200"/>
        <w:rPr>
          <w:rFonts w:ascii="宋体" w:hAnsi="宋体" w:cs="宋体"/>
          <w:b/>
          <w:bCs/>
          <w:i/>
          <w:iCs/>
          <w:color w:val="auto"/>
          <w:szCs w:val="21"/>
          <w:highlight w:val="none"/>
          <w:u w:val="single"/>
        </w:rPr>
      </w:pPr>
      <w:r>
        <w:rPr>
          <w:rFonts w:hint="eastAsia" w:ascii="宋体" w:hAnsi="宋体" w:cs="宋体"/>
          <w:i/>
          <w:iCs/>
          <w:color w:val="auto"/>
          <w:szCs w:val="21"/>
          <w:highlight w:val="none"/>
          <w:u w:val="single"/>
        </w:rPr>
        <w:t>1.6 参加本次政府采购活动前3年内在经营活动中没有重大违法记录的书面声明</w:t>
      </w:r>
      <w:r>
        <w:rPr>
          <w:rFonts w:hint="eastAsia" w:ascii="宋体" w:hAnsi="宋体"/>
          <w:color w:val="auto"/>
          <w:highlight w:val="none"/>
          <w:u w:val="single"/>
        </w:rPr>
        <w:t xml:space="preserve"> </w:t>
      </w:r>
      <w:r>
        <w:rPr>
          <w:rFonts w:hint="eastAsia" w:ascii="宋体" w:hAnsi="宋体" w:cs="宋体"/>
          <w:b/>
          <w:bCs/>
          <w:i/>
          <w:iCs/>
          <w:color w:val="auto"/>
          <w:szCs w:val="21"/>
          <w:highlight w:val="none"/>
          <w:u w:val="single"/>
        </w:rPr>
        <w:t>（可</w:t>
      </w:r>
    </w:p>
    <w:p w14:paraId="27DAA16D">
      <w:pPr>
        <w:spacing w:line="360" w:lineRule="auto"/>
        <w:rPr>
          <w:rFonts w:ascii="宋体" w:hAnsi="宋体"/>
          <w:color w:val="auto"/>
          <w:highlight w:val="none"/>
        </w:rPr>
      </w:pPr>
      <w:r>
        <w:rPr>
          <w:rFonts w:hint="eastAsia" w:ascii="宋体" w:hAnsi="宋体" w:cs="宋体"/>
          <w:b/>
          <w:bCs/>
          <w:i/>
          <w:iCs/>
          <w:color w:val="auto"/>
          <w:szCs w:val="21"/>
          <w:highlight w:val="none"/>
          <w:u w:val="single"/>
        </w:rPr>
        <w:t>提供“基本资格条件承诺函”）</w:t>
      </w:r>
      <w:r>
        <w:rPr>
          <w:rFonts w:hint="eastAsia" w:ascii="宋体" w:hAnsi="宋体"/>
          <w:color w:val="auto"/>
          <w:highlight w:val="none"/>
        </w:rPr>
        <w:t xml:space="preserve">  </w:t>
      </w:r>
    </w:p>
    <w:p w14:paraId="7319D371">
      <w:pPr>
        <w:spacing w:line="360" w:lineRule="auto"/>
        <w:ind w:left="420" w:leftChars="200"/>
        <w:rPr>
          <w:rFonts w:ascii="宋体" w:hAnsi="宋体" w:cs="宋体"/>
          <w:i/>
          <w:iCs/>
          <w:color w:val="auto"/>
          <w:szCs w:val="21"/>
          <w:highlight w:val="none"/>
          <w:u w:val="single"/>
        </w:rPr>
      </w:pPr>
      <w:r>
        <w:rPr>
          <w:rFonts w:hint="eastAsia" w:ascii="宋体" w:hAnsi="宋体"/>
          <w:color w:val="auto"/>
          <w:highlight w:val="none"/>
        </w:rPr>
        <w:t xml:space="preserve"> </w:t>
      </w:r>
      <w:r>
        <w:rPr>
          <w:rFonts w:hint="eastAsia" w:ascii="宋体" w:hAnsi="宋体" w:cs="宋体"/>
          <w:i/>
          <w:iCs/>
          <w:color w:val="auto"/>
          <w:szCs w:val="21"/>
          <w:highlight w:val="none"/>
          <w:u w:val="single"/>
        </w:rPr>
        <w:t>1.7 未被“信用中国”网站（www.creditchina.gov.cn）、“中国政府采购网</w:t>
      </w:r>
    </w:p>
    <w:p w14:paraId="22B0D563">
      <w:pPr>
        <w:spacing w:line="360" w:lineRule="auto"/>
        <w:rPr>
          <w:rFonts w:ascii="宋体" w:hAnsi="宋体" w:cs="宋体"/>
          <w:b/>
          <w:bCs/>
          <w:i/>
          <w:iCs/>
          <w:color w:val="auto"/>
          <w:szCs w:val="21"/>
          <w:highlight w:val="none"/>
          <w:u w:val="single"/>
        </w:rPr>
      </w:pPr>
      <w:r>
        <w:rPr>
          <w:rFonts w:hint="eastAsia" w:ascii="宋体" w:hAnsi="宋体" w:cs="宋体"/>
          <w:i/>
          <w:iCs/>
          <w:color w:val="auto"/>
          <w:szCs w:val="21"/>
          <w:highlight w:val="none"/>
          <w:u w:val="single"/>
        </w:rPr>
        <w:t>"(www.ccgp.gov.cn)列入失信被执行人、重大税收违法失信主体、政府采购严重违法失信行为记录名单</w:t>
      </w:r>
      <w:r>
        <w:rPr>
          <w:rFonts w:hint="eastAsia" w:ascii="宋体" w:hAnsi="宋体" w:cs="宋体"/>
          <w:b/>
          <w:bCs/>
          <w:i/>
          <w:iCs/>
          <w:color w:val="auto"/>
          <w:szCs w:val="21"/>
          <w:highlight w:val="none"/>
          <w:u w:val="single"/>
        </w:rPr>
        <w:t>（可提供“基本资格条件承诺函”）</w:t>
      </w:r>
    </w:p>
    <w:p w14:paraId="7658DC74">
      <w:pPr>
        <w:spacing w:line="360" w:lineRule="auto"/>
        <w:ind w:firstLine="420"/>
        <w:rPr>
          <w:rFonts w:ascii="宋体" w:hAnsi="宋体" w:cs="宋体"/>
          <w:i/>
          <w:iCs/>
          <w:color w:val="auto"/>
          <w:szCs w:val="21"/>
          <w:highlight w:val="none"/>
          <w:u w:val="single"/>
        </w:rPr>
      </w:pPr>
      <w:r>
        <w:rPr>
          <w:rFonts w:hint="eastAsia" w:ascii="宋体" w:hAnsi="宋体" w:cs="宋体"/>
          <w:i/>
          <w:iCs/>
          <w:color w:val="auto"/>
          <w:szCs w:val="21"/>
          <w:highlight w:val="none"/>
          <w:u w:val="single"/>
        </w:rPr>
        <w:t>1.8供应商信用承诺书</w:t>
      </w:r>
    </w:p>
    <w:p w14:paraId="4BDB72E1">
      <w:pPr>
        <w:spacing w:line="360" w:lineRule="auto"/>
        <w:ind w:firstLine="420"/>
        <w:rPr>
          <w:rFonts w:ascii="宋体" w:hAnsi="宋体" w:cs="宋体"/>
          <w:b/>
          <w:i/>
          <w:iCs/>
          <w:color w:val="auto"/>
          <w:highlight w:val="none"/>
          <w:u w:val="single"/>
        </w:rPr>
      </w:pPr>
      <w:r>
        <w:rPr>
          <w:rFonts w:hint="eastAsia" w:ascii="宋体" w:hAnsi="宋体" w:cs="宋体"/>
          <w:color w:val="auto"/>
          <w:szCs w:val="21"/>
          <w:highlight w:val="none"/>
        </w:rPr>
        <w:t>2.落实政府采购政策需满足的资格要求：</w:t>
      </w:r>
      <w:r>
        <w:rPr>
          <w:rFonts w:hint="eastAsia" w:ascii="宋体" w:hAnsi="宋体" w:cs="宋体"/>
          <w:b/>
          <w:i/>
          <w:iCs/>
          <w:color w:val="auto"/>
          <w:highlight w:val="none"/>
          <w:u w:val="single"/>
        </w:rPr>
        <w:t>根据《政府采购促进中小企业发展管理办法》的规定，本项目专门面向中小企业采购，投标人投标时须提供《中小企业声明函》，《中小企业声明函》不符合要求或未提供的，投标文件无效。</w:t>
      </w:r>
    </w:p>
    <w:p w14:paraId="58C147A6">
      <w:pPr>
        <w:spacing w:line="360" w:lineRule="auto"/>
        <w:ind w:left="420"/>
        <w:rPr>
          <w:color w:val="auto"/>
          <w:highlight w:val="none"/>
        </w:rPr>
      </w:pPr>
      <w:r>
        <w:rPr>
          <w:rFonts w:hint="eastAsia" w:ascii="宋体" w:hAnsi="宋体" w:cs="宋体"/>
          <w:color w:val="auto"/>
          <w:szCs w:val="21"/>
          <w:highlight w:val="none"/>
        </w:rPr>
        <w:t>3.本项目的特定资格要求：</w:t>
      </w:r>
      <w:r>
        <w:rPr>
          <w:rFonts w:hint="eastAsia" w:ascii="宋体" w:hAnsi="宋体" w:cs="宋体"/>
          <w:i/>
          <w:iCs/>
          <w:color w:val="auto"/>
          <w:szCs w:val="21"/>
          <w:highlight w:val="none"/>
          <w:u w:val="single"/>
        </w:rPr>
        <w:t>无</w:t>
      </w:r>
    </w:p>
    <w:p w14:paraId="377DD317">
      <w:pPr>
        <w:pStyle w:val="34"/>
        <w:spacing w:before="0" w:after="0" w:line="360" w:lineRule="auto"/>
        <w:rPr>
          <w:rFonts w:ascii="宋体" w:hAnsi="宋体" w:cs="宋体"/>
          <w:bCs w:val="0"/>
          <w:color w:val="auto"/>
          <w:sz w:val="21"/>
          <w:szCs w:val="21"/>
          <w:highlight w:val="none"/>
          <w:lang w:eastAsia="zh-CN"/>
        </w:rPr>
      </w:pPr>
      <w:bookmarkStart w:id="8" w:name="_Toc109304965"/>
      <w:r>
        <w:rPr>
          <w:rFonts w:hint="eastAsia" w:ascii="宋体" w:hAnsi="宋体" w:cs="宋体"/>
          <w:bCs w:val="0"/>
          <w:color w:val="auto"/>
          <w:sz w:val="21"/>
          <w:szCs w:val="21"/>
          <w:highlight w:val="none"/>
          <w:lang w:eastAsia="zh-CN"/>
        </w:rPr>
        <w:t>三、获取采购文件</w:t>
      </w:r>
      <w:bookmarkEnd w:id="8"/>
    </w:p>
    <w:p w14:paraId="783B9C88">
      <w:pPr>
        <w:spacing w:line="360" w:lineRule="auto"/>
        <w:ind w:firstLine="420"/>
        <w:rPr>
          <w:rFonts w:ascii="宋体" w:hAnsi="宋体" w:cs="宋体"/>
          <w:color w:val="auto"/>
          <w:highlight w:val="none"/>
        </w:rPr>
      </w:pPr>
      <w:r>
        <w:rPr>
          <w:rFonts w:hint="eastAsia" w:ascii="宋体" w:hAnsi="宋体" w:cs="宋体"/>
          <w:color w:val="auto"/>
          <w:szCs w:val="21"/>
          <w:highlight w:val="none"/>
        </w:rPr>
        <w:t>1.时间：</w:t>
      </w:r>
      <w:r>
        <w:rPr>
          <w:rFonts w:hint="eastAsia" w:ascii="宋体" w:hAnsi="宋体" w:cs="宋体"/>
          <w:color w:val="auto"/>
          <w:highlight w:val="none"/>
        </w:rPr>
        <w:t>自招标公告发布之日起5个工作日。5个工作日后仍可下载采购文件，但不作为供应商权益受到损害的证明材料和依据。</w:t>
      </w:r>
    </w:p>
    <w:p w14:paraId="3D43E0B9">
      <w:pPr>
        <w:spacing w:line="360" w:lineRule="auto"/>
        <w:ind w:firstLine="422"/>
        <w:rPr>
          <w:rFonts w:ascii="宋体" w:hAnsi="宋体" w:cs="宋体"/>
          <w:b/>
          <w:bCs/>
          <w:color w:val="auto"/>
          <w:highlight w:val="none"/>
        </w:rPr>
      </w:pPr>
      <w:r>
        <w:rPr>
          <w:rFonts w:hint="eastAsia" w:ascii="宋体" w:hAnsi="宋体" w:cs="宋体"/>
          <w:b/>
          <w:bCs/>
          <w:color w:val="auto"/>
          <w:highlight w:val="none"/>
        </w:rPr>
        <w:t>2.获取方式：</w:t>
      </w:r>
      <w:r>
        <w:rPr>
          <w:rFonts w:hint="eastAsia" w:ascii="宋体" w:hAnsi="宋体"/>
          <w:b/>
          <w:bCs/>
          <w:color w:val="auto"/>
          <w:szCs w:val="21"/>
          <w:highlight w:val="none"/>
        </w:rPr>
        <w:t>本项目采用网上注册登记方式。</w:t>
      </w:r>
    </w:p>
    <w:p w14:paraId="167E19C0">
      <w:pPr>
        <w:spacing w:line="360" w:lineRule="auto"/>
        <w:ind w:firstLine="422"/>
        <w:rPr>
          <w:rFonts w:hint="eastAsia" w:ascii="宋体" w:hAnsi="宋体" w:cs="宋体"/>
          <w:b/>
          <w:bCs/>
          <w:color w:val="auto"/>
          <w:highlight w:val="none"/>
        </w:rPr>
      </w:pPr>
      <w:bookmarkStart w:id="9" w:name="_Toc109304966"/>
      <w:r>
        <w:rPr>
          <w:rFonts w:hint="eastAsia" w:ascii="宋体" w:hAnsi="宋体" w:cs="宋体"/>
          <w:b/>
          <w:bCs/>
          <w:color w:val="auto"/>
          <w:highlight w:val="none"/>
        </w:rPr>
        <w:t>3.潜在供应商访问</w:t>
      </w:r>
      <w:r>
        <w:rPr>
          <w:rFonts w:hint="eastAsia" w:ascii="宋体" w:hAnsi="宋体"/>
          <w:b/>
          <w:bCs/>
          <w:color w:val="auto"/>
          <w:szCs w:val="21"/>
          <w:highlight w:val="none"/>
        </w:rPr>
        <w:t>政府采购管理交易系统（苏采云）</w:t>
      </w:r>
      <w:r>
        <w:rPr>
          <w:rFonts w:hint="eastAsia" w:ascii="宋体" w:hAnsi="宋体" w:cs="宋体"/>
          <w:b/>
          <w:bCs/>
          <w:color w:val="auto"/>
          <w:highlight w:val="none"/>
        </w:rPr>
        <w:t>的网络地址和方法：</w:t>
      </w:r>
    </w:p>
    <w:p w14:paraId="342DD3D8">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1）潜在供应商访问政府采购管理交易系统（苏采云）的方法：“苏采云”系统用户注册--获取“CA数字证书”--CA绑定与登录--网上报名--下载采购文件（后缀名为“.kedt”）--将后缀名为“.kedt”的采购文件导入政府采购客户端工具--制作投标文件--导出加密的投标文件（后缀名为zip）--通过“苏采云”系统上传投标文件。</w:t>
      </w:r>
    </w:p>
    <w:p w14:paraId="62CF3256">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（2）“CA数字证书”的获取：供应商需办理CA锁，“苏采云”系统目前仅支持“苏采云”系统下的政务CA，省内各地区办理的“苏采云”系统下的政务CA全省通用。</w:t>
      </w:r>
    </w:p>
    <w:p w14:paraId="10294889">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（3）“CA数字证书”的办理材料以及供应商操作手册详见：</w:t>
      </w:r>
    </w:p>
    <w:p w14:paraId="70D063B0">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http://zfcg.yangzhou.gov.cn/zfcg/xzzx/202309/4d7de1f7865f4a2894fc22bc452f94d8.shtml。</w:t>
      </w:r>
    </w:p>
    <w:p w14:paraId="186F4830">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（4）潜在供应商访问“苏采云”系统的网络地址和方法：“苏采云”系统的网址：http://jszfcg.jsczt.cn/。</w:t>
      </w:r>
    </w:p>
    <w:p w14:paraId="4C334E88">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（5）采购文件（后缀名为“.kedt”）、供应商操作手册及政府采购客户端工具也可通过“苏采云”系统--已报名项目--报名详情页面内相应链接进行下载。</w:t>
      </w:r>
    </w:p>
    <w:p w14:paraId="669A863C">
      <w:pPr>
        <w:spacing w:line="360" w:lineRule="auto"/>
        <w:ind w:firstLine="422"/>
        <w:rPr>
          <w:rFonts w:hint="eastAsia" w:ascii="宋体" w:hAnsi="宋体" w:eastAsia="宋体" w:cs="Times New Roman"/>
          <w:b/>
          <w:bCs/>
          <w:color w:val="auto"/>
          <w:highlight w:val="none"/>
          <w:lang w:val="en-US" w:eastAsia="zh-CN"/>
        </w:rPr>
      </w:pPr>
      <w:r>
        <w:rPr>
          <w:rFonts w:hint="eastAsia" w:ascii="宋体" w:hAnsi="宋体" w:eastAsia="宋体" w:cs="Times New Roman"/>
          <w:b/>
          <w:bCs/>
          <w:color w:val="auto"/>
          <w:highlight w:val="none"/>
          <w:lang w:val="en-US" w:eastAsia="zh-CN"/>
        </w:rPr>
        <w:t>（6）招标代理机构（采购代理机构）将数据电文形式的采购文件加载至“苏采云”系统，供潜在供应商下载或者查阅。     </w:t>
      </w:r>
    </w:p>
    <w:p w14:paraId="7D3A9983">
      <w:pPr>
        <w:spacing w:line="360" w:lineRule="auto"/>
        <w:ind w:firstLine="422"/>
        <w:rPr>
          <w:rFonts w:hint="eastAsia" w:ascii="宋体" w:hAnsi="宋体" w:eastAsia="宋体" w:cs="宋体"/>
          <w:b/>
          <w:i w:val="0"/>
          <w:caps w:val="0"/>
          <w:color w:val="auto"/>
          <w:spacing w:val="0"/>
          <w:kern w:val="0"/>
          <w:sz w:val="21"/>
          <w:szCs w:val="21"/>
          <w:highlight w:val="none"/>
          <w:shd w:val="clear" w:fill="FFFFFF"/>
          <w:lang w:val="en-US" w:eastAsia="zh-CN" w:bidi="ar"/>
        </w:rPr>
      </w:pPr>
      <w:r>
        <w:rPr>
          <w:rFonts w:hint="eastAsia" w:ascii="宋体" w:hAnsi="宋体" w:eastAsia="宋体" w:cs="Times New Roman"/>
          <w:b/>
          <w:bCs/>
          <w:color w:val="auto"/>
          <w:highlight w:val="none"/>
          <w:lang w:val="en-US" w:eastAsia="zh-CN"/>
        </w:rPr>
        <w:t>（7）苏采云系统使用谷歌浏览器参与不</w:t>
      </w:r>
      <w:r>
        <w:rPr>
          <w:rFonts w:hint="eastAsia" w:ascii="宋体" w:hAnsi="宋体" w:eastAsia="宋体" w:cs="宋体"/>
          <w:b/>
          <w:i w:val="0"/>
          <w:caps w:val="0"/>
          <w:color w:val="auto"/>
          <w:spacing w:val="0"/>
          <w:kern w:val="0"/>
          <w:sz w:val="21"/>
          <w:szCs w:val="21"/>
          <w:highlight w:val="none"/>
          <w:shd w:val="clear" w:fill="FFFFFF"/>
          <w:lang w:val="en-US" w:eastAsia="zh-CN" w:bidi="ar"/>
        </w:rPr>
        <w:t>见面开标。</w:t>
      </w:r>
    </w:p>
    <w:p w14:paraId="6D270E52">
      <w:pPr>
        <w:spacing w:line="360" w:lineRule="auto"/>
        <w:rPr>
          <w:rFonts w:ascii="宋体" w:hAnsi="宋体" w:cs="宋体"/>
          <w:b/>
          <w:bCs/>
          <w:color w:val="auto"/>
          <w:sz w:val="21"/>
          <w:szCs w:val="21"/>
          <w:highlight w:val="none"/>
          <w:lang w:eastAsia="zh-CN"/>
        </w:rPr>
      </w:pPr>
      <w:r>
        <w:rPr>
          <w:rFonts w:hint="eastAsia" w:ascii="宋体" w:hAnsi="宋体" w:cs="宋体"/>
          <w:b/>
          <w:bCs/>
          <w:color w:val="auto"/>
          <w:sz w:val="21"/>
          <w:szCs w:val="21"/>
          <w:highlight w:val="none"/>
          <w:lang w:eastAsia="zh-CN"/>
        </w:rPr>
        <w:t>四、响应文件提交</w:t>
      </w:r>
      <w:bookmarkEnd w:id="9"/>
    </w:p>
    <w:p w14:paraId="2E398412">
      <w:pPr>
        <w:spacing w:line="360" w:lineRule="auto"/>
        <w:ind w:firstLine="420"/>
        <w:rPr>
          <w:rFonts w:ascii="宋体" w:hAnsi="宋体" w:cs="宋体"/>
          <w:bCs/>
          <w:color w:val="auto"/>
          <w:szCs w:val="21"/>
          <w:highlight w:val="none"/>
          <w:u w:val="single"/>
        </w:rPr>
      </w:pPr>
      <w:r>
        <w:rPr>
          <w:rFonts w:hint="eastAsia" w:ascii="宋体" w:hAnsi="宋体" w:cs="宋体"/>
          <w:color w:val="auto"/>
          <w:szCs w:val="21"/>
          <w:highlight w:val="none"/>
        </w:rPr>
        <w:t>1.截止时间：</w:t>
      </w:r>
      <w:bookmarkStart w:id="10" w:name="XMTBJSR_2"/>
      <w:r>
        <w:rPr>
          <w:rFonts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6</w:t>
      </w:r>
      <w:r>
        <w:rPr>
          <w:rFonts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9</w:t>
      </w:r>
      <w:r>
        <w:rPr>
          <w:rFonts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30</w:t>
      </w:r>
      <w:r>
        <w:rPr>
          <w:rFonts w:ascii="宋体" w:hAnsi="宋体" w:cs="宋体"/>
          <w:bCs/>
          <w:color w:val="auto"/>
          <w:szCs w:val="21"/>
          <w:highlight w:val="none"/>
          <w:u w:val="single"/>
        </w:rPr>
        <w:t>日</w:t>
      </w:r>
      <w:r>
        <w:rPr>
          <w:rFonts w:hint="eastAsia" w:ascii="宋体" w:hAnsi="宋体" w:cs="宋体"/>
          <w:bCs/>
          <w:color w:val="auto"/>
          <w:szCs w:val="21"/>
          <w:highlight w:val="none"/>
          <w:u w:val="single"/>
          <w:lang w:val="en-US" w:eastAsia="zh-CN"/>
        </w:rPr>
        <w:t>9</w:t>
      </w:r>
      <w:r>
        <w:rPr>
          <w:rFonts w:ascii="宋体" w:hAnsi="宋体" w:cs="宋体"/>
          <w:bCs/>
          <w:color w:val="auto"/>
          <w:szCs w:val="21"/>
          <w:highlight w:val="none"/>
          <w:u w:val="single"/>
        </w:rPr>
        <w:t>点</w:t>
      </w:r>
      <w:r>
        <w:rPr>
          <w:rFonts w:hint="eastAsia" w:ascii="宋体" w:hAnsi="宋体" w:cs="宋体"/>
          <w:bCs/>
          <w:color w:val="auto"/>
          <w:szCs w:val="21"/>
          <w:highlight w:val="none"/>
          <w:u w:val="single"/>
        </w:rPr>
        <w:t>30</w:t>
      </w:r>
      <w:r>
        <w:rPr>
          <w:rFonts w:ascii="宋体" w:hAnsi="宋体" w:cs="宋体"/>
          <w:bCs/>
          <w:color w:val="auto"/>
          <w:szCs w:val="21"/>
          <w:highlight w:val="none"/>
          <w:u w:val="single"/>
        </w:rPr>
        <w:t>分</w:t>
      </w:r>
      <w:bookmarkEnd w:id="10"/>
      <w:r>
        <w:rPr>
          <w:rFonts w:hint="eastAsia" w:ascii="宋体" w:hAnsi="宋体" w:cs="宋体"/>
          <w:bCs/>
          <w:color w:val="auto"/>
          <w:szCs w:val="21"/>
          <w:highlight w:val="none"/>
        </w:rPr>
        <w:t>（北京时间）</w:t>
      </w:r>
    </w:p>
    <w:p w14:paraId="32EF16A8">
      <w:pPr>
        <w:spacing w:line="360" w:lineRule="auto"/>
        <w:ind w:firstLine="422"/>
        <w:rPr>
          <w:rFonts w:ascii="宋体" w:hAnsi="宋体" w:cs="宋体"/>
          <w:b/>
          <w:bCs/>
          <w:color w:val="auto"/>
          <w:szCs w:val="21"/>
          <w:highlight w:val="none"/>
          <w:u w:val="single"/>
        </w:rPr>
      </w:pPr>
      <w:r>
        <w:rPr>
          <w:rFonts w:hint="eastAsia" w:ascii="宋体" w:hAnsi="宋体" w:cs="宋体"/>
          <w:b/>
          <w:bCs/>
          <w:color w:val="auto"/>
          <w:szCs w:val="21"/>
          <w:highlight w:val="none"/>
        </w:rPr>
        <w:t>2.投标地点：“苏采云”系统（网址： http://jszfcg.jsczt.cn/）“报名详情”</w:t>
      </w:r>
    </w:p>
    <w:p w14:paraId="501486DB">
      <w:pPr>
        <w:pStyle w:val="34"/>
        <w:spacing w:before="0" w:after="0" w:line="360" w:lineRule="auto"/>
        <w:rPr>
          <w:rFonts w:ascii="宋体" w:hAnsi="宋体" w:cs="宋体"/>
          <w:bCs w:val="0"/>
          <w:color w:val="auto"/>
          <w:sz w:val="21"/>
          <w:szCs w:val="21"/>
          <w:highlight w:val="none"/>
          <w:lang w:eastAsia="zh-CN"/>
        </w:rPr>
      </w:pPr>
      <w:bookmarkStart w:id="11" w:name="_Toc109304967"/>
      <w:r>
        <w:rPr>
          <w:rFonts w:hint="eastAsia" w:ascii="宋体" w:hAnsi="宋体" w:cs="宋体"/>
          <w:bCs w:val="0"/>
          <w:color w:val="auto"/>
          <w:sz w:val="21"/>
          <w:szCs w:val="21"/>
          <w:highlight w:val="none"/>
          <w:lang w:eastAsia="zh-CN"/>
        </w:rPr>
        <w:t>五、开启</w:t>
      </w:r>
      <w:bookmarkEnd w:id="11"/>
    </w:p>
    <w:p w14:paraId="56219BA9">
      <w:pPr>
        <w:pStyle w:val="35"/>
        <w:spacing w:line="360" w:lineRule="auto"/>
        <w:rPr>
          <w:rFonts w:ascii="宋体" w:hAnsi="宋体" w:cs="宋体"/>
          <w:bCs/>
          <w:color w:val="auto"/>
          <w:szCs w:val="21"/>
          <w:highlight w:val="none"/>
        </w:rPr>
      </w:pPr>
      <w:r>
        <w:rPr>
          <w:rFonts w:hint="eastAsia" w:ascii="宋体" w:hAnsi="宋体" w:cs="宋体"/>
          <w:color w:val="auto"/>
          <w:szCs w:val="21"/>
          <w:highlight w:val="none"/>
        </w:rPr>
        <w:t>1.时间：</w:t>
      </w:r>
      <w:r>
        <w:rPr>
          <w:rFonts w:ascii="宋体" w:hAnsi="宋体" w:cs="宋体"/>
          <w:bCs/>
          <w:color w:val="auto"/>
          <w:szCs w:val="21"/>
          <w:highlight w:val="none"/>
          <w:u w:val="single"/>
        </w:rPr>
        <w:t>202</w:t>
      </w:r>
      <w:r>
        <w:rPr>
          <w:rFonts w:hint="eastAsia" w:ascii="宋体" w:hAnsi="宋体" w:cs="宋体"/>
          <w:bCs/>
          <w:color w:val="auto"/>
          <w:szCs w:val="21"/>
          <w:highlight w:val="none"/>
          <w:u w:val="single"/>
          <w:lang w:val="en-US" w:eastAsia="zh-CN"/>
        </w:rPr>
        <w:t>6</w:t>
      </w:r>
      <w:r>
        <w:rPr>
          <w:rFonts w:ascii="宋体" w:hAnsi="宋体" w:cs="宋体"/>
          <w:bCs/>
          <w:color w:val="auto"/>
          <w:szCs w:val="21"/>
          <w:highlight w:val="none"/>
          <w:u w:val="single"/>
        </w:rPr>
        <w:t>年</w:t>
      </w:r>
      <w:r>
        <w:rPr>
          <w:rFonts w:hint="eastAsia" w:ascii="宋体" w:hAnsi="宋体" w:cs="宋体"/>
          <w:bCs/>
          <w:color w:val="auto"/>
          <w:szCs w:val="21"/>
          <w:highlight w:val="none"/>
          <w:u w:val="single"/>
          <w:lang w:val="en-US" w:eastAsia="zh-CN"/>
        </w:rPr>
        <w:t>9</w:t>
      </w:r>
      <w:r>
        <w:rPr>
          <w:rFonts w:ascii="宋体" w:hAnsi="宋体" w:cs="宋体"/>
          <w:bCs/>
          <w:color w:val="auto"/>
          <w:szCs w:val="21"/>
          <w:highlight w:val="none"/>
          <w:u w:val="single"/>
        </w:rPr>
        <w:t>月</w:t>
      </w:r>
      <w:r>
        <w:rPr>
          <w:rFonts w:hint="eastAsia" w:ascii="宋体" w:hAnsi="宋体" w:cs="宋体"/>
          <w:bCs/>
          <w:color w:val="auto"/>
          <w:szCs w:val="21"/>
          <w:highlight w:val="none"/>
          <w:u w:val="single"/>
          <w:lang w:val="en-US" w:eastAsia="zh-CN"/>
        </w:rPr>
        <w:t>30</w:t>
      </w:r>
      <w:r>
        <w:rPr>
          <w:rFonts w:ascii="宋体" w:hAnsi="宋体" w:cs="宋体"/>
          <w:bCs/>
          <w:color w:val="auto"/>
          <w:szCs w:val="21"/>
          <w:highlight w:val="none"/>
          <w:u w:val="single"/>
        </w:rPr>
        <w:t>日</w:t>
      </w:r>
      <w:r>
        <w:rPr>
          <w:rFonts w:hint="eastAsia" w:ascii="宋体" w:hAnsi="宋体" w:cs="宋体"/>
          <w:bCs/>
          <w:color w:val="auto"/>
          <w:szCs w:val="21"/>
          <w:highlight w:val="none"/>
          <w:u w:val="single"/>
          <w:lang w:val="en-US" w:eastAsia="zh-CN"/>
        </w:rPr>
        <w:t>9</w:t>
      </w:r>
      <w:r>
        <w:rPr>
          <w:rFonts w:ascii="宋体" w:hAnsi="宋体" w:cs="宋体"/>
          <w:bCs/>
          <w:color w:val="auto"/>
          <w:szCs w:val="21"/>
          <w:highlight w:val="none"/>
          <w:u w:val="single"/>
        </w:rPr>
        <w:t>点</w:t>
      </w:r>
      <w:r>
        <w:rPr>
          <w:rFonts w:hint="eastAsia" w:ascii="宋体" w:hAnsi="宋体" w:cs="宋体"/>
          <w:bCs/>
          <w:color w:val="auto"/>
          <w:szCs w:val="21"/>
          <w:highlight w:val="none"/>
          <w:u w:val="single"/>
        </w:rPr>
        <w:t>30</w:t>
      </w:r>
      <w:r>
        <w:rPr>
          <w:rFonts w:ascii="宋体" w:hAnsi="宋体" w:cs="宋体"/>
          <w:bCs/>
          <w:color w:val="auto"/>
          <w:szCs w:val="21"/>
          <w:highlight w:val="none"/>
          <w:u w:val="single"/>
        </w:rPr>
        <w:t>分</w:t>
      </w:r>
      <w:r>
        <w:rPr>
          <w:rFonts w:hint="eastAsia" w:ascii="宋体" w:hAnsi="宋体" w:cs="宋体"/>
          <w:bCs/>
          <w:color w:val="auto"/>
          <w:szCs w:val="21"/>
          <w:highlight w:val="none"/>
        </w:rPr>
        <w:t>（北京时间）</w:t>
      </w:r>
    </w:p>
    <w:p w14:paraId="553228F6">
      <w:pPr>
        <w:spacing w:line="360" w:lineRule="auto"/>
        <w:ind w:firstLine="422"/>
        <w:rPr>
          <w:rFonts w:ascii="宋体" w:hAnsi="宋体" w:cs="宋体"/>
          <w:b/>
          <w:color w:val="auto"/>
          <w:szCs w:val="21"/>
          <w:highlight w:val="none"/>
        </w:rPr>
      </w:pPr>
      <w:r>
        <w:rPr>
          <w:rFonts w:hint="eastAsia" w:ascii="宋体" w:hAnsi="宋体" w:cs="宋体"/>
          <w:b/>
          <w:color w:val="auto"/>
          <w:szCs w:val="21"/>
          <w:highlight w:val="none"/>
        </w:rPr>
        <w:t>2.开标地点：“苏采云”系统（网址： http://jszfcg.jsczt.cn/）“开标大厅”</w:t>
      </w:r>
    </w:p>
    <w:p w14:paraId="58680930">
      <w:pPr>
        <w:pStyle w:val="34"/>
        <w:spacing w:before="0" w:after="0" w:line="360" w:lineRule="auto"/>
        <w:rPr>
          <w:rFonts w:ascii="宋体" w:hAnsi="宋体" w:cs="宋体"/>
          <w:bCs w:val="0"/>
          <w:color w:val="auto"/>
          <w:sz w:val="21"/>
          <w:szCs w:val="21"/>
          <w:highlight w:val="none"/>
          <w:lang w:eastAsia="zh-CN"/>
        </w:rPr>
      </w:pPr>
      <w:bookmarkStart w:id="12" w:name="_Toc109304968"/>
      <w:r>
        <w:rPr>
          <w:rFonts w:hint="eastAsia" w:ascii="宋体" w:hAnsi="宋体" w:cs="宋体"/>
          <w:bCs w:val="0"/>
          <w:color w:val="auto"/>
          <w:sz w:val="21"/>
          <w:szCs w:val="21"/>
          <w:highlight w:val="none"/>
          <w:lang w:eastAsia="zh-CN"/>
        </w:rPr>
        <w:t>六、公告期限</w:t>
      </w:r>
      <w:bookmarkEnd w:id="12"/>
    </w:p>
    <w:p w14:paraId="54AEF6FD">
      <w:pPr>
        <w:spacing w:line="360" w:lineRule="auto"/>
        <w:ind w:firstLine="422"/>
        <w:rPr>
          <w:rFonts w:ascii="宋体" w:hAnsi="宋体" w:cs="宋体"/>
          <w:b/>
          <w:bCs/>
          <w:color w:val="auto"/>
          <w:szCs w:val="21"/>
          <w:highlight w:val="none"/>
        </w:rPr>
      </w:pPr>
      <w:r>
        <w:rPr>
          <w:rFonts w:hint="eastAsia" w:ascii="宋体" w:hAnsi="宋体"/>
          <w:color w:val="auto"/>
          <w:szCs w:val="21"/>
          <w:highlight w:val="none"/>
        </w:rPr>
        <w:t>招标公告及招标文件公告期限为自本公告发布之日起5个工作日。</w:t>
      </w:r>
    </w:p>
    <w:p w14:paraId="0F6BEDD2">
      <w:pPr>
        <w:pStyle w:val="34"/>
        <w:spacing w:before="0" w:after="0" w:line="360" w:lineRule="auto"/>
        <w:rPr>
          <w:rFonts w:ascii="宋体" w:hAnsi="宋体" w:cs="宋体"/>
          <w:color w:val="auto"/>
          <w:sz w:val="21"/>
          <w:szCs w:val="21"/>
          <w:highlight w:val="none"/>
          <w:lang w:eastAsia="zh-CN"/>
        </w:rPr>
      </w:pPr>
      <w:bookmarkStart w:id="13" w:name="_Toc109304969"/>
      <w:r>
        <w:rPr>
          <w:rFonts w:hint="eastAsia" w:ascii="宋体" w:hAnsi="宋体" w:cs="宋体"/>
          <w:color w:val="auto"/>
          <w:sz w:val="21"/>
          <w:szCs w:val="21"/>
          <w:highlight w:val="none"/>
          <w:lang w:eastAsia="zh-CN"/>
        </w:rPr>
        <w:t>七、其他补充事宜</w:t>
      </w:r>
      <w:bookmarkEnd w:id="13"/>
    </w:p>
    <w:p w14:paraId="5577253F">
      <w:pPr>
        <w:spacing w:line="360" w:lineRule="auto"/>
        <w:ind w:firstLine="422"/>
        <w:rPr>
          <w:rFonts w:ascii="宋体" w:hAnsi="宋体"/>
          <w:color w:val="auto"/>
          <w:szCs w:val="21"/>
          <w:highlight w:val="none"/>
        </w:rPr>
      </w:pPr>
      <w:r>
        <w:rPr>
          <w:rFonts w:hint="eastAsia" w:ascii="宋体" w:hAnsi="宋体"/>
          <w:color w:val="auto"/>
          <w:szCs w:val="21"/>
          <w:highlight w:val="none"/>
          <w:u w:val="single"/>
        </w:rPr>
        <w:t>无</w:t>
      </w:r>
    </w:p>
    <w:p w14:paraId="5BFDD173">
      <w:pPr>
        <w:pStyle w:val="34"/>
        <w:spacing w:before="0" w:after="0" w:line="360" w:lineRule="auto"/>
        <w:rPr>
          <w:rFonts w:ascii="宋体" w:hAnsi="宋体" w:cs="宋体"/>
          <w:bCs w:val="0"/>
          <w:color w:val="auto"/>
          <w:sz w:val="21"/>
          <w:szCs w:val="21"/>
          <w:highlight w:val="none"/>
          <w:lang w:eastAsia="zh-CN"/>
        </w:rPr>
      </w:pPr>
      <w:r>
        <w:rPr>
          <w:rFonts w:hint="eastAsia" w:ascii="宋体" w:hAnsi="宋体" w:cs="宋体"/>
          <w:bCs w:val="0"/>
          <w:color w:val="auto"/>
          <w:sz w:val="21"/>
          <w:szCs w:val="21"/>
          <w:highlight w:val="none"/>
          <w:lang w:eastAsia="zh-CN"/>
        </w:rPr>
        <w:t>八、本次招标联系方式</w:t>
      </w:r>
    </w:p>
    <w:p w14:paraId="2A36E895">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1.采购人信息</w:t>
      </w:r>
    </w:p>
    <w:p w14:paraId="01606AC4">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名    称：</w:t>
      </w:r>
      <w:r>
        <w:rPr>
          <w:rFonts w:hint="eastAsia" w:hAnsi="宋体" w:cs="宋体"/>
          <w:color w:val="auto"/>
          <w:sz w:val="21"/>
          <w:szCs w:val="21"/>
          <w:highlight w:val="none"/>
          <w:u w:val="single"/>
          <w:lang w:eastAsia="zh-CN"/>
        </w:rPr>
        <w:t>江苏省江都中学</w:t>
      </w:r>
    </w:p>
    <w:p w14:paraId="46ED8EEA">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地    址：</w:t>
      </w:r>
      <w:r>
        <w:rPr>
          <w:rFonts w:hint="eastAsia" w:hAnsi="宋体" w:cs="宋体"/>
          <w:color w:val="auto"/>
          <w:sz w:val="21"/>
          <w:szCs w:val="21"/>
          <w:highlight w:val="none"/>
          <w:u w:val="single"/>
          <w:lang w:eastAsia="zh-CN"/>
        </w:rPr>
        <w:t>扬州市江都区</w:t>
      </w:r>
    </w:p>
    <w:p w14:paraId="588AD8AB">
      <w:pPr>
        <w:pStyle w:val="36"/>
        <w:spacing w:line="360" w:lineRule="auto"/>
        <w:ind w:firstLine="420"/>
        <w:rPr>
          <w:rFonts w:hint="default" w:hAnsi="宋体" w:cs="宋体"/>
          <w:color w:val="auto"/>
          <w:sz w:val="21"/>
          <w:szCs w:val="21"/>
          <w:highlight w:val="none"/>
          <w:lang w:val="en-US" w:eastAsia="zh-CN"/>
        </w:rPr>
      </w:pPr>
      <w:r>
        <w:rPr>
          <w:rFonts w:hint="eastAsia" w:hAnsi="宋体" w:cs="宋体"/>
          <w:color w:val="auto"/>
          <w:sz w:val="21"/>
          <w:szCs w:val="21"/>
          <w:highlight w:val="none"/>
          <w:lang w:eastAsia="zh-CN"/>
        </w:rPr>
        <w:t>联系方式：</w:t>
      </w:r>
      <w:r>
        <w:rPr>
          <w:rFonts w:hint="eastAsia" w:hAnsi="宋体" w:cs="宋体"/>
          <w:color w:val="auto"/>
          <w:sz w:val="21"/>
          <w:szCs w:val="21"/>
          <w:highlight w:val="none"/>
          <w:lang w:val="en-US" w:eastAsia="zh-CN"/>
        </w:rPr>
        <w:t>13852586100</w:t>
      </w:r>
    </w:p>
    <w:p w14:paraId="77654034">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2.采购代理机构信息</w:t>
      </w:r>
    </w:p>
    <w:p w14:paraId="65BC518D">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名    称：</w:t>
      </w:r>
      <w:r>
        <w:rPr>
          <w:rFonts w:hint="eastAsia" w:hAnsi="宋体" w:cs="宋体"/>
          <w:color w:val="auto"/>
          <w:sz w:val="21"/>
          <w:szCs w:val="21"/>
          <w:highlight w:val="none"/>
          <w:u w:val="single"/>
          <w:lang w:eastAsia="zh-CN"/>
        </w:rPr>
        <w:t>江苏精诚群业项目咨询管理有限公司</w:t>
      </w:r>
    </w:p>
    <w:p w14:paraId="00B3A846">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地    址：</w:t>
      </w:r>
      <w:r>
        <w:rPr>
          <w:rFonts w:hint="eastAsia" w:hAnsi="宋体" w:cs="宋体"/>
          <w:color w:val="auto"/>
          <w:sz w:val="21"/>
          <w:szCs w:val="21"/>
          <w:highlight w:val="none"/>
          <w:u w:val="single"/>
          <w:lang w:eastAsia="zh-CN"/>
        </w:rPr>
        <w:t>扬州市江都区文昌东路1175号佳源银座6楼</w:t>
      </w:r>
    </w:p>
    <w:p w14:paraId="2DEEB7E0">
      <w:pPr>
        <w:pStyle w:val="36"/>
        <w:spacing w:line="360" w:lineRule="auto"/>
        <w:ind w:firstLine="420"/>
        <w:rPr>
          <w:rFonts w:hAnsi="宋体" w:cs="宋体"/>
          <w:color w:val="auto"/>
          <w:sz w:val="21"/>
          <w:szCs w:val="21"/>
          <w:highlight w:val="none"/>
          <w:lang w:eastAsia="zh-CN"/>
        </w:rPr>
      </w:pPr>
      <w:r>
        <w:rPr>
          <w:rFonts w:hint="eastAsia" w:hAnsi="宋体" w:cs="宋体"/>
          <w:color w:val="auto"/>
          <w:sz w:val="21"/>
          <w:szCs w:val="21"/>
          <w:highlight w:val="none"/>
          <w:lang w:eastAsia="zh-CN"/>
        </w:rPr>
        <w:t>联 系 人：</w:t>
      </w:r>
      <w:r>
        <w:rPr>
          <w:rFonts w:hint="eastAsia" w:hAnsi="宋体" w:cs="宋体"/>
          <w:color w:val="auto"/>
          <w:sz w:val="21"/>
          <w:szCs w:val="21"/>
          <w:highlight w:val="none"/>
          <w:u w:val="single"/>
          <w:lang w:val="en-US" w:eastAsia="zh-CN"/>
        </w:rPr>
        <w:t>许</w:t>
      </w:r>
      <w:r>
        <w:rPr>
          <w:rFonts w:hint="eastAsia" w:hAnsi="宋体" w:cs="宋体"/>
          <w:color w:val="auto"/>
          <w:sz w:val="21"/>
          <w:szCs w:val="21"/>
          <w:highlight w:val="none"/>
          <w:u w:val="single"/>
          <w:lang w:eastAsia="zh-CN"/>
        </w:rPr>
        <w:t>工</w:t>
      </w:r>
    </w:p>
    <w:p w14:paraId="2C90F651">
      <w:pPr>
        <w:spacing w:line="360" w:lineRule="auto"/>
        <w:ind w:firstLine="422"/>
        <w:rPr>
          <w:rFonts w:ascii="宋体" w:hAnsi="宋体"/>
          <w:b/>
          <w:bCs/>
          <w:color w:val="auto"/>
          <w:highlight w:val="none"/>
        </w:rPr>
      </w:pPr>
      <w:r>
        <w:rPr>
          <w:rFonts w:hint="eastAsia" w:ascii="宋体" w:hAnsi="宋体" w:cs="宋体"/>
          <w:color w:val="auto"/>
          <w:szCs w:val="21"/>
          <w:highlight w:val="none"/>
        </w:rPr>
        <w:t>联系方式：</w:t>
      </w:r>
      <w:r>
        <w:rPr>
          <w:rFonts w:hint="eastAsia" w:ascii="宋体" w:hAnsi="宋体" w:cs="宋体"/>
          <w:color w:val="auto"/>
          <w:szCs w:val="21"/>
          <w:highlight w:val="none"/>
          <w:u w:val="single"/>
        </w:rPr>
        <w:t>0514-86831819</w:t>
      </w:r>
    </w:p>
    <w:p w14:paraId="7A2826C7">
      <w:pPr>
        <w:spacing w:line="360" w:lineRule="auto"/>
        <w:rPr>
          <w:rFonts w:ascii="宋体" w:hAnsi="宋体"/>
          <w:b/>
          <w:bCs/>
          <w:color w:val="auto"/>
          <w:highlight w:val="none"/>
        </w:rPr>
      </w:pPr>
      <w:r>
        <w:rPr>
          <w:rFonts w:hint="eastAsia" w:ascii="宋体" w:hAnsi="宋体"/>
          <w:b/>
          <w:bCs/>
          <w:color w:val="auto"/>
          <w:highlight w:val="none"/>
        </w:rPr>
        <w:t>九、为提升政府采购供应商的融资可得性，解决中小企业融资难问题，中国人民银行、市财政局、市公共资源交易中心推出了政府采购线上应收账款融资模式。各供应商如果有融资需求，可以凭借政府采购中标（成交）通知书或政府采购合同，通过中国人民银行征信中心“中征应收账款融资服务平台（https://www.crcrfsp.com）”向参与政府采购融资业务的金融机构申请线上融资，相关事宜可向市人民银行咨询，联系电话：13813140731。</w:t>
      </w:r>
    </w:p>
    <w:p w14:paraId="6278BEE2">
      <w:pPr>
        <w:spacing w:line="360" w:lineRule="auto"/>
        <w:rPr>
          <w:rFonts w:ascii="宋体" w:hAnsi="宋体"/>
          <w:b/>
          <w:bCs/>
          <w:color w:val="auto"/>
          <w:highlight w:val="none"/>
        </w:rPr>
      </w:pPr>
      <w:r>
        <w:rPr>
          <w:rFonts w:hint="eastAsia" w:ascii="宋体" w:hAnsi="宋体"/>
          <w:b/>
          <w:bCs/>
          <w:color w:val="auto"/>
          <w:highlight w:val="none"/>
        </w:rPr>
        <w:t>十、其他</w:t>
      </w:r>
    </w:p>
    <w:bookmarkEnd w:id="0"/>
    <w:p w14:paraId="6EBC62F1">
      <w:pPr>
        <w:spacing w:line="360" w:lineRule="auto"/>
        <w:ind w:firstLine="422"/>
        <w:rPr>
          <w:rFonts w:hint="eastAsia" w:ascii="宋体" w:hAnsi="宋体"/>
          <w:b/>
          <w:bCs/>
          <w:color w:val="auto"/>
          <w:highlight w:val="none"/>
        </w:rPr>
      </w:pPr>
      <w:bookmarkStart w:id="14" w:name="_Toc109304972"/>
      <w:r>
        <w:rPr>
          <w:rFonts w:hint="eastAsia" w:ascii="宋体" w:hAnsi="宋体"/>
          <w:b/>
          <w:bCs/>
          <w:color w:val="auto"/>
          <w:highlight w:val="none"/>
        </w:rPr>
        <w:t>1.本次采购采用“政府采购管理交易系统（苏采云）”，</w:t>
      </w:r>
      <w:r>
        <w:rPr>
          <w:rFonts w:hint="eastAsia" w:ascii="宋体" w:hAnsi="宋体" w:cs="宋体"/>
          <w:b/>
          <w:bCs/>
          <w:color w:val="auto"/>
          <w:spacing w:val="-6"/>
          <w:szCs w:val="21"/>
          <w:highlight w:val="none"/>
        </w:rPr>
        <w:t>采购、响应、评审和成交结果</w:t>
      </w:r>
      <w:r>
        <w:rPr>
          <w:rFonts w:hint="eastAsia" w:ascii="宋体" w:hAnsi="宋体"/>
          <w:b/>
          <w:bCs/>
          <w:color w:val="auto"/>
          <w:highlight w:val="none"/>
        </w:rPr>
        <w:t>发布全程电子化，开标方式为不见面开标。</w:t>
      </w:r>
      <w:r>
        <w:rPr>
          <w:rFonts w:hint="eastAsia" w:ascii="宋体" w:hAnsi="宋体" w:cs="宋体"/>
          <w:b/>
          <w:bCs/>
          <w:color w:val="auto"/>
          <w:highlight w:val="none"/>
        </w:rPr>
        <w:t>供应商</w:t>
      </w:r>
      <w:r>
        <w:rPr>
          <w:rFonts w:hint="eastAsia" w:ascii="宋体" w:hAnsi="宋体"/>
          <w:b/>
          <w:bCs/>
          <w:color w:val="auto"/>
          <w:highlight w:val="none"/>
        </w:rPr>
        <w:t>应当按照《政府采购管理交易系统（苏采云）供应商操作手册》参加投标活动。如</w:t>
      </w:r>
      <w:r>
        <w:rPr>
          <w:rFonts w:hint="eastAsia" w:ascii="宋体" w:hAnsi="宋体" w:cs="宋体"/>
          <w:b/>
          <w:bCs/>
          <w:color w:val="auto"/>
          <w:highlight w:val="none"/>
        </w:rPr>
        <w:t>供应商</w:t>
      </w:r>
      <w:r>
        <w:rPr>
          <w:rFonts w:hint="eastAsia" w:ascii="宋体" w:hAnsi="宋体"/>
          <w:b/>
          <w:bCs/>
          <w:color w:val="auto"/>
          <w:highlight w:val="none"/>
        </w:rPr>
        <w:t>未按要求操作，由此所产生的风险由</w:t>
      </w:r>
      <w:r>
        <w:rPr>
          <w:rFonts w:hint="eastAsia" w:ascii="宋体" w:hAnsi="宋体" w:cs="宋体"/>
          <w:b/>
          <w:bCs/>
          <w:color w:val="auto"/>
          <w:highlight w:val="none"/>
        </w:rPr>
        <w:t>供应商</w:t>
      </w:r>
      <w:r>
        <w:rPr>
          <w:rFonts w:hint="eastAsia" w:ascii="宋体" w:hAnsi="宋体"/>
          <w:b/>
          <w:bCs/>
          <w:color w:val="auto"/>
          <w:highlight w:val="none"/>
        </w:rPr>
        <w:t>自行承担。</w:t>
      </w:r>
    </w:p>
    <w:p w14:paraId="417C20AA">
      <w:pPr>
        <w:spacing w:line="360" w:lineRule="auto"/>
        <w:ind w:firstLine="422"/>
        <w:rPr>
          <w:rFonts w:ascii="宋体" w:hAnsi="宋体"/>
          <w:b/>
          <w:bCs/>
          <w:color w:val="auto"/>
          <w:highlight w:val="none"/>
        </w:rPr>
      </w:pPr>
      <w:r>
        <w:rPr>
          <w:rFonts w:hint="eastAsia" w:ascii="宋体" w:hAnsi="宋体"/>
          <w:b/>
          <w:bCs/>
          <w:color w:val="auto"/>
          <w:highlight w:val="none"/>
        </w:rPr>
        <w:t>2.</w:t>
      </w:r>
      <w:r>
        <w:rPr>
          <w:rFonts w:hint="eastAsia" w:ascii="宋体" w:hAnsi="宋体" w:cs="宋体"/>
          <w:b/>
          <w:bCs/>
          <w:color w:val="auto"/>
          <w:highlight w:val="none"/>
        </w:rPr>
        <w:t>供应商如确定参加磋商，可自行下载采购文件及有关资料，按照《操作手册》进行注册，领取CA和办理电子签章，并按《操作手册》要求制作、上传电子投标文件，技术支持联系方式：</w:t>
      </w:r>
      <w:r>
        <w:rPr>
          <w:rFonts w:hint="eastAsia" w:ascii="宋体" w:hAnsi="宋体" w:eastAsia="宋体" w:cs="Times New Roman"/>
          <w:b/>
          <w:bCs/>
          <w:color w:val="auto"/>
          <w:sz w:val="21"/>
          <w:szCs w:val="22"/>
          <w:highlight w:val="none"/>
          <w:lang w:val="en-US" w:eastAsia="zh-CN" w:bidi="ar-SA"/>
        </w:rPr>
        <w:t>13813140731。</w:t>
      </w:r>
    </w:p>
    <w:p w14:paraId="37C6E197">
      <w:pPr>
        <w:widowControl/>
        <w:spacing w:line="360" w:lineRule="auto"/>
        <w:ind w:firstLine="422"/>
        <w:jc w:val="left"/>
        <w:rPr>
          <w:rFonts w:ascii="宋体" w:hAnsi="宋体" w:cs="宋体"/>
          <w:b/>
          <w:color w:val="auto"/>
          <w:highlight w:val="none"/>
        </w:rPr>
      </w:pPr>
      <w:r>
        <w:rPr>
          <w:rFonts w:hint="eastAsia" w:ascii="宋体" w:hAnsi="宋体" w:cs="宋体"/>
          <w:b/>
          <w:color w:val="auto"/>
          <w:highlight w:val="none"/>
        </w:rPr>
        <w:t>3</w:t>
      </w:r>
      <w:r>
        <w:rPr>
          <w:rFonts w:ascii="宋体" w:hAnsi="宋体" w:cs="宋体"/>
          <w:b/>
          <w:color w:val="auto"/>
          <w:highlight w:val="none"/>
        </w:rPr>
        <w:t>.</w:t>
      </w:r>
      <w:r>
        <w:rPr>
          <w:rFonts w:hint="eastAsia" w:ascii="宋体" w:hAnsi="宋体" w:cs="宋体"/>
          <w:b/>
          <w:color w:val="auto"/>
          <w:highlight w:val="none"/>
        </w:rPr>
        <w:t>竞争性磋商、竞争性谈判、单一来源采购项目将与供应商就磋商（谈判）文件进行线上磋商（谈判），请供应商在开标前登录谷歌浏览器进入不见面大厅，并准备好耳麦和摄像设备。因供应商网络与电源不稳定、未按要求配置上述设备、上述设备发生故障等自身原因，导致磋商（谈判）失败，供应商自行承担其后果。</w:t>
      </w:r>
    </w:p>
    <w:p w14:paraId="4682AF89">
      <w:pPr>
        <w:widowControl/>
        <w:spacing w:line="360" w:lineRule="auto"/>
        <w:ind w:firstLine="422"/>
        <w:jc w:val="left"/>
        <w:rPr>
          <w:rFonts w:ascii="宋体" w:hAnsi="宋体" w:cs="宋体"/>
          <w:b/>
          <w:color w:val="auto"/>
          <w:highlight w:val="none"/>
        </w:rPr>
      </w:pPr>
      <w:r>
        <w:rPr>
          <w:rFonts w:ascii="宋体" w:hAnsi="宋体" w:cs="宋体"/>
          <w:b/>
          <w:color w:val="auto"/>
          <w:highlight w:val="none"/>
        </w:rPr>
        <w:t>4</w:t>
      </w:r>
      <w:r>
        <w:rPr>
          <w:rFonts w:hint="eastAsia" w:ascii="宋体" w:hAnsi="宋体" w:cs="宋体"/>
          <w:b/>
          <w:color w:val="auto"/>
          <w:highlight w:val="none"/>
        </w:rPr>
        <w:t>.潜在供应商对采购文件项目需求部分的询问、质疑请向采购人提出，由采购人负责答复。</w:t>
      </w:r>
    </w:p>
    <w:p w14:paraId="5E08462C">
      <w:pPr>
        <w:spacing w:line="360" w:lineRule="auto"/>
        <w:ind w:firstLine="420"/>
        <w:rPr>
          <w:rFonts w:ascii="宋体" w:hAnsi="宋体" w:cs="宋体"/>
          <w:bCs/>
          <w:color w:val="auto"/>
          <w:highlight w:val="none"/>
        </w:rPr>
      </w:pPr>
      <w:r>
        <w:rPr>
          <w:rFonts w:ascii="宋体" w:hAnsi="宋体" w:cs="宋体"/>
          <w:bCs/>
          <w:color w:val="auto"/>
          <w:szCs w:val="21"/>
          <w:highlight w:val="none"/>
        </w:rPr>
        <w:t>5</w:t>
      </w:r>
      <w:r>
        <w:rPr>
          <w:rFonts w:hint="eastAsia" w:ascii="宋体" w:hAnsi="宋体" w:cs="宋体"/>
          <w:bCs/>
          <w:color w:val="auto"/>
          <w:szCs w:val="21"/>
          <w:highlight w:val="none"/>
        </w:rPr>
        <w:t>.</w:t>
      </w:r>
      <w:r>
        <w:rPr>
          <w:rFonts w:hint="eastAsia" w:ascii="宋体" w:hAnsi="宋体"/>
          <w:color w:val="auto"/>
          <w:highlight w:val="none"/>
        </w:rPr>
        <w:t>本次采购不收取保证金。</w:t>
      </w:r>
    </w:p>
    <w:p w14:paraId="06E15BAE">
      <w:pPr>
        <w:spacing w:line="360" w:lineRule="auto"/>
        <w:ind w:firstLine="420"/>
        <w:rPr>
          <w:rFonts w:ascii="宋体" w:hAnsi="宋体" w:cs="宋体"/>
          <w:bCs/>
          <w:color w:val="auto"/>
          <w:highlight w:val="none"/>
        </w:rPr>
      </w:pPr>
      <w:r>
        <w:rPr>
          <w:rFonts w:ascii="宋体" w:hAnsi="宋体"/>
          <w:color w:val="auto"/>
          <w:szCs w:val="21"/>
          <w:highlight w:val="none"/>
        </w:rPr>
        <w:t>6</w:t>
      </w:r>
      <w:r>
        <w:rPr>
          <w:rFonts w:hint="eastAsia" w:ascii="宋体" w:hAnsi="宋体"/>
          <w:color w:val="auto"/>
          <w:szCs w:val="21"/>
          <w:highlight w:val="none"/>
        </w:rPr>
        <w:t>.</w:t>
      </w:r>
      <w:r>
        <w:rPr>
          <w:rFonts w:hint="eastAsia" w:ascii="宋体" w:hAnsi="宋体" w:cs="宋体"/>
          <w:bCs/>
          <w:color w:val="auto"/>
          <w:highlight w:val="none"/>
        </w:rPr>
        <w:t>有关本次采购的事项若存在变动或修改，敬请及时关注</w:t>
      </w:r>
      <w:r>
        <w:rPr>
          <w:rFonts w:hint="eastAsia" w:ascii="宋体" w:hAnsi="宋体" w:cs="宋体"/>
          <w:color w:val="auto"/>
          <w:szCs w:val="21"/>
          <w:highlight w:val="none"/>
          <w:shd w:val="clear" w:color="auto" w:fill="FFFFFF"/>
        </w:rPr>
        <w:t>“江都区政府采购网”、</w:t>
      </w:r>
      <w:r>
        <w:rPr>
          <w:rFonts w:hint="eastAsia" w:ascii="宋体" w:hAnsi="宋体" w:cs="宋体"/>
          <w:bCs/>
          <w:color w:val="auto"/>
          <w:highlight w:val="none"/>
        </w:rPr>
        <w:t>“扬州市政府采购网”发布的信息。</w:t>
      </w:r>
    </w:p>
    <w:p w14:paraId="79BAAF2F">
      <w:pPr>
        <w:spacing w:line="360" w:lineRule="auto"/>
        <w:ind w:right="-153" w:firstLine="422" w:firstLineChars="200"/>
        <w:jc w:val="left"/>
        <w:rPr>
          <w:rFonts w:ascii="宋体" w:hAnsi="宋体" w:cs="宋体"/>
          <w:b/>
          <w:bCs/>
          <w:color w:val="auto"/>
          <w:highlight w:val="none"/>
        </w:rPr>
      </w:pPr>
      <w:r>
        <w:rPr>
          <w:rFonts w:ascii="宋体" w:hAnsi="宋体" w:cs="宋体"/>
          <w:b/>
          <w:i/>
          <w:iCs/>
          <w:color w:val="auto"/>
          <w:highlight w:val="none"/>
          <w:u w:val="single"/>
        </w:rPr>
        <w:t>7</w:t>
      </w:r>
      <w:r>
        <w:rPr>
          <w:rFonts w:hint="eastAsia" w:ascii="宋体" w:hAnsi="宋体" w:cs="宋体"/>
          <w:b/>
          <w:i/>
          <w:iCs/>
          <w:color w:val="auto"/>
          <w:highlight w:val="none"/>
          <w:u w:val="single"/>
        </w:rPr>
        <w:t>.本项目采购文件中所有斜体下划线部分为实质性条款，如不满足，则为无效响应。</w:t>
      </w:r>
    </w:p>
    <w:p w14:paraId="2D4EFDCB">
      <w:pPr>
        <w:spacing w:line="400" w:lineRule="exact"/>
        <w:ind w:firstLine="420" w:firstLineChars="200"/>
        <w:rPr>
          <w:rFonts w:ascii="宋体" w:hAnsi="宋体" w:cs="宋体"/>
          <w:b/>
          <w:color w:val="auto"/>
          <w:highlight w:val="none"/>
        </w:rPr>
      </w:pPr>
      <w:r>
        <w:rPr>
          <w:rFonts w:hint="eastAsia" w:ascii="宋体" w:hAnsi="宋体" w:cs="宋体"/>
          <w:color w:val="auto"/>
          <w:szCs w:val="21"/>
          <w:highlight w:val="none"/>
        </w:rPr>
        <w:t>8、</w:t>
      </w:r>
      <w:r>
        <w:rPr>
          <w:rFonts w:hint="eastAsia"/>
          <w:color w:val="auto"/>
          <w:szCs w:val="24"/>
          <w:highlight w:val="none"/>
        </w:rPr>
        <w:t>如在开标时间发生系统崩溃等不可预见的情况，造成开评标活动无法正常进行的，将延迟开评标，具体开评标时间另行通知。</w:t>
      </w:r>
    </w:p>
    <w:p w14:paraId="443EA942">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9.拒绝下述供应商参加本次采购活动：</w:t>
      </w:r>
    </w:p>
    <w:p w14:paraId="1766623F">
      <w:pPr>
        <w:spacing w:line="400" w:lineRule="exact"/>
        <w:ind w:firstLine="420" w:firstLineChars="200"/>
        <w:rPr>
          <w:color w:val="auto"/>
          <w:szCs w:val="24"/>
          <w:highlight w:val="none"/>
        </w:rPr>
      </w:pPr>
      <w:r>
        <w:rPr>
          <w:rFonts w:hint="eastAsia" w:ascii="宋体" w:hAnsi="宋体" w:cs="宋体"/>
          <w:color w:val="auto"/>
          <w:szCs w:val="21"/>
          <w:highlight w:val="none"/>
        </w:rPr>
        <w:t>（1）供应商单位负责人为同一人或者存在直接控股、管理关系的不同供应商，不得参加</w:t>
      </w:r>
      <w:r>
        <w:rPr>
          <w:rFonts w:hint="eastAsia"/>
          <w:color w:val="auto"/>
          <w:szCs w:val="24"/>
          <w:highlight w:val="none"/>
        </w:rPr>
        <w:t>同一合同项下的政府采购活动。</w:t>
      </w:r>
    </w:p>
    <w:p w14:paraId="0EFA3E22">
      <w:pPr>
        <w:spacing w:line="400" w:lineRule="exact"/>
        <w:ind w:firstLine="420" w:firstLineChars="200"/>
        <w:rPr>
          <w:color w:val="auto"/>
          <w:szCs w:val="24"/>
          <w:highlight w:val="none"/>
        </w:rPr>
      </w:pPr>
      <w:r>
        <w:rPr>
          <w:rFonts w:hint="eastAsia"/>
          <w:color w:val="auto"/>
          <w:szCs w:val="24"/>
          <w:highlight w:val="none"/>
        </w:rPr>
        <w:t>（2）凡为采购项目提供整体设计、规范编制或者项目管理、监理、检测等服务的供应商，不得再参加该项目的其他采购活动。</w:t>
      </w:r>
    </w:p>
    <w:p w14:paraId="64B7B582">
      <w:pPr>
        <w:spacing w:line="400" w:lineRule="exact"/>
        <w:ind w:firstLine="420" w:firstLineChars="200"/>
        <w:rPr>
          <w:color w:val="auto"/>
          <w:szCs w:val="24"/>
          <w:highlight w:val="none"/>
        </w:rPr>
      </w:pPr>
      <w:r>
        <w:rPr>
          <w:rFonts w:hint="eastAsia"/>
          <w:color w:val="auto"/>
          <w:szCs w:val="24"/>
          <w:highlight w:val="none"/>
        </w:rPr>
        <w:t>（3）供应商被“信用中国”网站（www.creditchina.gov.cn）、“中国政府采购网"(www.ccgp.gov.cn)列入失信被执行人、重大税收违法案件当事人名单、政府采购严重违法失信行为记录名单。</w:t>
      </w:r>
    </w:p>
    <w:p w14:paraId="55BD8199">
      <w:pPr>
        <w:pStyle w:val="36"/>
        <w:spacing w:line="360" w:lineRule="auto"/>
        <w:ind w:firstLine="420"/>
        <w:jc w:val="center"/>
        <w:rPr>
          <w:rFonts w:hAnsi="宋体" w:cs="宋体"/>
          <w:color w:val="auto"/>
          <w:sz w:val="21"/>
          <w:szCs w:val="21"/>
          <w:highlight w:val="none"/>
          <w:u w:val="single"/>
          <w:lang w:eastAsia="zh-CN"/>
        </w:rPr>
      </w:pPr>
    </w:p>
    <w:p w14:paraId="4CE40800">
      <w:pPr>
        <w:pStyle w:val="36"/>
        <w:spacing w:line="360" w:lineRule="auto"/>
        <w:ind w:firstLine="420"/>
        <w:jc w:val="center"/>
        <w:rPr>
          <w:rFonts w:hAnsi="宋体" w:cs="宋体"/>
          <w:color w:val="auto"/>
          <w:kern w:val="2"/>
          <w:sz w:val="32"/>
          <w:szCs w:val="32"/>
          <w:highlight w:val="none"/>
          <w:lang w:eastAsia="zh-CN"/>
        </w:rPr>
      </w:pPr>
    </w:p>
    <w:p w14:paraId="6C55B13B">
      <w:pPr>
        <w:pStyle w:val="36"/>
        <w:spacing w:line="360" w:lineRule="auto"/>
        <w:ind w:firstLine="420"/>
        <w:jc w:val="center"/>
        <w:rPr>
          <w:rFonts w:hAnsi="宋体" w:cs="宋体"/>
          <w:color w:val="auto"/>
          <w:kern w:val="2"/>
          <w:sz w:val="32"/>
          <w:szCs w:val="32"/>
          <w:highlight w:val="none"/>
          <w:lang w:eastAsia="zh-CN"/>
        </w:rPr>
      </w:pPr>
    </w:p>
    <w:p w14:paraId="30223355">
      <w:pPr>
        <w:pStyle w:val="36"/>
        <w:spacing w:line="360" w:lineRule="auto"/>
        <w:ind w:firstLine="420"/>
        <w:jc w:val="center"/>
        <w:rPr>
          <w:rFonts w:hAnsi="宋体" w:cs="宋体"/>
          <w:color w:val="auto"/>
          <w:kern w:val="2"/>
          <w:sz w:val="32"/>
          <w:szCs w:val="32"/>
          <w:highlight w:val="none"/>
          <w:lang w:eastAsia="zh-CN"/>
        </w:rPr>
      </w:pPr>
    </w:p>
    <w:p w14:paraId="6D99A28D">
      <w:pPr>
        <w:pStyle w:val="36"/>
        <w:spacing w:line="360" w:lineRule="auto"/>
        <w:ind w:firstLine="420"/>
        <w:jc w:val="center"/>
        <w:rPr>
          <w:rFonts w:hAnsi="宋体" w:cs="宋体"/>
          <w:color w:val="auto"/>
          <w:kern w:val="2"/>
          <w:sz w:val="32"/>
          <w:szCs w:val="32"/>
          <w:highlight w:val="none"/>
          <w:lang w:eastAsia="zh-CN"/>
        </w:rPr>
      </w:pPr>
    </w:p>
    <w:p w14:paraId="3AF1084A">
      <w:pPr>
        <w:pStyle w:val="36"/>
        <w:spacing w:line="360" w:lineRule="auto"/>
        <w:ind w:firstLine="420"/>
        <w:jc w:val="center"/>
        <w:rPr>
          <w:rFonts w:hAnsi="宋体" w:cs="宋体"/>
          <w:color w:val="auto"/>
          <w:kern w:val="2"/>
          <w:sz w:val="32"/>
          <w:szCs w:val="32"/>
          <w:highlight w:val="none"/>
          <w:lang w:eastAsia="zh-CN"/>
        </w:rPr>
      </w:pPr>
    </w:p>
    <w:p w14:paraId="4DE8284F">
      <w:pPr>
        <w:pStyle w:val="36"/>
        <w:spacing w:line="360" w:lineRule="auto"/>
        <w:ind w:firstLine="420"/>
        <w:jc w:val="center"/>
        <w:rPr>
          <w:rFonts w:hAnsi="宋体" w:cs="宋体"/>
          <w:color w:val="auto"/>
          <w:kern w:val="2"/>
          <w:sz w:val="32"/>
          <w:szCs w:val="32"/>
          <w:highlight w:val="none"/>
          <w:lang w:eastAsia="zh-CN"/>
        </w:rPr>
      </w:pPr>
    </w:p>
    <w:p w14:paraId="3099602C">
      <w:pPr>
        <w:pStyle w:val="36"/>
        <w:spacing w:line="360" w:lineRule="auto"/>
        <w:ind w:firstLine="420"/>
        <w:jc w:val="center"/>
        <w:rPr>
          <w:rFonts w:hAnsi="宋体" w:cs="宋体"/>
          <w:color w:val="auto"/>
          <w:kern w:val="2"/>
          <w:sz w:val="32"/>
          <w:szCs w:val="32"/>
          <w:highlight w:val="none"/>
          <w:lang w:eastAsia="zh-CN"/>
        </w:rPr>
      </w:pPr>
    </w:p>
    <w:p w14:paraId="6FF4DCC2">
      <w:pPr>
        <w:pStyle w:val="36"/>
        <w:spacing w:line="360" w:lineRule="auto"/>
        <w:ind w:firstLine="420"/>
        <w:jc w:val="center"/>
        <w:rPr>
          <w:rFonts w:hAnsi="宋体" w:cs="宋体"/>
          <w:color w:val="auto"/>
          <w:kern w:val="2"/>
          <w:sz w:val="32"/>
          <w:szCs w:val="32"/>
          <w:highlight w:val="none"/>
          <w:lang w:eastAsia="zh-CN"/>
        </w:rPr>
      </w:pPr>
    </w:p>
    <w:p w14:paraId="43877AF6">
      <w:pPr>
        <w:pStyle w:val="36"/>
        <w:spacing w:line="360" w:lineRule="auto"/>
        <w:ind w:firstLine="420"/>
        <w:jc w:val="center"/>
        <w:rPr>
          <w:rFonts w:hAnsi="宋体" w:cs="宋体"/>
          <w:color w:val="auto"/>
          <w:kern w:val="2"/>
          <w:sz w:val="32"/>
          <w:szCs w:val="32"/>
          <w:highlight w:val="none"/>
          <w:lang w:eastAsia="zh-CN"/>
        </w:rPr>
      </w:pPr>
    </w:p>
    <w:p w14:paraId="40A50FCB">
      <w:pPr>
        <w:pStyle w:val="36"/>
        <w:spacing w:line="360" w:lineRule="auto"/>
        <w:ind w:firstLine="420"/>
        <w:jc w:val="center"/>
        <w:rPr>
          <w:rFonts w:hAnsi="宋体" w:cs="宋体"/>
          <w:color w:val="auto"/>
          <w:kern w:val="2"/>
          <w:sz w:val="32"/>
          <w:szCs w:val="32"/>
          <w:highlight w:val="none"/>
          <w:lang w:eastAsia="zh-CN"/>
        </w:rPr>
      </w:pPr>
    </w:p>
    <w:p w14:paraId="1E42A682">
      <w:pPr>
        <w:pStyle w:val="36"/>
        <w:spacing w:line="360" w:lineRule="auto"/>
        <w:rPr>
          <w:rFonts w:hAnsi="宋体" w:cs="宋体"/>
          <w:b/>
          <w:bCs/>
          <w:color w:val="auto"/>
          <w:kern w:val="2"/>
          <w:sz w:val="32"/>
          <w:szCs w:val="32"/>
          <w:highlight w:val="none"/>
          <w:lang w:eastAsia="zh-CN"/>
        </w:rPr>
      </w:pPr>
    </w:p>
    <w:p w14:paraId="2E287A7C">
      <w:pPr>
        <w:pStyle w:val="36"/>
        <w:spacing w:line="360" w:lineRule="auto"/>
        <w:ind w:firstLine="420"/>
        <w:jc w:val="center"/>
        <w:rPr>
          <w:rFonts w:hAnsi="宋体" w:cs="宋体"/>
          <w:b/>
          <w:bCs/>
          <w:color w:val="auto"/>
          <w:kern w:val="2"/>
          <w:sz w:val="32"/>
          <w:szCs w:val="32"/>
          <w:highlight w:val="none"/>
          <w:lang w:eastAsia="zh-CN"/>
        </w:rPr>
      </w:pPr>
    </w:p>
    <w:p w14:paraId="4CEA0CA0">
      <w:pPr>
        <w:pStyle w:val="36"/>
        <w:spacing w:line="360" w:lineRule="auto"/>
        <w:ind w:firstLine="420"/>
        <w:jc w:val="center"/>
        <w:rPr>
          <w:rFonts w:hAnsi="宋体" w:cs="宋体"/>
          <w:b/>
          <w:bCs/>
          <w:color w:val="auto"/>
          <w:kern w:val="2"/>
          <w:sz w:val="32"/>
          <w:szCs w:val="32"/>
          <w:highlight w:val="none"/>
          <w:lang w:eastAsia="zh-CN"/>
        </w:rPr>
      </w:pPr>
    </w:p>
    <w:p w14:paraId="52360D63">
      <w:pPr>
        <w:pStyle w:val="36"/>
        <w:spacing w:line="360" w:lineRule="auto"/>
        <w:ind w:firstLine="420"/>
        <w:jc w:val="center"/>
        <w:rPr>
          <w:rFonts w:hAnsi="宋体" w:cs="宋体"/>
          <w:b/>
          <w:bCs/>
          <w:color w:val="auto"/>
          <w:kern w:val="2"/>
          <w:sz w:val="32"/>
          <w:szCs w:val="32"/>
          <w:highlight w:val="none"/>
          <w:lang w:eastAsia="zh-CN"/>
        </w:rPr>
      </w:pPr>
    </w:p>
    <w:p w14:paraId="3B0E88FB">
      <w:pPr>
        <w:pStyle w:val="36"/>
        <w:spacing w:line="360" w:lineRule="auto"/>
        <w:ind w:firstLine="420"/>
        <w:jc w:val="center"/>
        <w:rPr>
          <w:rFonts w:hAnsi="宋体" w:cs="宋体"/>
          <w:b/>
          <w:bCs/>
          <w:color w:val="auto"/>
          <w:kern w:val="2"/>
          <w:sz w:val="32"/>
          <w:szCs w:val="32"/>
          <w:highlight w:val="none"/>
          <w:lang w:eastAsia="zh-CN"/>
        </w:rPr>
      </w:pPr>
    </w:p>
    <w:p w14:paraId="1757D74C">
      <w:pPr>
        <w:pStyle w:val="36"/>
        <w:spacing w:line="360" w:lineRule="auto"/>
        <w:ind w:firstLine="420"/>
        <w:jc w:val="center"/>
        <w:rPr>
          <w:rFonts w:hAnsi="宋体" w:cs="宋体"/>
          <w:b/>
          <w:bCs/>
          <w:color w:val="auto"/>
          <w:kern w:val="2"/>
          <w:sz w:val="32"/>
          <w:szCs w:val="32"/>
          <w:highlight w:val="none"/>
          <w:lang w:eastAsia="zh-CN"/>
        </w:rPr>
      </w:pPr>
    </w:p>
    <w:p w14:paraId="2DAE157D">
      <w:pPr>
        <w:pStyle w:val="36"/>
        <w:spacing w:line="360" w:lineRule="auto"/>
        <w:jc w:val="both"/>
        <w:rPr>
          <w:rFonts w:hAnsi="宋体" w:cs="宋体"/>
          <w:b/>
          <w:bCs/>
          <w:color w:val="auto"/>
          <w:kern w:val="2"/>
          <w:sz w:val="32"/>
          <w:szCs w:val="32"/>
          <w:highlight w:val="none"/>
          <w:lang w:eastAsia="zh-CN"/>
        </w:rPr>
      </w:pPr>
    </w:p>
    <w:p w14:paraId="27241897">
      <w:pPr>
        <w:pStyle w:val="36"/>
        <w:spacing w:line="360" w:lineRule="auto"/>
        <w:jc w:val="center"/>
        <w:rPr>
          <w:rFonts w:hAnsi="宋体"/>
          <w:b/>
          <w:bCs/>
          <w:color w:val="auto"/>
          <w:highlight w:val="none"/>
          <w:lang w:eastAsia="zh-CN"/>
        </w:rPr>
      </w:pPr>
      <w:r>
        <w:rPr>
          <w:rFonts w:hint="eastAsia" w:hAnsi="宋体" w:cs="宋体"/>
          <w:b/>
          <w:bCs/>
          <w:color w:val="auto"/>
          <w:kern w:val="2"/>
          <w:sz w:val="32"/>
          <w:szCs w:val="32"/>
          <w:highlight w:val="none"/>
          <w:lang w:eastAsia="zh-CN"/>
        </w:rPr>
        <w:t>第二章 投标人须知</w:t>
      </w:r>
      <w:bookmarkEnd w:id="14"/>
    </w:p>
    <w:p w14:paraId="7F8CDEE8">
      <w:pPr>
        <w:spacing w:line="360" w:lineRule="auto"/>
        <w:ind w:firstLine="420"/>
        <w:rPr>
          <w:b/>
          <w:bCs/>
          <w:color w:val="auto"/>
          <w:highlight w:val="none"/>
        </w:rPr>
      </w:pPr>
      <w:r>
        <w:rPr>
          <w:rFonts w:hint="eastAsia"/>
          <w:b/>
          <w:bCs/>
          <w:color w:val="auto"/>
          <w:highlight w:val="none"/>
        </w:rPr>
        <w:t>1、招标方式</w:t>
      </w:r>
    </w:p>
    <w:p w14:paraId="1366C0BB">
      <w:pPr>
        <w:spacing w:line="360" w:lineRule="auto"/>
        <w:ind w:firstLine="420"/>
        <w:rPr>
          <w:rFonts w:ascii="宋体" w:hAnsi="宋体"/>
          <w:bCs/>
          <w:color w:val="auto"/>
          <w:szCs w:val="21"/>
          <w:highlight w:val="none"/>
        </w:rPr>
      </w:pPr>
      <w:r>
        <w:rPr>
          <w:rFonts w:hint="eastAsia" w:ascii="宋体" w:hAnsi="宋体"/>
          <w:bCs/>
          <w:color w:val="auto"/>
          <w:szCs w:val="21"/>
          <w:highlight w:val="none"/>
        </w:rPr>
        <w:t>本次招标采取公开招标方式，本采购文件仅适用于“</w:t>
      </w:r>
      <w:r>
        <w:rPr>
          <w:rFonts w:hint="eastAsia" w:ascii="宋体" w:hAnsi="宋体"/>
          <w:bCs/>
          <w:color w:val="auto"/>
          <w:szCs w:val="21"/>
          <w:highlight w:val="none"/>
          <w:lang w:eastAsia="zh-CN"/>
        </w:rPr>
        <w:t>JSZC-321012-JCQY-G2026-0005</w:t>
      </w:r>
      <w:r>
        <w:rPr>
          <w:rFonts w:hint="eastAsia" w:ascii="宋体" w:hAnsi="宋体"/>
          <w:bCs/>
          <w:color w:val="auto"/>
          <w:szCs w:val="21"/>
          <w:highlight w:val="none"/>
        </w:rPr>
        <w:t>”号项目。</w:t>
      </w:r>
    </w:p>
    <w:p w14:paraId="112C2031">
      <w:pPr>
        <w:spacing w:line="360" w:lineRule="auto"/>
        <w:ind w:firstLine="420"/>
        <w:rPr>
          <w:b/>
          <w:bCs/>
          <w:color w:val="auto"/>
          <w:highlight w:val="none"/>
        </w:rPr>
      </w:pPr>
      <w:r>
        <w:rPr>
          <w:rFonts w:hint="eastAsia"/>
          <w:b/>
          <w:bCs/>
          <w:color w:val="auto"/>
          <w:highlight w:val="none"/>
        </w:rPr>
        <w:t>2、投标人</w:t>
      </w:r>
    </w:p>
    <w:p w14:paraId="75E56BA9">
      <w:pPr>
        <w:spacing w:line="360" w:lineRule="auto"/>
        <w:ind w:firstLine="422"/>
        <w:rPr>
          <w:color w:val="auto"/>
          <w:highlight w:val="none"/>
        </w:rPr>
      </w:pPr>
      <w:r>
        <w:rPr>
          <w:rFonts w:hint="eastAsia"/>
          <w:color w:val="auto"/>
          <w:highlight w:val="none"/>
        </w:rPr>
        <w:t xml:space="preserve">2.1 </w:t>
      </w:r>
      <w:r>
        <w:rPr>
          <w:rFonts w:hint="eastAsia" w:ascii="宋体" w:hAnsi="宋体"/>
          <w:bCs/>
          <w:color w:val="auto"/>
          <w:szCs w:val="21"/>
          <w:highlight w:val="none"/>
        </w:rPr>
        <w:t>本招标文件中“供应商”，即“投标人”，是指参加投标竞争，并符合招标文件规定资格条件的法人、其他组织或者自然人。</w:t>
      </w:r>
    </w:p>
    <w:p w14:paraId="329E5CD2">
      <w:pPr>
        <w:spacing w:line="360" w:lineRule="auto"/>
        <w:ind w:firstLine="422"/>
        <w:rPr>
          <w:color w:val="auto"/>
          <w:highlight w:val="none"/>
        </w:rPr>
      </w:pPr>
      <w:r>
        <w:rPr>
          <w:rFonts w:hint="eastAsia"/>
          <w:color w:val="auto"/>
          <w:highlight w:val="none"/>
        </w:rPr>
        <w:t>2.2合格的</w:t>
      </w:r>
      <w:r>
        <w:rPr>
          <w:rFonts w:hint="eastAsia" w:ascii="宋体" w:hAnsi="宋体"/>
          <w:bCs/>
          <w:color w:val="auto"/>
          <w:szCs w:val="21"/>
          <w:highlight w:val="none"/>
        </w:rPr>
        <w:t>投标人</w:t>
      </w:r>
    </w:p>
    <w:p w14:paraId="6FD9F0A8">
      <w:pPr>
        <w:spacing w:line="360" w:lineRule="auto"/>
        <w:ind w:firstLine="420"/>
        <w:rPr>
          <w:color w:val="auto"/>
          <w:highlight w:val="none"/>
        </w:rPr>
      </w:pPr>
      <w:r>
        <w:rPr>
          <w:rFonts w:hint="eastAsia"/>
          <w:color w:val="auto"/>
          <w:highlight w:val="none"/>
        </w:rPr>
        <w:t>2.2.1 满足</w:t>
      </w:r>
      <w:r>
        <w:rPr>
          <w:rFonts w:hint="eastAsia" w:ascii="宋体" w:hAnsi="宋体"/>
          <w:bCs/>
          <w:color w:val="auto"/>
          <w:szCs w:val="21"/>
          <w:highlight w:val="none"/>
        </w:rPr>
        <w:t>招标</w:t>
      </w:r>
      <w:r>
        <w:rPr>
          <w:rFonts w:hint="eastAsia"/>
          <w:color w:val="auto"/>
          <w:highlight w:val="none"/>
        </w:rPr>
        <w:t>公告中供应商的资格条件要求的规定。</w:t>
      </w:r>
    </w:p>
    <w:p w14:paraId="3D3FCF10">
      <w:pPr>
        <w:spacing w:line="360" w:lineRule="auto"/>
        <w:ind w:firstLine="420"/>
        <w:rPr>
          <w:color w:val="auto"/>
          <w:highlight w:val="none"/>
        </w:rPr>
      </w:pPr>
      <w:r>
        <w:rPr>
          <w:rFonts w:hint="eastAsia"/>
          <w:color w:val="auto"/>
          <w:highlight w:val="none"/>
        </w:rPr>
        <w:t>2.2.2 满足本文件实质性条款的规定。</w:t>
      </w:r>
    </w:p>
    <w:p w14:paraId="10CCBE40">
      <w:pPr>
        <w:spacing w:line="360" w:lineRule="auto"/>
        <w:ind w:firstLine="420"/>
        <w:rPr>
          <w:color w:val="auto"/>
          <w:highlight w:val="none"/>
        </w:rPr>
      </w:pPr>
      <w:r>
        <w:rPr>
          <w:rFonts w:hint="eastAsia"/>
          <w:b/>
          <w:bCs/>
          <w:color w:val="auto"/>
          <w:highlight w:val="none"/>
        </w:rPr>
        <w:t>3、适用法律</w:t>
      </w:r>
    </w:p>
    <w:p w14:paraId="403EBF4C">
      <w:pPr>
        <w:spacing w:line="360" w:lineRule="auto"/>
        <w:ind w:firstLine="422"/>
        <w:rPr>
          <w:color w:val="auto"/>
          <w:highlight w:val="none"/>
        </w:rPr>
      </w:pPr>
      <w:r>
        <w:rPr>
          <w:rFonts w:hint="eastAsia"/>
          <w:color w:val="auto"/>
          <w:highlight w:val="none"/>
        </w:rPr>
        <w:t>3.1 本次采购及由此产生的合同受中华人民共和国有关的法律法规制约和保护。</w:t>
      </w:r>
    </w:p>
    <w:p w14:paraId="64DACA67">
      <w:pPr>
        <w:spacing w:line="360" w:lineRule="auto"/>
        <w:ind w:firstLine="422"/>
        <w:rPr>
          <w:b/>
          <w:bCs/>
          <w:color w:val="auto"/>
          <w:highlight w:val="none"/>
        </w:rPr>
      </w:pPr>
      <w:r>
        <w:rPr>
          <w:rFonts w:hint="eastAsia"/>
          <w:b/>
          <w:bCs/>
          <w:color w:val="auto"/>
          <w:highlight w:val="none"/>
        </w:rPr>
        <w:t>4、</w:t>
      </w:r>
      <w:r>
        <w:rPr>
          <w:rFonts w:hint="eastAsia" w:ascii="宋体" w:hAnsi="宋体"/>
          <w:b/>
          <w:color w:val="auto"/>
          <w:szCs w:val="21"/>
          <w:highlight w:val="none"/>
        </w:rPr>
        <w:t>投标</w:t>
      </w:r>
      <w:r>
        <w:rPr>
          <w:rFonts w:hint="eastAsia"/>
          <w:b/>
          <w:bCs/>
          <w:color w:val="auto"/>
          <w:highlight w:val="none"/>
        </w:rPr>
        <w:t>费用</w:t>
      </w:r>
    </w:p>
    <w:p w14:paraId="1A7ED6AD">
      <w:pPr>
        <w:spacing w:line="360" w:lineRule="auto"/>
        <w:ind w:firstLine="420"/>
        <w:rPr>
          <w:color w:val="auto"/>
          <w:highlight w:val="none"/>
        </w:rPr>
      </w:pPr>
      <w:r>
        <w:rPr>
          <w:rFonts w:hint="eastAsia"/>
          <w:color w:val="auto"/>
          <w:highlight w:val="none"/>
        </w:rPr>
        <w:t xml:space="preserve">4.1 </w:t>
      </w:r>
      <w:r>
        <w:rPr>
          <w:color w:val="auto"/>
          <w:highlight w:val="none"/>
        </w:rPr>
        <w:t>投标人应自行承担所有与参加投标有关的费用，无论投标过程中的做法和结果如 何，代理机构在任何情况下均无义务和责任承担这些费用。</w:t>
      </w:r>
    </w:p>
    <w:p w14:paraId="3EE29E32">
      <w:pPr>
        <w:spacing w:line="360" w:lineRule="auto"/>
        <w:ind w:firstLine="420"/>
        <w:rPr>
          <w:color w:val="auto"/>
          <w:highlight w:val="none"/>
        </w:rPr>
      </w:pPr>
      <w:r>
        <w:rPr>
          <w:rFonts w:hint="eastAsia"/>
          <w:color w:val="auto"/>
          <w:highlight w:val="none"/>
        </w:rPr>
        <w:t>4.2</w:t>
      </w:r>
      <w:bookmarkStart w:id="15" w:name="_Hlk115095815"/>
      <w:r>
        <w:rPr>
          <w:color w:val="auto"/>
          <w:highlight w:val="none"/>
        </w:rPr>
        <w:t>本次采购由成交单位在领取成交通知书前</w:t>
      </w:r>
      <w:r>
        <w:rPr>
          <w:rFonts w:hint="eastAsia" w:ascii="宋体" w:hAnsi="宋体" w:eastAsia="宋体" w:cs="宋体"/>
          <w:color w:val="auto"/>
          <w:kern w:val="0"/>
          <w:szCs w:val="21"/>
          <w:highlight w:val="none"/>
          <w:lang w:val="en-US" w:eastAsia="zh-CN" w:bidi="ar"/>
        </w:rPr>
        <w:t>按苏招协（2022）2号文收费标准*70%计算</w:t>
      </w:r>
      <w:r>
        <w:rPr>
          <w:color w:val="auto"/>
          <w:highlight w:val="none"/>
        </w:rPr>
        <w:t>一次性支付给招标代理机构代理服务费</w:t>
      </w:r>
      <w:r>
        <w:rPr>
          <w:rFonts w:hint="eastAsia"/>
          <w:color w:val="auto"/>
          <w:highlight w:val="none"/>
        </w:rPr>
        <w:t>。</w:t>
      </w:r>
      <w:r>
        <w:rPr>
          <w:color w:val="auto"/>
          <w:highlight w:val="none"/>
        </w:rPr>
        <w:t xml:space="preserve"> </w:t>
      </w:r>
    </w:p>
    <w:p w14:paraId="02301CD4">
      <w:pPr>
        <w:spacing w:line="360" w:lineRule="auto"/>
        <w:ind w:firstLine="420"/>
        <w:rPr>
          <w:color w:val="auto"/>
          <w:highlight w:val="none"/>
        </w:rPr>
      </w:pPr>
      <w:r>
        <w:rPr>
          <w:color w:val="auto"/>
          <w:highlight w:val="none"/>
        </w:rPr>
        <w:t>（1）代理服务费以人民币支付；</w:t>
      </w:r>
    </w:p>
    <w:p w14:paraId="7741C34F">
      <w:pPr>
        <w:spacing w:line="360" w:lineRule="auto"/>
        <w:ind w:firstLine="420"/>
        <w:rPr>
          <w:color w:val="auto"/>
          <w:highlight w:val="none"/>
        </w:rPr>
      </w:pPr>
      <w:r>
        <w:rPr>
          <w:color w:val="auto"/>
          <w:highlight w:val="none"/>
        </w:rPr>
        <w:t>（2）代理服务费一次性以电汇、转账等非现金形式支付；</w:t>
      </w:r>
    </w:p>
    <w:p w14:paraId="130CE225">
      <w:pPr>
        <w:spacing w:line="360" w:lineRule="auto"/>
        <w:ind w:firstLine="420"/>
        <w:rPr>
          <w:color w:val="auto"/>
          <w:highlight w:val="none"/>
        </w:rPr>
      </w:pPr>
      <w:r>
        <w:rPr>
          <w:color w:val="auto"/>
          <w:highlight w:val="none"/>
        </w:rPr>
        <w:t>（3）招标代理服务费不在投标报价中单列，包含在投标总价中，由</w:t>
      </w:r>
      <w:r>
        <w:rPr>
          <w:rFonts w:hint="eastAsia"/>
          <w:color w:val="auto"/>
          <w:highlight w:val="none"/>
        </w:rPr>
        <w:t>中标人</w:t>
      </w:r>
      <w:r>
        <w:rPr>
          <w:color w:val="auto"/>
          <w:highlight w:val="none"/>
        </w:rPr>
        <w:t xml:space="preserve">支付给代理机构。 </w:t>
      </w:r>
    </w:p>
    <w:p w14:paraId="12D85F4C">
      <w:pPr>
        <w:spacing w:line="360" w:lineRule="auto"/>
        <w:ind w:firstLine="420"/>
        <w:rPr>
          <w:color w:val="auto"/>
          <w:highlight w:val="none"/>
        </w:rPr>
      </w:pPr>
      <w:r>
        <w:rPr>
          <w:color w:val="auto"/>
          <w:highlight w:val="none"/>
        </w:rPr>
        <w:t>招标代理服务费开户银行：</w:t>
      </w:r>
      <w:r>
        <w:rPr>
          <w:rFonts w:hint="eastAsia"/>
          <w:color w:val="auto"/>
          <w:highlight w:val="none"/>
        </w:rPr>
        <w:t>农村商业银行江都营业部</w:t>
      </w:r>
    </w:p>
    <w:p w14:paraId="0D69D256">
      <w:pPr>
        <w:spacing w:line="360" w:lineRule="auto"/>
        <w:ind w:firstLine="420"/>
        <w:rPr>
          <w:color w:val="auto"/>
          <w:highlight w:val="none"/>
        </w:rPr>
      </w:pPr>
      <w:r>
        <w:rPr>
          <w:color w:val="auto"/>
          <w:highlight w:val="none"/>
        </w:rPr>
        <w:t>开户名称：</w:t>
      </w:r>
      <w:r>
        <w:rPr>
          <w:rFonts w:hint="eastAsia"/>
          <w:color w:val="auto"/>
          <w:highlight w:val="none"/>
        </w:rPr>
        <w:t>江苏精诚群业项目咨询管理有限公司</w:t>
      </w:r>
    </w:p>
    <w:p w14:paraId="2A4C1C7D">
      <w:pPr>
        <w:spacing w:line="360" w:lineRule="auto"/>
        <w:ind w:firstLine="420"/>
        <w:rPr>
          <w:color w:val="auto"/>
          <w:highlight w:val="none"/>
        </w:rPr>
      </w:pPr>
      <w:r>
        <w:rPr>
          <w:color w:val="auto"/>
          <w:highlight w:val="none"/>
        </w:rPr>
        <w:t>开户帐号：</w:t>
      </w:r>
      <w:r>
        <w:rPr>
          <w:rFonts w:hint="eastAsia"/>
          <w:color w:val="auto"/>
          <w:highlight w:val="none"/>
        </w:rPr>
        <w:t>3210880101201000100430</w:t>
      </w:r>
    </w:p>
    <w:bookmarkEnd w:id="15"/>
    <w:p w14:paraId="0BD20CBA">
      <w:pPr>
        <w:spacing w:line="360" w:lineRule="auto"/>
        <w:ind w:firstLine="420"/>
        <w:rPr>
          <w:rFonts w:hint="eastAsia"/>
          <w:color w:val="auto"/>
          <w:highlight w:val="none"/>
        </w:rPr>
      </w:pPr>
      <w:r>
        <w:rPr>
          <w:color w:val="auto"/>
          <w:highlight w:val="none"/>
        </w:rPr>
        <w:t>4.</w:t>
      </w:r>
      <w:r>
        <w:rPr>
          <w:rFonts w:hint="eastAsia"/>
          <w:color w:val="auto"/>
          <w:highlight w:val="none"/>
        </w:rPr>
        <w:t>3</w:t>
      </w:r>
      <w:r>
        <w:rPr>
          <w:color w:val="auto"/>
          <w:highlight w:val="none"/>
        </w:rPr>
        <w:t>专家评审费按扬财购【2020】40 号文《关于</w:t>
      </w:r>
      <w:r>
        <w:rPr>
          <w:rFonts w:hint="eastAsia"/>
          <w:color w:val="auto"/>
          <w:highlight w:val="none"/>
        </w:rPr>
        <w:t>进一步</w:t>
      </w:r>
      <w:r>
        <w:rPr>
          <w:color w:val="auto"/>
          <w:highlight w:val="none"/>
        </w:rPr>
        <w:t>规范扬州市政府采购专家评审费标准的通知》执行</w:t>
      </w:r>
      <w:r>
        <w:rPr>
          <w:rFonts w:hint="eastAsia"/>
          <w:color w:val="auto"/>
          <w:highlight w:val="none"/>
        </w:rPr>
        <w:t>。</w:t>
      </w:r>
    </w:p>
    <w:p w14:paraId="08813C1E">
      <w:pPr>
        <w:spacing w:line="360" w:lineRule="auto"/>
        <w:ind w:firstLine="420"/>
        <w:rPr>
          <w:color w:val="auto"/>
          <w:highlight w:val="none"/>
        </w:rPr>
      </w:pPr>
      <w:r>
        <w:rPr>
          <w:rFonts w:hint="eastAsia"/>
          <w:b/>
          <w:bCs/>
          <w:color w:val="auto"/>
          <w:highlight w:val="none"/>
        </w:rPr>
        <w:t>5、</w:t>
      </w:r>
      <w:r>
        <w:rPr>
          <w:rFonts w:hint="eastAsia" w:ascii="宋体" w:hAnsi="宋体"/>
          <w:b/>
          <w:color w:val="auto"/>
          <w:szCs w:val="21"/>
          <w:highlight w:val="none"/>
        </w:rPr>
        <w:t>招标</w:t>
      </w:r>
      <w:r>
        <w:rPr>
          <w:rFonts w:hint="eastAsia"/>
          <w:b/>
          <w:bCs/>
          <w:color w:val="auto"/>
          <w:highlight w:val="none"/>
        </w:rPr>
        <w:t>文件的约束力</w:t>
      </w:r>
    </w:p>
    <w:p w14:paraId="6C5F0AA9">
      <w:pPr>
        <w:spacing w:line="360" w:lineRule="auto"/>
        <w:ind w:firstLine="420"/>
        <w:rPr>
          <w:color w:val="auto"/>
          <w:highlight w:val="none"/>
        </w:rPr>
      </w:pPr>
      <w:r>
        <w:rPr>
          <w:rFonts w:hint="eastAsia"/>
          <w:color w:val="auto"/>
          <w:highlight w:val="none"/>
        </w:rPr>
        <w:t xml:space="preserve">5.1 </w:t>
      </w:r>
      <w:r>
        <w:rPr>
          <w:rFonts w:hint="eastAsia" w:ascii="宋体" w:hAnsi="宋体"/>
          <w:bCs/>
          <w:color w:val="auto"/>
          <w:szCs w:val="21"/>
          <w:highlight w:val="none"/>
        </w:rPr>
        <w:t>投标人一旦参加本项目采购活动，即被认为接受了本招标文件的规定和约束。</w:t>
      </w:r>
    </w:p>
    <w:p w14:paraId="0AA7BAAA">
      <w:pPr>
        <w:spacing w:line="360" w:lineRule="auto"/>
        <w:ind w:firstLine="420"/>
        <w:rPr>
          <w:color w:val="auto"/>
          <w:highlight w:val="none"/>
        </w:rPr>
      </w:pPr>
      <w:r>
        <w:rPr>
          <w:rFonts w:hint="eastAsia"/>
          <w:b/>
          <w:bCs/>
          <w:color w:val="auto"/>
          <w:highlight w:val="none"/>
        </w:rPr>
        <w:t>6、</w:t>
      </w:r>
      <w:r>
        <w:rPr>
          <w:rFonts w:hint="eastAsia" w:ascii="宋体" w:hAnsi="宋体"/>
          <w:b/>
          <w:color w:val="auto"/>
          <w:szCs w:val="21"/>
          <w:highlight w:val="none"/>
        </w:rPr>
        <w:t>招标</w:t>
      </w:r>
      <w:r>
        <w:rPr>
          <w:rFonts w:hint="eastAsia"/>
          <w:b/>
          <w:bCs/>
          <w:color w:val="auto"/>
          <w:highlight w:val="none"/>
        </w:rPr>
        <w:t>文件构成</w:t>
      </w:r>
    </w:p>
    <w:p w14:paraId="72A4FD7B">
      <w:pPr>
        <w:spacing w:line="360" w:lineRule="auto"/>
        <w:ind w:firstLine="420"/>
        <w:rPr>
          <w:color w:val="auto"/>
          <w:highlight w:val="none"/>
        </w:rPr>
      </w:pPr>
      <w:r>
        <w:rPr>
          <w:rFonts w:hint="eastAsia"/>
          <w:color w:val="auto"/>
          <w:highlight w:val="none"/>
        </w:rPr>
        <w:t>6.1 招标文件有以下部分组成：</w:t>
      </w:r>
    </w:p>
    <w:p w14:paraId="5618F52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（1）招标公告</w:t>
      </w:r>
    </w:p>
    <w:p w14:paraId="3766B91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（2）投标人须知</w:t>
      </w:r>
      <w:r>
        <w:rPr>
          <w:rFonts w:hint="eastAsia" w:ascii="宋体" w:hAnsi="宋体"/>
          <w:bCs/>
          <w:color w:val="auto"/>
          <w:szCs w:val="21"/>
          <w:highlight w:val="none"/>
        </w:rPr>
        <w:tab/>
      </w:r>
    </w:p>
    <w:p w14:paraId="42F3651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（3）合同条款及格式</w:t>
      </w:r>
    </w:p>
    <w:p w14:paraId="20826628">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（4）项目需求</w:t>
      </w:r>
    </w:p>
    <w:p w14:paraId="3CBD2A4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（5）评标方法与评标标准</w:t>
      </w:r>
    </w:p>
    <w:p w14:paraId="101BB33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（6）投标文件格式</w:t>
      </w:r>
    </w:p>
    <w:p w14:paraId="50362EC6">
      <w:pPr>
        <w:spacing w:line="360" w:lineRule="auto"/>
        <w:ind w:firstLine="420"/>
        <w:rPr>
          <w:color w:val="auto"/>
          <w:highlight w:val="none"/>
        </w:rPr>
      </w:pPr>
      <w:r>
        <w:rPr>
          <w:rFonts w:hint="eastAsia"/>
          <w:color w:val="auto"/>
          <w:highlight w:val="none"/>
        </w:rPr>
        <w:t>请仔细检查采购文件是否齐全，如有缺漏请立即与代理机构联系解决。</w:t>
      </w:r>
    </w:p>
    <w:p w14:paraId="44612938">
      <w:pPr>
        <w:spacing w:line="360" w:lineRule="auto"/>
        <w:ind w:firstLine="420"/>
        <w:rPr>
          <w:color w:val="auto"/>
          <w:highlight w:val="none"/>
        </w:rPr>
      </w:pPr>
      <w:r>
        <w:rPr>
          <w:rFonts w:hint="eastAsia"/>
          <w:color w:val="auto"/>
          <w:highlight w:val="none"/>
        </w:rPr>
        <w:t xml:space="preserve">6.2 </w:t>
      </w:r>
      <w:r>
        <w:rPr>
          <w:rFonts w:hint="eastAsia" w:ascii="宋体" w:hAnsi="宋体"/>
          <w:bCs/>
          <w:color w:val="auto"/>
          <w:szCs w:val="21"/>
          <w:highlight w:val="none"/>
        </w:rPr>
        <w:t>招标</w:t>
      </w:r>
      <w:r>
        <w:rPr>
          <w:rFonts w:hint="eastAsia"/>
          <w:color w:val="auto"/>
          <w:highlight w:val="none"/>
        </w:rPr>
        <w:t>的最小单位是包。</w:t>
      </w:r>
      <w:r>
        <w:rPr>
          <w:rFonts w:hint="eastAsia" w:ascii="宋体" w:hAnsi="宋体"/>
          <w:bCs/>
          <w:color w:val="auto"/>
          <w:szCs w:val="21"/>
          <w:highlight w:val="none"/>
        </w:rPr>
        <w:t>招标货物</w:t>
      </w:r>
      <w:r>
        <w:rPr>
          <w:rFonts w:hint="eastAsia"/>
          <w:color w:val="auto"/>
          <w:highlight w:val="none"/>
        </w:rPr>
        <w:t>数量及技术要求中未分包的，供应商对要求提供的服务不得部分响应；</w:t>
      </w:r>
      <w:r>
        <w:rPr>
          <w:rFonts w:hint="eastAsia" w:ascii="宋体" w:hAnsi="宋体"/>
          <w:bCs/>
          <w:color w:val="auto"/>
          <w:szCs w:val="21"/>
          <w:highlight w:val="none"/>
        </w:rPr>
        <w:t>招标货物</w:t>
      </w:r>
      <w:r>
        <w:rPr>
          <w:rFonts w:hint="eastAsia"/>
          <w:color w:val="auto"/>
          <w:highlight w:val="none"/>
        </w:rPr>
        <w:t>数量及技术要求中已经分包的，应当以包为单位投标。</w:t>
      </w:r>
    </w:p>
    <w:p w14:paraId="1EEE3BA9">
      <w:pPr>
        <w:spacing w:line="360" w:lineRule="auto"/>
        <w:ind w:firstLine="420"/>
        <w:rPr>
          <w:color w:val="auto"/>
          <w:highlight w:val="none"/>
        </w:rPr>
      </w:pPr>
      <w:r>
        <w:rPr>
          <w:rFonts w:hint="eastAsia"/>
          <w:color w:val="auto"/>
          <w:highlight w:val="none"/>
        </w:rPr>
        <w:t xml:space="preserve">6.3 </w:t>
      </w:r>
      <w:r>
        <w:rPr>
          <w:rFonts w:hint="eastAsia" w:ascii="宋体" w:hAnsi="宋体"/>
          <w:bCs/>
          <w:color w:val="auto"/>
          <w:szCs w:val="21"/>
          <w:highlight w:val="none"/>
        </w:rPr>
        <w:t>招标</w:t>
      </w:r>
      <w:r>
        <w:rPr>
          <w:rFonts w:hint="eastAsia"/>
          <w:color w:val="auto"/>
          <w:highlight w:val="none"/>
        </w:rPr>
        <w:t>文件如果要求供应商提交备选投标方案的，供应商可以提交备选方案；否则，备选方案将被拒绝。</w:t>
      </w:r>
    </w:p>
    <w:p w14:paraId="6701D1F8">
      <w:pPr>
        <w:spacing w:line="360" w:lineRule="auto"/>
        <w:ind w:firstLine="420"/>
        <w:rPr>
          <w:color w:val="auto"/>
          <w:highlight w:val="none"/>
        </w:rPr>
      </w:pPr>
      <w:r>
        <w:rPr>
          <w:rFonts w:hint="eastAsia"/>
          <w:color w:val="auto"/>
          <w:highlight w:val="none"/>
        </w:rPr>
        <w:t xml:space="preserve">6.4 </w:t>
      </w:r>
      <w:r>
        <w:rPr>
          <w:rFonts w:hint="eastAsia" w:ascii="宋体" w:hAnsi="宋体"/>
          <w:bCs/>
          <w:color w:val="auto"/>
          <w:szCs w:val="21"/>
          <w:highlight w:val="none"/>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37B9E225">
      <w:pPr>
        <w:spacing w:line="360" w:lineRule="auto"/>
        <w:ind w:firstLine="420"/>
        <w:rPr>
          <w:b/>
          <w:bCs/>
          <w:color w:val="auto"/>
          <w:highlight w:val="none"/>
        </w:rPr>
      </w:pPr>
      <w:r>
        <w:rPr>
          <w:rFonts w:hint="eastAsia"/>
          <w:b/>
          <w:bCs/>
          <w:color w:val="auto"/>
          <w:highlight w:val="none"/>
        </w:rPr>
        <w:t>7、</w:t>
      </w:r>
      <w:r>
        <w:rPr>
          <w:rFonts w:hint="eastAsia" w:ascii="宋体" w:hAnsi="宋体"/>
          <w:b/>
          <w:color w:val="auto"/>
          <w:szCs w:val="21"/>
          <w:highlight w:val="none"/>
        </w:rPr>
        <w:t>招标</w:t>
      </w:r>
      <w:r>
        <w:rPr>
          <w:rFonts w:hint="eastAsia"/>
          <w:b/>
          <w:bCs/>
          <w:color w:val="auto"/>
          <w:highlight w:val="none"/>
        </w:rPr>
        <w:t>文件的澄清</w:t>
      </w:r>
    </w:p>
    <w:p w14:paraId="25B94B2A">
      <w:pPr>
        <w:spacing w:line="360" w:lineRule="auto"/>
        <w:ind w:firstLine="420"/>
        <w:rPr>
          <w:color w:val="auto"/>
          <w:highlight w:val="none"/>
        </w:rPr>
      </w:pPr>
      <w:r>
        <w:rPr>
          <w:rFonts w:hint="eastAsia"/>
          <w:color w:val="auto"/>
          <w:highlight w:val="none"/>
        </w:rPr>
        <w:t>7.1</w:t>
      </w:r>
      <w:r>
        <w:rPr>
          <w:rFonts w:hint="eastAsia" w:ascii="宋体" w:hAnsi="宋体"/>
          <w:bCs/>
          <w:color w:val="auto"/>
          <w:szCs w:val="21"/>
          <w:highlight w:val="none"/>
        </w:rPr>
        <w:t xml:space="preserve"> 任何要求对招标文件进行澄清的投标人，应在投标截止日期的十日前按招标公告中的通讯地址，以书面形式通知代理机构。</w:t>
      </w:r>
    </w:p>
    <w:p w14:paraId="57704EB1">
      <w:pPr>
        <w:spacing w:line="360" w:lineRule="auto"/>
        <w:ind w:firstLine="420"/>
        <w:rPr>
          <w:b/>
          <w:bCs/>
          <w:color w:val="auto"/>
          <w:highlight w:val="none"/>
        </w:rPr>
      </w:pPr>
      <w:r>
        <w:rPr>
          <w:rFonts w:hint="eastAsia"/>
          <w:b/>
          <w:bCs/>
          <w:color w:val="auto"/>
          <w:highlight w:val="none"/>
        </w:rPr>
        <w:t>8、</w:t>
      </w:r>
      <w:r>
        <w:rPr>
          <w:rFonts w:hint="eastAsia" w:ascii="宋体" w:hAnsi="宋体"/>
          <w:b/>
          <w:color w:val="auto"/>
          <w:szCs w:val="21"/>
          <w:highlight w:val="none"/>
        </w:rPr>
        <w:t>招标</w:t>
      </w:r>
      <w:r>
        <w:rPr>
          <w:rFonts w:hint="eastAsia"/>
          <w:b/>
          <w:bCs/>
          <w:color w:val="auto"/>
          <w:highlight w:val="none"/>
        </w:rPr>
        <w:t>文件的修改</w:t>
      </w:r>
    </w:p>
    <w:p w14:paraId="5FC677BD">
      <w:pPr>
        <w:spacing w:line="360" w:lineRule="auto"/>
        <w:ind w:firstLine="420"/>
        <w:rPr>
          <w:rFonts w:ascii="宋体" w:hAnsi="宋体"/>
          <w:bCs/>
          <w:color w:val="auto"/>
          <w:szCs w:val="21"/>
          <w:highlight w:val="none"/>
        </w:rPr>
      </w:pPr>
      <w:r>
        <w:rPr>
          <w:rFonts w:hint="eastAsia" w:ascii="宋体" w:hAnsi="宋体"/>
          <w:bCs/>
          <w:color w:val="auto"/>
          <w:szCs w:val="21"/>
          <w:highlight w:val="none"/>
        </w:rPr>
        <w:t>8.1 在投标截止时间前，代理机构可以对招标文件进行修改。</w:t>
      </w:r>
    </w:p>
    <w:p w14:paraId="1A991702">
      <w:pPr>
        <w:spacing w:line="360" w:lineRule="auto"/>
        <w:ind w:firstLine="420"/>
        <w:rPr>
          <w:rFonts w:ascii="宋体" w:hAnsi="宋体"/>
          <w:bCs/>
          <w:color w:val="auto"/>
          <w:szCs w:val="21"/>
          <w:highlight w:val="none"/>
        </w:rPr>
      </w:pPr>
      <w:r>
        <w:rPr>
          <w:rFonts w:hint="eastAsia" w:ascii="宋体" w:hAnsi="宋体"/>
          <w:bCs/>
          <w:color w:val="auto"/>
          <w:szCs w:val="21"/>
          <w:highlight w:val="none"/>
        </w:rPr>
        <w:t>8.2代理机构在招标文件要求提交投标文件截止时间前，有权按照法定要求推迟投标截止时间和开标时间。</w:t>
      </w:r>
    </w:p>
    <w:p w14:paraId="69510285">
      <w:pPr>
        <w:spacing w:line="360" w:lineRule="auto"/>
        <w:ind w:firstLine="420"/>
        <w:rPr>
          <w:rFonts w:ascii="宋体" w:hAnsi="宋体"/>
          <w:bCs/>
          <w:color w:val="auto"/>
          <w:szCs w:val="21"/>
          <w:highlight w:val="none"/>
        </w:rPr>
      </w:pPr>
      <w:r>
        <w:rPr>
          <w:rFonts w:hint="eastAsia" w:ascii="宋体" w:hAnsi="宋体"/>
          <w:bCs/>
          <w:color w:val="auto"/>
          <w:szCs w:val="21"/>
          <w:highlight w:val="none"/>
        </w:rPr>
        <w:t>8.3招标文件的修改将在“江都区政府采购网”、“扬州市政府采购网”公布，补充文件将作为招标文件的组成部分，并对投标人具有约束力。</w:t>
      </w:r>
    </w:p>
    <w:p w14:paraId="463B5CFC">
      <w:pPr>
        <w:spacing w:line="360" w:lineRule="auto"/>
        <w:ind w:firstLine="420"/>
        <w:rPr>
          <w:b/>
          <w:bCs/>
          <w:color w:val="auto"/>
          <w:highlight w:val="none"/>
        </w:rPr>
      </w:pPr>
      <w:r>
        <w:rPr>
          <w:rFonts w:hint="eastAsia"/>
          <w:b/>
          <w:bCs/>
          <w:color w:val="auto"/>
          <w:highlight w:val="none"/>
        </w:rPr>
        <w:t>9、招标文件的语言、度量衡单位、货币</w:t>
      </w:r>
    </w:p>
    <w:p w14:paraId="2B84EDF7">
      <w:pPr>
        <w:spacing w:line="360" w:lineRule="auto"/>
        <w:ind w:firstLine="420"/>
        <w:rPr>
          <w:color w:val="auto"/>
          <w:highlight w:val="none"/>
        </w:rPr>
      </w:pPr>
      <w:r>
        <w:rPr>
          <w:rFonts w:hint="eastAsia"/>
          <w:color w:val="auto"/>
          <w:highlight w:val="none"/>
        </w:rPr>
        <w:t>9.1</w:t>
      </w:r>
      <w:r>
        <w:rPr>
          <w:rFonts w:hint="eastAsia" w:ascii="宋体" w:hAnsi="宋体"/>
          <w:bCs/>
          <w:color w:val="auto"/>
          <w:szCs w:val="21"/>
          <w:highlight w:val="none"/>
        </w:rPr>
        <w:t>投标人提交的投标文件以及投标人与代理机构就有关投标的所有来往通知、函件和文件均应使用简体中文。</w:t>
      </w:r>
    </w:p>
    <w:p w14:paraId="3F7F78FE">
      <w:pPr>
        <w:spacing w:line="360" w:lineRule="auto"/>
        <w:ind w:firstLine="420"/>
        <w:rPr>
          <w:color w:val="auto"/>
          <w:highlight w:val="none"/>
        </w:rPr>
      </w:pPr>
      <w:r>
        <w:rPr>
          <w:rFonts w:hint="eastAsia"/>
          <w:color w:val="auto"/>
          <w:highlight w:val="none"/>
        </w:rPr>
        <w:t>9.2 除技术性能另有规定外，采购文件所使用的度量衡单位，均须采用国家法定计量单位。</w:t>
      </w:r>
    </w:p>
    <w:p w14:paraId="1ADAC6CB">
      <w:pPr>
        <w:spacing w:line="360" w:lineRule="auto"/>
        <w:ind w:firstLine="420"/>
        <w:rPr>
          <w:color w:val="auto"/>
          <w:highlight w:val="none"/>
        </w:rPr>
      </w:pPr>
      <w:r>
        <w:rPr>
          <w:rFonts w:hint="eastAsia"/>
          <w:color w:val="auto"/>
          <w:highlight w:val="none"/>
        </w:rPr>
        <w:t>9.3招标文件中的服务单价和总价无特殊规定的采用人民币报价，以元为单位标注。招标文件中另有规定的按规定执行。</w:t>
      </w:r>
    </w:p>
    <w:p w14:paraId="6F1F47C4">
      <w:pPr>
        <w:spacing w:line="360" w:lineRule="auto"/>
        <w:ind w:firstLine="420"/>
        <w:rPr>
          <w:b/>
          <w:bCs/>
          <w:color w:val="auto"/>
          <w:highlight w:val="none"/>
        </w:rPr>
      </w:pPr>
      <w:r>
        <w:rPr>
          <w:rFonts w:hint="eastAsia"/>
          <w:b/>
          <w:bCs/>
          <w:color w:val="auto"/>
          <w:highlight w:val="none"/>
        </w:rPr>
        <w:t>10、投标文件构成</w:t>
      </w:r>
    </w:p>
    <w:p w14:paraId="1758CD0E">
      <w:pPr>
        <w:spacing w:line="360" w:lineRule="auto"/>
        <w:ind w:firstLine="420"/>
        <w:rPr>
          <w:color w:val="auto"/>
          <w:highlight w:val="none"/>
        </w:rPr>
      </w:pPr>
      <w:r>
        <w:rPr>
          <w:rFonts w:hint="eastAsia"/>
          <w:color w:val="auto"/>
          <w:highlight w:val="none"/>
        </w:rPr>
        <w:t>1</w:t>
      </w:r>
      <w:r>
        <w:rPr>
          <w:color w:val="auto"/>
          <w:highlight w:val="none"/>
        </w:rPr>
        <w:t>0.1</w:t>
      </w:r>
      <w:r>
        <w:rPr>
          <w:rFonts w:hint="eastAsia"/>
          <w:color w:val="auto"/>
          <w:highlight w:val="none"/>
        </w:rPr>
        <w:t>投标文件由以下部分组成</w:t>
      </w:r>
    </w:p>
    <w:p w14:paraId="4EAB5964">
      <w:pPr>
        <w:spacing w:line="360" w:lineRule="auto"/>
        <w:ind w:firstLine="420"/>
        <w:rPr>
          <w:color w:val="auto"/>
          <w:highlight w:val="none"/>
        </w:rPr>
      </w:pPr>
      <w:r>
        <w:rPr>
          <w:rFonts w:hint="eastAsia"/>
          <w:color w:val="auto"/>
          <w:highlight w:val="none"/>
        </w:rPr>
        <w:t>（1）资格审查响应对照表</w:t>
      </w:r>
    </w:p>
    <w:p w14:paraId="4CB89528">
      <w:pPr>
        <w:spacing w:line="360" w:lineRule="auto"/>
        <w:ind w:firstLine="420"/>
        <w:rPr>
          <w:color w:val="auto"/>
          <w:highlight w:val="none"/>
        </w:rPr>
      </w:pPr>
      <w:r>
        <w:rPr>
          <w:rFonts w:hint="eastAsia"/>
          <w:color w:val="auto"/>
          <w:highlight w:val="none"/>
        </w:rPr>
        <w:t>（2）符合性审查响应对照表</w:t>
      </w:r>
    </w:p>
    <w:p w14:paraId="46314A04">
      <w:pPr>
        <w:spacing w:line="360" w:lineRule="auto"/>
        <w:ind w:firstLine="420"/>
        <w:rPr>
          <w:color w:val="auto"/>
          <w:highlight w:val="none"/>
        </w:rPr>
      </w:pPr>
      <w:r>
        <w:rPr>
          <w:rFonts w:hint="eastAsia"/>
          <w:color w:val="auto"/>
          <w:highlight w:val="none"/>
        </w:rPr>
        <w:t>（3）开标一览表</w:t>
      </w:r>
    </w:p>
    <w:p w14:paraId="3BAD0B1E">
      <w:pPr>
        <w:spacing w:line="360" w:lineRule="auto"/>
        <w:ind w:firstLine="420"/>
        <w:rPr>
          <w:color w:val="auto"/>
          <w:highlight w:val="none"/>
        </w:rPr>
      </w:pPr>
      <w:r>
        <w:rPr>
          <w:rFonts w:hint="eastAsia"/>
          <w:color w:val="auto"/>
          <w:highlight w:val="none"/>
        </w:rPr>
        <w:t>（4）</w:t>
      </w:r>
      <w:r>
        <w:rPr>
          <w:rFonts w:hint="eastAsia" w:ascii="宋体" w:hAnsi="宋体"/>
          <w:color w:val="auto"/>
          <w:szCs w:val="21"/>
          <w:highlight w:val="none"/>
        </w:rPr>
        <w:t>投标产品配置及分项报价表</w:t>
      </w:r>
    </w:p>
    <w:p w14:paraId="680CBA80">
      <w:pPr>
        <w:spacing w:line="360" w:lineRule="auto"/>
        <w:ind w:firstLine="420"/>
        <w:rPr>
          <w:color w:val="auto"/>
          <w:highlight w:val="none"/>
        </w:rPr>
      </w:pPr>
      <w:r>
        <w:rPr>
          <w:rFonts w:hint="eastAsia"/>
          <w:color w:val="auto"/>
          <w:highlight w:val="none"/>
        </w:rPr>
        <w:t>（5）技术参数响应及偏离表</w:t>
      </w:r>
    </w:p>
    <w:p w14:paraId="4805C96F">
      <w:pPr>
        <w:spacing w:line="360" w:lineRule="auto"/>
        <w:ind w:firstLine="420"/>
        <w:rPr>
          <w:color w:val="auto"/>
          <w:highlight w:val="none"/>
        </w:rPr>
      </w:pPr>
      <w:r>
        <w:rPr>
          <w:rFonts w:hint="eastAsia"/>
          <w:color w:val="auto"/>
          <w:highlight w:val="none"/>
        </w:rPr>
        <w:t>（6）商务条款响应及偏离表</w:t>
      </w:r>
    </w:p>
    <w:p w14:paraId="7CF5CE43">
      <w:pPr>
        <w:spacing w:line="360" w:lineRule="auto"/>
        <w:ind w:firstLine="420"/>
        <w:rPr>
          <w:color w:val="auto"/>
          <w:highlight w:val="none"/>
        </w:rPr>
      </w:pPr>
      <w:r>
        <w:rPr>
          <w:rFonts w:hint="eastAsia"/>
          <w:color w:val="auto"/>
          <w:highlight w:val="none"/>
        </w:rPr>
        <w:t>（7）其他（供应商认为有必要提供的声明和文件，如有自拟并自行添加）</w:t>
      </w:r>
    </w:p>
    <w:p w14:paraId="42FAC915">
      <w:pPr>
        <w:spacing w:line="360" w:lineRule="auto"/>
        <w:ind w:firstLine="422"/>
        <w:rPr>
          <w:color w:val="auto"/>
          <w:highlight w:val="none"/>
        </w:rPr>
      </w:pPr>
      <w:r>
        <w:rPr>
          <w:rFonts w:hint="eastAsia"/>
          <w:color w:val="auto"/>
          <w:highlight w:val="none"/>
        </w:rPr>
        <w:t xml:space="preserve">10.2 </w:t>
      </w:r>
      <w:r>
        <w:rPr>
          <w:rFonts w:hint="eastAsia" w:ascii="宋体" w:hAnsi="宋体"/>
          <w:bCs/>
          <w:color w:val="auto"/>
          <w:szCs w:val="21"/>
          <w:highlight w:val="none"/>
        </w:rPr>
        <w:t>投标人应当根据招标文件要求编制投标文件，投标文件应对招标文件提出的要求和条件作出响应，并在相应的投标文件中逐条标明满足与否。</w:t>
      </w:r>
    </w:p>
    <w:p w14:paraId="7746042D">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11、证明投标人资格及符合招标文件规定的文件</w:t>
      </w:r>
    </w:p>
    <w:p w14:paraId="699E76E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11.1投标人应按要求提交资格证明文件及符合招标文件规定的文件。</w:t>
      </w:r>
    </w:p>
    <w:p w14:paraId="0CC1A637">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11.2投标人应提交证明其有资格参加投标和中标后有能力独立履行合同的文件。</w:t>
      </w:r>
    </w:p>
    <w:p w14:paraId="1828031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11.3投标人除必须具有履行合同所需提供的产品或服务的能力外，还必须具备相应的财务、技术方面的能力。</w:t>
      </w:r>
    </w:p>
    <w:p w14:paraId="13B43504">
      <w:pPr>
        <w:spacing w:line="360" w:lineRule="auto"/>
        <w:rPr>
          <w:rFonts w:ascii="宋体" w:hAnsi="宋体"/>
          <w:bCs/>
          <w:color w:val="auto"/>
          <w:szCs w:val="21"/>
          <w:highlight w:val="none"/>
        </w:rPr>
      </w:pPr>
      <w:r>
        <w:rPr>
          <w:rFonts w:hint="eastAsia" w:ascii="宋体" w:hAnsi="宋体"/>
          <w:bCs/>
          <w:color w:val="auto"/>
          <w:szCs w:val="21"/>
          <w:highlight w:val="none"/>
        </w:rPr>
        <w:t xml:space="preserve">    11.4投标人应提交根据合同要求提供的证明服务质量合格以及符合招标文件规定的证明文件。</w:t>
      </w:r>
    </w:p>
    <w:p w14:paraId="4FC2617D">
      <w:pPr>
        <w:spacing w:line="360" w:lineRule="auto"/>
        <w:rPr>
          <w:color w:val="auto"/>
          <w:highlight w:val="none"/>
        </w:rPr>
      </w:pPr>
      <w:r>
        <w:rPr>
          <w:rFonts w:hint="eastAsia" w:ascii="宋体" w:hAnsi="宋体"/>
          <w:bCs/>
          <w:color w:val="auto"/>
          <w:szCs w:val="21"/>
          <w:highlight w:val="none"/>
        </w:rPr>
        <w:t xml:space="preserve">    11.5证明投标人所提供服务与招标文件的要求相一致的文件可以是手册、图纸、文字资料和数据。</w:t>
      </w:r>
    </w:p>
    <w:p w14:paraId="019C3418">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12、投标配置与分项报价表</w:t>
      </w:r>
    </w:p>
    <w:p w14:paraId="370A31F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12.1 投标人应按照招标文件规定格式填报投标配置与分项报价表，在表中标明所提供的设备品牌或服务名称、规格、型号、原产地、主要部件型号及其功能的中文说明和供货期。每项货物和服务等只允许有一个报价，任何有选择的报价将不予接受(如有备选配件，备选配件的报价不属于选择的报价)。</w:t>
      </w:r>
    </w:p>
    <w:p w14:paraId="7F3B40BA">
      <w:pPr>
        <w:spacing w:line="360" w:lineRule="auto"/>
        <w:ind w:firstLine="420"/>
        <w:rPr>
          <w:color w:val="auto"/>
          <w:highlight w:val="none"/>
        </w:rPr>
      </w:pPr>
      <w:r>
        <w:rPr>
          <w:rFonts w:hint="eastAsia"/>
          <w:color w:val="auto"/>
          <w:highlight w:val="none"/>
        </w:rPr>
        <w:t>12.2 标的物</w:t>
      </w:r>
    </w:p>
    <w:p w14:paraId="78F73FBB">
      <w:pPr>
        <w:spacing w:line="360" w:lineRule="auto"/>
        <w:ind w:firstLine="420"/>
        <w:rPr>
          <w:color w:val="auto"/>
          <w:highlight w:val="none"/>
        </w:rPr>
      </w:pPr>
      <w:r>
        <w:rPr>
          <w:rFonts w:hint="eastAsia"/>
          <w:color w:val="auto"/>
          <w:highlight w:val="none"/>
        </w:rPr>
        <w:t>招标人</w:t>
      </w:r>
      <w:r>
        <w:rPr>
          <w:rFonts w:hint="eastAsia" w:ascii="宋体" w:hAnsi="宋体"/>
          <w:bCs/>
          <w:color w:val="auto"/>
          <w:szCs w:val="21"/>
          <w:highlight w:val="none"/>
        </w:rPr>
        <w:t>需求的服务供应、安装，调试及有关技术服务等。</w:t>
      </w:r>
    </w:p>
    <w:p w14:paraId="756BB96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12.3有关费用处理</w:t>
      </w:r>
    </w:p>
    <w:p w14:paraId="1B9B2E95">
      <w:pPr>
        <w:spacing w:line="360" w:lineRule="auto"/>
        <w:ind w:firstLine="420"/>
        <w:rPr>
          <w:color w:val="auto"/>
          <w:highlight w:val="none"/>
        </w:rPr>
      </w:pPr>
      <w:r>
        <w:rPr>
          <w:rFonts w:hint="eastAsia" w:ascii="宋体" w:hAnsi="宋体"/>
          <w:bCs/>
          <w:color w:val="auto"/>
          <w:szCs w:val="21"/>
          <w:highlight w:val="none"/>
        </w:rPr>
        <w:t>招标报价采用总承包方式，投标人的报价应包括所投产品费用、安装调试费、测试验收费、培训费、运行维护费用、税金及其他有关的为完成本项目发生的所有费用，招标文件中另有规定的除外。</w:t>
      </w:r>
    </w:p>
    <w:p w14:paraId="549D84B4">
      <w:pPr>
        <w:spacing w:line="360" w:lineRule="auto"/>
        <w:ind w:firstLine="420"/>
        <w:rPr>
          <w:color w:val="auto"/>
          <w:highlight w:val="none"/>
        </w:rPr>
      </w:pPr>
      <w:r>
        <w:rPr>
          <w:rFonts w:hint="eastAsia"/>
          <w:color w:val="auto"/>
          <w:highlight w:val="none"/>
        </w:rPr>
        <w:t>12.4其它费用处理</w:t>
      </w:r>
    </w:p>
    <w:p w14:paraId="797BD95C">
      <w:pPr>
        <w:spacing w:line="360" w:lineRule="auto"/>
        <w:ind w:firstLine="420"/>
        <w:rPr>
          <w:color w:val="auto"/>
          <w:highlight w:val="none"/>
        </w:rPr>
      </w:pPr>
      <w:r>
        <w:rPr>
          <w:rFonts w:hint="eastAsia"/>
          <w:color w:val="auto"/>
          <w:highlight w:val="none"/>
        </w:rPr>
        <w:t>招标文件未列明，而投标人认为必需的费用也需列入报价。</w:t>
      </w:r>
    </w:p>
    <w:p w14:paraId="11E43241">
      <w:pPr>
        <w:spacing w:line="360" w:lineRule="auto"/>
        <w:ind w:firstLine="420"/>
        <w:rPr>
          <w:rFonts w:ascii="宋体" w:hAnsi="宋体"/>
          <w:color w:val="auto"/>
          <w:highlight w:val="none"/>
        </w:rPr>
      </w:pPr>
      <w:r>
        <w:rPr>
          <w:rFonts w:hint="eastAsia" w:ascii="宋体" w:hAnsi="宋体"/>
          <w:color w:val="auto"/>
          <w:highlight w:val="none"/>
        </w:rPr>
        <w:t>12.5投标货币</w:t>
      </w:r>
    </w:p>
    <w:p w14:paraId="28F8B48A">
      <w:pPr>
        <w:spacing w:line="360" w:lineRule="auto"/>
        <w:ind w:firstLine="420"/>
        <w:rPr>
          <w:rFonts w:ascii="宋体" w:hAnsi="宋体"/>
          <w:bCs/>
          <w:color w:val="auto"/>
          <w:szCs w:val="21"/>
          <w:highlight w:val="none"/>
        </w:rPr>
      </w:pPr>
      <w:r>
        <w:rPr>
          <w:rFonts w:hint="eastAsia" w:ascii="宋体" w:hAnsi="宋体"/>
          <w:bCs/>
          <w:color w:val="auto"/>
          <w:szCs w:val="21"/>
          <w:highlight w:val="none"/>
        </w:rPr>
        <w:t>投标文件中的货物单价和总价无特殊规定的采用人民币报价，以元为单位标注。招标文件中另有规定的按规定执行。</w:t>
      </w:r>
    </w:p>
    <w:p w14:paraId="0D301755">
      <w:pPr>
        <w:spacing w:line="360" w:lineRule="auto"/>
        <w:ind w:firstLine="420"/>
        <w:rPr>
          <w:rFonts w:ascii="宋体" w:hAnsi="宋体"/>
          <w:bCs/>
          <w:color w:val="auto"/>
          <w:szCs w:val="21"/>
          <w:highlight w:val="none"/>
        </w:rPr>
      </w:pPr>
      <w:r>
        <w:rPr>
          <w:rFonts w:hint="eastAsia" w:ascii="宋体" w:hAnsi="宋体"/>
          <w:bCs/>
          <w:color w:val="auto"/>
          <w:szCs w:val="21"/>
          <w:highlight w:val="none"/>
        </w:rPr>
        <w:t>12.6 投标配置与分项报价表上的价格应按下列方式分开填写：</w:t>
      </w:r>
    </w:p>
    <w:p w14:paraId="4EEA92A0">
      <w:pPr>
        <w:spacing w:line="360" w:lineRule="auto"/>
        <w:ind w:firstLine="420"/>
        <w:rPr>
          <w:rFonts w:ascii="宋体" w:hAnsi="宋体"/>
          <w:bCs/>
          <w:color w:val="auto"/>
          <w:szCs w:val="21"/>
          <w:highlight w:val="none"/>
        </w:rPr>
      </w:pPr>
      <w:r>
        <w:rPr>
          <w:rFonts w:hint="eastAsia" w:ascii="宋体" w:hAnsi="宋体"/>
          <w:bCs/>
          <w:color w:val="auto"/>
          <w:szCs w:val="21"/>
          <w:highlight w:val="none"/>
        </w:rPr>
        <w:t>12.1项目总价：包括采购人需求的产品价格、质量保证费用、培训费用及售后服务费用，项目在指定地点、环境交付、安装、调试、验收所需费用和所有相关税金费用及为完成整个项目所产生的其他所有费用。</w:t>
      </w:r>
    </w:p>
    <w:p w14:paraId="223AE6DA">
      <w:pPr>
        <w:spacing w:line="360" w:lineRule="auto"/>
        <w:ind w:firstLine="420"/>
        <w:rPr>
          <w:rFonts w:ascii="宋体" w:hAnsi="宋体"/>
          <w:bCs/>
          <w:color w:val="auto"/>
          <w:szCs w:val="21"/>
          <w:highlight w:val="none"/>
        </w:rPr>
      </w:pPr>
      <w:r>
        <w:rPr>
          <w:rFonts w:hint="eastAsia" w:ascii="宋体" w:hAnsi="宋体"/>
          <w:bCs/>
          <w:color w:val="auto"/>
          <w:szCs w:val="21"/>
          <w:highlight w:val="none"/>
        </w:rPr>
        <w:t>12.2项目单价按投标配置及分项报价表中要求填报。</w:t>
      </w:r>
    </w:p>
    <w:p w14:paraId="0F421DB6">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13、技术参数响应及偏离表、商务条款响应及偏离表及投标货物说明</w:t>
      </w:r>
    </w:p>
    <w:p w14:paraId="7ECF392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13.1 对招标文件中的技术与商务条款要求逐项作出响应或偏离，并说明原因；</w:t>
      </w:r>
    </w:p>
    <w:p w14:paraId="1B73F97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13.2 提供参加本项目类似案例；</w:t>
      </w:r>
    </w:p>
    <w:p w14:paraId="1AE5A64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13.3 培训计划；</w:t>
      </w:r>
    </w:p>
    <w:p w14:paraId="796D614E">
      <w:pPr>
        <w:spacing w:line="360" w:lineRule="auto"/>
        <w:ind w:firstLine="420" w:firstLineChars="200"/>
        <w:rPr>
          <w:color w:val="auto"/>
          <w:highlight w:val="none"/>
        </w:rPr>
      </w:pPr>
      <w:r>
        <w:rPr>
          <w:rFonts w:hint="eastAsia" w:ascii="宋体" w:hAnsi="宋体"/>
          <w:bCs/>
          <w:color w:val="auto"/>
          <w:szCs w:val="21"/>
          <w:highlight w:val="none"/>
        </w:rPr>
        <w:t>13.4 详细阐述所投货物的主要组成部分、功能设计、实现思路及关键技术；</w:t>
      </w:r>
    </w:p>
    <w:p w14:paraId="3C97498E">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13.5 投标人认为需要的其他技术文件或说明。</w:t>
      </w:r>
    </w:p>
    <w:p w14:paraId="3040D1C0">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14、服务承诺及售后服务机构、人员的情况介绍</w:t>
      </w:r>
    </w:p>
    <w:p w14:paraId="6D568AAF">
      <w:pPr>
        <w:spacing w:line="360" w:lineRule="auto"/>
        <w:rPr>
          <w:rFonts w:ascii="宋体" w:hAnsi="宋体"/>
          <w:bCs/>
          <w:color w:val="auto"/>
          <w:szCs w:val="21"/>
          <w:highlight w:val="none"/>
        </w:rPr>
      </w:pPr>
      <w:r>
        <w:rPr>
          <w:rFonts w:hint="eastAsia" w:ascii="宋体" w:hAnsi="宋体"/>
          <w:bCs/>
          <w:color w:val="auto"/>
          <w:szCs w:val="21"/>
          <w:highlight w:val="none"/>
        </w:rPr>
        <w:t xml:space="preserve">    14.1投标人的服务承诺应按不低于招标文件中商务要求的标准。</w:t>
      </w:r>
    </w:p>
    <w:p w14:paraId="24CEA2C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14.2提供投标人有关售后服务的管理制度、售后服务机构的分布情况、售后服务人员的数量、素质、技术水平及售后服务的反应能力。</w:t>
      </w:r>
    </w:p>
    <w:p w14:paraId="3AD65782">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15、投标函和开标一览表</w:t>
      </w:r>
    </w:p>
    <w:p w14:paraId="02E6066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15.1 投标人应按照招标文件中提供的格式完整、正确填写投标函、开标一览表。</w:t>
      </w:r>
    </w:p>
    <w:p w14:paraId="2DFADCE7">
      <w:pPr>
        <w:spacing w:line="360" w:lineRule="auto"/>
        <w:ind w:firstLine="420"/>
        <w:rPr>
          <w:color w:val="auto"/>
          <w:highlight w:val="none"/>
        </w:rPr>
      </w:pPr>
      <w:r>
        <w:rPr>
          <w:rFonts w:hint="eastAsia" w:ascii="宋体" w:hAnsi="宋体"/>
          <w:bCs/>
          <w:color w:val="auto"/>
          <w:szCs w:val="21"/>
          <w:highlight w:val="none"/>
        </w:rPr>
        <w:t>15.2 开标一览表中的价格应与投标文件中分项报价表中的价格一致，如不一致，不作为无效投标处理，但评标时按开标一览表中价格为准。</w:t>
      </w:r>
    </w:p>
    <w:p w14:paraId="38C8B67D">
      <w:pPr>
        <w:spacing w:line="360" w:lineRule="auto"/>
        <w:ind w:firstLine="422" w:firstLineChars="200"/>
        <w:rPr>
          <w:rFonts w:ascii="宋体" w:hAnsi="宋体"/>
          <w:b/>
          <w:color w:val="auto"/>
          <w:szCs w:val="21"/>
          <w:highlight w:val="none"/>
        </w:rPr>
      </w:pPr>
      <w:bookmarkStart w:id="16" w:name="_Toc20823298"/>
      <w:bookmarkStart w:id="17" w:name="_Toc16938542"/>
      <w:r>
        <w:rPr>
          <w:rFonts w:hint="eastAsia" w:ascii="宋体" w:hAnsi="宋体"/>
          <w:b/>
          <w:color w:val="auto"/>
          <w:szCs w:val="21"/>
          <w:highlight w:val="none"/>
        </w:rPr>
        <w:t>16、投标有效期</w:t>
      </w:r>
    </w:p>
    <w:p w14:paraId="45992B10">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16.1 投标有效期为开标之日起</w:t>
      </w:r>
      <w:r>
        <w:rPr>
          <w:rFonts w:hint="eastAsia" w:ascii="宋体" w:hAnsi="宋体"/>
          <w:b/>
          <w:color w:val="auto"/>
          <w:szCs w:val="21"/>
          <w:highlight w:val="none"/>
          <w:u w:val="single"/>
        </w:rPr>
        <w:t>六十（60）天</w:t>
      </w:r>
      <w:r>
        <w:rPr>
          <w:rFonts w:hint="eastAsia" w:ascii="宋体" w:hAnsi="宋体"/>
          <w:bCs/>
          <w:color w:val="auto"/>
          <w:szCs w:val="21"/>
          <w:highlight w:val="none"/>
        </w:rPr>
        <w:t>。投标有效期比规定短的将被视为非响应性投标而予以拒绝。</w:t>
      </w:r>
    </w:p>
    <w:p w14:paraId="7C5791C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16.2 在特殊情况下，代理机构于原投标有效期满之前，可向投标人提出延长投标有效期的要求。这种要求与答复均应采用书面形式。投标人可以拒绝代理机构的这一要求而放弃投标；同意延长投标有效期的投标人既不能要求也不允许修改其投标文件。本招标文件受投标有效期约束的所有权利与义务均延长至新的有效期。</w:t>
      </w:r>
    </w:p>
    <w:p w14:paraId="19C36148">
      <w:pPr>
        <w:spacing w:line="360" w:lineRule="auto"/>
        <w:ind w:firstLine="422" w:firstLineChars="200"/>
        <w:rPr>
          <w:rFonts w:ascii="宋体" w:hAnsi="宋体"/>
          <w:b/>
          <w:color w:val="auto"/>
          <w:szCs w:val="21"/>
          <w:highlight w:val="none"/>
        </w:rPr>
      </w:pPr>
      <w:bookmarkStart w:id="18" w:name="_Toc20823297"/>
      <w:bookmarkStart w:id="19" w:name="_Toc462564084"/>
      <w:bookmarkStart w:id="20" w:name="_Toc16938541"/>
      <w:bookmarkStart w:id="21" w:name="_Toc513029225"/>
      <w:r>
        <w:rPr>
          <w:rFonts w:hint="eastAsia" w:ascii="宋体" w:hAnsi="宋体"/>
          <w:b/>
          <w:color w:val="auto"/>
          <w:szCs w:val="21"/>
          <w:highlight w:val="none"/>
        </w:rPr>
        <w:t>17、投标文件</w:t>
      </w:r>
      <w:bookmarkEnd w:id="18"/>
      <w:bookmarkEnd w:id="19"/>
      <w:bookmarkEnd w:id="20"/>
      <w:bookmarkEnd w:id="21"/>
      <w:r>
        <w:rPr>
          <w:rFonts w:hint="eastAsia" w:ascii="宋体" w:hAnsi="宋体"/>
          <w:b/>
          <w:color w:val="auto"/>
          <w:szCs w:val="21"/>
          <w:highlight w:val="none"/>
        </w:rPr>
        <w:t>的递交</w:t>
      </w:r>
    </w:p>
    <w:p w14:paraId="3CF4E6D2">
      <w:pPr>
        <w:spacing w:line="360" w:lineRule="auto"/>
        <w:ind w:firstLine="420"/>
        <w:rPr>
          <w:color w:val="auto"/>
          <w:highlight w:val="none"/>
        </w:rPr>
      </w:pPr>
      <w:r>
        <w:rPr>
          <w:rFonts w:hint="eastAsia" w:ascii="宋体" w:hAnsi="宋体"/>
          <w:bCs/>
          <w:color w:val="auto"/>
          <w:szCs w:val="21"/>
          <w:highlight w:val="none"/>
        </w:rPr>
        <w:t>17.1 电子投标文件的递交投标人应当按照《操作手册》规定，在投标截止时间前制作并上传电子投标文件。</w:t>
      </w:r>
    </w:p>
    <w:p w14:paraId="2689C21A">
      <w:pPr>
        <w:spacing w:line="360" w:lineRule="auto"/>
        <w:ind w:firstLine="422"/>
        <w:rPr>
          <w:rFonts w:ascii="宋体" w:hAnsi="宋体"/>
          <w:b/>
          <w:color w:val="auto"/>
          <w:szCs w:val="21"/>
          <w:highlight w:val="none"/>
        </w:rPr>
      </w:pPr>
      <w:r>
        <w:rPr>
          <w:rFonts w:hint="eastAsia" w:ascii="宋体" w:hAnsi="宋体"/>
          <w:b/>
          <w:color w:val="auto"/>
          <w:szCs w:val="21"/>
          <w:highlight w:val="none"/>
        </w:rPr>
        <w:t>17.2</w:t>
      </w:r>
      <w:r>
        <w:rPr>
          <w:rFonts w:hint="eastAsia" w:ascii="宋体" w:hAnsi="宋体"/>
          <w:b/>
          <w:bCs/>
          <w:color w:val="auto"/>
          <w:szCs w:val="21"/>
          <w:highlight w:val="none"/>
        </w:rPr>
        <w:t>政府采购管理交易系统（苏采云）</w:t>
      </w:r>
      <w:r>
        <w:rPr>
          <w:rFonts w:hint="eastAsia" w:ascii="宋体" w:hAnsi="宋体"/>
          <w:b/>
          <w:color w:val="auto"/>
          <w:szCs w:val="21"/>
          <w:highlight w:val="none"/>
        </w:rPr>
        <w:t>相关要求是本采购文件的组成部分。</w:t>
      </w:r>
    </w:p>
    <w:p w14:paraId="04628F77">
      <w:pPr>
        <w:spacing w:line="360" w:lineRule="auto"/>
        <w:ind w:firstLine="422"/>
        <w:rPr>
          <w:rFonts w:ascii="宋体" w:hAnsi="宋体"/>
          <w:b/>
          <w:color w:val="auto"/>
          <w:szCs w:val="21"/>
          <w:highlight w:val="none"/>
        </w:rPr>
      </w:pPr>
      <w:r>
        <w:rPr>
          <w:rFonts w:hint="eastAsia" w:ascii="宋体" w:hAnsi="宋体"/>
          <w:b/>
          <w:color w:val="auto"/>
          <w:szCs w:val="21"/>
          <w:highlight w:val="none"/>
        </w:rPr>
        <w:t>17.3投标人应对 CA 证书妥善保管，如被他人盗用投标，因此带来的结果均由投标人自行承担。</w:t>
      </w:r>
    </w:p>
    <w:p w14:paraId="198937C0">
      <w:pPr>
        <w:spacing w:line="360" w:lineRule="auto"/>
        <w:ind w:firstLine="422"/>
        <w:rPr>
          <w:rFonts w:ascii="宋体" w:hAnsi="宋体"/>
          <w:b/>
          <w:color w:val="auto"/>
          <w:szCs w:val="21"/>
          <w:highlight w:val="none"/>
        </w:rPr>
      </w:pPr>
      <w:r>
        <w:rPr>
          <w:rFonts w:hint="eastAsia" w:ascii="宋体" w:hAnsi="宋体"/>
          <w:b/>
          <w:color w:val="auto"/>
          <w:szCs w:val="21"/>
          <w:highlight w:val="none"/>
        </w:rPr>
        <w:t>17.4投标人应当对招标文件提出的要求和条件作出实质性响应，并在电子投标系统逐条应答。</w:t>
      </w:r>
    </w:p>
    <w:p w14:paraId="0AE23FD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17.5投标人应对要求提供的资格证明文件（如资质证书、资格证书）、技术资料（如白皮书、彩页、手册、检测报告等）扫描上传至投标系统。</w:t>
      </w:r>
    </w:p>
    <w:p w14:paraId="3D31D502">
      <w:pPr>
        <w:spacing w:line="360" w:lineRule="auto"/>
        <w:ind w:firstLine="422" w:firstLineChars="200"/>
        <w:rPr>
          <w:color w:val="auto"/>
          <w:highlight w:val="none"/>
        </w:rPr>
      </w:pPr>
      <w:r>
        <w:rPr>
          <w:rFonts w:hint="eastAsia" w:ascii="宋体" w:hAnsi="宋体"/>
          <w:b/>
          <w:color w:val="auto"/>
          <w:szCs w:val="21"/>
          <w:highlight w:val="none"/>
        </w:rPr>
        <w:t>17.6投标人应当在招标文件要求提交投标文件的截止时间前，将投标文件提交至“苏采云”系统，逾期提交的投标文件，“苏采云”系统将自动拒收。</w:t>
      </w:r>
    </w:p>
    <w:p w14:paraId="3E904730">
      <w:pPr>
        <w:spacing w:line="360" w:lineRule="auto"/>
        <w:ind w:firstLine="422"/>
        <w:rPr>
          <w:color w:val="auto"/>
          <w:highlight w:val="none"/>
        </w:rPr>
      </w:pPr>
      <w:r>
        <w:rPr>
          <w:rFonts w:hint="eastAsia" w:ascii="宋体" w:hAnsi="宋体"/>
          <w:b/>
          <w:color w:val="auto"/>
          <w:szCs w:val="21"/>
          <w:highlight w:val="none"/>
        </w:rPr>
        <w:t>17.7各供应商应在规定时间内凭CA证书进行网上解密。</w:t>
      </w:r>
    </w:p>
    <w:bookmarkEnd w:id="16"/>
    <w:bookmarkEnd w:id="17"/>
    <w:p w14:paraId="2548906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18、投标截止日期</w:t>
      </w:r>
    </w:p>
    <w:p w14:paraId="39644A36">
      <w:pPr>
        <w:spacing w:line="360" w:lineRule="auto"/>
        <w:ind w:firstLine="420" w:firstLineChars="200"/>
        <w:rPr>
          <w:rFonts w:ascii="宋体" w:hAnsi="宋体"/>
          <w:bCs/>
          <w:i/>
          <w:iCs/>
          <w:color w:val="auto"/>
          <w:szCs w:val="21"/>
          <w:highlight w:val="none"/>
          <w:u w:val="single"/>
        </w:rPr>
      </w:pPr>
      <w:r>
        <w:rPr>
          <w:rFonts w:hint="eastAsia" w:ascii="宋体" w:hAnsi="宋体"/>
          <w:bCs/>
          <w:i/>
          <w:iCs/>
          <w:color w:val="auto"/>
          <w:szCs w:val="21"/>
          <w:highlight w:val="none"/>
          <w:u w:val="single"/>
        </w:rPr>
        <w:t>18.1 投标人上传电子投标文件的时间不得迟于招标公告中规定的投标截止时间。</w:t>
      </w:r>
    </w:p>
    <w:p w14:paraId="1D193FE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投标人应充分考虑到网络环境、网络带宽等风险因素，如因投标人自身原因造成的电子投标文件上传不成功由投标人自行承担全部责任。</w:t>
      </w:r>
    </w:p>
    <w:p w14:paraId="405936E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18.2 代理机构可以按照规定，通过修改招标文件延长投标截止日期，在此情况下，投标人的所有权利和义务以及投标人受制的截止日期均应以延长后新的截止日期为准。</w:t>
      </w:r>
    </w:p>
    <w:p w14:paraId="0029129E">
      <w:pPr>
        <w:spacing w:line="360" w:lineRule="auto"/>
        <w:ind w:firstLine="422" w:firstLineChars="200"/>
        <w:rPr>
          <w:rFonts w:ascii="宋体" w:hAnsi="宋体"/>
          <w:b/>
          <w:color w:val="auto"/>
          <w:szCs w:val="21"/>
          <w:highlight w:val="none"/>
        </w:rPr>
      </w:pPr>
      <w:bookmarkStart w:id="22" w:name="_Toc20823299"/>
      <w:bookmarkStart w:id="23" w:name="_Toc16938543"/>
      <w:bookmarkStart w:id="24" w:name="_Toc513029227"/>
      <w:r>
        <w:rPr>
          <w:rFonts w:hint="eastAsia" w:ascii="宋体" w:hAnsi="宋体"/>
          <w:b/>
          <w:color w:val="auto"/>
          <w:szCs w:val="21"/>
          <w:highlight w:val="none"/>
        </w:rPr>
        <w:t>19、投标文件</w:t>
      </w:r>
      <w:bookmarkEnd w:id="22"/>
      <w:bookmarkEnd w:id="23"/>
      <w:bookmarkEnd w:id="24"/>
      <w:r>
        <w:rPr>
          <w:rFonts w:hint="eastAsia" w:ascii="宋体" w:hAnsi="宋体"/>
          <w:b/>
          <w:color w:val="auto"/>
          <w:szCs w:val="21"/>
          <w:highlight w:val="none"/>
        </w:rPr>
        <w:t>的拒收</w:t>
      </w:r>
    </w:p>
    <w:p w14:paraId="3F98017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19.1代理机构拒绝接收在其规定的投标截止时间后上传的任何投标文件。</w:t>
      </w:r>
    </w:p>
    <w:p w14:paraId="35419E9C">
      <w:pPr>
        <w:spacing w:line="360" w:lineRule="auto"/>
        <w:ind w:firstLine="422" w:firstLineChars="200"/>
        <w:rPr>
          <w:rFonts w:ascii="宋体" w:hAnsi="宋体"/>
          <w:b/>
          <w:color w:val="auto"/>
          <w:szCs w:val="21"/>
          <w:highlight w:val="none"/>
        </w:rPr>
      </w:pPr>
      <w:bookmarkStart w:id="25" w:name="_Toc513029228"/>
      <w:bookmarkStart w:id="26" w:name="_Toc20823300"/>
      <w:bookmarkStart w:id="27" w:name="_Toc16938544"/>
      <w:r>
        <w:rPr>
          <w:rFonts w:hint="eastAsia" w:ascii="宋体" w:hAnsi="宋体"/>
          <w:b/>
          <w:color w:val="auto"/>
          <w:szCs w:val="21"/>
          <w:highlight w:val="none"/>
        </w:rPr>
        <w:t>20、投标文件的撤回和修改</w:t>
      </w:r>
      <w:bookmarkEnd w:id="25"/>
      <w:bookmarkEnd w:id="26"/>
      <w:bookmarkEnd w:id="27"/>
    </w:p>
    <w:p w14:paraId="39058363">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20.1 投标文件的撤回</w:t>
      </w:r>
    </w:p>
    <w:p w14:paraId="6BFE306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20.1.1 电子投标文件的撤回</w:t>
      </w:r>
    </w:p>
    <w:p w14:paraId="75294F6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投标人可在投标截止时间前，撤回其电子投标文件，具体操作方法见《操作手册》。</w:t>
      </w:r>
    </w:p>
    <w:p w14:paraId="6525867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20.1.2 投标人撤回电子投标文件，则认为其不再参与本项目投标活动。</w:t>
      </w:r>
    </w:p>
    <w:p w14:paraId="26B08B2E">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20.2 投标文件的修改</w:t>
      </w:r>
    </w:p>
    <w:p w14:paraId="6E9BAB3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投标人可在投标截止时间前，对其电子投标文件进行修改，具体操作方法见《操作手册》。</w:t>
      </w:r>
    </w:p>
    <w:p w14:paraId="0B30282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20.3 在投标截止时间之后，投标人不得对其电子投标文件作任何修改。</w:t>
      </w:r>
    </w:p>
    <w:p w14:paraId="2BA777B1">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20.4 在投标截止时间至招标文件中规定的投标有效期满之间的这段时间内，投标人不得撤回其投标。</w:t>
      </w:r>
    </w:p>
    <w:p w14:paraId="0AA859B9">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21、开标</w:t>
      </w:r>
    </w:p>
    <w:p w14:paraId="1B37F91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21.1 代理机构将在招标公告中规定的时间和地点组织公开开标。投标人应当按照《操作手册》规定，参加开标活动。投标人未参加开标的，视同认可开标结果。</w:t>
      </w:r>
    </w:p>
    <w:p w14:paraId="394F4CC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21.2投标人不足3家的，不得开标。</w:t>
      </w:r>
    </w:p>
    <w:p w14:paraId="41F8DC5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21.3开标仪式由代理机构主持。“政府采购管理交易系统（苏采云）”将自动对项目进行开标，并宣读各投标人的《开标一览表》。</w:t>
      </w:r>
    </w:p>
    <w:p w14:paraId="63DF9AE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21.4投标人在开标过程中涉及到的投标文件解密、开标结果确认等工作，应按照《操作手册》规定执行。</w:t>
      </w:r>
    </w:p>
    <w:p w14:paraId="4BB8E005">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22、评标委员会</w:t>
      </w:r>
    </w:p>
    <w:p w14:paraId="3002DA6E">
      <w:pPr>
        <w:spacing w:line="360" w:lineRule="auto"/>
        <w:rPr>
          <w:rFonts w:ascii="宋体" w:hAnsi="宋体"/>
          <w:bCs/>
          <w:color w:val="auto"/>
          <w:szCs w:val="21"/>
          <w:highlight w:val="none"/>
        </w:rPr>
      </w:pPr>
      <w:r>
        <w:rPr>
          <w:rFonts w:hint="eastAsia" w:ascii="宋体" w:hAnsi="宋体"/>
          <w:bCs/>
          <w:color w:val="auto"/>
          <w:szCs w:val="21"/>
          <w:highlight w:val="none"/>
        </w:rPr>
        <w:t xml:space="preserve">    22.1 开标后，代理机构将立即组织评标委员会（以下简称评委会）进行评标。</w:t>
      </w:r>
    </w:p>
    <w:p w14:paraId="0613691D">
      <w:pPr>
        <w:spacing w:line="360" w:lineRule="auto"/>
        <w:rPr>
          <w:rFonts w:ascii="宋体" w:hAnsi="宋体"/>
          <w:bCs/>
          <w:color w:val="auto"/>
          <w:szCs w:val="21"/>
          <w:highlight w:val="none"/>
        </w:rPr>
      </w:pPr>
      <w:r>
        <w:rPr>
          <w:rFonts w:hint="eastAsia" w:ascii="宋体" w:hAnsi="宋体"/>
          <w:bCs/>
          <w:color w:val="auto"/>
          <w:szCs w:val="21"/>
          <w:highlight w:val="none"/>
        </w:rPr>
        <w:t xml:space="preserve">    22.2 评委会由采购人代表和有关技术、经济等方面的专家组成，且人员构成符合政府采购有关规定。</w:t>
      </w:r>
    </w:p>
    <w:p w14:paraId="0606A4E8">
      <w:pPr>
        <w:spacing w:line="360" w:lineRule="auto"/>
        <w:rPr>
          <w:rFonts w:ascii="宋体" w:hAnsi="宋体"/>
          <w:bCs/>
          <w:color w:val="auto"/>
          <w:szCs w:val="21"/>
          <w:highlight w:val="none"/>
        </w:rPr>
      </w:pPr>
      <w:r>
        <w:rPr>
          <w:rFonts w:hint="eastAsia" w:ascii="宋体" w:hAnsi="宋体"/>
          <w:bCs/>
          <w:color w:val="auto"/>
          <w:szCs w:val="21"/>
          <w:highlight w:val="none"/>
        </w:rPr>
        <w:t xml:space="preserve">    22.3评委会独立工作，负责评审所有投标文件并确定中标候选人。</w:t>
      </w:r>
    </w:p>
    <w:p w14:paraId="1D5F347B">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23、评标过程的保密与公正</w:t>
      </w:r>
    </w:p>
    <w:p w14:paraId="57AA32A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23.1公开开标后，直至签订合同之日止，凡是与审查、澄清、评价和比较投标的有关资料以及授标建议等，采购人、评委、代理机构工作人员均不得向投标人或与评标无关的其他人员透露。</w:t>
      </w:r>
    </w:p>
    <w:p w14:paraId="2767EA7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23.2在评标过程中，投标人不得以任何行为影响评标过程，否则其投标文件将被作为无效投标文件。</w:t>
      </w:r>
    </w:p>
    <w:p w14:paraId="7CD08648">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23.3 在评标期间，代理机构将设专门工作人员与投标人联系。</w:t>
      </w:r>
    </w:p>
    <w:p w14:paraId="62C17C6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23.4 代理机构和评委会不向未中标的投标人解释未中标原因，也不公布评标过程中的相关细节。</w:t>
      </w:r>
    </w:p>
    <w:p w14:paraId="4011D722">
      <w:pPr>
        <w:spacing w:line="360" w:lineRule="auto"/>
        <w:ind w:firstLine="420"/>
        <w:rPr>
          <w:color w:val="auto"/>
          <w:highlight w:val="none"/>
        </w:rPr>
      </w:pPr>
      <w:r>
        <w:rPr>
          <w:rFonts w:hint="eastAsia" w:ascii="宋体" w:hAnsi="宋体"/>
          <w:bCs/>
          <w:color w:val="auto"/>
          <w:szCs w:val="21"/>
          <w:highlight w:val="none"/>
        </w:rPr>
        <w:t>23.5 采用综合评分法的项目，未中标的投标人可于中标结果公告期限届满之日起通过“政府采购管理交易系统（苏采云）”查看自己的评审得分及排序情况。</w:t>
      </w:r>
    </w:p>
    <w:p w14:paraId="77CAACDA">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24、投标的澄清</w:t>
      </w:r>
    </w:p>
    <w:p w14:paraId="5CCB962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24.1评标期间，为有助于对投标文件的审查、评价和比较，评委会有权以电子函件形式要求投标人对其投标文件进行澄清，但并非对每个投标人都作澄清要求。</w:t>
      </w:r>
    </w:p>
    <w:p w14:paraId="1A785623">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24.2接到评委会澄清要求的投标人应派人按评委会规定的时间和格式在“政府采购管理交易系统（苏采云）”中做出澄清，澄清的内容作为投标文件的补充部分，但投标的价格和实质性的内容不得做任何更改。具体操作方式见《操作手册》。</w:t>
      </w:r>
    </w:p>
    <w:p w14:paraId="481E90A0">
      <w:pPr>
        <w:spacing w:line="360" w:lineRule="auto"/>
        <w:rPr>
          <w:rFonts w:ascii="宋体" w:hAnsi="宋体"/>
          <w:bCs/>
          <w:color w:val="auto"/>
          <w:szCs w:val="21"/>
          <w:highlight w:val="none"/>
        </w:rPr>
      </w:pPr>
      <w:r>
        <w:rPr>
          <w:rFonts w:hint="eastAsia" w:ascii="宋体" w:hAnsi="宋体"/>
          <w:bCs/>
          <w:color w:val="auto"/>
          <w:szCs w:val="21"/>
          <w:highlight w:val="none"/>
        </w:rPr>
        <w:t xml:space="preserve">    24.3 接到评委会澄清要求的投标人如未按规定做出澄清，其风险由投标人自行承担。</w:t>
      </w:r>
    </w:p>
    <w:p w14:paraId="23C663EF">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25、对投标文件的初审</w:t>
      </w:r>
    </w:p>
    <w:p w14:paraId="3F198D97">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25.1投标文件初审分为资格审查和符合性审查。</w:t>
      </w:r>
    </w:p>
    <w:p w14:paraId="1A5F7FA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25.1.1资格审查：依据法律法规和招标文件的规定，由采购人对投标文件中的资格证明文件进行审查。并将审查结论以书面形式向评委会反馈。</w:t>
      </w:r>
    </w:p>
    <w:p w14:paraId="3EB8E21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采购人在进行资格性审查的同时，将在“信用中国”网站（www.creditchina.gov.cn）、“中国政府采购网"(www.ccgp.gov.cn)对投标人是否被列入失信被执行人、重大税收违法失信主体、政府采购严重失信行为记录名单情况进行查询，以确定投标人是否具备投标资格。查询结果将以网页打印的形式留存并归档。</w:t>
      </w:r>
    </w:p>
    <w:p w14:paraId="57D9AC80">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若接受联合体投标的项目，两个以上的自然人、法人或者其他组织组成一个联合体，以一个供应商的身份共同参加政府采购活动的,联合体成员存在不良信用记录的，视同联合体存在不良信用记录。</w:t>
      </w:r>
    </w:p>
    <w:p w14:paraId="789D6A1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25.1.2符合性检查：依据招标文件的规定，由评委会从投标文件的有效性、完整性和对招标文件的响应程度进行审查，以确定是否对招标文件的实质性要求作出响应。</w:t>
      </w:r>
    </w:p>
    <w:p w14:paraId="73E455A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25.1.3 未通过资格审查或符合性审查的投标人，代理机构将在“政府采购管理交易系统（苏采云）”中告知未通过资格审查或符合性审查的原因，评审结束后，代理机构将不再告知未通过资格审查或符合性审查的原因。</w:t>
      </w:r>
    </w:p>
    <w:p w14:paraId="2B00732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25.2在详细评标之前，评委会将首先审查每份投标文件是否实质性响应了招标文件的要求。实质性响应的投标应该是与招标文件要求的全部条款、条件和规格相符，没有重大偏离或保留的投标。</w:t>
      </w:r>
    </w:p>
    <w:p w14:paraId="3E9DFAF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所谓重大偏离或保留是指与招标文件规定的实质性要求存在负偏离，或者在实质上与招标文件不一致，而且限制了合同中买方（采购人）和见证方（代理机构）的权利或投标人的义务，纠正这些偏离或保留将会对其他实质性响应要求的投标人的竞争地位产生不公正的影响。是否属于重大偏离由评委会按照少数服从多数的原则作出结论。评委决定投标文件的响应性只根据投标文件本身的内容，而不寻求外部的证据。</w:t>
      </w:r>
    </w:p>
    <w:p w14:paraId="13C3003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25.3如果投标文件实质上没有响应招标文件的要求，评委会将予以拒绝，投标人不得通过修改或撤销不合要求的偏离或保留而使其投标成为实质性响应的投标。</w:t>
      </w:r>
    </w:p>
    <w:p w14:paraId="63B4431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25.4评委会将对确定为实质性响应的投标进行进一步审核，看其是否有计算上或累加上的算术错误，修正错误的原则如下：</w:t>
      </w:r>
    </w:p>
    <w:p w14:paraId="40B1CCC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（1）投标文件中开标一览表内容与投标文件中相应内容不一致的，以开标一览表为准。</w:t>
      </w:r>
    </w:p>
    <w:p w14:paraId="12A06F2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（2）大写金额与小写金额不一致的，以大写金额为准。</w:t>
      </w:r>
    </w:p>
    <w:p w14:paraId="79DCC2B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（3）单价金额小数点或者百分比有明显错位的，以开标一览表的总价为准，并修改单价。</w:t>
      </w:r>
    </w:p>
    <w:p w14:paraId="131A2A2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（4）总价金额与按单价汇总金额不一致的，以单价金额计算结果为准。</w:t>
      </w:r>
    </w:p>
    <w:p w14:paraId="4965D58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同时出现两种以上错误的，按照前款规定的顺序修正。</w:t>
      </w:r>
    </w:p>
    <w:p w14:paraId="4968164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25.5评委会将按上述修正错误的方法调整投标文件中的投标报价，并通过“政府采购管理交易系统（苏采云）”告知投标人，调整后的价格应对投标人具有约束力。如果投标人不接受修正后的价格，则其投标将被拒绝。</w:t>
      </w:r>
    </w:p>
    <w:p w14:paraId="52E72281">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25.6评委会将允许修正投标文件中不构成重大偏离的、微小的、非正规的、不一致的或不规则的地方，但这些修改不能影响任何投标人相应的名次排列。</w:t>
      </w:r>
    </w:p>
    <w:p w14:paraId="545E9E47">
      <w:pPr>
        <w:spacing w:line="360" w:lineRule="auto"/>
        <w:ind w:firstLine="420"/>
        <w:jc w:val="left"/>
        <w:rPr>
          <w:rFonts w:hint="eastAsia" w:ascii="宋体" w:hAnsi="宋体"/>
          <w:bCs/>
          <w:color w:val="auto"/>
          <w:szCs w:val="21"/>
          <w:highlight w:val="none"/>
        </w:rPr>
      </w:pPr>
      <w:r>
        <w:rPr>
          <w:rFonts w:hint="eastAsia" w:ascii="宋体" w:hAnsi="宋体"/>
          <w:bCs/>
          <w:color w:val="auto"/>
          <w:szCs w:val="21"/>
          <w:highlight w:val="none"/>
        </w:rPr>
        <w:t>25.7采用最低评标价法的采购项目，提供相同品牌产品的不同投标人参加同一合同项下投标的，以其中通过资格审查、符合性审查且报价最低的参加评标；报价相同的，由评委会按照招标文件规定的方式确定，招标文件未规定的通过随机抽取的方式确定一个参加评标的投标人，其他投标无效。</w:t>
      </w:r>
    </w:p>
    <w:p w14:paraId="2D685726">
      <w:pPr>
        <w:spacing w:line="360" w:lineRule="auto"/>
        <w:ind w:firstLine="420"/>
        <w:jc w:val="left"/>
        <w:rPr>
          <w:rFonts w:hint="eastAsia" w:ascii="宋体" w:hAnsi="宋体"/>
          <w:bCs/>
          <w:color w:val="auto"/>
          <w:szCs w:val="21"/>
          <w:highlight w:val="none"/>
        </w:rPr>
      </w:pPr>
      <w:r>
        <w:rPr>
          <w:rFonts w:hint="eastAsia" w:ascii="宋体" w:hAnsi="宋体"/>
          <w:bCs/>
          <w:color w:val="auto"/>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评审得分相同的，由评委会根据招标文件规定的方式确定，招标文件未规定的采取随机抽取的方式确定一个中标候选人，其他同品牌投标人不作为中标候选人。</w:t>
      </w:r>
    </w:p>
    <w:p w14:paraId="7AD264DD">
      <w:pPr>
        <w:spacing w:line="360" w:lineRule="auto"/>
        <w:ind w:firstLine="420"/>
        <w:jc w:val="left"/>
        <w:rPr>
          <w:rFonts w:hint="eastAsia" w:ascii="宋体" w:hAnsi="宋体"/>
          <w:bCs/>
          <w:color w:val="auto"/>
          <w:szCs w:val="21"/>
          <w:highlight w:val="none"/>
        </w:rPr>
      </w:pPr>
      <w:r>
        <w:rPr>
          <w:rFonts w:hint="eastAsia" w:ascii="宋体" w:hAnsi="宋体"/>
          <w:bCs/>
          <w:color w:val="auto"/>
          <w:szCs w:val="21"/>
          <w:highlight w:val="none"/>
        </w:rPr>
        <w:t>非单一产品采购项目，招标文件中将载明其中的核心产品。多家投标人提供的核心产品品牌相同的，按前两款规定处理。</w:t>
      </w:r>
    </w:p>
    <w:p w14:paraId="1D93DC51">
      <w:pPr>
        <w:spacing w:line="360" w:lineRule="auto"/>
        <w:ind w:firstLine="420"/>
        <w:jc w:val="left"/>
        <w:rPr>
          <w:rFonts w:hint="eastAsia" w:ascii="宋体" w:hAnsi="宋体"/>
          <w:bCs/>
          <w:color w:val="auto"/>
          <w:szCs w:val="21"/>
          <w:highlight w:val="none"/>
        </w:rPr>
      </w:pPr>
      <w:r>
        <w:rPr>
          <w:rFonts w:hint="eastAsia" w:ascii="宋体" w:hAnsi="宋体"/>
          <w:bCs/>
          <w:color w:val="auto"/>
          <w:szCs w:val="21"/>
          <w:highlight w:val="none"/>
        </w:rPr>
        <w:t>25.8投标人在开、评标全过程中应保持通信畅通，并安排专人与代理机构及评委会联系。</w:t>
      </w:r>
    </w:p>
    <w:p w14:paraId="241BBCE5">
      <w:pPr>
        <w:spacing w:line="360" w:lineRule="auto"/>
        <w:ind w:firstLine="420"/>
        <w:jc w:val="left"/>
        <w:rPr>
          <w:rFonts w:hint="eastAsia" w:ascii="宋体" w:hAnsi="宋体"/>
          <w:color w:val="auto"/>
          <w:highlight w:val="none"/>
        </w:rPr>
      </w:pPr>
      <w:r>
        <w:rPr>
          <w:rFonts w:hint="eastAsia" w:ascii="宋体" w:hAnsi="宋体"/>
          <w:bCs/>
          <w:color w:val="auto"/>
          <w:szCs w:val="21"/>
          <w:highlight w:val="none"/>
        </w:rPr>
        <w:t>25.9异常低价投标审查</w:t>
      </w:r>
    </w:p>
    <w:p w14:paraId="04013A02">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25.9.1评标过程中出现下列情形之一的，评标委员会应当启动异常低价投标审查程序：</w:t>
      </w:r>
    </w:p>
    <w:p w14:paraId="27EF28BC">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 xml:space="preserve">1.投标（响应）报价低于全部通过符合性审查供应商投标（响应）报价平均值50%的，即投标（响应）报价&lt;全部通过符合性审查供应商投标（响应）报价平均值×50%； </w:t>
      </w:r>
    </w:p>
    <w:p w14:paraId="3936508C">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 xml:space="preserve">2.投标（响应）报价低于通过符合性审查的次低报价供应商投标（响应）报价50%的，即投标（响应）报价&lt;通过符合性审查的次低报价供应商投标（响应）报价×50%； </w:t>
      </w:r>
    </w:p>
    <w:p w14:paraId="51F69BD5">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 xml:space="preserve">3.投标（响应）报价低于采购项目最高限价45%的，即投标（响应）报价&lt;采购项目最高限价×45%； </w:t>
      </w:r>
    </w:p>
    <w:p w14:paraId="22255275">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 xml:space="preserve">4.评审委员会基于专业判断，认为供应商报价过低，有可能影响产品质量或者不能诚信履约的其他情形。 </w:t>
      </w:r>
    </w:p>
    <w:p w14:paraId="12E9DD8B">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采购人可以结合具体项目实际情况，提高上述第1项至第3项中启动异常低价投标（响应）审查的数值标准，但是最高不得超过65%。</w:t>
      </w:r>
    </w:p>
    <w:p w14:paraId="512972B0">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 xml:space="preserve">25.9.2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35CBD56">
      <w:pPr>
        <w:spacing w:line="360" w:lineRule="auto"/>
        <w:ind w:firstLine="420"/>
        <w:jc w:val="left"/>
        <w:rPr>
          <w:rFonts w:hint="eastAsia" w:ascii="宋体" w:hAnsi="宋体"/>
          <w:b/>
          <w:bCs/>
          <w:color w:val="auto"/>
          <w:highlight w:val="none"/>
        </w:rPr>
      </w:pPr>
      <w:r>
        <w:rPr>
          <w:rFonts w:hint="eastAsia" w:ascii="宋体" w:hAnsi="宋体"/>
          <w:b/>
          <w:bCs/>
          <w:color w:val="auto"/>
          <w:highlight w:val="none"/>
        </w:rPr>
        <w:t>25.9.3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13C8E35">
      <w:pPr>
        <w:spacing w:line="360" w:lineRule="auto"/>
        <w:ind w:firstLine="422" w:firstLineChars="200"/>
        <w:jc w:val="left"/>
        <w:rPr>
          <w:rFonts w:ascii="宋体" w:hAnsi="宋体"/>
          <w:color w:val="auto"/>
          <w:highlight w:val="none"/>
        </w:rPr>
      </w:pPr>
      <w:r>
        <w:rPr>
          <w:rFonts w:hint="eastAsia" w:ascii="宋体" w:hAnsi="宋体"/>
          <w:b/>
          <w:bCs/>
          <w:color w:val="auto"/>
          <w:highlight w:val="none"/>
        </w:rPr>
        <w:t>25.9.4异常低价投标（响应）审查的启动原因、审查意见和审查结果应当在评审报告中记录，并随供应商提供的相关书面说明及证明材料，以及评审委员会有关互联网浏览、查询历史一并归档。</w:t>
      </w:r>
    </w:p>
    <w:p w14:paraId="7A5571D9">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26、无效投标、废标及投标人不足三家的处理</w:t>
      </w:r>
    </w:p>
    <w:p w14:paraId="434E4F01">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26.1无效投标条款</w:t>
      </w:r>
    </w:p>
    <w:p w14:paraId="238C3DD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26.1.1 投标人未成功解密电子投标文件的。</w:t>
      </w:r>
    </w:p>
    <w:p w14:paraId="0C3C1848">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26.1.2 投标人未按照招标文件要求上传电子投标文件的。</w:t>
      </w:r>
    </w:p>
    <w:p w14:paraId="48C4F2C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26.1.3投标人在报价时采用选择性报价的。</w:t>
      </w:r>
    </w:p>
    <w:p w14:paraId="2B50689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26.1.4投标人不具备招标文件中规定资格要求的。</w:t>
      </w:r>
    </w:p>
    <w:p w14:paraId="365744E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26.1.5投标人的报价超过了采购预算或最高限价的。</w:t>
      </w:r>
    </w:p>
    <w:p w14:paraId="2CDB9DC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26.1.6未通过符合性审查的。</w:t>
      </w:r>
    </w:p>
    <w:p w14:paraId="0D8CA26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26.1.7不符合招标文件中规定的其他实质性要求和条件的（</w:t>
      </w:r>
      <w:r>
        <w:rPr>
          <w:rFonts w:hint="eastAsia" w:ascii="宋体" w:hAnsi="宋体"/>
          <w:bCs/>
          <w:i/>
          <w:iCs/>
          <w:color w:val="auto"/>
          <w:szCs w:val="21"/>
          <w:highlight w:val="none"/>
          <w:u w:val="single"/>
        </w:rPr>
        <w:t>本招标文件中斜体且有下划线部分为实质性要求和条件</w:t>
      </w:r>
      <w:r>
        <w:rPr>
          <w:rFonts w:hint="eastAsia" w:ascii="宋体" w:hAnsi="宋体"/>
          <w:bCs/>
          <w:color w:val="auto"/>
          <w:szCs w:val="21"/>
          <w:highlight w:val="none"/>
        </w:rPr>
        <w:t>）。</w:t>
      </w:r>
    </w:p>
    <w:p w14:paraId="677B58C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26.1.8 投标人被 “信用中国”网站（www.creditchina.gov.cn）、“中国政府采购网"(www.ccgp.gov.cn)列入失信被执行人或重大税收违法失信主体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758999A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26.1.9  投标文件含有采购人不能接受的附加条件的。</w:t>
      </w:r>
    </w:p>
    <w:p w14:paraId="6D1DAE0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26.1.10 评委会认为投标人的报价明显低于其他通过符合性审查投标人的报价，有可能影响产品质量或者不能诚信履约的，将通过“政府采购管理交易系统（苏采云）”要求其在合理的时间内提供说明，必要时提交相关证明材料；投标人不能证明其报价合理性的，评委会应当将其作为无效投标处理。</w:t>
      </w:r>
    </w:p>
    <w:p w14:paraId="5825680E">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26.1.11 本项目采购产品被财政部、国家发改委、生态环境部等列入“节能产品品目清单”强制采购范围，而投标人所投标产品不在强制采购范围内的。</w:t>
      </w:r>
    </w:p>
    <w:p w14:paraId="31588D48">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26.1.12投标文件未按照招标文件要求加盖电子签章。</w:t>
      </w:r>
    </w:p>
    <w:p w14:paraId="41F0178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26.1.13其他法律、法规及本招标文件规定的属无效投标的情形。</w:t>
      </w:r>
    </w:p>
    <w:p w14:paraId="4B79AB3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26.2废标条款：</w:t>
      </w:r>
    </w:p>
    <w:p w14:paraId="73608C3C">
      <w:pPr>
        <w:spacing w:line="360" w:lineRule="auto"/>
        <w:ind w:left="420" w:leftChars="200"/>
        <w:rPr>
          <w:rFonts w:ascii="宋体" w:hAnsi="宋体"/>
          <w:bCs/>
          <w:color w:val="auto"/>
          <w:szCs w:val="21"/>
          <w:highlight w:val="none"/>
        </w:rPr>
      </w:pPr>
      <w:r>
        <w:rPr>
          <w:rFonts w:hint="eastAsia" w:ascii="宋体" w:hAnsi="宋体"/>
          <w:bCs/>
          <w:color w:val="auto"/>
          <w:szCs w:val="21"/>
          <w:highlight w:val="none"/>
        </w:rPr>
        <w:t>26.2.1符合专业条件的供应商或者对招标文件作实质响应的供应商不足三家的。</w:t>
      </w:r>
    </w:p>
    <w:p w14:paraId="78642BBB">
      <w:pPr>
        <w:spacing w:line="360" w:lineRule="auto"/>
        <w:ind w:left="420"/>
        <w:rPr>
          <w:rFonts w:ascii="宋体" w:hAnsi="宋体"/>
          <w:bCs/>
          <w:color w:val="auto"/>
          <w:szCs w:val="21"/>
          <w:highlight w:val="none"/>
        </w:rPr>
      </w:pPr>
      <w:r>
        <w:rPr>
          <w:rFonts w:hint="eastAsia" w:ascii="宋体" w:hAnsi="宋体"/>
          <w:bCs/>
          <w:color w:val="auto"/>
          <w:szCs w:val="21"/>
          <w:highlight w:val="none"/>
        </w:rPr>
        <w:t>26.2.2投标人的报价均超过采购预算或最高限价。</w:t>
      </w:r>
    </w:p>
    <w:p w14:paraId="306FFB96">
      <w:pPr>
        <w:spacing w:line="360" w:lineRule="auto"/>
        <w:ind w:left="420" w:leftChars="200"/>
        <w:rPr>
          <w:rFonts w:ascii="宋体" w:hAnsi="宋体"/>
          <w:bCs/>
          <w:color w:val="auto"/>
          <w:szCs w:val="21"/>
          <w:highlight w:val="none"/>
        </w:rPr>
      </w:pPr>
      <w:r>
        <w:rPr>
          <w:rFonts w:hint="eastAsia" w:ascii="宋体" w:hAnsi="宋体"/>
          <w:bCs/>
          <w:color w:val="auto"/>
          <w:szCs w:val="21"/>
          <w:highlight w:val="none"/>
        </w:rPr>
        <w:t>26.2.3出现影响采购公正的违法、违规行为的。</w:t>
      </w:r>
    </w:p>
    <w:p w14:paraId="2FFF9A6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26.2.4因重大变故，采购任务取消的。</w:t>
      </w:r>
    </w:p>
    <w:p w14:paraId="4FDCDBA7">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26.2.5评委会认定招标文件存在歧义、重大缺陷导致评审工作无法进行。</w:t>
      </w:r>
    </w:p>
    <w:p w14:paraId="708C525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26.3 投标截止时间结束后参加投标的供应商不足三家的处理：</w:t>
      </w:r>
    </w:p>
    <w:p w14:paraId="656C7FF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26.3.1如出现投标截止时间结束后参加投标的供应商或者在评标期间对招标文件做出实质性响应的供应商不足三家情况，按政府采购相关规定执行。</w:t>
      </w:r>
    </w:p>
    <w:p w14:paraId="64C4095E">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27、确定中标人</w:t>
      </w:r>
    </w:p>
    <w:p w14:paraId="744C50B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27.1评委会根据本招标文件规定评标方法与评标标准向采购人推荐出中标候选人。</w:t>
      </w:r>
    </w:p>
    <w:p w14:paraId="1C581B0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27.2 采购人应根据评委会推荐的中标候选人确定中标人。</w:t>
      </w:r>
    </w:p>
    <w:p w14:paraId="2284BB2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27.3代理机构将在“扬州市政府采购网”、“江都区政府采购网”发布中标公告，公告期限为1个工作日。</w:t>
      </w:r>
    </w:p>
    <w:p w14:paraId="0D0B537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27.4若有充分证据证明，中标人出现下列情况之一的，一经查实，将被取消中标资格：</w:t>
      </w:r>
    </w:p>
    <w:p w14:paraId="7C34573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27.4.1提供虚假材料谋取中标的；</w:t>
      </w:r>
    </w:p>
    <w:p w14:paraId="7F077DB1">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27.4.2向采购人、代理机构行贿或者提供其他不正当利益的；</w:t>
      </w:r>
    </w:p>
    <w:p w14:paraId="160607F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27.4.3恶意竞争，投标总报价明显低于其自身合理成本且又无法提供证明的；</w:t>
      </w:r>
    </w:p>
    <w:p w14:paraId="67AB846E">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27.4.4属于本文件规定的无效条件，但在评标过程中又未被评委会发现的；</w:t>
      </w:r>
    </w:p>
    <w:p w14:paraId="5DC499B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27.4.5与采购人或者其他投标人恶意串通的；</w:t>
      </w:r>
    </w:p>
    <w:p w14:paraId="4D32A32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27.4.6采取不正当手段诋毁、排挤其他供应商的；</w:t>
      </w:r>
    </w:p>
    <w:p w14:paraId="4E7EB561">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27.4.7不符合法律、法规的规定的。</w:t>
      </w:r>
    </w:p>
    <w:p w14:paraId="1900CA8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27.5. 有下列情形之一的，视为投标人串通投标，投标无效：</w:t>
      </w:r>
    </w:p>
    <w:p w14:paraId="0C8A23D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27.5.1不同投标人的投标文件由同一单位或者个人编制。</w:t>
      </w:r>
    </w:p>
    <w:p w14:paraId="3C29E917">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27.5.2不同投标人委托同一单位或者个人办理投标事宜。</w:t>
      </w:r>
    </w:p>
    <w:p w14:paraId="061214A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27.5.3 不同投标人的投标文件载明的项目管理成员或者联系人员为同一人。</w:t>
      </w:r>
    </w:p>
    <w:p w14:paraId="0FE6AB8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27.5.4不同投标人的投标文件异常一致或者投标报价呈规律性差异。</w:t>
      </w:r>
    </w:p>
    <w:p w14:paraId="5AA0C7F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27.5.5不同投标人的投标文件相互混装。</w:t>
      </w:r>
    </w:p>
    <w:p w14:paraId="795B159D">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28、质疑处理</w:t>
      </w:r>
    </w:p>
    <w:p w14:paraId="2BE3CB7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28.1提出质疑的供应商应当是参与所质疑项目采购活动的供应商。潜在供应商依法获取其可质疑的采购文件的，可以对采购文件提出质疑。</w:t>
      </w:r>
    </w:p>
    <w:p w14:paraId="33071597">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对项目需求部分的质疑，潜在供应商应向采购人提出，由采购人负责答复。</w:t>
      </w:r>
    </w:p>
    <w:p w14:paraId="7146A30F">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28.2投标人认为采购文件、采购过程和中标或成交结果使自己的权益受到损害的，可以在知道或应知其权益受到损害之日起7个工作日内，以书面形式向采购人或代理机构提出质疑。</w:t>
      </w:r>
    </w:p>
    <w:p w14:paraId="0FD0B70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28.2.1对采购文件提出质疑的，应当在获取采购文件之日或者采购文件公告期限届满之日起7个工作日内提出。</w:t>
      </w:r>
    </w:p>
    <w:p w14:paraId="7DBA881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28.2.2对采购过程提出质疑的，为各采购程序环节结束之日起7个工作日内提出。</w:t>
      </w:r>
    </w:p>
    <w:p w14:paraId="19DCE84B">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28.2.3对中标结果提出质疑的，为中标结果公告期限届满之日起7个工作日内提出。</w:t>
      </w:r>
    </w:p>
    <w:p w14:paraId="7D7EE750">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28.3供应商应在法定质疑期内一次性提出针对同一采购程序环节的质疑。供应商如在法定期限内对同一采购程序环节提出多次质疑的，代理机构、采购人将只对供应商第一次质疑作出答复。</w:t>
      </w:r>
    </w:p>
    <w:p w14:paraId="375599F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28.4质疑函必须按照《质疑函范本》及《授权委托书》要求的格式和内容进行填写，格式见网址：http://zfcg.yangzhou.gov.cn。供应商如组成联合体参加投标，则《质疑函范本》及《授权委托书》中要求签字、盖章、加盖公章之处，联合体各方均须按要求签字、盖章、加盖公章。</w:t>
      </w:r>
    </w:p>
    <w:p w14:paraId="48F84D55">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28.5 代理机构及采购人只接收以纸质原件形式送达的质疑。</w:t>
      </w:r>
    </w:p>
    <w:p w14:paraId="1E7794C3">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采购人质疑接收人及联系方式见招标文件第一章。</w:t>
      </w:r>
    </w:p>
    <w:p w14:paraId="7228362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28.6代理机构收到质疑申请后，将对质疑的形式和内容进行审查，如质疑内容、格式不符合规定，代理机构将告知质疑人进行补正。</w:t>
      </w:r>
    </w:p>
    <w:p w14:paraId="5B34A800">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28.7质疑人应当在法定质疑期限内进行补正并重新提交质疑函。</w:t>
      </w:r>
    </w:p>
    <w:p w14:paraId="480417C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28.8 以下情形的质疑不予受理</w:t>
      </w:r>
    </w:p>
    <w:p w14:paraId="40033F9A">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28.8.1 内容不符合《政府采购质疑和投诉办法》第十二条规定的质疑。</w:t>
      </w:r>
    </w:p>
    <w:p w14:paraId="0F8B3BFD">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28.8.2 超出政府采购法定期限的质疑。</w:t>
      </w:r>
    </w:p>
    <w:p w14:paraId="1F7A4207">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28.8.3 以传真、电子邮件等方式递交的非原件形式的质疑。</w:t>
      </w:r>
    </w:p>
    <w:p w14:paraId="05C73426">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28.8.4 未参加投标活动的供应商或在投标活动中自身权益未受到损害的供应商所提出的质疑。</w:t>
      </w:r>
    </w:p>
    <w:p w14:paraId="66280D3E">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28.8.5供应商组成联合体参加投标，联合体中任何一方或多方未按要求签字、盖章、加盖公章的质疑。</w:t>
      </w:r>
    </w:p>
    <w:p w14:paraId="298497B0">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 xml:space="preserve">28.9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7EDA74DC">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28.10代理机构应当在收到供应商的书面质疑后7个工作日内作出答复，并以书面形式通知质疑供应商和其他有关供应商，但答复的内容不得涉及商业秘密。</w:t>
      </w:r>
    </w:p>
    <w:p w14:paraId="3BA10377">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29、中标通知书</w:t>
      </w:r>
    </w:p>
    <w:p w14:paraId="31C1CD69">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29.l 中标结果确定后，代理机构将向中标人发出中标通知书。</w:t>
      </w:r>
    </w:p>
    <w:p w14:paraId="3FA7A9B8">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29.2 中标人可在“政府采购管理交易系统（苏采云）”中标通知书下载模块中自行下载中标通知书。</w:t>
      </w:r>
    </w:p>
    <w:p w14:paraId="2E698841">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29.3中标通知书将是合同的一个组成部分。对采购人和中标人均具有法律效力。中标通知书发出后，采购人改变中标结果的，或者中标人放弃中标项目的，应当依法承担法律责任。</w:t>
      </w:r>
    </w:p>
    <w:p w14:paraId="3B841040">
      <w:pPr>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30、 签订合同</w:t>
      </w:r>
    </w:p>
    <w:p w14:paraId="2810D7B8">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30.l中标人应在中标通知书发出之日起十五日内，按照招标文件确定的事项与采购人签订政府采购合同。</w:t>
      </w:r>
    </w:p>
    <w:p w14:paraId="534F86A0">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30.2 招标文件、中标人的投标文件及招标过程中有关澄清、承诺文件均应作为合同附件。</w:t>
      </w:r>
    </w:p>
    <w:p w14:paraId="5C33E0E2">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30.3 合同在“政府采购管理交易系统（苏采云）”中签订，签订合同后，</w:t>
      </w:r>
      <w:r>
        <w:rPr>
          <w:rFonts w:hint="eastAsia" w:ascii="宋体" w:hAnsi="宋体"/>
          <w:bCs/>
          <w:i/>
          <w:iCs/>
          <w:color w:val="auto"/>
          <w:szCs w:val="21"/>
          <w:highlight w:val="none"/>
          <w:u w:val="single"/>
        </w:rPr>
        <w:t>中标人不得将货物或服务及其他服务进行转包</w:t>
      </w:r>
      <w:r>
        <w:rPr>
          <w:rFonts w:hint="eastAsia" w:ascii="宋体" w:hAnsi="宋体"/>
          <w:bCs/>
          <w:color w:val="auto"/>
          <w:szCs w:val="21"/>
          <w:highlight w:val="none"/>
        </w:rPr>
        <w:t>。未经采购人同意，中标人也不得采用分包的形式履行合同，否则采购人有权终止合同，中标人的履约保证金将不予退还。转包造成采购人损失的，中标人应承担赔偿责任。</w:t>
      </w:r>
    </w:p>
    <w:p w14:paraId="21E6B0B4">
      <w:pPr>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30.4采购人不得向中标人提出任何不合理的要求作为签订合同的条件，不得与中标人私下订立背离合同实质性内容的协议。所签订的合同不得对招标文件确定事项和中标人投标文件作实质性修改。</w:t>
      </w:r>
    </w:p>
    <w:p w14:paraId="6C3B27C1">
      <w:pPr>
        <w:spacing w:line="360" w:lineRule="auto"/>
        <w:ind w:firstLine="420"/>
        <w:rPr>
          <w:b/>
          <w:bCs/>
          <w:color w:val="auto"/>
          <w:highlight w:val="none"/>
        </w:rPr>
      </w:pPr>
      <w:r>
        <w:rPr>
          <w:b/>
          <w:bCs/>
          <w:color w:val="auto"/>
          <w:highlight w:val="none"/>
        </w:rPr>
        <w:t>3</w:t>
      </w:r>
      <w:r>
        <w:rPr>
          <w:rFonts w:hint="eastAsia"/>
          <w:b/>
          <w:bCs/>
          <w:color w:val="auto"/>
          <w:highlight w:val="none"/>
        </w:rPr>
        <w:t>1其他</w:t>
      </w:r>
    </w:p>
    <w:p w14:paraId="2664B0E4">
      <w:pPr>
        <w:spacing w:line="360" w:lineRule="auto"/>
        <w:ind w:firstLine="420"/>
        <w:rPr>
          <w:color w:val="auto"/>
          <w:highlight w:val="none"/>
        </w:rPr>
      </w:pPr>
      <w:r>
        <w:rPr>
          <w:color w:val="auto"/>
          <w:highlight w:val="none"/>
        </w:rPr>
        <w:t xml:space="preserve">    3</w:t>
      </w:r>
      <w:r>
        <w:rPr>
          <w:rFonts w:hint="eastAsia"/>
          <w:color w:val="auto"/>
          <w:highlight w:val="none"/>
        </w:rPr>
        <w:t>1</w:t>
      </w:r>
      <w:r>
        <w:rPr>
          <w:color w:val="auto"/>
          <w:highlight w:val="none"/>
        </w:rPr>
        <w:t xml:space="preserve">.1 </w:t>
      </w:r>
      <w:r>
        <w:rPr>
          <w:rFonts w:hint="eastAsia"/>
          <w:color w:val="auto"/>
          <w:highlight w:val="none"/>
        </w:rPr>
        <w:t>依据《政府采购促进中小企业发展管理办法》享受扶持政策获得政府采购合同的，小微企业不得将合同分包给大中型企业，中型企业不得将合同分包给大型企业。</w:t>
      </w:r>
    </w:p>
    <w:p w14:paraId="1FA47A20">
      <w:pPr>
        <w:spacing w:line="360" w:lineRule="auto"/>
        <w:jc w:val="center"/>
        <w:rPr>
          <w:rFonts w:ascii="宋体" w:hAnsi="宋体"/>
          <w:b/>
          <w:color w:val="auto"/>
          <w:sz w:val="44"/>
          <w:szCs w:val="44"/>
          <w:highlight w:val="none"/>
        </w:rPr>
      </w:pPr>
      <w:r>
        <w:rPr>
          <w:color w:val="auto"/>
          <w:highlight w:val="none"/>
        </w:rPr>
        <w:br w:type="page" w:clear="all"/>
      </w:r>
      <w:bookmarkStart w:id="28" w:name="_Toc109304973"/>
      <w:r>
        <w:rPr>
          <w:rFonts w:hint="eastAsia" w:ascii="宋体" w:hAnsi="宋体"/>
          <w:b/>
          <w:color w:val="auto"/>
          <w:sz w:val="44"/>
          <w:szCs w:val="44"/>
          <w:highlight w:val="none"/>
        </w:rPr>
        <w:t>第三章 合同条款及格式</w:t>
      </w:r>
      <w:bookmarkEnd w:id="28"/>
    </w:p>
    <w:p w14:paraId="1366B691">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highlight w:val="none"/>
          <w:lang w:eastAsia="zh-CN"/>
        </w:rPr>
        <w:t>以下为中标后签定本项目合同的通用条款，中标人不得提出实质性的修改，关于专用条款将由采购人与中标人结合本项目具体情况协商后签订。</w:t>
      </w:r>
    </w:p>
    <w:p w14:paraId="662E9BE0">
      <w:pPr>
        <w:pStyle w:val="36"/>
        <w:spacing w:before="120" w:after="120" w:line="360" w:lineRule="auto"/>
        <w:ind w:firstLine="422"/>
        <w:jc w:val="center"/>
        <w:rPr>
          <w:rFonts w:hAnsi="宋体"/>
          <w:b/>
          <w:bCs/>
          <w:color w:val="auto"/>
          <w:sz w:val="21"/>
          <w:szCs w:val="21"/>
          <w:highlight w:val="none"/>
          <w:lang w:eastAsia="zh-CN"/>
        </w:rPr>
      </w:pPr>
      <w:r>
        <w:rPr>
          <w:rFonts w:hint="eastAsia" w:hAnsi="宋体"/>
          <w:b/>
          <w:bCs/>
          <w:color w:val="auto"/>
          <w:sz w:val="21"/>
          <w:szCs w:val="21"/>
          <w:highlight w:val="none"/>
          <w:lang w:eastAsia="zh-CN"/>
        </w:rPr>
        <w:t>扬州市政府采购合同（货物）（合同编号）</w:t>
      </w:r>
    </w:p>
    <w:p w14:paraId="28AD9F3E">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项目名称：</w:t>
      </w:r>
      <w:r>
        <w:rPr>
          <w:rFonts w:hint="eastAsia" w:hAnsi="宋体" w:cs="宋体"/>
          <w:color w:val="auto"/>
          <w:sz w:val="21"/>
          <w:szCs w:val="22"/>
          <w:highlight w:val="none"/>
          <w:u w:val="single"/>
          <w:lang w:eastAsia="zh-CN"/>
        </w:rPr>
        <w:t>江苏省江都中学部分校园文化建设项目采购及安装</w:t>
      </w:r>
      <w:r>
        <w:rPr>
          <w:rFonts w:hint="eastAsia" w:hAnsi="宋体"/>
          <w:color w:val="auto"/>
          <w:sz w:val="21"/>
          <w:szCs w:val="21"/>
          <w:highlight w:val="none"/>
          <w:lang w:eastAsia="zh-CN"/>
        </w:rPr>
        <w:t xml:space="preserve">                                     </w:t>
      </w:r>
    </w:p>
    <w:p w14:paraId="245677C7">
      <w:pPr>
        <w:pStyle w:val="36"/>
        <w:spacing w:before="120" w:after="120" w:line="360" w:lineRule="auto"/>
        <w:ind w:firstLine="420"/>
        <w:rPr>
          <w:rFonts w:hAnsi="宋体" w:cs="宋体"/>
          <w:color w:val="auto"/>
          <w:sz w:val="21"/>
          <w:szCs w:val="22"/>
          <w:highlight w:val="none"/>
          <w:u w:val="single"/>
          <w:lang w:eastAsia="zh-CN"/>
        </w:rPr>
      </w:pPr>
      <w:r>
        <w:rPr>
          <w:rFonts w:hint="eastAsia" w:hAnsi="宋体"/>
          <w:color w:val="auto"/>
          <w:sz w:val="21"/>
          <w:szCs w:val="21"/>
          <w:highlight w:val="none"/>
          <w:lang w:eastAsia="zh-CN"/>
        </w:rPr>
        <w:t>项目编号：</w:t>
      </w:r>
    </w:p>
    <w:p w14:paraId="45E82EAC">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甲方</w:t>
      </w:r>
      <w:r>
        <w:rPr>
          <w:rFonts w:hint="eastAsia" w:hAnsi="宋体"/>
          <w:b/>
          <w:bCs/>
          <w:color w:val="auto"/>
          <w:sz w:val="21"/>
          <w:szCs w:val="21"/>
          <w:highlight w:val="none"/>
          <w:lang w:eastAsia="zh-CN"/>
        </w:rPr>
        <w:t>（采购人）：</w:t>
      </w:r>
      <w:r>
        <w:rPr>
          <w:rFonts w:hint="eastAsia" w:asciiTheme="minorEastAsia" w:hAnsiTheme="minorEastAsia" w:cstheme="minorEastAsia"/>
          <w:b/>
          <w:bCs/>
          <w:color w:val="auto"/>
          <w:sz w:val="21"/>
          <w:szCs w:val="21"/>
          <w:highlight w:val="none"/>
          <w:u w:val="single"/>
          <w:lang w:eastAsia="zh-CN"/>
        </w:rPr>
        <w:t>江苏省江都中学</w:t>
      </w:r>
    </w:p>
    <w:p w14:paraId="39961423">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乙方</w:t>
      </w:r>
      <w:r>
        <w:rPr>
          <w:rFonts w:hint="eastAsia" w:hAnsi="宋体"/>
          <w:b/>
          <w:bCs/>
          <w:color w:val="auto"/>
          <w:sz w:val="21"/>
          <w:szCs w:val="21"/>
          <w:highlight w:val="none"/>
          <w:lang w:eastAsia="zh-CN"/>
        </w:rPr>
        <w:t>（供应商）</w:t>
      </w:r>
      <w:r>
        <w:rPr>
          <w:rFonts w:hint="eastAsia" w:hAnsi="宋体"/>
          <w:color w:val="auto"/>
          <w:sz w:val="21"/>
          <w:szCs w:val="21"/>
          <w:highlight w:val="none"/>
          <w:lang w:eastAsia="zh-CN"/>
        </w:rPr>
        <w:t>：</w:t>
      </w:r>
    </w:p>
    <w:p w14:paraId="6BC39D7D">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根据《中华人民共和国政府采购法》、《中华人民共和国民法典》等法律法规的规定，甲乙双方按照本项目结果签订本合同。</w:t>
      </w:r>
    </w:p>
    <w:p w14:paraId="25CD221D">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一、货物及产品内容</w:t>
      </w:r>
    </w:p>
    <w:p w14:paraId="3BAC2739">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1.1 货物及服务名称：</w:t>
      </w:r>
    </w:p>
    <w:p w14:paraId="29E9CF74">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1.2 型号规格：</w:t>
      </w:r>
    </w:p>
    <w:p w14:paraId="6DACD18B">
      <w:pPr>
        <w:pStyle w:val="10"/>
        <w:snapToGrid w:val="0"/>
        <w:spacing w:before="120" w:after="120" w:line="360" w:lineRule="auto"/>
        <w:ind w:firstLine="420" w:firstLineChars="200"/>
        <w:rPr>
          <w:rFonts w:hAnsi="宋体"/>
          <w:color w:val="auto"/>
          <w:highlight w:val="none"/>
        </w:rPr>
      </w:pPr>
      <w:r>
        <w:rPr>
          <w:rFonts w:hint="eastAsia" w:hAnsi="宋体" w:cs="宋体"/>
          <w:color w:val="auto"/>
          <w:highlight w:val="none"/>
        </w:rPr>
        <w:t>1.3 数量（单位）：</w:t>
      </w:r>
    </w:p>
    <w:p w14:paraId="5E06C952">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二、合同金额</w:t>
      </w:r>
    </w:p>
    <w:p w14:paraId="5998F374">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2.1 本合同总金额为（大写）：________元人民币（¥</w:t>
      </w:r>
      <w:r>
        <w:rPr>
          <w:rFonts w:hint="eastAsia" w:hAnsi="宋体"/>
          <w:color w:val="auto"/>
          <w:sz w:val="21"/>
          <w:szCs w:val="21"/>
          <w:highlight w:val="none"/>
          <w:u w:val="single"/>
          <w:lang w:eastAsia="zh-CN"/>
        </w:rPr>
        <w:t xml:space="preserve">       </w:t>
      </w:r>
      <w:r>
        <w:rPr>
          <w:rFonts w:hint="eastAsia" w:hAnsi="宋体"/>
          <w:color w:val="auto"/>
          <w:sz w:val="21"/>
          <w:szCs w:val="21"/>
          <w:highlight w:val="none"/>
          <w:lang w:eastAsia="zh-CN"/>
        </w:rPr>
        <w:t>元）。</w:t>
      </w:r>
    </w:p>
    <w:p w14:paraId="613302D5">
      <w:pPr>
        <w:pStyle w:val="36"/>
        <w:spacing w:before="120" w:after="120" w:line="360" w:lineRule="auto"/>
        <w:ind w:firstLine="211" w:firstLineChars="100"/>
        <w:rPr>
          <w:rFonts w:hAnsi="宋体"/>
          <w:b/>
          <w:bCs/>
          <w:color w:val="auto"/>
          <w:sz w:val="21"/>
          <w:szCs w:val="21"/>
          <w:highlight w:val="none"/>
          <w:lang w:eastAsia="zh-CN"/>
        </w:rPr>
      </w:pPr>
      <w:r>
        <w:rPr>
          <w:rFonts w:hint="eastAsia" w:hAnsi="宋体"/>
          <w:b/>
          <w:bCs/>
          <w:color w:val="auto"/>
          <w:sz w:val="21"/>
          <w:szCs w:val="21"/>
          <w:highlight w:val="none"/>
          <w:lang w:eastAsia="zh-CN"/>
        </w:rPr>
        <w:t>三、技术资料</w:t>
      </w:r>
    </w:p>
    <w:p w14:paraId="6F1F598A">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3.1乙方应按采购文件规定的时间向甲方提供使用</w:t>
      </w:r>
      <w:r>
        <w:rPr>
          <w:rFonts w:hint="eastAsia" w:hAnsi="宋体" w:cs="宋体"/>
          <w:color w:val="auto"/>
          <w:sz w:val="21"/>
          <w:szCs w:val="21"/>
          <w:highlight w:val="none"/>
          <w:lang w:eastAsia="zh-CN"/>
        </w:rPr>
        <w:t>货物及服务</w:t>
      </w:r>
      <w:r>
        <w:rPr>
          <w:rFonts w:hint="eastAsia" w:hAnsi="宋体"/>
          <w:color w:val="auto"/>
          <w:sz w:val="21"/>
          <w:szCs w:val="21"/>
          <w:highlight w:val="none"/>
          <w:lang w:eastAsia="zh-CN"/>
        </w:rPr>
        <w:t>的有关技术资料。</w:t>
      </w:r>
    </w:p>
    <w:p w14:paraId="1782D176">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3.2 没有甲方事先书面同意，乙方不得将由甲方提供的有关合同或任何合同条文或资料提供给与履行本合同无关的任何其他人。即使向履行本合同有关的人员提供，也应注意保密并限于履行合同的必需范围。</w:t>
      </w:r>
    </w:p>
    <w:p w14:paraId="6EDD0ED8">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四、知识产权</w:t>
      </w:r>
    </w:p>
    <w:p w14:paraId="452ADF4C">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乙方应保证甲方在使用、接受本合同</w:t>
      </w:r>
      <w:r>
        <w:rPr>
          <w:rFonts w:hint="eastAsia" w:hAnsi="宋体" w:cs="宋体"/>
          <w:color w:val="auto"/>
          <w:sz w:val="21"/>
          <w:szCs w:val="21"/>
          <w:highlight w:val="none"/>
          <w:lang w:eastAsia="zh-CN"/>
        </w:rPr>
        <w:t>货物及服务</w:t>
      </w:r>
      <w:r>
        <w:rPr>
          <w:rFonts w:hint="eastAsia" w:hAnsi="宋体"/>
          <w:color w:val="auto"/>
          <w:sz w:val="21"/>
          <w:szCs w:val="21"/>
          <w:highlight w:val="none"/>
          <w:lang w:eastAsia="zh-CN"/>
        </w:rPr>
        <w:t>或其任何一部分时，不受第三方提出侵犯其专利权、版权、商标权和工业设计权等知识产权的起诉。一旦出现侵权，</w:t>
      </w:r>
      <w:r>
        <w:rPr>
          <w:rFonts w:hint="eastAsia" w:hAnsi="宋体"/>
          <w:color w:val="auto"/>
          <w:sz w:val="21"/>
          <w:szCs w:val="21"/>
          <w:highlight w:val="none"/>
          <w:lang w:val="en-US" w:eastAsia="zh-CN"/>
        </w:rPr>
        <w:t>除设计部分外，其余</w:t>
      </w:r>
      <w:r>
        <w:rPr>
          <w:rFonts w:hint="eastAsia" w:hAnsi="宋体"/>
          <w:color w:val="auto"/>
          <w:sz w:val="21"/>
          <w:szCs w:val="21"/>
          <w:highlight w:val="none"/>
          <w:lang w:eastAsia="zh-CN"/>
        </w:rPr>
        <w:t>由乙方负全部责任。</w:t>
      </w:r>
    </w:p>
    <w:p w14:paraId="2B2A66A2">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五、产权担保</w:t>
      </w:r>
    </w:p>
    <w:p w14:paraId="15A5B54D">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 xml:space="preserve"> 乙方保证所交付的</w:t>
      </w:r>
      <w:r>
        <w:rPr>
          <w:rFonts w:hint="eastAsia" w:hAnsi="宋体" w:cs="宋体"/>
          <w:color w:val="auto"/>
          <w:sz w:val="21"/>
          <w:szCs w:val="21"/>
          <w:highlight w:val="none"/>
          <w:lang w:eastAsia="zh-CN"/>
        </w:rPr>
        <w:t>货物及服务</w:t>
      </w:r>
      <w:r>
        <w:rPr>
          <w:rFonts w:hint="eastAsia" w:hAnsi="宋体"/>
          <w:color w:val="auto"/>
          <w:sz w:val="21"/>
          <w:szCs w:val="21"/>
          <w:highlight w:val="none"/>
          <w:lang w:eastAsia="zh-CN"/>
        </w:rPr>
        <w:t>的所有权完全属于乙方且无任何抵押、查封等产权瑕疵。</w:t>
      </w:r>
    </w:p>
    <w:p w14:paraId="5222BCF0">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六、履约保证金</w:t>
      </w:r>
    </w:p>
    <w:p w14:paraId="553172DF">
      <w:pPr>
        <w:pStyle w:val="36"/>
        <w:spacing w:before="120" w:after="120" w:line="360" w:lineRule="auto"/>
        <w:ind w:firstLine="420"/>
        <w:rPr>
          <w:rFonts w:hAnsi="宋体"/>
          <w:color w:val="auto"/>
          <w:sz w:val="21"/>
          <w:szCs w:val="21"/>
          <w:highlight w:val="none"/>
          <w:lang w:eastAsia="zh-CN"/>
        </w:rPr>
      </w:pPr>
      <w:r>
        <w:rPr>
          <w:rFonts w:hAnsi="宋体"/>
          <w:color w:val="auto"/>
          <w:sz w:val="21"/>
          <w:szCs w:val="21"/>
          <w:highlight w:val="none"/>
          <w:lang w:eastAsia="zh-CN"/>
        </w:rPr>
        <w:t>6.1收取履约保证金的，</w:t>
      </w:r>
      <w:r>
        <w:rPr>
          <w:rFonts w:hint="eastAsia" w:hAnsi="宋体"/>
          <w:color w:val="auto"/>
          <w:sz w:val="21"/>
          <w:szCs w:val="21"/>
          <w:highlight w:val="none"/>
          <w:lang w:eastAsia="zh-CN"/>
        </w:rPr>
        <w:t>允许成交单位自主选择支票、汇票、本票、保函等非现金形式缴纳或提交，</w:t>
      </w:r>
      <w:r>
        <w:rPr>
          <w:rFonts w:hAnsi="宋体"/>
          <w:color w:val="auto"/>
          <w:sz w:val="21"/>
          <w:szCs w:val="21"/>
          <w:highlight w:val="none"/>
          <w:lang w:eastAsia="zh-CN"/>
        </w:rPr>
        <w:t>应当在采购合同中约定履约保证金退还的方式、时间、条件和不予退还的情形，明确逾期退还履约保证金的违约责任。</w:t>
      </w:r>
    </w:p>
    <w:p w14:paraId="75F0FA26">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6.2履约保证金用以约束乙方在合同履行中的行为，以及弥补合同履行中由于乙方自身行为可能给甲方带来的各种损失；若履约保证金额不足以弥补乙方违约造成甲方损失的，甲方可继续向乙方主张索赔。</w:t>
      </w:r>
    </w:p>
    <w:p w14:paraId="69968671">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 xml:space="preserve">6.3 履约保证金扣除甲方应得的补偿后的余额，在本合同履行结束后由甲方退还。 </w:t>
      </w:r>
      <w:r>
        <w:rPr>
          <w:rFonts w:hint="eastAsia" w:hAnsi="宋体" w:cs="宋体"/>
          <w:color w:val="auto"/>
          <w:sz w:val="21"/>
          <w:highlight w:val="none"/>
          <w:lang w:eastAsia="zh-CN"/>
        </w:rPr>
        <w:t>逾期退还的，按中国人民银行同期贷款基准利率上浮20%后的利率支付超期资金占用费，但因乙方自身原因导致无法及时退还的除外。 </w:t>
      </w:r>
    </w:p>
    <w:p w14:paraId="7F0CF0D0">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6.4 履约保证收取：</w:t>
      </w:r>
      <w:r>
        <w:rPr>
          <w:rFonts w:hint="eastAsia" w:hAnsi="宋体"/>
          <w:color w:val="auto"/>
          <w:sz w:val="21"/>
          <w:szCs w:val="21"/>
          <w:highlight w:val="none"/>
          <w:u w:val="single"/>
          <w:lang w:eastAsia="zh-CN"/>
        </w:rPr>
        <w:t>无</w:t>
      </w:r>
    </w:p>
    <w:p w14:paraId="66BCC938">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七、转包</w:t>
      </w:r>
    </w:p>
    <w:p w14:paraId="6E777AE8">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7.1本合同范围的货物及服务，应由乙方直接供应，不得转让他人供应；</w:t>
      </w:r>
    </w:p>
    <w:p w14:paraId="140DC0A4">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7.2 除非得到甲方的书面同意，乙方不得部分分包给他人供应。</w:t>
      </w:r>
    </w:p>
    <w:p w14:paraId="3701A7FD">
      <w:pPr>
        <w:pStyle w:val="10"/>
        <w:snapToGrid w:val="0"/>
        <w:spacing w:before="120" w:after="120" w:line="360" w:lineRule="auto"/>
        <w:ind w:firstLine="420" w:firstLineChars="200"/>
        <w:rPr>
          <w:rFonts w:hAnsi="宋体"/>
          <w:color w:val="auto"/>
          <w:highlight w:val="none"/>
        </w:rPr>
      </w:pPr>
      <w:r>
        <w:rPr>
          <w:rFonts w:hint="eastAsia" w:hAnsi="宋体" w:cs="宋体"/>
          <w:color w:val="auto"/>
          <w:highlight w:val="none"/>
        </w:rPr>
        <w:t>7.3如有转让和未经甲方同意的分包行为，甲方有权给予终止合同。</w:t>
      </w:r>
    </w:p>
    <w:p w14:paraId="40046534">
      <w:pPr>
        <w:pStyle w:val="10"/>
        <w:snapToGrid w:val="0"/>
        <w:spacing w:before="120" w:after="120" w:line="360" w:lineRule="auto"/>
        <w:ind w:firstLine="422" w:firstLineChars="200"/>
        <w:rPr>
          <w:rFonts w:hAnsi="宋体" w:cs="宋体"/>
          <w:b/>
          <w:bCs/>
          <w:color w:val="auto"/>
          <w:highlight w:val="none"/>
        </w:rPr>
      </w:pPr>
      <w:r>
        <w:rPr>
          <w:rFonts w:hint="eastAsia" w:hAnsi="宋体"/>
          <w:b/>
          <w:bCs/>
          <w:color w:val="auto"/>
          <w:highlight w:val="none"/>
        </w:rPr>
        <w:t>八、</w:t>
      </w:r>
      <w:r>
        <w:rPr>
          <w:rFonts w:hint="eastAsia" w:hAnsi="宋体" w:cs="宋体"/>
          <w:b/>
          <w:bCs/>
          <w:color w:val="auto"/>
          <w:highlight w:val="none"/>
        </w:rPr>
        <w:t>质保期</w:t>
      </w:r>
    </w:p>
    <w:p w14:paraId="268B5696">
      <w:pPr>
        <w:adjustRightInd w:val="0"/>
        <w:snapToGrid w:val="0"/>
        <w:spacing w:line="360" w:lineRule="auto"/>
        <w:ind w:firstLine="420" w:firstLineChars="200"/>
        <w:rPr>
          <w:rFonts w:ascii="宋体" w:hAnsi="宋体" w:cs="仿宋_GB2312"/>
          <w:color w:val="auto"/>
          <w:szCs w:val="21"/>
          <w:highlight w:val="none"/>
        </w:rPr>
      </w:pPr>
      <w:r>
        <w:rPr>
          <w:rFonts w:hint="eastAsia" w:ascii="宋体" w:hAnsi="宋体" w:cs="宋体"/>
          <w:color w:val="auto"/>
          <w:szCs w:val="21"/>
          <w:highlight w:val="none"/>
        </w:rPr>
        <w:t>质保期      年。（自交货验收合格之日起计）</w:t>
      </w:r>
    </w:p>
    <w:p w14:paraId="28011361">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九、交付期、交付方式及交付地点</w:t>
      </w:r>
    </w:p>
    <w:p w14:paraId="2F52E4DF">
      <w:pPr>
        <w:pStyle w:val="10"/>
        <w:snapToGrid w:val="0"/>
        <w:spacing w:before="120" w:after="120" w:line="360" w:lineRule="auto"/>
        <w:ind w:firstLine="420" w:firstLineChars="200"/>
        <w:rPr>
          <w:rFonts w:hAnsi="宋体"/>
          <w:b/>
          <w:color w:val="auto"/>
          <w:highlight w:val="none"/>
        </w:rPr>
      </w:pPr>
      <w:r>
        <w:rPr>
          <w:rFonts w:hAnsi="宋体"/>
          <w:color w:val="auto"/>
          <w:highlight w:val="none"/>
          <w:lang w:val="zh-CN"/>
        </w:rPr>
        <w:t>项目完成时间按照</w:t>
      </w:r>
      <w:r>
        <w:rPr>
          <w:rFonts w:hint="eastAsia" w:hAnsi="宋体"/>
          <w:color w:val="auto"/>
          <w:highlight w:val="none"/>
          <w:lang w:val="zh-CN"/>
        </w:rPr>
        <w:t>招标</w:t>
      </w:r>
      <w:r>
        <w:rPr>
          <w:rFonts w:hAnsi="宋体"/>
          <w:color w:val="auto"/>
          <w:highlight w:val="none"/>
          <w:lang w:val="zh-CN"/>
        </w:rPr>
        <w:t>、投标文件规定执行，交付地点由</w:t>
      </w:r>
      <w:r>
        <w:rPr>
          <w:rFonts w:hint="eastAsia" w:hAnsi="宋体"/>
          <w:color w:val="auto"/>
          <w:highlight w:val="none"/>
          <w:lang w:val="zh-CN"/>
        </w:rPr>
        <w:t>甲方</w:t>
      </w:r>
      <w:r>
        <w:rPr>
          <w:rFonts w:hAnsi="宋体"/>
          <w:color w:val="auto"/>
          <w:highlight w:val="none"/>
          <w:lang w:val="zh-CN"/>
        </w:rPr>
        <w:t>指定。</w:t>
      </w:r>
    </w:p>
    <w:p w14:paraId="7DF299AB">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十、货款支付</w:t>
      </w:r>
    </w:p>
    <w:p w14:paraId="29926F62">
      <w:pPr>
        <w:spacing w:line="360" w:lineRule="auto"/>
        <w:ind w:firstLine="420"/>
        <w:rPr>
          <w:rFonts w:ascii="宋体" w:hAnsi="宋体"/>
          <w:color w:val="auto"/>
          <w:szCs w:val="21"/>
          <w:highlight w:val="none"/>
        </w:rPr>
      </w:pPr>
      <w:r>
        <w:rPr>
          <w:rFonts w:hint="eastAsia" w:ascii="宋体" w:hAnsi="宋体"/>
          <w:color w:val="auto"/>
          <w:szCs w:val="21"/>
          <w:highlight w:val="none"/>
        </w:rPr>
        <w:t xml:space="preserve">10.1 本合同项下所有款项均以人民币支付。 </w:t>
      </w:r>
    </w:p>
    <w:p w14:paraId="19307001">
      <w:pPr>
        <w:spacing w:line="360" w:lineRule="auto"/>
        <w:ind w:firstLine="420"/>
        <w:rPr>
          <w:rFonts w:ascii="宋体" w:hAnsi="宋体"/>
          <w:color w:val="auto"/>
          <w:szCs w:val="21"/>
          <w:highlight w:val="none"/>
        </w:rPr>
      </w:pPr>
      <w:r>
        <w:rPr>
          <w:rFonts w:hint="eastAsia" w:ascii="宋体" w:hAnsi="宋体"/>
          <w:color w:val="auto"/>
          <w:szCs w:val="21"/>
          <w:highlight w:val="none"/>
        </w:rPr>
        <w:t>10.2 本合同项下的采购资金由甲方支付，付款前乙方向甲方开具发票。</w:t>
      </w:r>
    </w:p>
    <w:p w14:paraId="368C2FE5">
      <w:pPr>
        <w:spacing w:line="360" w:lineRule="auto"/>
        <w:ind w:firstLine="420"/>
        <w:rPr>
          <w:rFonts w:ascii="宋体" w:hAnsi="宋体" w:cs="宋体"/>
          <w:b/>
          <w:color w:val="auto"/>
          <w:szCs w:val="21"/>
          <w:highlight w:val="none"/>
        </w:rPr>
      </w:pPr>
      <w:r>
        <w:rPr>
          <w:rFonts w:hint="eastAsia" w:ascii="宋体" w:hAnsi="宋体"/>
          <w:color w:val="auto"/>
          <w:szCs w:val="21"/>
          <w:highlight w:val="none"/>
        </w:rPr>
        <w:t>10.3 甲方付款方式：</w:t>
      </w:r>
      <w:r>
        <w:rPr>
          <w:rFonts w:hint="eastAsia"/>
          <w:color w:val="auto"/>
          <w:szCs w:val="21"/>
          <w:highlight w:val="none"/>
        </w:rPr>
        <w:t>合同签订后，甲方自收到乙方发票之日起15日内，支付合同价的30%作为预付款。货物运送到采购方指定地点，且安装、调试、培训到位，并经验收合格后，甲方自收到乙方发票之日起15日内一次性付清余款。</w:t>
      </w:r>
    </w:p>
    <w:p w14:paraId="3C04A580">
      <w:pPr>
        <w:pStyle w:val="4"/>
        <w:rPr>
          <w:rFonts w:ascii="宋体" w:hAnsi="宋体" w:cs="宋体"/>
          <w:color w:val="auto"/>
          <w:highlight w:val="none"/>
        </w:rPr>
      </w:pPr>
      <w:r>
        <w:rPr>
          <w:rFonts w:hint="eastAsia" w:ascii="宋体" w:hAnsi="宋体" w:cs="宋体"/>
          <w:color w:val="auto"/>
          <w:szCs w:val="21"/>
          <w:highlight w:val="none"/>
        </w:rPr>
        <w:t>10.4本项目采用</w:t>
      </w:r>
      <w:r>
        <w:rPr>
          <w:rFonts w:hint="eastAsia" w:ascii="宋体" w:hAnsi="宋体" w:cs="宋体"/>
          <w:color w:val="auto"/>
          <w:szCs w:val="21"/>
          <w:highlight w:val="none"/>
          <w:lang w:val="en-US" w:eastAsia="zh-CN"/>
        </w:rPr>
        <w:t>总价</w:t>
      </w:r>
      <w:r>
        <w:rPr>
          <w:rFonts w:hint="eastAsia" w:ascii="宋体" w:hAnsi="宋体" w:cs="宋体"/>
          <w:color w:val="auto"/>
          <w:szCs w:val="21"/>
          <w:highlight w:val="none"/>
        </w:rPr>
        <w:t>合同。</w:t>
      </w:r>
    </w:p>
    <w:p w14:paraId="41B50F16">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十一、税费</w:t>
      </w:r>
    </w:p>
    <w:p w14:paraId="2388E24C">
      <w:pPr>
        <w:pStyle w:val="36"/>
        <w:spacing w:before="120" w:after="120" w:line="360" w:lineRule="auto"/>
        <w:ind w:firstLine="420"/>
        <w:rPr>
          <w:rFonts w:hAnsi="宋体"/>
          <w:color w:val="auto"/>
          <w:sz w:val="21"/>
          <w:szCs w:val="21"/>
          <w:highlight w:val="none"/>
          <w:lang w:eastAsia="zh-CN"/>
        </w:rPr>
      </w:pPr>
      <w:r>
        <w:rPr>
          <w:rFonts w:hint="eastAsia" w:hAnsi="宋体"/>
          <w:color w:val="auto"/>
          <w:sz w:val="21"/>
          <w:szCs w:val="21"/>
          <w:highlight w:val="none"/>
          <w:lang w:eastAsia="zh-CN"/>
        </w:rPr>
        <w:t>本合同执行中相关的一切税费均由乙方负担。</w:t>
      </w:r>
    </w:p>
    <w:p w14:paraId="5E6E8F45">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十二、质量保证及售后服务</w:t>
      </w:r>
    </w:p>
    <w:p w14:paraId="1512F04E">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12.1 乙方应按招标文件规定的货物及服务性能、技术要求、质量标准向甲方提供。</w:t>
      </w:r>
    </w:p>
    <w:p w14:paraId="73CBD937">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12.2 乙方提供的货物及服务在质量期内因服务及产品本身的质量问题发生故障，乙方应负责免费更换。对达不到技术要求者，根据实际情况，经双方协商，可按以下办法处理：</w:t>
      </w:r>
    </w:p>
    <w:p w14:paraId="6AAAB6F2">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⑴更换：由乙方承担所发生的全部费用。</w:t>
      </w:r>
    </w:p>
    <w:p w14:paraId="25D16514">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⑵贬值处理：由甲乙双方合议定价。</w:t>
      </w:r>
    </w:p>
    <w:p w14:paraId="195C81DD">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⑶退还处理：乙方应退还甲方支付的合同款，同时应承担该货物及服务的直接费用（运输、保险、检验、款项利息及银行手续费等）。</w:t>
      </w:r>
    </w:p>
    <w:p w14:paraId="1C6250CD">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12.3 如在使用过程中发生质量问题，乙方在接到甲方通知后在______小时内到达甲方现场。</w:t>
      </w:r>
    </w:p>
    <w:p w14:paraId="7037553D">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12.4 在质保期内，乙方应对货物及服务出现的质量及安全问题负责处理解决并承担一切费用。</w:t>
      </w:r>
    </w:p>
    <w:p w14:paraId="499A603B">
      <w:pPr>
        <w:pStyle w:val="10"/>
        <w:snapToGrid w:val="0"/>
        <w:spacing w:before="120" w:after="120" w:line="360" w:lineRule="auto"/>
        <w:ind w:firstLine="420" w:firstLineChars="200"/>
        <w:rPr>
          <w:rFonts w:hAnsi="宋体"/>
          <w:color w:val="auto"/>
          <w:highlight w:val="none"/>
        </w:rPr>
      </w:pPr>
      <w:r>
        <w:rPr>
          <w:rFonts w:hint="eastAsia" w:hAnsi="宋体" w:cs="宋体"/>
          <w:color w:val="auto"/>
          <w:highlight w:val="none"/>
        </w:rPr>
        <w:t xml:space="preserve">12.5上述的货物及服务免费保修期为 </w:t>
      </w:r>
      <w:r>
        <w:rPr>
          <w:rFonts w:hint="eastAsia" w:hAnsi="宋体" w:cs="宋体"/>
          <w:color w:val="auto"/>
          <w:highlight w:val="none"/>
          <w:u w:val="single"/>
        </w:rPr>
        <w:t xml:space="preserve">      </w:t>
      </w:r>
      <w:r>
        <w:rPr>
          <w:rFonts w:hint="eastAsia" w:hAnsi="宋体" w:cs="宋体"/>
          <w:color w:val="auto"/>
          <w:highlight w:val="none"/>
        </w:rPr>
        <w:t>年，因人为因素出现的故障不在免费保修范围内。超过保修期的机器设备，终生维修，维修时只收部件成本费。</w:t>
      </w:r>
    </w:p>
    <w:p w14:paraId="29A351BB">
      <w:pPr>
        <w:pStyle w:val="36"/>
        <w:spacing w:before="120" w:after="120" w:line="360" w:lineRule="auto"/>
        <w:ind w:firstLine="422"/>
        <w:rPr>
          <w:rFonts w:hAnsi="宋体"/>
          <w:b/>
          <w:bCs/>
          <w:color w:val="auto"/>
          <w:sz w:val="21"/>
          <w:szCs w:val="21"/>
          <w:highlight w:val="none"/>
          <w:lang w:eastAsia="zh-CN"/>
        </w:rPr>
      </w:pPr>
      <w:r>
        <w:rPr>
          <w:rFonts w:hint="eastAsia" w:hAnsi="宋体"/>
          <w:b/>
          <w:bCs/>
          <w:color w:val="auto"/>
          <w:sz w:val="21"/>
          <w:szCs w:val="21"/>
          <w:highlight w:val="none"/>
          <w:lang w:eastAsia="zh-CN"/>
        </w:rPr>
        <w:t>十三、调试和验收</w:t>
      </w:r>
    </w:p>
    <w:p w14:paraId="4781D8C1">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13.1 甲方对乙方提交的货物及服务依据招标文件上的技术规格要求和国家有关质量标准进行现场初步验收，外观、说明书符合招标文件技术要求的，给予签收，初步验收不合格的不予签收。交付后，甲方需在五个工作日内验收。</w:t>
      </w:r>
    </w:p>
    <w:p w14:paraId="063B4FF1">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13.2 乙方交付前应对货物及服务作出全面检查和对验收文件进行整理，并列出清单，作为甲方交付验收和使用的技术条件依据，检验的结果应随货物及服务交甲方。</w:t>
      </w:r>
    </w:p>
    <w:p w14:paraId="2AFEF1FC">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13.3 甲方对乙方提供的货物及服务在使用前进行调试时，乙方需负责安装并培训甲方的使用操作人员，并协助甲方一起调试，直到符合技术要求，甲方才做最终验收。</w:t>
      </w:r>
    </w:p>
    <w:p w14:paraId="58F7F847">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13.4 对技术复杂的货物及服务，甲方可请国家认可的专业检测机构参与初步验收及最终验收，并由其出具质量检测报告。</w:t>
      </w:r>
    </w:p>
    <w:p w14:paraId="4ABDAEAC">
      <w:pPr>
        <w:pStyle w:val="36"/>
        <w:spacing w:before="120" w:after="120" w:line="360" w:lineRule="auto"/>
        <w:ind w:firstLine="420"/>
        <w:rPr>
          <w:rFonts w:hAnsi="宋体"/>
          <w:color w:val="auto"/>
          <w:sz w:val="21"/>
          <w:szCs w:val="21"/>
          <w:highlight w:val="none"/>
          <w:lang w:eastAsia="zh-CN"/>
        </w:rPr>
      </w:pPr>
      <w:r>
        <w:rPr>
          <w:rFonts w:hint="eastAsia" w:hAnsi="宋体" w:cs="宋体"/>
          <w:color w:val="auto"/>
          <w:sz w:val="21"/>
          <w:szCs w:val="21"/>
          <w:highlight w:val="none"/>
          <w:lang w:eastAsia="zh-CN"/>
        </w:rPr>
        <w:t>13.5 验收时乙方必须在现场，验收完毕后作出验收结果报告；验收费用由甲乙双方协商解决。</w:t>
      </w:r>
    </w:p>
    <w:p w14:paraId="7BAC150E">
      <w:pPr>
        <w:pStyle w:val="10"/>
        <w:snapToGrid w:val="0"/>
        <w:spacing w:before="120" w:after="120" w:line="360" w:lineRule="auto"/>
        <w:ind w:firstLine="422" w:firstLineChars="200"/>
        <w:rPr>
          <w:rFonts w:hAnsi="宋体" w:cs="宋体"/>
          <w:b/>
          <w:bCs/>
          <w:color w:val="auto"/>
          <w:highlight w:val="none"/>
        </w:rPr>
      </w:pPr>
      <w:r>
        <w:rPr>
          <w:rFonts w:hint="eastAsia" w:hAnsi="宋体" w:cs="宋体"/>
          <w:b/>
          <w:bCs/>
          <w:color w:val="auto"/>
          <w:highlight w:val="none"/>
        </w:rPr>
        <w:t>十四、货物及服务包装、发运及运输</w:t>
      </w:r>
    </w:p>
    <w:p w14:paraId="2EC7FB64">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14.1 乙方应在货物及服务发运前对其进行满足运输距离、防潮、防震、防锈和防破损装卸等要求包装，以保证货物及服务安全运达甲方指定地点。</w:t>
      </w:r>
    </w:p>
    <w:p w14:paraId="1D81CFAC">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14.2 使用说明书、质量检验证明书、随配附件和工具以及清单一并交付甲方。</w:t>
      </w:r>
    </w:p>
    <w:p w14:paraId="51E8E92B">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14.3 乙方在货物及服务发运手续办理完毕后24小时内或交付到甲方48小时前通知甲方，以准备接受交付。</w:t>
      </w:r>
    </w:p>
    <w:p w14:paraId="20760008">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14.4 货物在交付甲方前发生的风险均由乙方负责。</w:t>
      </w:r>
    </w:p>
    <w:p w14:paraId="61634585">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14.5 货物及服务在规定的交付期限内由乙方送达甲方指定的地点视为交付，乙方同时需通知甲方货物及服务已送达。</w:t>
      </w:r>
    </w:p>
    <w:p w14:paraId="55EC5987">
      <w:pPr>
        <w:pStyle w:val="10"/>
        <w:snapToGrid w:val="0"/>
        <w:spacing w:before="120" w:after="120" w:line="360" w:lineRule="auto"/>
        <w:ind w:firstLine="422" w:firstLineChars="200"/>
        <w:rPr>
          <w:rFonts w:hAnsi="宋体" w:cs="宋体"/>
          <w:b/>
          <w:bCs/>
          <w:color w:val="auto"/>
          <w:highlight w:val="none"/>
        </w:rPr>
      </w:pPr>
      <w:r>
        <w:rPr>
          <w:rFonts w:hint="eastAsia" w:hAnsi="宋体" w:cs="宋体"/>
          <w:b/>
          <w:bCs/>
          <w:color w:val="auto"/>
          <w:highlight w:val="none"/>
        </w:rPr>
        <w:t>十五、违约责任</w:t>
      </w:r>
    </w:p>
    <w:p w14:paraId="0E99E8D9">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15.1 甲方无正当理由拒收货物及服务的，甲方向乙方偿付拒收款项总值的百分之五违约金。</w:t>
      </w:r>
    </w:p>
    <w:p w14:paraId="1DF81E1D">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15.2 甲方无故逾期验收和办理款项支付手续的,甲方应按逾期付款总额每日万分之五向乙方支付违约金。</w:t>
      </w:r>
    </w:p>
    <w:p w14:paraId="65BEC19C">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 xml:space="preserve">15.3 乙方逾期交付货物及服务的，乙方应按逾期交付总额每日千分之六向甲方支付违约金，由甲方从待付款项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14:paraId="568E5153">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15.4 乙方所交的货物及服务数量、质量不符合合同规定及招标文件规定标准的，甲方有权拒收该货物及服务，乙方愿意更换货物及服务但逾期交付的，按乙方逾期交付处理。乙方拒绝更换货物及服务的，甲方可单方面解除合同。</w:t>
      </w:r>
    </w:p>
    <w:p w14:paraId="3B110592">
      <w:pPr>
        <w:pStyle w:val="10"/>
        <w:snapToGrid w:val="0"/>
        <w:spacing w:before="120" w:after="120" w:line="360" w:lineRule="auto"/>
        <w:ind w:firstLine="422" w:firstLineChars="200"/>
        <w:rPr>
          <w:rFonts w:hAnsi="宋体" w:cs="宋体"/>
          <w:b/>
          <w:bCs/>
          <w:color w:val="auto"/>
          <w:highlight w:val="none"/>
        </w:rPr>
      </w:pPr>
      <w:r>
        <w:rPr>
          <w:rFonts w:hint="eastAsia" w:hAnsi="宋体" w:cs="宋体"/>
          <w:b/>
          <w:bCs/>
          <w:color w:val="auto"/>
          <w:highlight w:val="none"/>
        </w:rPr>
        <w:t>十六、不可抗力事件处理</w:t>
      </w:r>
    </w:p>
    <w:p w14:paraId="6F392293">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16.1 在合同有效期内，任何一方因不可抗力事件导致不能履行合同，则合同履行期可延长，其延长期与不可抗力影响期相同。</w:t>
      </w:r>
    </w:p>
    <w:p w14:paraId="5D837883">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16.2 不可抗力事件发生后，应立即通知对方，并寄送有关权威机构出具的证明。</w:t>
      </w:r>
    </w:p>
    <w:p w14:paraId="445DBECB">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16.3 不可抗力事件延续120天以上，双方应通过友好协商，确定是否继续履行合同。</w:t>
      </w:r>
    </w:p>
    <w:p w14:paraId="38C9271E">
      <w:pPr>
        <w:pStyle w:val="10"/>
        <w:snapToGrid w:val="0"/>
        <w:spacing w:before="120" w:after="120" w:line="360" w:lineRule="auto"/>
        <w:ind w:firstLine="422" w:firstLineChars="200"/>
        <w:rPr>
          <w:rFonts w:hAnsi="宋体" w:cs="宋体"/>
          <w:b/>
          <w:bCs/>
          <w:color w:val="auto"/>
          <w:highlight w:val="none"/>
        </w:rPr>
      </w:pPr>
      <w:r>
        <w:rPr>
          <w:rFonts w:hint="eastAsia" w:hAnsi="宋体" w:cs="宋体"/>
          <w:b/>
          <w:bCs/>
          <w:color w:val="auto"/>
          <w:highlight w:val="none"/>
        </w:rPr>
        <w:t>十七、诉讼</w:t>
      </w:r>
    </w:p>
    <w:p w14:paraId="3566FB4F">
      <w:pPr>
        <w:pStyle w:val="10"/>
        <w:snapToGrid w:val="0"/>
        <w:spacing w:before="120" w:after="120" w:line="360" w:lineRule="auto"/>
        <w:ind w:firstLine="420" w:firstLineChars="200"/>
        <w:rPr>
          <w:rFonts w:hAnsi="宋体" w:cs="宋体"/>
          <w:color w:val="auto"/>
          <w:highlight w:val="none"/>
        </w:rPr>
      </w:pPr>
      <w:r>
        <w:rPr>
          <w:rFonts w:hint="eastAsia" w:hAnsi="宋体" w:cs="宋体"/>
          <w:color w:val="auto"/>
          <w:highlight w:val="none"/>
        </w:rPr>
        <w:t>17.1 双方在执行合同中所发生的一切争议，应通过协商解决。如协商不成，可向合同签订地法院起诉，合同签订地在此约定为扬州市江都区。</w:t>
      </w:r>
    </w:p>
    <w:p w14:paraId="51CE4BDF">
      <w:pPr>
        <w:spacing w:line="360" w:lineRule="auto"/>
        <w:ind w:firstLine="422" w:firstLineChars="200"/>
        <w:rPr>
          <w:rFonts w:ascii="宋体" w:hAnsi="宋体" w:cs="宋体"/>
          <w:color w:val="auto"/>
          <w:szCs w:val="21"/>
          <w:highlight w:val="none"/>
        </w:rPr>
      </w:pPr>
      <w:r>
        <w:rPr>
          <w:rFonts w:hint="eastAsia" w:ascii="宋体" w:hAnsi="宋体" w:cs="宋体"/>
          <w:b/>
          <w:bCs/>
          <w:color w:val="auto"/>
          <w:szCs w:val="21"/>
          <w:highlight w:val="none"/>
        </w:rPr>
        <w:t>十八、</w:t>
      </w:r>
      <w:r>
        <w:rPr>
          <w:rFonts w:hint="eastAsia" w:ascii="宋体" w:hAnsi="宋体" w:cs="宋体"/>
          <w:color w:val="auto"/>
          <w:szCs w:val="21"/>
          <w:highlight w:val="none"/>
        </w:rPr>
        <w:t>为提升政府采购供应商的融资可得性，解决中小企业融资难问题，中国人民银行、市财政局、扬州市公共资源交易中心江都分中心推出了政府采购线上应收账款融资模式。各供应商如果有融资需求，可以凭借政府采购中标（成交）通知书或政府采购合同，通过中国人民银行征信中心“中征应收账款融资服务平台（www.crcrfsp.com）”向参与政府采购融资业务的金融机构申请线上融资，相关事宜可向中国人民银行江都支行咨询，联系电话：</w:t>
      </w:r>
      <w:r>
        <w:rPr>
          <w:rFonts w:hint="eastAsia" w:ascii="宋体" w:hAnsi="宋体"/>
          <w:color w:val="auto"/>
          <w:szCs w:val="21"/>
          <w:highlight w:val="none"/>
        </w:rPr>
        <w:t>13813140731</w:t>
      </w:r>
      <w:r>
        <w:rPr>
          <w:rFonts w:hint="eastAsia" w:ascii="宋体" w:hAnsi="宋体" w:cs="宋体"/>
          <w:color w:val="auto"/>
          <w:szCs w:val="21"/>
          <w:highlight w:val="none"/>
        </w:rPr>
        <w:t>。</w:t>
      </w:r>
    </w:p>
    <w:p w14:paraId="641E5532">
      <w:pPr>
        <w:pStyle w:val="37"/>
        <w:spacing w:before="120" w:after="120" w:line="360" w:lineRule="auto"/>
        <w:ind w:left="315" w:firstLine="105"/>
        <w:rPr>
          <w:rFonts w:hAnsi="宋体" w:cs="宋体"/>
          <w:b/>
          <w:bCs/>
          <w:color w:val="auto"/>
          <w:sz w:val="21"/>
          <w:highlight w:val="none"/>
        </w:rPr>
      </w:pPr>
      <w:r>
        <w:rPr>
          <w:rFonts w:hint="eastAsia" w:hAnsi="宋体" w:cs="宋体"/>
          <w:b/>
          <w:bCs/>
          <w:color w:val="auto"/>
          <w:sz w:val="21"/>
          <w:highlight w:val="none"/>
        </w:rPr>
        <w:t>十九、合同其它</w:t>
      </w:r>
    </w:p>
    <w:p w14:paraId="536850C7">
      <w:pPr>
        <w:pStyle w:val="37"/>
        <w:spacing w:before="120" w:after="120" w:line="360" w:lineRule="auto"/>
        <w:ind w:firstLine="420"/>
        <w:rPr>
          <w:rFonts w:hAnsi="宋体" w:cs="宋体"/>
          <w:color w:val="auto"/>
          <w:sz w:val="21"/>
          <w:highlight w:val="none"/>
        </w:rPr>
      </w:pPr>
      <w:r>
        <w:rPr>
          <w:rFonts w:hint="eastAsia" w:hAnsi="宋体" w:cs="宋体"/>
          <w:color w:val="auto"/>
          <w:sz w:val="21"/>
          <w:highlight w:val="none"/>
        </w:rPr>
        <w:t>19.1 乙方应诚实信用，严格按照招标文件要求和投标承诺履行合同，不向甲方进行商业贿赂或者提供不正当利益。</w:t>
      </w:r>
    </w:p>
    <w:p w14:paraId="70149C3B">
      <w:pPr>
        <w:pStyle w:val="37"/>
        <w:spacing w:before="120" w:after="120" w:line="360" w:lineRule="auto"/>
        <w:ind w:firstLine="420"/>
        <w:rPr>
          <w:rFonts w:hAnsi="宋体" w:cs="宋体"/>
          <w:color w:val="auto"/>
          <w:sz w:val="21"/>
          <w:highlight w:val="none"/>
          <w:u w:val="single"/>
        </w:rPr>
      </w:pPr>
      <w:r>
        <w:rPr>
          <w:rFonts w:hint="eastAsia" w:hAnsi="宋体" w:cs="宋体"/>
          <w:color w:val="auto"/>
          <w:sz w:val="21"/>
          <w:highlight w:val="none"/>
        </w:rPr>
        <w:t>19.2 合同经双方法定代表人或授权代表签字并加盖单位公章后生效。</w:t>
      </w:r>
    </w:p>
    <w:p w14:paraId="4215A857">
      <w:pPr>
        <w:pStyle w:val="37"/>
        <w:spacing w:before="120" w:after="120" w:line="360" w:lineRule="auto"/>
        <w:ind w:firstLine="420"/>
        <w:rPr>
          <w:rFonts w:hAnsi="宋体" w:cs="宋体"/>
          <w:color w:val="auto"/>
          <w:sz w:val="21"/>
          <w:highlight w:val="none"/>
          <w:u w:val="single"/>
        </w:rPr>
      </w:pPr>
      <w:r>
        <w:rPr>
          <w:rFonts w:hint="eastAsia" w:hAnsi="宋体" w:cs="宋体"/>
          <w:color w:val="auto"/>
          <w:sz w:val="21"/>
          <w:highlight w:val="none"/>
        </w:rPr>
        <w:t>19.3本合同未尽事宜，遵照《民法典》有关条文执行。</w:t>
      </w:r>
    </w:p>
    <w:p w14:paraId="40147CB2">
      <w:pPr>
        <w:pStyle w:val="36"/>
        <w:spacing w:before="120" w:after="120" w:line="360" w:lineRule="auto"/>
        <w:ind w:firstLine="420"/>
        <w:rPr>
          <w:rFonts w:hAnsi="宋体"/>
          <w:color w:val="auto"/>
          <w:sz w:val="21"/>
          <w:szCs w:val="21"/>
          <w:highlight w:val="none"/>
          <w:lang w:eastAsia="zh-CN"/>
        </w:rPr>
      </w:pPr>
      <w:r>
        <w:rPr>
          <w:rFonts w:hint="eastAsia" w:hAnsi="宋体" w:cs="宋体"/>
          <w:color w:val="auto"/>
          <w:sz w:val="21"/>
          <w:highlight w:val="none"/>
          <w:lang w:eastAsia="zh-CN"/>
        </w:rPr>
        <w:t>19.4本合同正本一式伍份，具有同等法律效力，甲方、乙方各执贰份、见证方执壹份。</w:t>
      </w:r>
      <w:r>
        <w:rPr>
          <w:rFonts w:hint="eastAsia" w:hAnsi="宋体"/>
          <w:color w:val="auto"/>
          <w:sz w:val="21"/>
          <w:szCs w:val="21"/>
          <w:highlight w:val="none"/>
          <w:lang w:eastAsia="zh-CN"/>
        </w:rPr>
        <w:t xml:space="preserve">  </w:t>
      </w:r>
    </w:p>
    <w:p w14:paraId="3A312133">
      <w:pPr>
        <w:pStyle w:val="37"/>
        <w:spacing w:before="120" w:after="120" w:line="400" w:lineRule="exact"/>
        <w:ind w:firstLine="210"/>
        <w:rPr>
          <w:rFonts w:hAnsi="宋体"/>
          <w:color w:val="auto"/>
          <w:sz w:val="21"/>
          <w:highlight w:val="none"/>
        </w:rPr>
      </w:pPr>
    </w:p>
    <w:p w14:paraId="05403884">
      <w:pPr>
        <w:pStyle w:val="37"/>
        <w:spacing w:before="120" w:after="120" w:line="400" w:lineRule="exact"/>
        <w:ind w:firstLine="210"/>
        <w:rPr>
          <w:rFonts w:hAnsi="宋体"/>
          <w:color w:val="auto"/>
          <w:sz w:val="21"/>
          <w:highlight w:val="none"/>
        </w:rPr>
      </w:pPr>
      <w:r>
        <w:rPr>
          <w:rFonts w:hAnsi="宋体"/>
          <w:color w:val="auto"/>
          <w:sz w:val="21"/>
          <w:highlight w:val="none"/>
        </w:rPr>
        <w:t>甲方：</w:t>
      </w:r>
      <w:r>
        <w:rPr>
          <w:rFonts w:hint="eastAsia" w:hAnsi="宋体"/>
          <w:color w:val="auto"/>
          <w:sz w:val="21"/>
          <w:highlight w:val="none"/>
        </w:rPr>
        <w:t xml:space="preserve">（公章）                </w:t>
      </w:r>
      <w:r>
        <w:rPr>
          <w:rFonts w:hAnsi="宋体"/>
          <w:color w:val="auto"/>
          <w:sz w:val="21"/>
          <w:highlight w:val="none"/>
        </w:rPr>
        <w:tab/>
      </w:r>
      <w:r>
        <w:rPr>
          <w:rFonts w:hAnsi="宋体"/>
          <w:color w:val="auto"/>
          <w:sz w:val="21"/>
          <w:highlight w:val="none"/>
        </w:rPr>
        <w:tab/>
      </w:r>
      <w:r>
        <w:rPr>
          <w:rFonts w:hAnsi="宋体"/>
          <w:color w:val="auto"/>
          <w:sz w:val="21"/>
          <w:highlight w:val="none"/>
        </w:rPr>
        <w:t xml:space="preserve">    乙方： </w:t>
      </w:r>
      <w:r>
        <w:rPr>
          <w:rFonts w:hint="eastAsia" w:hAnsi="宋体"/>
          <w:color w:val="auto"/>
          <w:sz w:val="21"/>
          <w:highlight w:val="none"/>
        </w:rPr>
        <w:t>（公章）</w:t>
      </w:r>
    </w:p>
    <w:p w14:paraId="275E39AF">
      <w:pPr>
        <w:pStyle w:val="37"/>
        <w:spacing w:before="120" w:after="120" w:line="400" w:lineRule="exact"/>
        <w:ind w:firstLine="210"/>
        <w:rPr>
          <w:rFonts w:hAnsi="宋体"/>
          <w:color w:val="auto"/>
          <w:sz w:val="21"/>
          <w:highlight w:val="none"/>
        </w:rPr>
      </w:pPr>
      <w:r>
        <w:rPr>
          <w:rFonts w:hAnsi="宋体"/>
          <w:color w:val="auto"/>
          <w:sz w:val="21"/>
          <w:highlight w:val="none"/>
        </w:rPr>
        <w:t>法定代表人</w:t>
      </w:r>
      <w:r>
        <w:rPr>
          <w:rFonts w:hint="eastAsia" w:hAnsi="宋体"/>
          <w:color w:val="auto"/>
          <w:sz w:val="21"/>
          <w:highlight w:val="none"/>
        </w:rPr>
        <w:t xml:space="preserve">                                </w:t>
      </w:r>
      <w:r>
        <w:rPr>
          <w:rFonts w:hAnsi="宋体"/>
          <w:color w:val="auto"/>
          <w:sz w:val="21"/>
          <w:highlight w:val="none"/>
        </w:rPr>
        <w:t>法定代表人</w:t>
      </w:r>
    </w:p>
    <w:p w14:paraId="7056235F">
      <w:pPr>
        <w:pStyle w:val="37"/>
        <w:spacing w:before="120" w:after="120" w:line="400" w:lineRule="exact"/>
        <w:ind w:firstLine="210"/>
        <w:rPr>
          <w:rFonts w:hAnsi="宋体"/>
          <w:color w:val="auto"/>
          <w:sz w:val="21"/>
          <w:highlight w:val="none"/>
        </w:rPr>
      </w:pPr>
      <w:r>
        <w:rPr>
          <w:rFonts w:hAnsi="宋体"/>
          <w:color w:val="auto"/>
          <w:sz w:val="21"/>
          <w:highlight w:val="none"/>
        </w:rPr>
        <w:t xml:space="preserve">或授权代表：                    </w:t>
      </w:r>
      <w:r>
        <w:rPr>
          <w:rFonts w:hint="eastAsia" w:hAnsi="宋体"/>
          <w:color w:val="auto"/>
          <w:sz w:val="21"/>
          <w:highlight w:val="none"/>
        </w:rPr>
        <w:t xml:space="preserve">          </w:t>
      </w:r>
      <w:r>
        <w:rPr>
          <w:rFonts w:hAnsi="宋体"/>
          <w:color w:val="auto"/>
          <w:sz w:val="21"/>
          <w:highlight w:val="none"/>
        </w:rPr>
        <w:t>或授权代表：</w:t>
      </w:r>
    </w:p>
    <w:p w14:paraId="0B7ECA5A">
      <w:pPr>
        <w:pStyle w:val="37"/>
        <w:spacing w:before="120" w:after="120" w:line="400" w:lineRule="exact"/>
        <w:ind w:firstLine="210"/>
        <w:rPr>
          <w:rFonts w:hAnsi="宋体"/>
          <w:color w:val="auto"/>
          <w:sz w:val="21"/>
          <w:highlight w:val="none"/>
        </w:rPr>
      </w:pPr>
      <w:r>
        <w:rPr>
          <w:rFonts w:hAnsi="宋体"/>
          <w:color w:val="auto"/>
          <w:sz w:val="21"/>
          <w:highlight w:val="none"/>
        </w:rPr>
        <w:t>地址：                                    地址：</w:t>
      </w:r>
    </w:p>
    <w:p w14:paraId="7A07BBEB">
      <w:pPr>
        <w:pStyle w:val="37"/>
        <w:spacing w:before="120" w:after="120" w:line="400" w:lineRule="exact"/>
        <w:ind w:firstLine="210"/>
        <w:rPr>
          <w:rFonts w:hAnsi="宋体"/>
          <w:color w:val="auto"/>
          <w:sz w:val="21"/>
          <w:highlight w:val="none"/>
        </w:rPr>
      </w:pPr>
      <w:r>
        <w:rPr>
          <w:rFonts w:hAnsi="宋体"/>
          <w:color w:val="auto"/>
          <w:sz w:val="21"/>
          <w:highlight w:val="none"/>
        </w:rPr>
        <w:t>联系电话：                                联系电话：</w:t>
      </w:r>
    </w:p>
    <w:p w14:paraId="5D5F84DB">
      <w:pPr>
        <w:pStyle w:val="37"/>
        <w:spacing w:before="120" w:after="120" w:line="400" w:lineRule="exact"/>
        <w:ind w:firstLine="210"/>
        <w:rPr>
          <w:rFonts w:hAnsi="宋体"/>
          <w:color w:val="auto"/>
          <w:sz w:val="21"/>
          <w:highlight w:val="none"/>
        </w:rPr>
      </w:pPr>
      <w:r>
        <w:rPr>
          <w:rFonts w:hint="eastAsia" w:hAnsi="宋体"/>
          <w:color w:val="auto"/>
          <w:sz w:val="21"/>
          <w:highlight w:val="none"/>
        </w:rPr>
        <w:t>账 号：                                   账 号：</w:t>
      </w:r>
    </w:p>
    <w:p w14:paraId="0A23CBD2">
      <w:pPr>
        <w:pStyle w:val="37"/>
        <w:spacing w:before="120" w:after="120" w:line="400" w:lineRule="exact"/>
        <w:ind w:firstLine="210"/>
        <w:rPr>
          <w:rFonts w:hAnsi="宋体"/>
          <w:color w:val="auto"/>
          <w:sz w:val="21"/>
          <w:highlight w:val="none"/>
        </w:rPr>
      </w:pPr>
      <w:r>
        <w:rPr>
          <w:rFonts w:hint="eastAsia" w:hAnsi="宋体"/>
          <w:color w:val="auto"/>
          <w:sz w:val="21"/>
          <w:highlight w:val="none"/>
        </w:rPr>
        <w:t>开户银行:                                 开户银行：</w:t>
      </w:r>
    </w:p>
    <w:p w14:paraId="6CCBA86B">
      <w:pPr>
        <w:pStyle w:val="37"/>
        <w:spacing w:before="120" w:after="120" w:line="400" w:lineRule="exact"/>
        <w:ind w:firstLine="210"/>
        <w:rPr>
          <w:rFonts w:hAnsi="宋体"/>
          <w:color w:val="auto"/>
          <w:sz w:val="21"/>
          <w:highlight w:val="none"/>
        </w:rPr>
      </w:pPr>
      <w:r>
        <w:rPr>
          <w:rFonts w:hAnsi="宋体"/>
          <w:color w:val="auto"/>
          <w:sz w:val="21"/>
          <w:highlight w:val="none"/>
        </w:rPr>
        <w:t>日期：      年    月    日                日期：      年    月    日</w:t>
      </w:r>
    </w:p>
    <w:p w14:paraId="370E6B1B">
      <w:pPr>
        <w:pStyle w:val="37"/>
        <w:spacing w:before="120" w:after="120" w:line="400" w:lineRule="exact"/>
        <w:rPr>
          <w:rFonts w:hAnsi="宋体"/>
          <w:color w:val="auto"/>
          <w:sz w:val="21"/>
          <w:highlight w:val="none"/>
        </w:rPr>
      </w:pPr>
      <w:r>
        <w:rPr>
          <w:rFonts w:hAnsi="宋体"/>
          <w:color w:val="auto"/>
          <w:sz w:val="21"/>
          <w:highlight w:val="none"/>
        </w:rPr>
        <w:t xml:space="preserve"> </w:t>
      </w:r>
    </w:p>
    <w:p w14:paraId="017F101D">
      <w:pPr>
        <w:pStyle w:val="36"/>
        <w:spacing w:before="120" w:after="120" w:line="360" w:lineRule="auto"/>
        <w:ind w:firstLine="210"/>
        <w:jc w:val="center"/>
        <w:rPr>
          <w:rFonts w:hAnsi="宋体" w:cs="宋体"/>
          <w:b/>
          <w:bCs/>
          <w:color w:val="auto"/>
          <w:sz w:val="32"/>
          <w:szCs w:val="32"/>
          <w:highlight w:val="none"/>
          <w:lang w:eastAsia="zh-CN"/>
        </w:rPr>
      </w:pPr>
      <w:r>
        <w:rPr>
          <w:color w:val="auto"/>
          <w:highlight w:val="none"/>
          <w:lang w:eastAsia="zh-CN"/>
        </w:rPr>
        <w:br w:type="page" w:clear="all"/>
      </w:r>
      <w:r>
        <w:rPr>
          <w:rFonts w:hint="eastAsia" w:hAnsi="宋体" w:cs="宋体"/>
          <w:b/>
          <w:bCs/>
          <w:color w:val="auto"/>
          <w:sz w:val="32"/>
          <w:szCs w:val="32"/>
          <w:highlight w:val="none"/>
          <w:lang w:eastAsia="zh-CN"/>
        </w:rPr>
        <w:t>第四章 项目需求</w:t>
      </w:r>
    </w:p>
    <w:p w14:paraId="18B83A63">
      <w:pPr>
        <w:spacing w:line="360" w:lineRule="auto"/>
        <w:ind w:firstLine="480"/>
        <w:rPr>
          <w:rFonts w:ascii="宋体" w:hAnsi="宋体" w:cs="宋体"/>
          <w:color w:val="auto"/>
          <w:szCs w:val="21"/>
          <w:highlight w:val="none"/>
        </w:rPr>
      </w:pPr>
      <w:r>
        <w:rPr>
          <w:rFonts w:hint="eastAsia" w:ascii="宋体" w:hAnsi="宋体" w:cs="宋体"/>
          <w:color w:val="auto"/>
          <w:szCs w:val="21"/>
          <w:highlight w:val="none"/>
        </w:rPr>
        <w:t>项目属性:货物类项目</w:t>
      </w:r>
    </w:p>
    <w:p w14:paraId="25D2CC83">
      <w:pPr>
        <w:spacing w:line="360" w:lineRule="auto"/>
        <w:ind w:firstLine="480"/>
        <w:rPr>
          <w:rFonts w:ascii="宋体" w:hAnsi="宋体" w:cs="宋体"/>
          <w:bCs/>
          <w:iCs/>
          <w:color w:val="auto"/>
          <w:szCs w:val="21"/>
          <w:highlight w:val="none"/>
        </w:rPr>
      </w:pPr>
      <w:r>
        <w:rPr>
          <w:rFonts w:hint="eastAsia" w:ascii="宋体" w:hAnsi="宋体" w:cs="宋体"/>
          <w:bCs/>
          <w:iCs/>
          <w:color w:val="auto"/>
          <w:szCs w:val="21"/>
          <w:highlight w:val="none"/>
        </w:rPr>
        <w:t>其他要求</w:t>
      </w:r>
    </w:p>
    <w:p w14:paraId="7F72CF00">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cs="宋体"/>
          <w:bCs/>
          <w:iCs/>
          <w:color w:val="auto"/>
          <w:szCs w:val="21"/>
          <w:highlight w:val="none"/>
        </w:rPr>
        <w:t>1.严格执行政府采购关于支持节能产品、环境标志产品的相关政策规定。如本次采购的产品属于财政部、国家发展改革委、生态环境部、市场监管总局等部门发布的节能产品、环境标志产品品目清单政府强制采购范围的，供应商必须在响应文件中提供所投产品的相关证书(由国家确定的认证机构出具的、处于有效期之内的节能产品、环境标志产品认证证书)。节能产品、环境标志产品品目清单以递交响应文件截止时已正式公布的最近一期信息为准，如</w:t>
      </w:r>
      <w:r>
        <w:rPr>
          <w:rFonts w:hint="eastAsia" w:ascii="宋体" w:hAnsi="宋体" w:eastAsia="宋体" w:cs="宋体"/>
          <w:bCs/>
          <w:iCs/>
          <w:color w:val="auto"/>
          <w:szCs w:val="21"/>
          <w:highlight w:val="none"/>
        </w:rPr>
        <w:t>属政府强制采购产品未提供认证证书的或认证证书提供不全的将视为未实质性响应采购要求。其他条件相同情况下，应当优先采购节能产品、环境标志产品。</w:t>
      </w:r>
    </w:p>
    <w:p w14:paraId="58AC017F">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供应商对于投标产品的包装应按照“财办库〔2020〕123号《关于印发《商品包装政府采购需求标准（试行）》、《快递包装政府采购需求标准（试行）》的通知》”执行。</w:t>
      </w:r>
    </w:p>
    <w:p w14:paraId="3840AFCA">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注：本章内容里斜体且有下划线部分为实质性要求和条件，投标文件不满足的，视为无效投标处理。请各供应商制作电子投标文件时，将实质性响应的内容在政府采购交易系统“符合证明文件格式”中准确填写或上传。</w:t>
      </w:r>
    </w:p>
    <w:p w14:paraId="7110FC57">
      <w:pPr>
        <w:ind w:firstLine="211" w:firstLineChars="100"/>
        <w:rPr>
          <w:rFonts w:hint="eastAsia" w:ascii="宋体" w:hAnsi="宋体"/>
          <w:b/>
          <w:color w:val="auto"/>
          <w:szCs w:val="21"/>
          <w:highlight w:val="none"/>
        </w:rPr>
      </w:pPr>
    </w:p>
    <w:p w14:paraId="074881D2">
      <w:pPr>
        <w:ind w:firstLine="211" w:firstLineChars="100"/>
        <w:rPr>
          <w:rFonts w:hint="eastAsia" w:ascii="宋体" w:hAnsi="宋体"/>
          <w:b/>
          <w:color w:val="auto"/>
          <w:szCs w:val="21"/>
          <w:highlight w:val="none"/>
        </w:rPr>
      </w:pPr>
    </w:p>
    <w:p w14:paraId="4C902891">
      <w:pPr>
        <w:ind w:firstLine="422" w:firstLineChars="200"/>
        <w:rPr>
          <w:rFonts w:hint="eastAsia" w:ascii="宋体" w:hAnsi="宋体"/>
          <w:b/>
          <w:color w:val="auto"/>
          <w:szCs w:val="21"/>
          <w:highlight w:val="none"/>
        </w:rPr>
      </w:pPr>
      <w:r>
        <w:rPr>
          <w:rFonts w:hint="eastAsia" w:ascii="宋体" w:hAnsi="宋体"/>
          <w:b/>
          <w:color w:val="auto"/>
          <w:szCs w:val="21"/>
          <w:highlight w:val="none"/>
        </w:rPr>
        <w:t>所属行业：工业</w:t>
      </w:r>
    </w:p>
    <w:p w14:paraId="573EF1F2">
      <w:pPr>
        <w:ind w:firstLine="211" w:firstLineChars="100"/>
        <w:rPr>
          <w:rFonts w:hint="eastAsia" w:ascii="宋体" w:hAnsi="宋体"/>
          <w:b/>
          <w:color w:val="auto"/>
          <w:szCs w:val="21"/>
          <w:highlight w:val="none"/>
        </w:rPr>
      </w:pPr>
    </w:p>
    <w:p w14:paraId="3BE0F958">
      <w:pPr>
        <w:pStyle w:val="4"/>
        <w:ind w:firstLine="0" w:firstLineChars="0"/>
        <w:rPr>
          <w:color w:val="auto"/>
          <w:highlight w:val="none"/>
        </w:rPr>
      </w:pPr>
    </w:p>
    <w:p w14:paraId="66396DC9">
      <w:pPr>
        <w:numPr>
          <w:ilvl w:val="0"/>
          <w:numId w:val="0"/>
        </w:numPr>
        <w:ind w:leftChars="0" w:firstLine="422" w:firstLineChars="200"/>
        <w:rPr>
          <w:rFonts w:hint="eastAsia"/>
          <w:b w:val="0"/>
          <w:bCs/>
          <w:color w:val="auto"/>
          <w:szCs w:val="21"/>
          <w:highlight w:val="none"/>
          <w:lang w:eastAsia="zh-CN"/>
        </w:rPr>
      </w:pPr>
      <w:r>
        <w:rPr>
          <w:rFonts w:hint="eastAsia" w:ascii="宋体" w:hAnsi="宋体"/>
          <w:b/>
          <w:color w:val="auto"/>
          <w:szCs w:val="21"/>
          <w:highlight w:val="none"/>
          <w:lang w:eastAsia="zh-CN"/>
        </w:rPr>
        <w:t>一、</w:t>
      </w:r>
      <w:r>
        <w:rPr>
          <w:rFonts w:hint="eastAsia" w:ascii="宋体" w:hAnsi="宋体"/>
          <w:b/>
          <w:color w:val="auto"/>
          <w:szCs w:val="21"/>
          <w:highlight w:val="none"/>
        </w:rPr>
        <w:t>货物需求一览表及主要技术指标参数要求</w:t>
      </w:r>
    </w:p>
    <w:p w14:paraId="0B37EECE">
      <w:pPr>
        <w:spacing w:line="360" w:lineRule="auto"/>
        <w:ind w:firstLine="630" w:firstLineChars="300"/>
        <w:rPr>
          <w:rFonts w:ascii="宋体" w:hAnsi="宋体"/>
          <w:b/>
          <w:bCs/>
          <w:color w:val="auto"/>
          <w:szCs w:val="21"/>
          <w:highlight w:val="none"/>
        </w:rPr>
      </w:pPr>
      <w:r>
        <w:rPr>
          <w:rFonts w:hint="eastAsia"/>
          <w:b w:val="0"/>
          <w:bCs/>
          <w:color w:val="auto"/>
          <w:szCs w:val="21"/>
          <w:highlight w:val="none"/>
          <w:lang w:val="en-US" w:eastAsia="zh-CN"/>
        </w:rPr>
        <w:t>详见附件</w:t>
      </w:r>
    </w:p>
    <w:p w14:paraId="4D2BED37">
      <w:pPr>
        <w:spacing w:line="360" w:lineRule="auto"/>
        <w:rPr>
          <w:rFonts w:hint="eastAsia" w:ascii="宋体" w:hAnsi="宋体" w:cs="宋体"/>
          <w:b/>
          <w:bCs/>
          <w:color w:val="auto"/>
          <w:szCs w:val="21"/>
          <w:highlight w:val="none"/>
        </w:rPr>
      </w:pPr>
    </w:p>
    <w:p w14:paraId="451FAD7E">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lang w:eastAsia="zh-CN"/>
        </w:rPr>
        <w:t>二、</w:t>
      </w:r>
      <w:r>
        <w:rPr>
          <w:rFonts w:hint="eastAsia" w:ascii="宋体" w:hAnsi="宋体" w:eastAsia="宋体" w:cs="宋体"/>
          <w:b/>
          <w:bCs w:val="0"/>
          <w:iCs/>
          <w:color w:val="auto"/>
          <w:szCs w:val="21"/>
          <w:highlight w:val="none"/>
        </w:rPr>
        <w:t>其它要求</w:t>
      </w:r>
    </w:p>
    <w:p w14:paraId="52867D2D">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1.本项目为交钥匙工程，项目包含货物制作、安装、施工、运输、调试验收相关的技术指导和售后服务、利润、保险、税金、以及所包含的风险、责任等所有费用均包含在报价内，请各投标人认真考虑其各种风险。除合同另有规定之外，伴随服务的费用均已含在合同价款中，采购人不再另行支付。</w:t>
      </w:r>
    </w:p>
    <w:p w14:paraId="27E1D4D3">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rPr>
        <w:t>2.供货、安装时间</w:t>
      </w:r>
    </w:p>
    <w:p w14:paraId="2F6A8FEF">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lang w:val="en-US" w:eastAsia="zh-CN"/>
        </w:rPr>
      </w:pPr>
      <w:r>
        <w:rPr>
          <w:rFonts w:hint="eastAsia" w:ascii="宋体" w:hAnsi="宋体" w:eastAsia="宋体" w:cs="宋体"/>
          <w:bCs/>
          <w:iCs/>
          <w:color w:val="auto"/>
          <w:szCs w:val="21"/>
          <w:highlight w:val="none"/>
          <w:lang w:val="en-US" w:eastAsia="zh-CN"/>
        </w:rPr>
        <w:t>合同签订之日起</w:t>
      </w:r>
      <w:r>
        <w:rPr>
          <w:rFonts w:hint="eastAsia" w:ascii="宋体" w:hAnsi="宋体" w:cs="宋体"/>
          <w:bCs/>
          <w:iCs/>
          <w:color w:val="auto"/>
          <w:szCs w:val="21"/>
          <w:highlight w:val="none"/>
          <w:lang w:val="en-US" w:eastAsia="zh-CN"/>
        </w:rPr>
        <w:t>70</w:t>
      </w:r>
      <w:r>
        <w:rPr>
          <w:rFonts w:hint="eastAsia" w:ascii="宋体" w:hAnsi="宋体" w:eastAsia="宋体" w:cs="宋体"/>
          <w:bCs/>
          <w:iCs/>
          <w:color w:val="auto"/>
          <w:szCs w:val="21"/>
          <w:highlight w:val="none"/>
          <w:lang w:val="en-US" w:eastAsia="zh-CN"/>
        </w:rPr>
        <w:t>日内（除不可抗力、非中标人原因）全部供货及安装完毕，并完成全部验收</w:t>
      </w:r>
      <w:r>
        <w:rPr>
          <w:rFonts w:hint="eastAsia" w:ascii="宋体" w:hAnsi="宋体" w:cs="宋体"/>
          <w:bCs/>
          <w:iCs/>
          <w:color w:val="auto"/>
          <w:szCs w:val="21"/>
          <w:highlight w:val="none"/>
          <w:lang w:val="en-US" w:eastAsia="zh-CN"/>
        </w:rPr>
        <w:t>等辅助</w:t>
      </w:r>
      <w:r>
        <w:rPr>
          <w:rFonts w:hint="eastAsia" w:ascii="宋体" w:hAnsi="宋体" w:eastAsia="宋体" w:cs="宋体"/>
          <w:bCs/>
          <w:iCs/>
          <w:color w:val="auto"/>
          <w:szCs w:val="21"/>
          <w:highlight w:val="none"/>
          <w:lang w:val="en-US" w:eastAsia="zh-CN"/>
        </w:rPr>
        <w:t>工作。若因供应商原因导致货物不能按要求安装使用，采购人有权追究其责任。供应商可先到项目地点充分了解地理位置、情况、道路、储存空间、装卸限制及施工配合等任何其他足以影响投标报价的情况，任何因忽视或误解项目现场而导致的索赔或工期延长申请将不被批准。</w:t>
      </w:r>
    </w:p>
    <w:p w14:paraId="668BA63A">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lang w:val="en-US" w:eastAsia="zh-CN"/>
        </w:rPr>
        <w:t>3.交货</w:t>
      </w:r>
      <w:r>
        <w:rPr>
          <w:rFonts w:hint="eastAsia" w:ascii="宋体" w:hAnsi="宋体" w:eastAsia="宋体" w:cs="宋体"/>
          <w:b/>
          <w:bCs w:val="0"/>
          <w:iCs/>
          <w:color w:val="auto"/>
          <w:szCs w:val="21"/>
          <w:highlight w:val="none"/>
        </w:rPr>
        <w:t>地点</w:t>
      </w:r>
    </w:p>
    <w:p w14:paraId="1ECF3EB8">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采购人指定地点。</w:t>
      </w:r>
    </w:p>
    <w:p w14:paraId="55F633B7">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rPr>
        <w:t>4.产品要求</w:t>
      </w:r>
    </w:p>
    <w:p w14:paraId="1C0E9F39">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按采购人提出基本技术要求生产样品，招标后不得擅自更改产品样式和降低质量，供货方提供的产品必须达到现行中华人民共和国国家、行业有关标准、技术规范的要求，保证提供的货物完全符合规定的质量、规格、性能和安全的要求，保证所有产品不存在任何安全隐患。</w:t>
      </w:r>
    </w:p>
    <w:p w14:paraId="0A36CCBA">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rPr>
        <w:t>5.质量要求</w:t>
      </w:r>
    </w:p>
    <w:p w14:paraId="6E91F41A">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由于本项目所采购物品使用对象是学生，对安全、健康、环保等要求高，家长、学校、社会关注度高，投标人所提供的物品须符合国家关于安全、健康、环保等方面的要求。所购产品须原装出厂的、全新的、包装完好的产品，提供正规发票或来源渠道证明、产品供应商名单和联系方式等。如发现使用假冒伪劣产品、三无产品，一经查实，立即终止合同，所有款项一律不付、不退，并将来货封存，交由质量监督部门处理，并按其处罚意见，处以罚款。</w:t>
      </w:r>
    </w:p>
    <w:p w14:paraId="2C462A3C">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rPr>
        <w:t>6.供货验收</w:t>
      </w:r>
    </w:p>
    <w:p w14:paraId="014AE385">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（1）供应商在交验货物时必须同时提供国家法定或授权的检验机构按照国家有关法规以及招标文件中规定的标准，对</w:t>
      </w:r>
      <w:r>
        <w:rPr>
          <w:rFonts w:hint="eastAsia" w:ascii="宋体" w:hAnsi="宋体" w:cs="宋体"/>
          <w:bCs/>
          <w:iCs/>
          <w:color w:val="auto"/>
          <w:szCs w:val="21"/>
          <w:highlight w:val="none"/>
          <w:lang w:eastAsia="zh-CN"/>
        </w:rPr>
        <w:t>货物</w:t>
      </w:r>
      <w:r>
        <w:rPr>
          <w:rFonts w:hint="eastAsia" w:ascii="宋体" w:hAnsi="宋体" w:eastAsia="宋体" w:cs="宋体"/>
          <w:bCs/>
          <w:iCs/>
          <w:color w:val="auto"/>
          <w:szCs w:val="21"/>
          <w:highlight w:val="none"/>
        </w:rPr>
        <w:t>进行的环保（特别是甲醛含量）、质量等检验检测报告。</w:t>
      </w:r>
    </w:p>
    <w:p w14:paraId="72225156">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（2）采购人将在交付验收前随机对教室进行环保抽检，检测结果必须达到国家相关规定要求，检测费由中标供应商支付。如果检测不合格一切后果由中标供应商负责。</w:t>
      </w:r>
    </w:p>
    <w:p w14:paraId="79A8F614">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（3）安装队伍必须加强管理，遵守现场的一切规章制度，文明安装，注意安全。项目实施过程中若发生相关的安全事故由供应商自行负责。</w:t>
      </w:r>
    </w:p>
    <w:p w14:paraId="39E2D81B">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
          <w:bCs w:val="0"/>
          <w:iCs/>
          <w:color w:val="auto"/>
          <w:szCs w:val="21"/>
          <w:highlight w:val="none"/>
        </w:rPr>
      </w:pPr>
      <w:r>
        <w:rPr>
          <w:rFonts w:hint="eastAsia" w:ascii="宋体" w:hAnsi="宋体" w:eastAsia="宋体" w:cs="宋体"/>
          <w:b/>
          <w:bCs w:val="0"/>
          <w:iCs/>
          <w:color w:val="auto"/>
          <w:szCs w:val="21"/>
          <w:highlight w:val="none"/>
        </w:rPr>
        <w:t>7.售后服务</w:t>
      </w:r>
    </w:p>
    <w:p w14:paraId="1D2F67E4">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r>
        <w:rPr>
          <w:rFonts w:hint="eastAsia" w:ascii="宋体" w:hAnsi="宋体" w:eastAsia="宋体" w:cs="宋体"/>
          <w:bCs/>
          <w:iCs/>
          <w:color w:val="auto"/>
          <w:szCs w:val="21"/>
          <w:highlight w:val="none"/>
        </w:rPr>
        <w:t>提供有关售后服务的管理制度、售后服务机构的分布情况、售后服务人员的数量、素质、技术水平及售后服务的反应能力。自验收合格之日起，所有产品及配件提供不少于 3 年免费质保，质保期内全免费上门。质保期满后，供应商须提供最优惠的维修价格（人工费、出厂价零配件费、其他材料费等）进行相关服务，在设备寿命期内，供应商应能保证采购人更换到原厂正宗的零部件，保证维修配件的供应和及时维修，维修价格保持不变（政策调整因素除外）。</w:t>
      </w:r>
    </w:p>
    <w:p w14:paraId="3001F35A">
      <w:pPr>
        <w:pBdr>
          <w:top w:val="none" w:color="000000" w:sz="0" w:space="0"/>
          <w:left w:val="none" w:color="000000" w:sz="0" w:space="0"/>
          <w:bottom w:val="none" w:color="000000" w:sz="0" w:space="0"/>
          <w:right w:val="none" w:color="000000" w:sz="0" w:space="0"/>
        </w:pBdr>
        <w:spacing w:line="360" w:lineRule="auto"/>
        <w:ind w:firstLine="480"/>
        <w:rPr>
          <w:rFonts w:hint="eastAsia" w:ascii="宋体" w:hAnsi="宋体" w:eastAsia="宋体" w:cs="宋体"/>
          <w:bCs/>
          <w:iCs/>
          <w:color w:val="auto"/>
          <w:szCs w:val="21"/>
          <w:highlight w:val="none"/>
        </w:rPr>
      </w:pPr>
    </w:p>
    <w:p w14:paraId="498AB8DC">
      <w:pPr>
        <w:rPr>
          <w:rFonts w:ascii="宋体" w:hAnsi="宋体" w:cs="仿宋_GB2312"/>
          <w:color w:val="auto"/>
          <w:szCs w:val="21"/>
          <w:highlight w:val="none"/>
        </w:rPr>
      </w:pPr>
    </w:p>
    <w:p w14:paraId="293646F9">
      <w:pPr>
        <w:rPr>
          <w:rFonts w:ascii="宋体" w:hAnsi="宋体" w:cs="仿宋_GB2312"/>
          <w:color w:val="auto"/>
          <w:szCs w:val="21"/>
          <w:highlight w:val="none"/>
        </w:rPr>
      </w:pPr>
    </w:p>
    <w:p w14:paraId="5CCDB4A4">
      <w:pPr>
        <w:rPr>
          <w:rFonts w:ascii="宋体" w:hAnsi="宋体" w:cs="仿宋_GB2312"/>
          <w:color w:val="auto"/>
          <w:szCs w:val="21"/>
          <w:highlight w:val="none"/>
        </w:rPr>
      </w:pPr>
    </w:p>
    <w:p w14:paraId="44420DDC">
      <w:pPr>
        <w:rPr>
          <w:rFonts w:ascii="宋体" w:hAnsi="宋体" w:cs="仿宋_GB2312"/>
          <w:color w:val="auto"/>
          <w:szCs w:val="21"/>
          <w:highlight w:val="none"/>
        </w:rPr>
      </w:pPr>
    </w:p>
    <w:p w14:paraId="5E56DA49">
      <w:pPr>
        <w:rPr>
          <w:rFonts w:ascii="宋体" w:hAnsi="宋体" w:cs="仿宋_GB2312"/>
          <w:color w:val="auto"/>
          <w:szCs w:val="21"/>
          <w:highlight w:val="none"/>
        </w:rPr>
      </w:pPr>
    </w:p>
    <w:p w14:paraId="2AFF35EE">
      <w:pPr>
        <w:rPr>
          <w:rFonts w:ascii="宋体" w:hAnsi="宋体" w:cs="仿宋_GB2312"/>
          <w:color w:val="auto"/>
          <w:szCs w:val="21"/>
          <w:highlight w:val="none"/>
        </w:rPr>
      </w:pPr>
    </w:p>
    <w:p w14:paraId="15B4B484">
      <w:pPr>
        <w:jc w:val="center"/>
        <w:rPr>
          <w:rFonts w:ascii="宋体" w:hAnsi="宋体" w:cs="宋体"/>
          <w:b/>
          <w:bCs/>
          <w:color w:val="auto"/>
          <w:sz w:val="32"/>
          <w:szCs w:val="32"/>
          <w:highlight w:val="none"/>
        </w:rPr>
      </w:pPr>
      <w:r>
        <w:rPr>
          <w:rFonts w:hint="eastAsia" w:ascii="宋体" w:hAnsi="宋体" w:cs="仿宋_GB2312"/>
          <w:color w:val="auto"/>
          <w:szCs w:val="21"/>
          <w:highlight w:val="none"/>
        </w:rPr>
        <w:br w:type="page"/>
      </w:r>
      <w:bookmarkStart w:id="29" w:name="_Toc109304975"/>
      <w:r>
        <w:rPr>
          <w:rFonts w:hint="eastAsia" w:ascii="宋体" w:hAnsi="宋体" w:cs="宋体"/>
          <w:b/>
          <w:bCs/>
          <w:color w:val="auto"/>
          <w:kern w:val="2"/>
          <w:sz w:val="32"/>
          <w:szCs w:val="32"/>
          <w:highlight w:val="none"/>
        </w:rPr>
        <w:t>第五章  评审方法及评审标准</w:t>
      </w:r>
      <w:bookmarkEnd w:id="1"/>
      <w:bookmarkEnd w:id="29"/>
    </w:p>
    <w:p w14:paraId="68863EE2">
      <w:pPr>
        <w:pStyle w:val="38"/>
        <w:spacing w:before="0" w:after="0"/>
        <w:ind w:firstLine="422" w:firstLineChars="200"/>
        <w:rPr>
          <w:rFonts w:ascii="宋体" w:hAnsi="宋体"/>
          <w:b/>
          <w:bCs/>
          <w:color w:val="auto"/>
          <w:kern w:val="2"/>
          <w:sz w:val="21"/>
          <w:szCs w:val="21"/>
          <w:highlight w:val="none"/>
        </w:rPr>
      </w:pPr>
    </w:p>
    <w:p w14:paraId="4BB1DB87">
      <w:pPr>
        <w:pStyle w:val="38"/>
        <w:spacing w:before="0" w:after="0"/>
        <w:ind w:firstLine="422" w:firstLineChars="200"/>
        <w:rPr>
          <w:rFonts w:ascii="宋体" w:hAnsi="宋体"/>
          <w:b/>
          <w:bCs/>
          <w:color w:val="auto"/>
          <w:kern w:val="2"/>
          <w:sz w:val="21"/>
          <w:szCs w:val="21"/>
          <w:highlight w:val="none"/>
        </w:rPr>
      </w:pPr>
      <w:r>
        <w:rPr>
          <w:rFonts w:hint="eastAsia" w:ascii="宋体" w:hAnsi="宋体"/>
          <w:b/>
          <w:bCs/>
          <w:color w:val="auto"/>
          <w:kern w:val="2"/>
          <w:sz w:val="21"/>
          <w:szCs w:val="21"/>
          <w:highlight w:val="none"/>
        </w:rPr>
        <w:t>一、评标方法</w:t>
      </w:r>
    </w:p>
    <w:p w14:paraId="7C7AB1EC">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本项目采用综合评分法，评委会将对确定为实质性响应招标文件要求的投标文件进行评价和比较。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49C168C6">
      <w:pPr>
        <w:pStyle w:val="38"/>
        <w:spacing w:before="0" w:after="0"/>
        <w:ind w:firstLine="422" w:firstLineChars="200"/>
        <w:rPr>
          <w:rFonts w:ascii="宋体" w:hAnsi="宋体"/>
          <w:b/>
          <w:bCs/>
          <w:color w:val="auto"/>
          <w:kern w:val="2"/>
          <w:sz w:val="21"/>
          <w:szCs w:val="21"/>
          <w:highlight w:val="none"/>
        </w:rPr>
      </w:pPr>
      <w:bookmarkStart w:id="30" w:name="_Toc449017024"/>
      <w:bookmarkStart w:id="31" w:name="_Toc449016388"/>
      <w:r>
        <w:rPr>
          <w:rFonts w:hint="eastAsia" w:ascii="宋体" w:hAnsi="宋体"/>
          <w:b/>
          <w:bCs/>
          <w:color w:val="auto"/>
          <w:kern w:val="2"/>
          <w:sz w:val="21"/>
          <w:szCs w:val="21"/>
          <w:highlight w:val="none"/>
        </w:rPr>
        <w:t>二、政府采购政策功能落实</w:t>
      </w:r>
      <w:bookmarkEnd w:id="30"/>
      <w:bookmarkEnd w:id="31"/>
    </w:p>
    <w:p w14:paraId="6E3AD467">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按照《政府采购促进中小企业发展管理办法》的规定，未预留份额专门面向中小企业采购的采购项目，对符合条件的小微型企业、监狱和戒毒企业价格或残疾人福利单位所制造生产的货物或提供的服务进行价格扣除，具体如下：</w:t>
      </w:r>
    </w:p>
    <w:p w14:paraId="2D3AE228">
      <w:pPr>
        <w:spacing w:line="360" w:lineRule="auto"/>
        <w:ind w:firstLine="420"/>
        <w:rPr>
          <w:rFonts w:ascii="宋体" w:hAnsi="宋体"/>
          <w:color w:val="auto"/>
          <w:szCs w:val="21"/>
          <w:highlight w:val="none"/>
        </w:rPr>
      </w:pPr>
      <w:r>
        <w:rPr>
          <w:rFonts w:hint="eastAsia" w:ascii="宋体" w:hAnsi="宋体"/>
          <w:color w:val="auto"/>
          <w:szCs w:val="21"/>
          <w:highlight w:val="none"/>
        </w:rPr>
        <w:t>1、小微型企业价格扣除</w:t>
      </w:r>
    </w:p>
    <w:p w14:paraId="4FCD76FD">
      <w:pPr>
        <w:spacing w:line="360" w:lineRule="auto"/>
        <w:ind w:firstLine="420"/>
        <w:rPr>
          <w:rFonts w:ascii="宋体" w:hAnsi="宋体"/>
          <w:color w:val="auto"/>
          <w:szCs w:val="21"/>
          <w:highlight w:val="none"/>
        </w:rPr>
      </w:pPr>
      <w:r>
        <w:rPr>
          <w:rFonts w:hint="eastAsia" w:ascii="宋体" w:hAnsi="宋体"/>
          <w:color w:val="auto"/>
          <w:szCs w:val="21"/>
          <w:highlight w:val="none"/>
        </w:rPr>
        <w:t>（1）本项目对小型和微型企业产品给予20%的扣除价格，用扣除后的价格参与评审。</w:t>
      </w:r>
    </w:p>
    <w:p w14:paraId="0EF10EC7">
      <w:pPr>
        <w:spacing w:line="360" w:lineRule="auto"/>
        <w:ind w:firstLine="420"/>
        <w:rPr>
          <w:rFonts w:ascii="宋体" w:hAnsi="宋体"/>
          <w:color w:val="auto"/>
          <w:szCs w:val="21"/>
          <w:highlight w:val="none"/>
        </w:rPr>
      </w:pPr>
      <w:r>
        <w:rPr>
          <w:rFonts w:hint="eastAsia" w:ascii="宋体" w:hAnsi="宋体"/>
          <w:color w:val="auto"/>
          <w:szCs w:val="21"/>
          <w:highlight w:val="none"/>
        </w:rPr>
        <w:t>（2）供应商需按照采购文件的要求提供相应的《企业声明函》。</w:t>
      </w:r>
    </w:p>
    <w:p w14:paraId="42BEEE2D">
      <w:pPr>
        <w:spacing w:line="360" w:lineRule="auto"/>
        <w:ind w:firstLine="420"/>
        <w:rPr>
          <w:rFonts w:ascii="宋体" w:hAnsi="宋体"/>
          <w:color w:val="auto"/>
          <w:szCs w:val="21"/>
          <w:highlight w:val="none"/>
        </w:rPr>
      </w:pPr>
      <w:r>
        <w:rPr>
          <w:rFonts w:hint="eastAsia" w:ascii="宋体" w:hAnsi="宋体"/>
          <w:color w:val="auto"/>
          <w:szCs w:val="21"/>
          <w:highlight w:val="none"/>
        </w:rPr>
        <w:t>2、残疾人福利单位价格扣除</w:t>
      </w:r>
    </w:p>
    <w:p w14:paraId="18AAD3DC">
      <w:pPr>
        <w:spacing w:line="360" w:lineRule="auto"/>
        <w:ind w:firstLine="420"/>
        <w:rPr>
          <w:rFonts w:ascii="宋体" w:hAnsi="宋体"/>
          <w:color w:val="auto"/>
          <w:szCs w:val="21"/>
          <w:highlight w:val="none"/>
        </w:rPr>
      </w:pPr>
      <w:r>
        <w:rPr>
          <w:rFonts w:hint="eastAsia" w:ascii="宋体" w:hAnsi="宋体"/>
          <w:color w:val="auto"/>
          <w:szCs w:val="21"/>
          <w:highlight w:val="none"/>
        </w:rPr>
        <w:t>（1）本项目对残疾人福利性单位视同小型、微型企业，给予20%的价格扣除，用扣除</w:t>
      </w:r>
    </w:p>
    <w:p w14:paraId="4FC5AEC7">
      <w:pPr>
        <w:spacing w:line="360" w:lineRule="auto"/>
        <w:rPr>
          <w:rFonts w:ascii="宋体" w:hAnsi="宋体"/>
          <w:color w:val="auto"/>
          <w:szCs w:val="21"/>
          <w:highlight w:val="none"/>
        </w:rPr>
      </w:pPr>
      <w:r>
        <w:rPr>
          <w:rFonts w:hint="eastAsia" w:ascii="宋体" w:hAnsi="宋体"/>
          <w:color w:val="auto"/>
          <w:szCs w:val="21"/>
          <w:highlight w:val="none"/>
        </w:rPr>
        <w:t>后的价格参与评审。</w:t>
      </w:r>
    </w:p>
    <w:p w14:paraId="3BBC50F8">
      <w:pPr>
        <w:spacing w:line="360" w:lineRule="auto"/>
        <w:ind w:firstLine="420"/>
        <w:rPr>
          <w:rFonts w:ascii="宋体" w:hAnsi="宋体"/>
          <w:color w:val="auto"/>
          <w:szCs w:val="21"/>
          <w:highlight w:val="none"/>
        </w:rPr>
      </w:pPr>
      <w:r>
        <w:rPr>
          <w:rFonts w:hint="eastAsia" w:ascii="宋体" w:hAnsi="宋体"/>
          <w:color w:val="auto"/>
          <w:szCs w:val="21"/>
          <w:highlight w:val="none"/>
        </w:rPr>
        <w:t>（2）残疾人福利单位需按照采购文件的要求提供《残疾人福利性单位声明函》。</w:t>
      </w:r>
    </w:p>
    <w:p w14:paraId="119F1E94">
      <w:pPr>
        <w:spacing w:line="360" w:lineRule="auto"/>
        <w:ind w:firstLine="420"/>
        <w:rPr>
          <w:rFonts w:ascii="宋体" w:hAnsi="宋体"/>
          <w:color w:val="auto"/>
          <w:szCs w:val="21"/>
          <w:highlight w:val="none"/>
        </w:rPr>
      </w:pPr>
      <w:r>
        <w:rPr>
          <w:rFonts w:hint="eastAsia" w:ascii="宋体" w:hAnsi="宋体"/>
          <w:color w:val="auto"/>
          <w:szCs w:val="21"/>
          <w:highlight w:val="none"/>
        </w:rPr>
        <w:t>（3）残疾人福利单位标准请参照《关于促进残疾人就业政府采购政策的通知》（财库</w:t>
      </w:r>
    </w:p>
    <w:p w14:paraId="3FEB52E5">
      <w:pPr>
        <w:spacing w:line="360" w:lineRule="auto"/>
        <w:rPr>
          <w:rFonts w:ascii="宋体" w:hAnsi="宋体"/>
          <w:color w:val="auto"/>
          <w:szCs w:val="21"/>
          <w:highlight w:val="none"/>
        </w:rPr>
      </w:pPr>
      <w:r>
        <w:rPr>
          <w:rFonts w:hint="eastAsia" w:ascii="宋体" w:hAnsi="宋体"/>
          <w:color w:val="auto"/>
          <w:szCs w:val="21"/>
          <w:highlight w:val="none"/>
        </w:rPr>
        <w:t>〔2017〕141号）。</w:t>
      </w:r>
    </w:p>
    <w:p w14:paraId="3ABFA82C">
      <w:pPr>
        <w:spacing w:line="360" w:lineRule="auto"/>
        <w:ind w:firstLine="420"/>
        <w:rPr>
          <w:rFonts w:ascii="宋体" w:hAnsi="宋体"/>
          <w:color w:val="auto"/>
          <w:szCs w:val="21"/>
          <w:highlight w:val="none"/>
        </w:rPr>
      </w:pPr>
      <w:r>
        <w:rPr>
          <w:rFonts w:hint="eastAsia" w:ascii="宋体" w:hAnsi="宋体"/>
          <w:color w:val="auto"/>
          <w:szCs w:val="21"/>
          <w:highlight w:val="none"/>
        </w:rPr>
        <w:t>3、监狱和戒毒企业价格扣除</w:t>
      </w:r>
    </w:p>
    <w:p w14:paraId="338C3F17">
      <w:pPr>
        <w:spacing w:line="360" w:lineRule="auto"/>
        <w:ind w:firstLine="420"/>
        <w:rPr>
          <w:rFonts w:ascii="宋体" w:hAnsi="宋体"/>
          <w:color w:val="auto"/>
          <w:szCs w:val="21"/>
          <w:highlight w:val="none"/>
        </w:rPr>
      </w:pPr>
      <w:r>
        <w:rPr>
          <w:rFonts w:hint="eastAsia" w:ascii="宋体" w:hAnsi="宋体"/>
          <w:color w:val="auto"/>
          <w:szCs w:val="21"/>
          <w:highlight w:val="none"/>
        </w:rPr>
        <w:t>（1）本项目对监狱和戒毒企业（简称监狱企业）视同小型、微型企业，给予20%的价</w:t>
      </w:r>
    </w:p>
    <w:p w14:paraId="0FDDB16C">
      <w:pPr>
        <w:spacing w:line="360" w:lineRule="auto"/>
        <w:rPr>
          <w:rFonts w:ascii="宋体" w:hAnsi="宋体"/>
          <w:color w:val="auto"/>
          <w:szCs w:val="21"/>
          <w:highlight w:val="none"/>
        </w:rPr>
      </w:pPr>
      <w:r>
        <w:rPr>
          <w:rFonts w:hint="eastAsia" w:ascii="宋体" w:hAnsi="宋体"/>
          <w:color w:val="auto"/>
          <w:szCs w:val="21"/>
          <w:highlight w:val="none"/>
        </w:rPr>
        <w:t>格扣除，用扣除后的价格参与评审。</w:t>
      </w:r>
    </w:p>
    <w:p w14:paraId="0DC062CE">
      <w:pPr>
        <w:spacing w:line="360" w:lineRule="auto"/>
        <w:ind w:firstLine="420"/>
        <w:rPr>
          <w:rFonts w:ascii="宋体" w:hAnsi="宋体"/>
          <w:color w:val="auto"/>
          <w:szCs w:val="21"/>
          <w:highlight w:val="none"/>
        </w:rPr>
      </w:pPr>
      <w:r>
        <w:rPr>
          <w:rFonts w:hint="eastAsia" w:ascii="宋体" w:hAnsi="宋体"/>
          <w:color w:val="auto"/>
          <w:szCs w:val="21"/>
          <w:highlight w:val="none"/>
        </w:rPr>
        <w:t>（2）监狱企业参加政府采购活动时，需提供由省级以上监狱管理局、戒毒管理局(含新</w:t>
      </w:r>
    </w:p>
    <w:p w14:paraId="102DC39A">
      <w:pPr>
        <w:spacing w:line="360" w:lineRule="auto"/>
        <w:rPr>
          <w:rFonts w:ascii="宋体" w:hAnsi="宋体"/>
          <w:color w:val="auto"/>
          <w:szCs w:val="21"/>
          <w:highlight w:val="none"/>
        </w:rPr>
      </w:pPr>
      <w:r>
        <w:rPr>
          <w:rFonts w:hint="eastAsia" w:ascii="宋体" w:hAnsi="宋体"/>
          <w:color w:val="auto"/>
          <w:szCs w:val="21"/>
          <w:highlight w:val="none"/>
        </w:rPr>
        <w:t>疆生产建设兵团)出具的属于监狱企业的证明文件。供应商如不提供上述证明文件，价格将不做相应扣除。</w:t>
      </w:r>
    </w:p>
    <w:p w14:paraId="1B176656">
      <w:pPr>
        <w:spacing w:line="360" w:lineRule="auto"/>
        <w:ind w:firstLine="420"/>
        <w:rPr>
          <w:rFonts w:ascii="宋体" w:hAnsi="宋体"/>
          <w:color w:val="auto"/>
          <w:szCs w:val="21"/>
          <w:highlight w:val="none"/>
        </w:rPr>
      </w:pPr>
      <w:r>
        <w:rPr>
          <w:rFonts w:hint="eastAsia" w:ascii="宋体" w:hAnsi="宋体"/>
          <w:color w:val="auto"/>
          <w:szCs w:val="21"/>
          <w:highlight w:val="none"/>
        </w:rPr>
        <w:t>（3）监狱企业标准请参照《关于政府采购支持监狱企业发展有关问题的通知》（财库[2014]68号）。</w:t>
      </w:r>
    </w:p>
    <w:p w14:paraId="770FA5AB">
      <w:pPr>
        <w:spacing w:line="360" w:lineRule="auto"/>
        <w:ind w:firstLine="420"/>
        <w:rPr>
          <w:rFonts w:ascii="宋体" w:hAnsi="宋体"/>
          <w:color w:val="auto"/>
          <w:szCs w:val="21"/>
          <w:highlight w:val="none"/>
        </w:rPr>
      </w:pPr>
      <w:r>
        <w:rPr>
          <w:rFonts w:hint="eastAsia" w:ascii="宋体" w:hAnsi="宋体"/>
          <w:color w:val="auto"/>
          <w:szCs w:val="21"/>
          <w:highlight w:val="none"/>
        </w:rPr>
        <w:t>4、残疾人福利单位、监狱企业属于小型、微型企业的，不重复享受政策。</w:t>
      </w:r>
    </w:p>
    <w:p w14:paraId="7FA09D11">
      <w:pPr>
        <w:spacing w:line="360" w:lineRule="auto"/>
        <w:ind w:firstLine="420"/>
        <w:rPr>
          <w:rFonts w:ascii="宋体" w:hAnsi="宋体"/>
          <w:color w:val="auto"/>
          <w:szCs w:val="21"/>
          <w:highlight w:val="none"/>
        </w:rPr>
      </w:pPr>
      <w:r>
        <w:rPr>
          <w:rFonts w:hint="eastAsia" w:ascii="宋体" w:hAnsi="宋体"/>
          <w:color w:val="auto"/>
          <w:szCs w:val="21"/>
          <w:highlight w:val="none"/>
        </w:rPr>
        <w:t>5、大中型企业和其他自然人、法人或者其他组织并与小型、微型企业（残疾人福利单</w:t>
      </w:r>
    </w:p>
    <w:p w14:paraId="12B55468">
      <w:pPr>
        <w:spacing w:line="360" w:lineRule="auto"/>
        <w:rPr>
          <w:rFonts w:ascii="宋体" w:hAnsi="宋体"/>
          <w:color w:val="auto"/>
          <w:szCs w:val="21"/>
          <w:highlight w:val="none"/>
        </w:rPr>
      </w:pPr>
      <w:r>
        <w:rPr>
          <w:rFonts w:hint="eastAsia" w:ascii="宋体" w:hAnsi="宋体"/>
          <w:color w:val="auto"/>
          <w:szCs w:val="21"/>
          <w:highlight w:val="none"/>
        </w:rPr>
        <w:t>位、监狱企业）组成联合体共同参加政府采购活动。联合协议中约定，小型、微型企业（残疾人福利单位、监狱企业）的协议合同金额占到联合体协议合同总金额30%以上的，给予联合体6%的价格扣除，用扣除后的价格参与评审。 </w:t>
      </w:r>
    </w:p>
    <w:p w14:paraId="1A941951">
      <w:pPr>
        <w:spacing w:line="360" w:lineRule="auto"/>
        <w:ind w:firstLine="420"/>
        <w:rPr>
          <w:rFonts w:ascii="宋体" w:hAnsi="宋体"/>
          <w:color w:val="auto"/>
          <w:szCs w:val="21"/>
          <w:highlight w:val="none"/>
        </w:rPr>
      </w:pPr>
      <w:r>
        <w:rPr>
          <w:rFonts w:hint="eastAsia" w:ascii="宋体" w:hAnsi="宋体"/>
          <w:color w:val="auto"/>
          <w:szCs w:val="21"/>
          <w:highlight w:val="none"/>
        </w:rPr>
        <w:t>6、联合体各方均为小型、微型企业（残疾人福利单位、监狱企业）的，联合体享受20%</w:t>
      </w:r>
    </w:p>
    <w:p w14:paraId="229E37F0">
      <w:pPr>
        <w:spacing w:line="360" w:lineRule="auto"/>
        <w:rPr>
          <w:rFonts w:hint="eastAsia" w:ascii="宋体" w:hAnsi="宋体"/>
          <w:color w:val="auto"/>
          <w:szCs w:val="21"/>
          <w:highlight w:val="none"/>
        </w:rPr>
      </w:pPr>
      <w:r>
        <w:rPr>
          <w:rFonts w:hint="eastAsia" w:ascii="宋体" w:hAnsi="宋体"/>
          <w:color w:val="auto"/>
          <w:szCs w:val="21"/>
          <w:highlight w:val="none"/>
        </w:rPr>
        <w:t>价格扣除，用扣除后的价格参与评审。</w:t>
      </w:r>
    </w:p>
    <w:p w14:paraId="35A1F27F">
      <w:pPr>
        <w:spacing w:line="360" w:lineRule="auto"/>
        <w:rPr>
          <w:rFonts w:hint="eastAsia" w:ascii="宋体" w:hAnsi="宋体"/>
          <w:color w:val="auto"/>
          <w:szCs w:val="21"/>
          <w:highlight w:val="none"/>
        </w:rPr>
      </w:pPr>
      <w:r>
        <w:rPr>
          <w:rFonts w:hint="eastAsia" w:ascii="宋体" w:hAnsi="宋体"/>
          <w:b/>
          <w:bCs w:val="0"/>
          <w:i/>
          <w:iCs/>
          <w:color w:val="auto"/>
          <w:highlight w:val="none"/>
          <w:u w:val="single"/>
        </w:rPr>
        <w:t>本项目专门面向中小企业采购故价格部分不进行价格扣除。</w:t>
      </w:r>
    </w:p>
    <w:bookmarkEnd w:id="2"/>
    <w:p w14:paraId="41B1961C">
      <w:pPr>
        <w:jc w:val="center"/>
        <w:rPr>
          <w:b/>
          <w:color w:val="auto"/>
          <w:sz w:val="28"/>
          <w:szCs w:val="24"/>
          <w:highlight w:val="none"/>
        </w:rPr>
      </w:pPr>
      <w:r>
        <w:rPr>
          <w:rFonts w:hint="eastAsia"/>
          <w:b/>
          <w:color w:val="auto"/>
          <w:sz w:val="28"/>
          <w:szCs w:val="24"/>
          <w:highlight w:val="none"/>
        </w:rPr>
        <w:t>评标办法</w:t>
      </w:r>
    </w:p>
    <w:tbl>
      <w:tblPr>
        <w:tblStyle w:val="18"/>
        <w:tblW w:w="10125" w:type="dxa"/>
        <w:tblInd w:w="-8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7"/>
        <w:gridCol w:w="1408"/>
        <w:gridCol w:w="7260"/>
      </w:tblGrid>
      <w:tr w14:paraId="0081E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2865" w:type="dxa"/>
            <w:gridSpan w:val="2"/>
            <w:tcBorders>
              <w:right w:val="single" w:color="auto" w:sz="4" w:space="0"/>
            </w:tcBorders>
            <w:noWrap w:val="0"/>
            <w:vAlign w:val="center"/>
          </w:tcPr>
          <w:p w14:paraId="181BC6CA">
            <w:pPr>
              <w:jc w:val="center"/>
              <w:rPr>
                <w:rFonts w:ascii="宋体" w:hAnsi="宋体"/>
                <w:color w:val="auto"/>
                <w:szCs w:val="21"/>
                <w:highlight w:val="none"/>
              </w:rPr>
            </w:pPr>
            <w:bookmarkStart w:id="32" w:name="_Hlk137806362"/>
            <w:r>
              <w:rPr>
                <w:rFonts w:hint="eastAsia" w:ascii="宋体" w:hAnsi="宋体"/>
                <w:color w:val="auto"/>
                <w:szCs w:val="21"/>
                <w:highlight w:val="none"/>
              </w:rPr>
              <w:t>评审内容</w:t>
            </w:r>
          </w:p>
        </w:tc>
        <w:tc>
          <w:tcPr>
            <w:tcW w:w="7260" w:type="dxa"/>
            <w:tcBorders>
              <w:left w:val="single" w:color="auto" w:sz="4" w:space="0"/>
            </w:tcBorders>
            <w:noWrap w:val="0"/>
            <w:vAlign w:val="center"/>
          </w:tcPr>
          <w:p w14:paraId="40A214FB">
            <w:pPr>
              <w:jc w:val="center"/>
              <w:rPr>
                <w:rFonts w:ascii="宋体" w:hAnsi="宋体"/>
                <w:color w:val="auto"/>
                <w:szCs w:val="21"/>
                <w:highlight w:val="none"/>
              </w:rPr>
            </w:pPr>
            <w:r>
              <w:rPr>
                <w:rFonts w:hint="eastAsia" w:ascii="宋体" w:hAnsi="宋体"/>
                <w:color w:val="auto"/>
                <w:szCs w:val="21"/>
                <w:highlight w:val="none"/>
              </w:rPr>
              <w:t>评分标准</w:t>
            </w:r>
          </w:p>
        </w:tc>
      </w:tr>
      <w:tr w14:paraId="17D7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trPr>
        <w:tc>
          <w:tcPr>
            <w:tcW w:w="2865" w:type="dxa"/>
            <w:gridSpan w:val="2"/>
            <w:tcBorders>
              <w:right w:val="single" w:color="auto" w:sz="4" w:space="0"/>
            </w:tcBorders>
            <w:noWrap w:val="0"/>
            <w:vAlign w:val="center"/>
          </w:tcPr>
          <w:p w14:paraId="7ACDE7E6">
            <w:pPr>
              <w:jc w:val="center"/>
              <w:rPr>
                <w:rFonts w:ascii="宋体" w:hAnsi="宋体"/>
                <w:color w:val="auto"/>
                <w:szCs w:val="21"/>
                <w:highlight w:val="none"/>
              </w:rPr>
            </w:pPr>
            <w:r>
              <w:rPr>
                <w:rFonts w:hint="eastAsia" w:ascii="宋体" w:hAnsi="宋体"/>
                <w:color w:val="auto"/>
                <w:szCs w:val="21"/>
                <w:highlight w:val="none"/>
              </w:rPr>
              <w:t>价格部分</w:t>
            </w:r>
          </w:p>
          <w:p w14:paraId="07F7EB43">
            <w:pPr>
              <w:jc w:val="center"/>
              <w:rPr>
                <w:rFonts w:ascii="宋体" w:hAnsi="宋体"/>
                <w:color w:val="auto"/>
                <w:szCs w:val="21"/>
                <w:highlight w:val="none"/>
              </w:rPr>
            </w:pPr>
            <w:r>
              <w:rPr>
                <w:rFonts w:hint="eastAsia" w:ascii="宋体" w:hAnsi="宋体"/>
                <w:color w:val="auto"/>
                <w:szCs w:val="21"/>
                <w:highlight w:val="none"/>
                <w:lang w:val="en-US" w:eastAsia="zh-CN"/>
              </w:rPr>
              <w:t>3</w:t>
            </w:r>
            <w:r>
              <w:rPr>
                <w:rFonts w:hint="eastAsia" w:ascii="宋体" w:hAnsi="宋体"/>
                <w:color w:val="auto"/>
                <w:szCs w:val="21"/>
                <w:highlight w:val="none"/>
              </w:rPr>
              <w:t>0分</w:t>
            </w:r>
          </w:p>
        </w:tc>
        <w:tc>
          <w:tcPr>
            <w:tcW w:w="7260" w:type="dxa"/>
            <w:tcBorders>
              <w:left w:val="single" w:color="auto" w:sz="4" w:space="0"/>
            </w:tcBorders>
            <w:noWrap w:val="0"/>
            <w:vAlign w:val="center"/>
          </w:tcPr>
          <w:p w14:paraId="485AA0D1">
            <w:pPr>
              <w:rPr>
                <w:rFonts w:ascii="宋体" w:hAnsi="宋体"/>
                <w:color w:val="auto"/>
                <w:szCs w:val="21"/>
                <w:highlight w:val="none"/>
              </w:rPr>
            </w:pPr>
            <w:r>
              <w:rPr>
                <w:rFonts w:hint="eastAsia" w:ascii="宋体" w:hAnsi="宋体"/>
                <w:color w:val="auto"/>
                <w:szCs w:val="21"/>
                <w:highlight w:val="none"/>
              </w:rPr>
              <w:t>以满足招标文件要求且投标价格最低的投标报价为评标基准价，其价格分为满分</w:t>
            </w:r>
            <w:r>
              <w:rPr>
                <w:rFonts w:hint="eastAsia" w:ascii="宋体" w:hAnsi="宋体"/>
                <w:color w:val="auto"/>
                <w:szCs w:val="21"/>
                <w:highlight w:val="none"/>
                <w:lang w:val="en-US" w:eastAsia="zh-CN"/>
              </w:rPr>
              <w:t>3</w:t>
            </w:r>
            <w:r>
              <w:rPr>
                <w:rFonts w:ascii="宋体" w:hAnsi="宋体"/>
                <w:color w:val="auto"/>
                <w:szCs w:val="21"/>
                <w:highlight w:val="none"/>
              </w:rPr>
              <w:t>0</w:t>
            </w:r>
            <w:r>
              <w:rPr>
                <w:rFonts w:hint="eastAsia" w:ascii="宋体" w:hAnsi="宋体"/>
                <w:color w:val="auto"/>
                <w:szCs w:val="21"/>
                <w:highlight w:val="none"/>
              </w:rPr>
              <w:t>分。其他投标人的价格分统一按照下列公示计算：投标报价得分＝（评标基准价</w:t>
            </w:r>
            <w:r>
              <w:rPr>
                <w:rFonts w:ascii="宋体" w:hAnsi="宋体"/>
                <w:color w:val="auto"/>
                <w:szCs w:val="21"/>
                <w:highlight w:val="none"/>
              </w:rPr>
              <w:t>/</w:t>
            </w:r>
            <w:r>
              <w:rPr>
                <w:rFonts w:hint="eastAsia" w:ascii="宋体" w:hAnsi="宋体"/>
                <w:color w:val="auto"/>
                <w:szCs w:val="21"/>
                <w:highlight w:val="none"/>
              </w:rPr>
              <w:t>投标报价）×</w:t>
            </w:r>
            <w:r>
              <w:rPr>
                <w:rFonts w:hint="eastAsia" w:ascii="宋体" w:hAnsi="宋体"/>
                <w:color w:val="auto"/>
                <w:szCs w:val="21"/>
                <w:highlight w:val="none"/>
                <w:lang w:val="en-US" w:eastAsia="zh-CN"/>
              </w:rPr>
              <w:t>3</w:t>
            </w:r>
            <w:r>
              <w:rPr>
                <w:rFonts w:ascii="宋体" w:hAnsi="宋体"/>
                <w:color w:val="auto"/>
                <w:szCs w:val="21"/>
                <w:highlight w:val="none"/>
              </w:rPr>
              <w:t>0</w:t>
            </w:r>
          </w:p>
        </w:tc>
      </w:tr>
      <w:tr w14:paraId="67FFE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4" w:hRule="atLeast"/>
        </w:trPr>
        <w:tc>
          <w:tcPr>
            <w:tcW w:w="1457" w:type="dxa"/>
            <w:vMerge w:val="restart"/>
            <w:tcBorders>
              <w:right w:val="single" w:color="auto" w:sz="4" w:space="0"/>
            </w:tcBorders>
            <w:noWrap w:val="0"/>
            <w:vAlign w:val="center"/>
          </w:tcPr>
          <w:p w14:paraId="298A6867">
            <w:pPr>
              <w:jc w:val="center"/>
              <w:rPr>
                <w:rFonts w:ascii="宋体" w:hAnsi="宋体"/>
                <w:color w:val="auto"/>
                <w:szCs w:val="24"/>
                <w:highlight w:val="none"/>
              </w:rPr>
            </w:pPr>
            <w:r>
              <w:rPr>
                <w:rFonts w:hint="eastAsia" w:ascii="宋体" w:hAnsi="宋体" w:cs="宋体"/>
                <w:color w:val="auto"/>
                <w:szCs w:val="21"/>
                <w:highlight w:val="none"/>
              </w:rPr>
              <w:t>项目</w:t>
            </w:r>
            <w:r>
              <w:rPr>
                <w:rFonts w:hint="eastAsia" w:ascii="宋体" w:hAnsi="宋体" w:cs="宋体"/>
                <w:color w:val="auto"/>
                <w:szCs w:val="21"/>
                <w:highlight w:val="none"/>
                <w:lang w:val="en-US" w:eastAsia="zh-CN"/>
              </w:rPr>
              <w:t>实施</w:t>
            </w:r>
            <w:r>
              <w:rPr>
                <w:rFonts w:hint="eastAsia" w:ascii="宋体" w:hAnsi="宋体" w:cs="宋体"/>
                <w:color w:val="auto"/>
                <w:szCs w:val="21"/>
                <w:highlight w:val="none"/>
              </w:rPr>
              <w:t>方案</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44</w:t>
            </w:r>
            <w:r>
              <w:rPr>
                <w:rFonts w:hint="eastAsia" w:ascii="宋体" w:hAnsi="宋体"/>
                <w:color w:val="auto"/>
                <w:szCs w:val="21"/>
                <w:highlight w:val="none"/>
                <w:lang w:val="en-US" w:eastAsia="zh-CN"/>
              </w:rPr>
              <w:t>分）</w:t>
            </w:r>
          </w:p>
        </w:tc>
        <w:tc>
          <w:tcPr>
            <w:tcW w:w="1408" w:type="dxa"/>
            <w:tcBorders>
              <w:right w:val="single" w:color="auto" w:sz="4" w:space="0"/>
            </w:tcBorders>
            <w:noWrap w:val="0"/>
            <w:vAlign w:val="center"/>
          </w:tcPr>
          <w:p w14:paraId="4B789688">
            <w:pPr>
              <w:snapToGrid w:val="0"/>
              <w:rPr>
                <w:rFonts w:hint="eastAsia" w:ascii="宋体" w:hAnsi="宋体"/>
                <w:color w:val="auto"/>
                <w:szCs w:val="21"/>
                <w:highlight w:val="none"/>
              </w:rPr>
            </w:pPr>
            <w:r>
              <w:rPr>
                <w:rFonts w:hint="eastAsia" w:ascii="宋体" w:hAnsi="宋体"/>
                <w:color w:val="auto"/>
                <w:szCs w:val="21"/>
                <w:highlight w:val="none"/>
                <w:lang w:val="en-US" w:eastAsia="zh-CN"/>
              </w:rPr>
              <w:t>供货</w:t>
            </w:r>
            <w:r>
              <w:rPr>
                <w:rFonts w:hint="eastAsia" w:ascii="宋体" w:hAnsi="宋体"/>
                <w:color w:val="auto"/>
                <w:szCs w:val="21"/>
                <w:highlight w:val="none"/>
              </w:rPr>
              <w:t>方案</w:t>
            </w:r>
          </w:p>
          <w:p w14:paraId="1CE2F5BF">
            <w:pPr>
              <w:snapToGrid w:val="0"/>
              <w:rPr>
                <w:rFonts w:hint="eastAsia" w:ascii="宋体" w:hAnsi="宋体" w:cs="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10</w:t>
            </w:r>
            <w:r>
              <w:rPr>
                <w:rFonts w:hint="eastAsia" w:ascii="宋体" w:hAnsi="宋体"/>
                <w:color w:val="auto"/>
                <w:szCs w:val="21"/>
                <w:highlight w:val="none"/>
              </w:rPr>
              <w:t>分）</w:t>
            </w:r>
          </w:p>
        </w:tc>
        <w:tc>
          <w:tcPr>
            <w:tcW w:w="7260" w:type="dxa"/>
            <w:tcBorders>
              <w:left w:val="single" w:color="auto" w:sz="4" w:space="0"/>
            </w:tcBorders>
            <w:noWrap w:val="0"/>
            <w:vAlign w:val="center"/>
          </w:tcPr>
          <w:p w14:paraId="2C79F5A7">
            <w:pPr>
              <w:snapToGrid w:val="0"/>
              <w:jc w:val="left"/>
              <w:rPr>
                <w:rFonts w:ascii="宋体" w:hAnsi="宋体" w:cs="宋体"/>
                <w:color w:val="auto"/>
                <w:kern w:val="0"/>
                <w:szCs w:val="21"/>
                <w:highlight w:val="none"/>
              </w:rPr>
            </w:pPr>
            <w:r>
              <w:rPr>
                <w:rFonts w:hint="eastAsia"/>
                <w:color w:val="auto"/>
                <w:szCs w:val="21"/>
                <w:highlight w:val="none"/>
                <w:lang w:val="en-US" w:eastAsia="zh-CN"/>
              </w:rPr>
              <w:t>供货</w:t>
            </w:r>
            <w:r>
              <w:rPr>
                <w:rFonts w:hint="eastAsia" w:ascii="宋体" w:hAnsi="宋体" w:cs="宋体"/>
                <w:color w:val="auto"/>
                <w:kern w:val="0"/>
                <w:szCs w:val="21"/>
                <w:highlight w:val="none"/>
              </w:rPr>
              <w:t>方案科学、严密</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有相关主材类检测报告)</w:t>
            </w:r>
            <w:r>
              <w:rPr>
                <w:rFonts w:hint="eastAsia" w:ascii="宋体" w:hAnsi="宋体" w:cs="宋体"/>
                <w:color w:val="auto"/>
                <w:kern w:val="0"/>
                <w:szCs w:val="21"/>
                <w:highlight w:val="none"/>
              </w:rPr>
              <w:t>、合理，描述详细且具有针对性的得</w:t>
            </w: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分，</w:t>
            </w:r>
          </w:p>
          <w:p w14:paraId="6F542C06">
            <w:pPr>
              <w:snapToGrid w:val="0"/>
              <w:jc w:val="left"/>
              <w:rPr>
                <w:rFonts w:ascii="宋体" w:hAnsi="宋体" w:cs="宋体"/>
                <w:color w:val="auto"/>
                <w:kern w:val="0"/>
                <w:szCs w:val="21"/>
                <w:highlight w:val="none"/>
              </w:rPr>
            </w:pPr>
            <w:r>
              <w:rPr>
                <w:rFonts w:hint="eastAsia"/>
                <w:color w:val="auto"/>
                <w:szCs w:val="21"/>
                <w:highlight w:val="none"/>
                <w:lang w:val="en-US" w:eastAsia="zh-CN"/>
              </w:rPr>
              <w:t>供货</w:t>
            </w:r>
            <w:r>
              <w:rPr>
                <w:rFonts w:hint="eastAsia" w:ascii="宋体" w:hAnsi="宋体" w:cs="宋体"/>
                <w:color w:val="auto"/>
                <w:kern w:val="0"/>
                <w:szCs w:val="21"/>
                <w:highlight w:val="none"/>
              </w:rPr>
              <w:t>方案较合理、严密</w:t>
            </w:r>
            <w:r>
              <w:rPr>
                <w:rFonts w:hint="eastAsia" w:ascii="宋体" w:hAnsi="宋体" w:cs="宋体"/>
                <w:color w:val="auto"/>
                <w:kern w:val="0"/>
                <w:szCs w:val="21"/>
                <w:highlight w:val="none"/>
                <w:lang w:eastAsia="zh-CN"/>
              </w:rPr>
              <w:t>（</w:t>
            </w:r>
            <w:r>
              <w:rPr>
                <w:rFonts w:hint="eastAsia" w:ascii="宋体" w:hAnsi="宋体" w:cs="宋体"/>
                <w:color w:val="auto"/>
                <w:kern w:val="0"/>
                <w:szCs w:val="21"/>
                <w:highlight w:val="none"/>
                <w:lang w:val="en-US" w:eastAsia="zh-CN"/>
              </w:rPr>
              <w:t>有相关主材类检测报告)</w:t>
            </w:r>
            <w:r>
              <w:rPr>
                <w:rFonts w:hint="eastAsia" w:ascii="宋体" w:hAnsi="宋体" w:cs="宋体"/>
                <w:color w:val="auto"/>
                <w:kern w:val="0"/>
                <w:szCs w:val="21"/>
                <w:highlight w:val="none"/>
              </w:rPr>
              <w:t>、描述较为详细，不存在实施难度的得</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分，</w:t>
            </w:r>
          </w:p>
          <w:p w14:paraId="240F1A0A">
            <w:pPr>
              <w:snapToGrid w:val="0"/>
              <w:jc w:val="left"/>
              <w:rPr>
                <w:rFonts w:ascii="宋体" w:hAnsi="宋体" w:cs="宋体"/>
                <w:color w:val="auto"/>
                <w:kern w:val="0"/>
                <w:szCs w:val="21"/>
                <w:highlight w:val="none"/>
              </w:rPr>
            </w:pPr>
            <w:r>
              <w:rPr>
                <w:rFonts w:hint="eastAsia"/>
                <w:color w:val="auto"/>
                <w:szCs w:val="21"/>
                <w:highlight w:val="none"/>
                <w:lang w:val="en-US" w:eastAsia="zh-CN"/>
              </w:rPr>
              <w:t>供货</w:t>
            </w:r>
            <w:r>
              <w:rPr>
                <w:rFonts w:hint="eastAsia" w:ascii="宋体" w:hAnsi="宋体" w:cs="宋体"/>
                <w:color w:val="auto"/>
                <w:kern w:val="0"/>
                <w:szCs w:val="21"/>
                <w:highlight w:val="none"/>
              </w:rPr>
              <w:t>方案基本合理、描述一般、存在可操作性的得</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分，</w:t>
            </w:r>
          </w:p>
          <w:p w14:paraId="404F2509">
            <w:pPr>
              <w:snapToGrid w:val="0"/>
              <w:jc w:val="left"/>
              <w:rPr>
                <w:rFonts w:ascii="宋体" w:hAnsi="宋体" w:cs="宋体"/>
                <w:color w:val="auto"/>
                <w:kern w:val="0"/>
                <w:szCs w:val="21"/>
                <w:highlight w:val="none"/>
              </w:rPr>
            </w:pPr>
            <w:r>
              <w:rPr>
                <w:rFonts w:hint="eastAsia"/>
                <w:color w:val="auto"/>
                <w:szCs w:val="21"/>
                <w:highlight w:val="none"/>
                <w:lang w:val="en-US" w:eastAsia="zh-CN"/>
              </w:rPr>
              <w:t>供货</w:t>
            </w:r>
            <w:r>
              <w:rPr>
                <w:rFonts w:hint="eastAsia" w:ascii="宋体" w:hAnsi="宋体" w:cs="宋体"/>
                <w:color w:val="auto"/>
                <w:kern w:val="0"/>
                <w:szCs w:val="21"/>
                <w:highlight w:val="none"/>
              </w:rPr>
              <w:t>方案具有不合理项、描述略欠缺、存在一定的实施难度的得</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分，</w:t>
            </w:r>
          </w:p>
          <w:p w14:paraId="51B17A63">
            <w:pPr>
              <w:snapToGrid w:val="0"/>
              <w:jc w:val="left"/>
              <w:rPr>
                <w:rFonts w:ascii="宋体" w:hAnsi="宋体"/>
                <w:color w:val="auto"/>
                <w:szCs w:val="21"/>
                <w:highlight w:val="none"/>
              </w:rPr>
            </w:pPr>
            <w:r>
              <w:rPr>
                <w:rFonts w:hint="eastAsia"/>
                <w:color w:val="auto"/>
                <w:szCs w:val="21"/>
                <w:highlight w:val="none"/>
                <w:lang w:val="en-US" w:eastAsia="zh-CN"/>
              </w:rPr>
              <w:t>供货</w:t>
            </w:r>
            <w:r>
              <w:rPr>
                <w:rFonts w:hint="eastAsia" w:ascii="宋体" w:hAnsi="宋体" w:cs="宋体"/>
                <w:color w:val="auto"/>
                <w:kern w:val="0"/>
                <w:szCs w:val="21"/>
                <w:highlight w:val="none"/>
              </w:rPr>
              <w:t>方案具有明显不合理项、描述欠缺、存在实施难度的得</w:t>
            </w: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分，其余不得分。</w:t>
            </w:r>
          </w:p>
        </w:tc>
      </w:tr>
      <w:tr w14:paraId="5885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2" w:hRule="atLeast"/>
        </w:trPr>
        <w:tc>
          <w:tcPr>
            <w:tcW w:w="1457" w:type="dxa"/>
            <w:vMerge w:val="continue"/>
            <w:tcBorders>
              <w:right w:val="single" w:color="auto" w:sz="4" w:space="0"/>
            </w:tcBorders>
            <w:noWrap w:val="0"/>
            <w:vAlign w:val="center"/>
          </w:tcPr>
          <w:p w14:paraId="5FE8042D">
            <w:pPr>
              <w:jc w:val="center"/>
              <w:rPr>
                <w:rFonts w:ascii="宋体" w:hAnsi="宋体"/>
                <w:color w:val="auto"/>
                <w:szCs w:val="24"/>
                <w:highlight w:val="none"/>
              </w:rPr>
            </w:pPr>
          </w:p>
        </w:tc>
        <w:tc>
          <w:tcPr>
            <w:tcW w:w="1408" w:type="dxa"/>
            <w:tcBorders>
              <w:right w:val="single" w:color="auto" w:sz="4" w:space="0"/>
            </w:tcBorders>
            <w:noWrap w:val="0"/>
            <w:vAlign w:val="center"/>
          </w:tcPr>
          <w:p w14:paraId="6EB1E30F">
            <w:pPr>
              <w:rPr>
                <w:rFonts w:ascii="宋体" w:hAnsi="宋体"/>
                <w:color w:val="auto"/>
                <w:szCs w:val="24"/>
                <w:highlight w:val="none"/>
              </w:rPr>
            </w:pPr>
            <w:r>
              <w:rPr>
                <w:rFonts w:hint="eastAsia" w:ascii="宋体" w:hAnsi="宋体"/>
                <w:color w:val="auto"/>
                <w:szCs w:val="21"/>
                <w:highlight w:val="none"/>
                <w:lang w:val="en-US" w:eastAsia="zh-CN"/>
              </w:rPr>
              <w:t>货物安装方案</w:t>
            </w:r>
            <w:r>
              <w:rPr>
                <w:rFonts w:hint="eastAsia" w:ascii="宋体" w:hAnsi="宋体"/>
                <w:color w:val="auto"/>
                <w:szCs w:val="21"/>
                <w:highlight w:val="none"/>
              </w:rPr>
              <w:t>（</w:t>
            </w:r>
            <w:r>
              <w:rPr>
                <w:rFonts w:hint="eastAsia" w:ascii="宋体" w:hAnsi="宋体"/>
                <w:color w:val="auto"/>
                <w:szCs w:val="21"/>
                <w:highlight w:val="none"/>
                <w:lang w:val="en-US" w:eastAsia="zh-CN"/>
              </w:rPr>
              <w:t>10</w:t>
            </w:r>
            <w:r>
              <w:rPr>
                <w:rFonts w:hint="eastAsia" w:ascii="宋体" w:hAnsi="宋体"/>
                <w:color w:val="auto"/>
                <w:szCs w:val="21"/>
                <w:highlight w:val="none"/>
              </w:rPr>
              <w:t>分）</w:t>
            </w:r>
          </w:p>
        </w:tc>
        <w:tc>
          <w:tcPr>
            <w:tcW w:w="7260" w:type="dxa"/>
            <w:tcBorders>
              <w:left w:val="single" w:color="auto" w:sz="4" w:space="0"/>
            </w:tcBorders>
            <w:noWrap w:val="0"/>
            <w:vAlign w:val="center"/>
          </w:tcPr>
          <w:p w14:paraId="3EB61BFC">
            <w:pPr>
              <w:snapToGrid w:val="0"/>
              <w:jc w:val="left"/>
              <w:rPr>
                <w:rFonts w:ascii="宋体" w:hAnsi="宋体" w:cs="宋体"/>
                <w:color w:val="auto"/>
                <w:kern w:val="0"/>
                <w:szCs w:val="21"/>
                <w:highlight w:val="none"/>
              </w:rPr>
            </w:pPr>
            <w:r>
              <w:rPr>
                <w:rFonts w:hint="eastAsia" w:ascii="宋体" w:hAnsi="宋体"/>
                <w:color w:val="auto"/>
                <w:szCs w:val="21"/>
                <w:highlight w:val="none"/>
                <w:lang w:val="en-US" w:eastAsia="zh-CN"/>
              </w:rPr>
              <w:t>安装方案</w:t>
            </w:r>
            <w:r>
              <w:rPr>
                <w:rFonts w:hint="eastAsia" w:ascii="宋体" w:hAnsi="宋体" w:cs="宋体"/>
                <w:color w:val="auto"/>
                <w:kern w:val="0"/>
                <w:szCs w:val="21"/>
                <w:highlight w:val="none"/>
              </w:rPr>
              <w:t>科学、严密、合理，描述详细且具有针对性的得</w:t>
            </w:r>
            <w:r>
              <w:rPr>
                <w:rFonts w:hint="eastAsia" w:ascii="宋体" w:hAnsi="宋体" w:cs="宋体"/>
                <w:color w:val="auto"/>
                <w:kern w:val="0"/>
                <w:szCs w:val="21"/>
                <w:highlight w:val="none"/>
                <w:lang w:val="en-US" w:eastAsia="zh-CN"/>
              </w:rPr>
              <w:t>10</w:t>
            </w:r>
            <w:r>
              <w:rPr>
                <w:rFonts w:hint="eastAsia" w:ascii="宋体" w:hAnsi="宋体" w:cs="宋体"/>
                <w:color w:val="auto"/>
                <w:kern w:val="0"/>
                <w:szCs w:val="21"/>
                <w:highlight w:val="none"/>
              </w:rPr>
              <w:t>分，</w:t>
            </w:r>
          </w:p>
          <w:p w14:paraId="16ACB2D5">
            <w:pPr>
              <w:snapToGrid w:val="0"/>
              <w:jc w:val="left"/>
              <w:rPr>
                <w:rFonts w:ascii="宋体" w:hAnsi="宋体" w:cs="宋体"/>
                <w:color w:val="auto"/>
                <w:kern w:val="0"/>
                <w:szCs w:val="21"/>
                <w:highlight w:val="none"/>
              </w:rPr>
            </w:pPr>
            <w:r>
              <w:rPr>
                <w:rFonts w:hint="eastAsia" w:ascii="宋体" w:hAnsi="宋体"/>
                <w:color w:val="auto"/>
                <w:szCs w:val="21"/>
                <w:highlight w:val="none"/>
                <w:lang w:val="en-US" w:eastAsia="zh-CN"/>
              </w:rPr>
              <w:t>安装方案</w:t>
            </w:r>
            <w:r>
              <w:rPr>
                <w:rFonts w:hint="eastAsia" w:ascii="宋体" w:hAnsi="宋体" w:cs="宋体"/>
                <w:color w:val="auto"/>
                <w:kern w:val="0"/>
                <w:szCs w:val="21"/>
                <w:highlight w:val="none"/>
              </w:rPr>
              <w:t>较合理、严密、描述较为详细的得</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分，</w:t>
            </w:r>
          </w:p>
          <w:p w14:paraId="144B3D4B">
            <w:pPr>
              <w:snapToGrid w:val="0"/>
              <w:jc w:val="left"/>
              <w:rPr>
                <w:rFonts w:ascii="宋体" w:hAnsi="宋体" w:cs="宋体"/>
                <w:color w:val="auto"/>
                <w:kern w:val="0"/>
                <w:szCs w:val="21"/>
                <w:highlight w:val="none"/>
              </w:rPr>
            </w:pPr>
            <w:r>
              <w:rPr>
                <w:rFonts w:hint="eastAsia" w:ascii="宋体" w:hAnsi="宋体"/>
                <w:color w:val="auto"/>
                <w:szCs w:val="21"/>
                <w:highlight w:val="none"/>
                <w:lang w:val="en-US" w:eastAsia="zh-CN"/>
              </w:rPr>
              <w:t>安装方案</w:t>
            </w:r>
            <w:r>
              <w:rPr>
                <w:rFonts w:hint="eastAsia" w:ascii="宋体" w:hAnsi="宋体" w:cs="宋体"/>
                <w:color w:val="auto"/>
                <w:kern w:val="0"/>
                <w:szCs w:val="21"/>
                <w:highlight w:val="none"/>
              </w:rPr>
              <w:t>基本合理、描述一般的得</w:t>
            </w:r>
            <w:r>
              <w:rPr>
                <w:rFonts w:hint="eastAsia" w:ascii="宋体" w:hAnsi="宋体" w:cs="宋体"/>
                <w:color w:val="auto"/>
                <w:kern w:val="0"/>
                <w:szCs w:val="21"/>
                <w:highlight w:val="none"/>
                <w:lang w:val="en-US" w:eastAsia="zh-CN"/>
              </w:rPr>
              <w:t>5</w:t>
            </w:r>
            <w:r>
              <w:rPr>
                <w:rFonts w:hint="eastAsia" w:ascii="宋体" w:hAnsi="宋体" w:cs="宋体"/>
                <w:color w:val="auto"/>
                <w:kern w:val="0"/>
                <w:szCs w:val="21"/>
                <w:highlight w:val="none"/>
              </w:rPr>
              <w:t>分，</w:t>
            </w:r>
          </w:p>
          <w:p w14:paraId="0B25681A">
            <w:pPr>
              <w:snapToGrid w:val="0"/>
              <w:jc w:val="left"/>
              <w:rPr>
                <w:rFonts w:ascii="宋体" w:hAnsi="宋体" w:cs="宋体"/>
                <w:color w:val="auto"/>
                <w:kern w:val="0"/>
                <w:szCs w:val="21"/>
                <w:highlight w:val="none"/>
              </w:rPr>
            </w:pPr>
            <w:r>
              <w:rPr>
                <w:rFonts w:hint="eastAsia" w:ascii="宋体" w:hAnsi="宋体"/>
                <w:color w:val="auto"/>
                <w:szCs w:val="21"/>
                <w:highlight w:val="none"/>
                <w:lang w:val="en-US" w:eastAsia="zh-CN"/>
              </w:rPr>
              <w:t>安装方案</w:t>
            </w:r>
            <w:r>
              <w:rPr>
                <w:rFonts w:hint="eastAsia" w:ascii="宋体" w:hAnsi="宋体" w:cs="宋体"/>
                <w:color w:val="auto"/>
                <w:kern w:val="0"/>
                <w:szCs w:val="21"/>
                <w:highlight w:val="none"/>
              </w:rPr>
              <w:t>具有不合理项、描述略欠缺的得</w:t>
            </w:r>
            <w:r>
              <w:rPr>
                <w:rFonts w:hint="eastAsia" w:ascii="宋体" w:hAnsi="宋体" w:cs="宋体"/>
                <w:color w:val="auto"/>
                <w:kern w:val="0"/>
                <w:szCs w:val="21"/>
                <w:highlight w:val="none"/>
                <w:lang w:val="en-US" w:eastAsia="zh-CN"/>
              </w:rPr>
              <w:t>3</w:t>
            </w:r>
            <w:r>
              <w:rPr>
                <w:rFonts w:hint="eastAsia" w:ascii="宋体" w:hAnsi="宋体" w:cs="宋体"/>
                <w:color w:val="auto"/>
                <w:kern w:val="0"/>
                <w:szCs w:val="21"/>
                <w:highlight w:val="none"/>
              </w:rPr>
              <w:t>分，</w:t>
            </w:r>
          </w:p>
          <w:p w14:paraId="48305CC7">
            <w:pPr>
              <w:rPr>
                <w:rFonts w:ascii="宋体" w:hAnsi="宋体"/>
                <w:color w:val="auto"/>
                <w:szCs w:val="21"/>
                <w:highlight w:val="none"/>
              </w:rPr>
            </w:pPr>
            <w:r>
              <w:rPr>
                <w:rFonts w:hint="eastAsia" w:ascii="宋体" w:hAnsi="宋体"/>
                <w:color w:val="auto"/>
                <w:szCs w:val="21"/>
                <w:highlight w:val="none"/>
                <w:lang w:val="en-US" w:eastAsia="zh-CN"/>
              </w:rPr>
              <w:t>安装方案</w:t>
            </w:r>
            <w:r>
              <w:rPr>
                <w:rFonts w:hint="eastAsia" w:ascii="宋体" w:hAnsi="宋体" w:cs="宋体"/>
                <w:color w:val="auto"/>
                <w:kern w:val="0"/>
                <w:szCs w:val="21"/>
                <w:highlight w:val="none"/>
              </w:rPr>
              <w:t>具有明显不合理项、描述欠缺的不得分。</w:t>
            </w:r>
          </w:p>
        </w:tc>
      </w:tr>
      <w:tr w14:paraId="7DF22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457" w:type="dxa"/>
            <w:vMerge w:val="continue"/>
            <w:tcBorders>
              <w:right w:val="single" w:color="auto" w:sz="4" w:space="0"/>
            </w:tcBorders>
            <w:noWrap w:val="0"/>
            <w:vAlign w:val="center"/>
          </w:tcPr>
          <w:p w14:paraId="539CD264">
            <w:pPr>
              <w:jc w:val="center"/>
              <w:rPr>
                <w:rFonts w:ascii="宋体" w:hAnsi="宋体"/>
                <w:color w:val="auto"/>
                <w:szCs w:val="24"/>
                <w:highlight w:val="none"/>
              </w:rPr>
            </w:pPr>
          </w:p>
        </w:tc>
        <w:tc>
          <w:tcPr>
            <w:tcW w:w="1408" w:type="dxa"/>
            <w:tcBorders>
              <w:right w:val="single" w:color="auto" w:sz="4" w:space="0"/>
            </w:tcBorders>
            <w:noWrap w:val="0"/>
            <w:vAlign w:val="center"/>
          </w:tcPr>
          <w:p w14:paraId="2F88AC3E">
            <w:pPr>
              <w:rPr>
                <w:rFonts w:ascii="宋体" w:hAnsi="宋体"/>
                <w:color w:val="auto"/>
                <w:szCs w:val="24"/>
                <w:highlight w:val="none"/>
              </w:rPr>
            </w:pPr>
            <w:r>
              <w:rPr>
                <w:rFonts w:hint="eastAsia" w:ascii="宋体" w:hAnsi="宋体"/>
                <w:color w:val="auto"/>
                <w:szCs w:val="21"/>
                <w:highlight w:val="none"/>
                <w:lang w:val="en-US" w:eastAsia="zh-CN"/>
              </w:rPr>
              <w:t>项目</w:t>
            </w:r>
            <w:r>
              <w:rPr>
                <w:rFonts w:hint="eastAsia" w:ascii="宋体" w:hAnsi="宋体"/>
                <w:color w:val="auto"/>
                <w:szCs w:val="21"/>
                <w:highlight w:val="none"/>
              </w:rPr>
              <w:t>安全控制措施（</w:t>
            </w:r>
            <w:r>
              <w:rPr>
                <w:rFonts w:hint="eastAsia" w:ascii="宋体" w:hAnsi="宋体"/>
                <w:color w:val="auto"/>
                <w:szCs w:val="21"/>
                <w:highlight w:val="none"/>
                <w:lang w:val="en-US" w:eastAsia="zh-CN"/>
              </w:rPr>
              <w:t>8</w:t>
            </w:r>
            <w:r>
              <w:rPr>
                <w:rFonts w:hint="eastAsia" w:ascii="宋体" w:hAnsi="宋体"/>
                <w:color w:val="auto"/>
                <w:szCs w:val="21"/>
                <w:highlight w:val="none"/>
              </w:rPr>
              <w:t>分）</w:t>
            </w:r>
          </w:p>
        </w:tc>
        <w:tc>
          <w:tcPr>
            <w:tcW w:w="7260" w:type="dxa"/>
            <w:tcBorders>
              <w:left w:val="single" w:color="auto" w:sz="4" w:space="0"/>
            </w:tcBorders>
            <w:noWrap w:val="0"/>
            <w:vAlign w:val="center"/>
          </w:tcPr>
          <w:p w14:paraId="4A833F11">
            <w:pPr>
              <w:snapToGrid w:val="0"/>
              <w:jc w:val="left"/>
              <w:rPr>
                <w:rFonts w:ascii="宋体" w:hAnsi="宋体" w:cs="宋体"/>
                <w:color w:val="auto"/>
                <w:kern w:val="0"/>
                <w:szCs w:val="21"/>
                <w:highlight w:val="none"/>
              </w:rPr>
            </w:pPr>
            <w:r>
              <w:rPr>
                <w:rFonts w:hint="eastAsia" w:ascii="宋体" w:hAnsi="宋体"/>
                <w:color w:val="auto"/>
                <w:szCs w:val="21"/>
                <w:highlight w:val="none"/>
              </w:rPr>
              <w:t>安全控制</w:t>
            </w:r>
            <w:r>
              <w:rPr>
                <w:rFonts w:hint="eastAsia" w:ascii="宋体" w:hAnsi="宋体" w:cs="宋体"/>
                <w:color w:val="auto"/>
                <w:kern w:val="0"/>
                <w:szCs w:val="21"/>
                <w:highlight w:val="none"/>
              </w:rPr>
              <w:t>措施科学、严密、合理，描述详细且具有针对性的得</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分，</w:t>
            </w:r>
          </w:p>
          <w:p w14:paraId="74FF100C">
            <w:pPr>
              <w:snapToGrid w:val="0"/>
              <w:jc w:val="left"/>
              <w:rPr>
                <w:rFonts w:ascii="宋体" w:hAnsi="宋体" w:cs="宋体"/>
                <w:color w:val="auto"/>
                <w:kern w:val="0"/>
                <w:szCs w:val="21"/>
                <w:highlight w:val="none"/>
              </w:rPr>
            </w:pPr>
            <w:r>
              <w:rPr>
                <w:rFonts w:hint="eastAsia" w:ascii="宋体" w:hAnsi="宋体"/>
                <w:color w:val="auto"/>
                <w:szCs w:val="21"/>
                <w:highlight w:val="none"/>
              </w:rPr>
              <w:t>安全控制</w:t>
            </w:r>
            <w:r>
              <w:rPr>
                <w:rFonts w:hint="eastAsia" w:ascii="宋体" w:hAnsi="宋体" w:cs="宋体"/>
                <w:color w:val="auto"/>
                <w:kern w:val="0"/>
                <w:szCs w:val="21"/>
                <w:highlight w:val="none"/>
              </w:rPr>
              <w:t>措施较合理、严密、描述较为详细的得</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分，</w:t>
            </w:r>
          </w:p>
          <w:p w14:paraId="6759C619">
            <w:pPr>
              <w:snapToGrid w:val="0"/>
              <w:jc w:val="left"/>
              <w:rPr>
                <w:rFonts w:ascii="宋体" w:hAnsi="宋体" w:cs="宋体"/>
                <w:color w:val="auto"/>
                <w:kern w:val="0"/>
                <w:szCs w:val="21"/>
                <w:highlight w:val="none"/>
              </w:rPr>
            </w:pPr>
            <w:r>
              <w:rPr>
                <w:rFonts w:hint="eastAsia" w:ascii="宋体" w:hAnsi="宋体"/>
                <w:color w:val="auto"/>
                <w:szCs w:val="21"/>
                <w:highlight w:val="none"/>
              </w:rPr>
              <w:t>安全控制</w:t>
            </w:r>
            <w:r>
              <w:rPr>
                <w:rFonts w:hint="eastAsia" w:ascii="宋体" w:hAnsi="宋体" w:cs="宋体"/>
                <w:color w:val="auto"/>
                <w:kern w:val="0"/>
                <w:szCs w:val="21"/>
                <w:highlight w:val="none"/>
              </w:rPr>
              <w:t>措施基本合理、描述一般的得</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分，</w:t>
            </w:r>
          </w:p>
          <w:p w14:paraId="542DD0A5">
            <w:pPr>
              <w:snapToGrid w:val="0"/>
              <w:jc w:val="left"/>
              <w:rPr>
                <w:rFonts w:ascii="宋体" w:hAnsi="宋体" w:cs="宋体"/>
                <w:color w:val="auto"/>
                <w:kern w:val="0"/>
                <w:szCs w:val="21"/>
                <w:highlight w:val="none"/>
              </w:rPr>
            </w:pPr>
            <w:r>
              <w:rPr>
                <w:rFonts w:hint="eastAsia" w:ascii="宋体" w:hAnsi="宋体"/>
                <w:color w:val="auto"/>
                <w:szCs w:val="21"/>
                <w:highlight w:val="none"/>
              </w:rPr>
              <w:t>安全控制</w:t>
            </w:r>
            <w:r>
              <w:rPr>
                <w:rFonts w:hint="eastAsia" w:ascii="宋体" w:hAnsi="宋体" w:cs="宋体"/>
                <w:color w:val="auto"/>
                <w:kern w:val="0"/>
                <w:szCs w:val="21"/>
                <w:highlight w:val="none"/>
              </w:rPr>
              <w:t>措施具有不合理项、描述略欠缺的得</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分，</w:t>
            </w:r>
          </w:p>
          <w:p w14:paraId="468AF670">
            <w:pPr>
              <w:rPr>
                <w:color w:val="auto"/>
                <w:highlight w:val="none"/>
              </w:rPr>
            </w:pPr>
            <w:r>
              <w:rPr>
                <w:rFonts w:hint="eastAsia" w:ascii="宋体" w:hAnsi="宋体"/>
                <w:color w:val="auto"/>
                <w:szCs w:val="21"/>
                <w:highlight w:val="none"/>
              </w:rPr>
              <w:t>安全控制</w:t>
            </w:r>
            <w:r>
              <w:rPr>
                <w:rFonts w:hint="eastAsia" w:ascii="宋体" w:hAnsi="宋体" w:cs="宋体"/>
                <w:color w:val="auto"/>
                <w:kern w:val="0"/>
                <w:szCs w:val="21"/>
                <w:highlight w:val="none"/>
              </w:rPr>
              <w:t>措施具有明显不合理项、描述欠缺的得不得分。</w:t>
            </w:r>
          </w:p>
        </w:tc>
      </w:tr>
      <w:tr w14:paraId="36B1A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457" w:type="dxa"/>
            <w:vMerge w:val="continue"/>
            <w:tcBorders>
              <w:right w:val="single" w:color="auto" w:sz="4" w:space="0"/>
            </w:tcBorders>
            <w:noWrap w:val="0"/>
            <w:vAlign w:val="center"/>
          </w:tcPr>
          <w:p w14:paraId="07E0AA34">
            <w:pPr>
              <w:jc w:val="center"/>
              <w:rPr>
                <w:rFonts w:ascii="宋体" w:hAnsi="宋体"/>
                <w:color w:val="auto"/>
                <w:szCs w:val="24"/>
                <w:highlight w:val="none"/>
              </w:rPr>
            </w:pPr>
          </w:p>
        </w:tc>
        <w:tc>
          <w:tcPr>
            <w:tcW w:w="1408" w:type="dxa"/>
            <w:tcBorders>
              <w:right w:val="single" w:color="auto" w:sz="4" w:space="0"/>
            </w:tcBorders>
            <w:noWrap w:val="0"/>
            <w:vAlign w:val="center"/>
          </w:tcPr>
          <w:p w14:paraId="106270F9">
            <w:pPr>
              <w:rPr>
                <w:rFonts w:hint="eastAsia" w:ascii="宋体" w:hAnsi="宋体"/>
                <w:color w:val="auto"/>
                <w:szCs w:val="21"/>
                <w:highlight w:val="none"/>
                <w:lang w:val="en-US" w:eastAsia="zh-CN"/>
              </w:rPr>
            </w:pPr>
            <w:r>
              <w:rPr>
                <w:rFonts w:ascii="宋体" w:hAnsi="宋体" w:eastAsia="宋体" w:cs="宋体"/>
                <w:color w:val="auto"/>
                <w:sz w:val="21"/>
                <w:highlight w:val="none"/>
              </w:rPr>
              <w:t>质量保证措施</w:t>
            </w:r>
            <w:r>
              <w:rPr>
                <w:rFonts w:hint="eastAsia" w:ascii="宋体" w:hAnsi="宋体"/>
                <w:color w:val="auto"/>
                <w:szCs w:val="21"/>
                <w:highlight w:val="none"/>
              </w:rPr>
              <w:t>（</w:t>
            </w:r>
            <w:r>
              <w:rPr>
                <w:rFonts w:hint="eastAsia" w:ascii="宋体" w:hAnsi="宋体"/>
                <w:color w:val="auto"/>
                <w:szCs w:val="21"/>
                <w:highlight w:val="none"/>
                <w:lang w:val="en-US" w:eastAsia="zh-CN"/>
              </w:rPr>
              <w:t>8</w:t>
            </w:r>
            <w:r>
              <w:rPr>
                <w:rFonts w:hint="eastAsia" w:ascii="宋体" w:hAnsi="宋体"/>
                <w:color w:val="auto"/>
                <w:szCs w:val="21"/>
                <w:highlight w:val="none"/>
              </w:rPr>
              <w:t>分）</w:t>
            </w:r>
          </w:p>
        </w:tc>
        <w:tc>
          <w:tcPr>
            <w:tcW w:w="7260" w:type="dxa"/>
            <w:tcBorders>
              <w:left w:val="single" w:color="auto" w:sz="4" w:space="0"/>
            </w:tcBorders>
            <w:noWrap w:val="0"/>
            <w:vAlign w:val="center"/>
          </w:tcPr>
          <w:p w14:paraId="304DE5DC">
            <w:pPr>
              <w:snapToGrid w:val="0"/>
              <w:jc w:val="left"/>
              <w:rPr>
                <w:rFonts w:hint="eastAsia" w:ascii="宋体" w:hAnsi="宋体" w:cs="宋体"/>
                <w:color w:val="auto"/>
                <w:kern w:val="0"/>
                <w:szCs w:val="21"/>
                <w:highlight w:val="none"/>
              </w:rPr>
            </w:pPr>
            <w:r>
              <w:rPr>
                <w:rFonts w:ascii="宋体" w:hAnsi="宋体" w:eastAsia="宋体" w:cs="宋体"/>
                <w:color w:val="auto"/>
                <w:sz w:val="21"/>
                <w:highlight w:val="none"/>
              </w:rPr>
              <w:t>质量保证</w:t>
            </w:r>
            <w:r>
              <w:rPr>
                <w:rFonts w:hint="eastAsia" w:ascii="宋体" w:hAnsi="宋体" w:cs="宋体"/>
                <w:color w:val="auto"/>
                <w:kern w:val="0"/>
                <w:szCs w:val="21"/>
                <w:highlight w:val="none"/>
              </w:rPr>
              <w:t>措施科学、严密、合理，描述详细且具有针对性的得</w:t>
            </w:r>
            <w:r>
              <w:rPr>
                <w:rFonts w:hint="eastAsia" w:ascii="宋体" w:hAnsi="宋体" w:cs="宋体"/>
                <w:color w:val="auto"/>
                <w:kern w:val="0"/>
                <w:szCs w:val="21"/>
                <w:highlight w:val="none"/>
                <w:lang w:val="en-US" w:eastAsia="zh-CN"/>
              </w:rPr>
              <w:t>8</w:t>
            </w:r>
            <w:r>
              <w:rPr>
                <w:rFonts w:hint="eastAsia" w:ascii="宋体" w:hAnsi="宋体" w:cs="宋体"/>
                <w:color w:val="auto"/>
                <w:kern w:val="0"/>
                <w:szCs w:val="21"/>
                <w:highlight w:val="none"/>
              </w:rPr>
              <w:t>分，</w:t>
            </w:r>
          </w:p>
          <w:p w14:paraId="1A556B5E">
            <w:pPr>
              <w:snapToGrid w:val="0"/>
              <w:jc w:val="left"/>
              <w:rPr>
                <w:rFonts w:hint="eastAsia" w:ascii="宋体" w:hAnsi="宋体" w:cs="宋体"/>
                <w:color w:val="auto"/>
                <w:kern w:val="0"/>
                <w:szCs w:val="21"/>
                <w:highlight w:val="none"/>
              </w:rPr>
            </w:pPr>
            <w:r>
              <w:rPr>
                <w:rFonts w:ascii="宋体" w:hAnsi="宋体" w:eastAsia="宋体" w:cs="宋体"/>
                <w:color w:val="auto"/>
                <w:sz w:val="21"/>
                <w:highlight w:val="none"/>
              </w:rPr>
              <w:t>质量保证</w:t>
            </w:r>
            <w:r>
              <w:rPr>
                <w:rFonts w:hint="eastAsia" w:ascii="宋体" w:hAnsi="宋体" w:cs="宋体"/>
                <w:color w:val="auto"/>
                <w:kern w:val="0"/>
                <w:szCs w:val="21"/>
                <w:highlight w:val="none"/>
              </w:rPr>
              <w:t>措施较合理、严密、描述较为详细的得</w:t>
            </w:r>
            <w:r>
              <w:rPr>
                <w:rFonts w:hint="eastAsia" w:ascii="宋体" w:hAnsi="宋体" w:cs="宋体"/>
                <w:color w:val="auto"/>
                <w:kern w:val="0"/>
                <w:szCs w:val="21"/>
                <w:highlight w:val="none"/>
                <w:lang w:val="en-US" w:eastAsia="zh-CN"/>
              </w:rPr>
              <w:t>6</w:t>
            </w:r>
            <w:r>
              <w:rPr>
                <w:rFonts w:hint="eastAsia" w:ascii="宋体" w:hAnsi="宋体" w:cs="宋体"/>
                <w:color w:val="auto"/>
                <w:kern w:val="0"/>
                <w:szCs w:val="21"/>
                <w:highlight w:val="none"/>
              </w:rPr>
              <w:t>分，</w:t>
            </w:r>
          </w:p>
          <w:p w14:paraId="3C3E54F2">
            <w:pPr>
              <w:snapToGrid w:val="0"/>
              <w:jc w:val="left"/>
              <w:rPr>
                <w:rFonts w:hint="eastAsia" w:ascii="宋体" w:hAnsi="宋体" w:cs="宋体"/>
                <w:color w:val="auto"/>
                <w:kern w:val="0"/>
                <w:szCs w:val="21"/>
                <w:highlight w:val="none"/>
              </w:rPr>
            </w:pPr>
            <w:r>
              <w:rPr>
                <w:rFonts w:ascii="宋体" w:hAnsi="宋体" w:eastAsia="宋体" w:cs="宋体"/>
                <w:color w:val="auto"/>
                <w:sz w:val="21"/>
                <w:highlight w:val="none"/>
              </w:rPr>
              <w:t>质量保证</w:t>
            </w:r>
            <w:r>
              <w:rPr>
                <w:rFonts w:hint="eastAsia" w:ascii="宋体" w:hAnsi="宋体" w:cs="宋体"/>
                <w:color w:val="auto"/>
                <w:kern w:val="0"/>
                <w:szCs w:val="21"/>
                <w:highlight w:val="none"/>
              </w:rPr>
              <w:t>措施基本合理、描述一般的得</w:t>
            </w:r>
            <w:r>
              <w:rPr>
                <w:rFonts w:hint="eastAsia" w:ascii="宋体" w:hAnsi="宋体" w:cs="宋体"/>
                <w:color w:val="auto"/>
                <w:kern w:val="0"/>
                <w:szCs w:val="21"/>
                <w:highlight w:val="none"/>
                <w:lang w:val="en-US" w:eastAsia="zh-CN"/>
              </w:rPr>
              <w:t>4</w:t>
            </w:r>
            <w:r>
              <w:rPr>
                <w:rFonts w:hint="eastAsia" w:ascii="宋体" w:hAnsi="宋体" w:cs="宋体"/>
                <w:color w:val="auto"/>
                <w:kern w:val="0"/>
                <w:szCs w:val="21"/>
                <w:highlight w:val="none"/>
              </w:rPr>
              <w:t>分，</w:t>
            </w:r>
          </w:p>
          <w:p w14:paraId="051B847D">
            <w:pPr>
              <w:snapToGrid w:val="0"/>
              <w:jc w:val="left"/>
              <w:rPr>
                <w:rFonts w:hint="eastAsia" w:ascii="宋体" w:hAnsi="宋体" w:cs="宋体"/>
                <w:color w:val="auto"/>
                <w:kern w:val="0"/>
                <w:szCs w:val="21"/>
                <w:highlight w:val="none"/>
              </w:rPr>
            </w:pPr>
            <w:r>
              <w:rPr>
                <w:rFonts w:ascii="宋体" w:hAnsi="宋体" w:eastAsia="宋体" w:cs="宋体"/>
                <w:color w:val="auto"/>
                <w:sz w:val="21"/>
                <w:highlight w:val="none"/>
              </w:rPr>
              <w:t>质量保证</w:t>
            </w:r>
            <w:r>
              <w:rPr>
                <w:rFonts w:hint="eastAsia" w:ascii="宋体" w:hAnsi="宋体" w:cs="宋体"/>
                <w:color w:val="auto"/>
                <w:kern w:val="0"/>
                <w:szCs w:val="21"/>
                <w:highlight w:val="none"/>
              </w:rPr>
              <w:t>措施具有不合理项、描述略欠缺的得</w:t>
            </w: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分，</w:t>
            </w:r>
          </w:p>
          <w:p w14:paraId="3B46C5C1">
            <w:pPr>
              <w:snapToGrid w:val="0"/>
              <w:jc w:val="left"/>
              <w:rPr>
                <w:rFonts w:hint="eastAsia" w:ascii="宋体" w:hAnsi="宋体"/>
                <w:color w:val="auto"/>
                <w:szCs w:val="21"/>
                <w:highlight w:val="none"/>
              </w:rPr>
            </w:pPr>
            <w:r>
              <w:rPr>
                <w:rFonts w:ascii="宋体" w:hAnsi="宋体" w:eastAsia="宋体" w:cs="宋体"/>
                <w:color w:val="auto"/>
                <w:sz w:val="21"/>
                <w:highlight w:val="none"/>
              </w:rPr>
              <w:t>质量保证</w:t>
            </w:r>
            <w:r>
              <w:rPr>
                <w:rFonts w:hint="eastAsia" w:ascii="宋体" w:hAnsi="宋体" w:cs="宋体"/>
                <w:color w:val="auto"/>
                <w:kern w:val="0"/>
                <w:szCs w:val="21"/>
                <w:highlight w:val="none"/>
              </w:rPr>
              <w:t>措施具有明显不合理项、描述欠缺的得不得分。</w:t>
            </w:r>
          </w:p>
        </w:tc>
      </w:tr>
      <w:tr w14:paraId="7CB6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457" w:type="dxa"/>
            <w:vMerge w:val="continue"/>
            <w:tcBorders>
              <w:right w:val="single" w:color="auto" w:sz="4" w:space="0"/>
            </w:tcBorders>
            <w:noWrap w:val="0"/>
            <w:vAlign w:val="center"/>
          </w:tcPr>
          <w:p w14:paraId="7BAD687A">
            <w:pPr>
              <w:jc w:val="center"/>
              <w:rPr>
                <w:rFonts w:ascii="宋体" w:hAnsi="宋体"/>
                <w:color w:val="auto"/>
                <w:szCs w:val="24"/>
                <w:highlight w:val="none"/>
              </w:rPr>
            </w:pPr>
          </w:p>
        </w:tc>
        <w:tc>
          <w:tcPr>
            <w:tcW w:w="1408" w:type="dxa"/>
            <w:tcBorders>
              <w:right w:val="single" w:color="auto" w:sz="4" w:space="0"/>
            </w:tcBorders>
            <w:noWrap w:val="0"/>
            <w:vAlign w:val="center"/>
          </w:tcPr>
          <w:p w14:paraId="0F037028">
            <w:pPr>
              <w:jc w:val="center"/>
              <w:rPr>
                <w:rFonts w:hint="eastAsia" w:ascii="宋体" w:hAnsi="宋体" w:cs="宋体"/>
                <w:color w:val="auto"/>
                <w:highlight w:val="none"/>
                <w:lang w:val="en-US" w:eastAsia="zh-CN"/>
              </w:rPr>
            </w:pPr>
            <w:r>
              <w:rPr>
                <w:rFonts w:hint="eastAsia" w:ascii="宋体" w:hAnsi="宋体" w:cs="宋体"/>
                <w:color w:val="auto"/>
                <w:highlight w:val="none"/>
                <w:lang w:val="en-US" w:eastAsia="zh-CN"/>
              </w:rPr>
              <w:t>结合本项目特点的针对性措施</w:t>
            </w:r>
          </w:p>
          <w:p w14:paraId="351A9FCB">
            <w:pPr>
              <w:jc w:val="center"/>
              <w:rPr>
                <w:rFonts w:hint="eastAsia" w:ascii="宋体" w:hAnsi="宋体"/>
                <w:color w:val="auto"/>
                <w:szCs w:val="21"/>
                <w:highlight w:val="none"/>
                <w:lang w:val="en-US" w:eastAsia="zh-CN"/>
              </w:rPr>
            </w:pPr>
            <w:r>
              <w:rPr>
                <w:rFonts w:hint="eastAsia" w:ascii="宋体" w:hAnsi="宋体"/>
                <w:color w:val="auto"/>
                <w:szCs w:val="21"/>
                <w:highlight w:val="none"/>
              </w:rPr>
              <w:t>（</w:t>
            </w:r>
            <w:r>
              <w:rPr>
                <w:rFonts w:hint="eastAsia" w:ascii="宋体" w:hAnsi="宋体"/>
                <w:color w:val="auto"/>
                <w:szCs w:val="21"/>
                <w:highlight w:val="none"/>
                <w:lang w:val="en-US" w:eastAsia="zh-CN"/>
              </w:rPr>
              <w:t>8</w:t>
            </w:r>
            <w:r>
              <w:rPr>
                <w:rFonts w:hint="eastAsia" w:ascii="宋体" w:hAnsi="宋体"/>
                <w:color w:val="auto"/>
                <w:szCs w:val="21"/>
                <w:highlight w:val="none"/>
              </w:rPr>
              <w:t>分）</w:t>
            </w:r>
          </w:p>
        </w:tc>
        <w:tc>
          <w:tcPr>
            <w:tcW w:w="7260" w:type="dxa"/>
            <w:tcBorders>
              <w:left w:val="single" w:color="auto" w:sz="4" w:space="0"/>
            </w:tcBorders>
            <w:noWrap w:val="0"/>
            <w:vAlign w:val="top"/>
          </w:tcPr>
          <w:p w14:paraId="6A074608">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供应商根据行业经验及结合本项目关键技术及项目实施的重点、难点提出解决方案：</w:t>
            </w:r>
          </w:p>
          <w:p w14:paraId="7732B55B">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方案科学、严密、合理，描述详细且具有针对性，得8分；</w:t>
            </w:r>
          </w:p>
          <w:p w14:paraId="255DD9DD">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较合理、严密、描述较为详细，不存在实施难度，得6分；</w:t>
            </w:r>
          </w:p>
          <w:p w14:paraId="7D808074">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基本合理、描述一般、存在可操作性，得4分；</w:t>
            </w:r>
          </w:p>
          <w:p w14:paraId="3CF7D4E2">
            <w:pPr>
              <w:rPr>
                <w:rFonts w:hint="eastAsia" w:ascii="宋体" w:hAnsi="宋体" w:cs="宋体"/>
                <w:color w:val="auto"/>
                <w:highlight w:val="none"/>
                <w:lang w:val="en-US" w:eastAsia="zh-CN"/>
              </w:rPr>
            </w:pPr>
            <w:r>
              <w:rPr>
                <w:rFonts w:hint="eastAsia" w:ascii="宋体" w:hAnsi="宋体" w:cs="宋体"/>
                <w:color w:val="auto"/>
                <w:highlight w:val="none"/>
                <w:lang w:val="en-US" w:eastAsia="zh-CN"/>
              </w:rPr>
              <w:t>具有不合理项、描述略欠缺、存在一定的实施难度，得2分；</w:t>
            </w:r>
          </w:p>
          <w:p w14:paraId="65FA92B9">
            <w:pPr>
              <w:rPr>
                <w:rFonts w:hint="eastAsia" w:ascii="宋体" w:hAnsi="宋体"/>
                <w:color w:val="auto"/>
                <w:szCs w:val="21"/>
                <w:highlight w:val="none"/>
              </w:rPr>
            </w:pPr>
            <w:r>
              <w:rPr>
                <w:rFonts w:hint="eastAsia" w:ascii="宋体" w:hAnsi="宋体" w:cs="宋体"/>
                <w:color w:val="auto"/>
                <w:highlight w:val="none"/>
                <w:lang w:val="en-US" w:eastAsia="zh-CN"/>
              </w:rPr>
              <w:t>具有明显不合理项、描述欠缺、存在实施难度，不得分。</w:t>
            </w:r>
          </w:p>
        </w:tc>
      </w:tr>
      <w:tr w14:paraId="51DF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2865" w:type="dxa"/>
            <w:gridSpan w:val="2"/>
            <w:vMerge w:val="restart"/>
            <w:tcBorders>
              <w:right w:val="single" w:color="auto" w:sz="4" w:space="0"/>
            </w:tcBorders>
            <w:noWrap w:val="0"/>
            <w:vAlign w:val="center"/>
          </w:tcPr>
          <w:p w14:paraId="078224B3">
            <w:pPr>
              <w:jc w:val="center"/>
              <w:rPr>
                <w:rFonts w:ascii="宋体" w:hAnsi="宋体"/>
                <w:color w:val="auto"/>
                <w:szCs w:val="21"/>
                <w:highlight w:val="none"/>
              </w:rPr>
            </w:pPr>
            <w:r>
              <w:rPr>
                <w:rFonts w:ascii="宋体" w:hAnsi="宋体"/>
                <w:color w:val="auto"/>
                <w:szCs w:val="21"/>
                <w:highlight w:val="none"/>
              </w:rPr>
              <w:t>售后服务</w:t>
            </w:r>
          </w:p>
          <w:p w14:paraId="1B8793E0">
            <w:pPr>
              <w:jc w:val="center"/>
              <w:rPr>
                <w:rFonts w:ascii="宋体" w:hAnsi="宋体"/>
                <w:color w:val="auto"/>
                <w:szCs w:val="21"/>
                <w:highlight w:val="none"/>
              </w:rPr>
            </w:pPr>
            <w:r>
              <w:rPr>
                <w:rFonts w:hint="eastAsia" w:ascii="宋体" w:hAnsi="宋体"/>
                <w:color w:val="auto"/>
                <w:szCs w:val="24"/>
                <w:highlight w:val="none"/>
              </w:rPr>
              <w:t>（</w:t>
            </w:r>
            <w:r>
              <w:rPr>
                <w:rFonts w:ascii="宋体" w:hAnsi="宋体"/>
                <w:color w:val="auto"/>
                <w:szCs w:val="24"/>
                <w:highlight w:val="none"/>
              </w:rPr>
              <w:t>10</w:t>
            </w:r>
            <w:r>
              <w:rPr>
                <w:rFonts w:hint="eastAsia" w:ascii="宋体" w:hAnsi="宋体"/>
                <w:color w:val="auto"/>
                <w:szCs w:val="24"/>
                <w:highlight w:val="none"/>
              </w:rPr>
              <w:t>分）</w:t>
            </w:r>
          </w:p>
        </w:tc>
        <w:tc>
          <w:tcPr>
            <w:tcW w:w="7260" w:type="dxa"/>
            <w:tcBorders>
              <w:left w:val="single" w:color="auto" w:sz="4" w:space="0"/>
            </w:tcBorders>
            <w:noWrap w:val="0"/>
            <w:vAlign w:val="center"/>
          </w:tcPr>
          <w:p w14:paraId="0E592493">
            <w:pPr>
              <w:rPr>
                <w:rFonts w:ascii="宋体" w:hAnsi="宋体"/>
                <w:color w:val="auto"/>
                <w:szCs w:val="21"/>
                <w:highlight w:val="none"/>
              </w:rPr>
            </w:pPr>
            <w:r>
              <w:rPr>
                <w:rFonts w:hint="eastAsia" w:ascii="宋体" w:hAnsi="宋体"/>
                <w:color w:val="auto"/>
                <w:szCs w:val="21"/>
                <w:highlight w:val="none"/>
              </w:rPr>
              <w:t>提供24小时售后服务电话，接到使用单位维修通知后2小时内到达现场的得3分；2小时后3小时内到达现场的，得2分；3小时后4小时内到达现场的，得1分，超过4小时到达的不得分。</w:t>
            </w:r>
            <w:r>
              <w:rPr>
                <w:rFonts w:hint="eastAsia" w:ascii="宋体" w:hAnsi="宋体"/>
                <w:b/>
                <w:bCs/>
                <w:color w:val="auto"/>
                <w:szCs w:val="21"/>
                <w:highlight w:val="none"/>
              </w:rPr>
              <w:t>注：提供承诺书扫描上传，</w:t>
            </w:r>
            <w:r>
              <w:rPr>
                <w:rFonts w:hint="eastAsia" w:ascii="宋体" w:hAnsi="宋体" w:cs="宋体"/>
                <w:b/>
                <w:bCs/>
                <w:color w:val="auto"/>
                <w:szCs w:val="21"/>
                <w:highlight w:val="none"/>
              </w:rPr>
              <w:t>不提供不得分。</w:t>
            </w:r>
          </w:p>
        </w:tc>
      </w:tr>
      <w:tr w14:paraId="7BEAB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865" w:type="dxa"/>
            <w:gridSpan w:val="2"/>
            <w:vMerge w:val="continue"/>
            <w:tcBorders>
              <w:right w:val="single" w:color="auto" w:sz="4" w:space="0"/>
            </w:tcBorders>
            <w:noWrap w:val="0"/>
            <w:vAlign w:val="center"/>
          </w:tcPr>
          <w:p w14:paraId="4BC10448">
            <w:pPr>
              <w:jc w:val="center"/>
              <w:rPr>
                <w:rFonts w:ascii="宋体" w:hAnsi="宋体"/>
                <w:color w:val="auto"/>
                <w:szCs w:val="21"/>
                <w:highlight w:val="none"/>
              </w:rPr>
            </w:pPr>
          </w:p>
        </w:tc>
        <w:tc>
          <w:tcPr>
            <w:tcW w:w="7260" w:type="dxa"/>
            <w:tcBorders>
              <w:left w:val="single" w:color="auto" w:sz="4" w:space="0"/>
            </w:tcBorders>
            <w:noWrap w:val="0"/>
            <w:vAlign w:val="center"/>
          </w:tcPr>
          <w:p w14:paraId="11D0A573">
            <w:pPr>
              <w:rPr>
                <w:rFonts w:ascii="宋体" w:hAnsi="宋体"/>
                <w:color w:val="auto"/>
                <w:szCs w:val="21"/>
                <w:highlight w:val="none"/>
              </w:rPr>
            </w:pPr>
            <w:r>
              <w:rPr>
                <w:rFonts w:hint="eastAsia" w:ascii="宋体" w:hAnsi="宋体"/>
                <w:color w:val="auto"/>
                <w:szCs w:val="21"/>
                <w:highlight w:val="none"/>
                <w:lang w:val="en-US" w:eastAsia="zh-CN"/>
              </w:rPr>
              <w:t>免费</w:t>
            </w:r>
            <w:r>
              <w:rPr>
                <w:rFonts w:hint="eastAsia" w:ascii="宋体" w:hAnsi="宋体"/>
                <w:color w:val="auto"/>
                <w:szCs w:val="21"/>
                <w:highlight w:val="none"/>
              </w:rPr>
              <w:t>质保期</w:t>
            </w:r>
            <w:r>
              <w:rPr>
                <w:rFonts w:hint="eastAsia" w:ascii="宋体" w:hAnsi="宋体"/>
                <w:color w:val="auto"/>
                <w:szCs w:val="21"/>
                <w:highlight w:val="none"/>
                <w:lang w:val="en-US" w:eastAsia="zh-CN"/>
              </w:rPr>
              <w:t>3</w:t>
            </w:r>
            <w:r>
              <w:rPr>
                <w:rFonts w:hint="eastAsia" w:ascii="宋体" w:hAnsi="宋体"/>
                <w:color w:val="auto"/>
                <w:szCs w:val="21"/>
                <w:highlight w:val="none"/>
              </w:rPr>
              <w:t>年，在此基础上投标人承诺每延长一年得1分，最多得2分。</w:t>
            </w:r>
            <w:r>
              <w:rPr>
                <w:rFonts w:hint="eastAsia" w:ascii="宋体" w:hAnsi="宋体"/>
                <w:b/>
                <w:bCs/>
                <w:color w:val="auto"/>
                <w:szCs w:val="21"/>
                <w:highlight w:val="none"/>
              </w:rPr>
              <w:t>注：提供承诺书扫描上传，</w:t>
            </w:r>
            <w:r>
              <w:rPr>
                <w:rFonts w:hint="eastAsia" w:ascii="宋体" w:hAnsi="宋体" w:cs="宋体"/>
                <w:b/>
                <w:bCs/>
                <w:color w:val="auto"/>
                <w:szCs w:val="21"/>
                <w:highlight w:val="none"/>
              </w:rPr>
              <w:t>不提供不得分。</w:t>
            </w:r>
          </w:p>
        </w:tc>
      </w:tr>
      <w:tr w14:paraId="1EF36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trPr>
        <w:tc>
          <w:tcPr>
            <w:tcW w:w="2865" w:type="dxa"/>
            <w:gridSpan w:val="2"/>
            <w:vMerge w:val="continue"/>
            <w:tcBorders>
              <w:right w:val="single" w:color="auto" w:sz="4" w:space="0"/>
            </w:tcBorders>
            <w:noWrap w:val="0"/>
            <w:vAlign w:val="center"/>
          </w:tcPr>
          <w:p w14:paraId="47F485C4">
            <w:pPr>
              <w:spacing w:line="276" w:lineRule="auto"/>
              <w:jc w:val="center"/>
              <w:rPr>
                <w:rFonts w:ascii="宋体" w:hAnsi="宋体" w:cs="Arial"/>
                <w:bCs/>
                <w:iCs/>
                <w:color w:val="auto"/>
                <w:szCs w:val="21"/>
                <w:highlight w:val="none"/>
              </w:rPr>
            </w:pPr>
          </w:p>
        </w:tc>
        <w:tc>
          <w:tcPr>
            <w:tcW w:w="7260" w:type="dxa"/>
            <w:tcBorders>
              <w:left w:val="single" w:color="auto" w:sz="4" w:space="0"/>
            </w:tcBorders>
            <w:noWrap w:val="0"/>
            <w:vAlign w:val="center"/>
          </w:tcPr>
          <w:p w14:paraId="0A04059B">
            <w:pPr>
              <w:rPr>
                <w:rFonts w:ascii="宋体" w:hAnsi="宋体" w:cs="宋体"/>
                <w:color w:val="auto"/>
                <w:szCs w:val="21"/>
                <w:highlight w:val="none"/>
              </w:rPr>
            </w:pPr>
            <w:r>
              <w:rPr>
                <w:rFonts w:hint="eastAsia" w:ascii="宋体" w:hAnsi="宋体" w:cs="宋体"/>
                <w:color w:val="auto"/>
                <w:szCs w:val="21"/>
                <w:highlight w:val="none"/>
              </w:rPr>
              <w:t>售后服务方案：</w:t>
            </w:r>
          </w:p>
          <w:p w14:paraId="160A05E6">
            <w:pPr>
              <w:rPr>
                <w:rFonts w:ascii="宋体" w:hAnsi="宋体" w:cs="宋体"/>
                <w:color w:val="auto"/>
                <w:szCs w:val="21"/>
                <w:highlight w:val="none"/>
              </w:rPr>
            </w:pPr>
            <w:r>
              <w:rPr>
                <w:rFonts w:hint="eastAsia" w:ascii="宋体" w:hAnsi="宋体" w:cs="宋体"/>
                <w:color w:val="auto"/>
                <w:szCs w:val="21"/>
                <w:highlight w:val="none"/>
              </w:rPr>
              <w:t>售后服务内容、措施及承诺特别全面、合理、可行，能较好的为采购人服务并提供培训方案的得</w:t>
            </w:r>
            <w:r>
              <w:rPr>
                <w:rFonts w:ascii="宋体" w:hAnsi="宋体" w:cs="宋体"/>
                <w:color w:val="auto"/>
                <w:szCs w:val="21"/>
                <w:highlight w:val="none"/>
              </w:rPr>
              <w:t>5</w:t>
            </w:r>
            <w:r>
              <w:rPr>
                <w:rFonts w:hint="eastAsia" w:ascii="宋体" w:hAnsi="宋体" w:cs="宋体"/>
                <w:color w:val="auto"/>
                <w:szCs w:val="21"/>
                <w:highlight w:val="none"/>
              </w:rPr>
              <w:t>分；</w:t>
            </w:r>
          </w:p>
          <w:p w14:paraId="7908D39B">
            <w:pPr>
              <w:rPr>
                <w:rFonts w:ascii="宋体" w:hAnsi="宋体" w:cs="宋体"/>
                <w:color w:val="auto"/>
                <w:szCs w:val="21"/>
                <w:highlight w:val="none"/>
              </w:rPr>
            </w:pPr>
            <w:r>
              <w:rPr>
                <w:rFonts w:hint="eastAsia" w:ascii="宋体" w:hAnsi="宋体" w:cs="宋体"/>
                <w:color w:val="auto"/>
                <w:szCs w:val="21"/>
                <w:highlight w:val="none"/>
              </w:rPr>
              <w:t>售后服务内容、措施及承诺全面、基本合理、可行，能基本服务采购人得 3分；</w:t>
            </w:r>
          </w:p>
          <w:p w14:paraId="17ABEA57">
            <w:pPr>
              <w:rPr>
                <w:rFonts w:ascii="宋体" w:hAnsi="宋体" w:cs="宋体"/>
                <w:color w:val="auto"/>
                <w:szCs w:val="21"/>
                <w:highlight w:val="none"/>
              </w:rPr>
            </w:pPr>
            <w:r>
              <w:rPr>
                <w:rFonts w:hint="eastAsia" w:ascii="宋体" w:hAnsi="宋体" w:cs="宋体"/>
                <w:color w:val="auto"/>
                <w:szCs w:val="21"/>
                <w:highlight w:val="none"/>
              </w:rPr>
              <w:t>售后服务内容、措施及承诺粗略，合理性、可行性较差的得 1分；</w:t>
            </w:r>
          </w:p>
          <w:p w14:paraId="2F69378D">
            <w:pPr>
              <w:rPr>
                <w:rFonts w:ascii="宋体" w:hAnsi="宋体"/>
                <w:color w:val="auto"/>
                <w:szCs w:val="21"/>
                <w:highlight w:val="none"/>
              </w:rPr>
            </w:pPr>
            <w:r>
              <w:rPr>
                <w:rFonts w:hint="eastAsia" w:ascii="宋体" w:hAnsi="宋体" w:cs="宋体"/>
                <w:color w:val="auto"/>
                <w:szCs w:val="21"/>
                <w:highlight w:val="none"/>
              </w:rPr>
              <w:t>未提供售后服务方案的不得分。</w:t>
            </w:r>
          </w:p>
        </w:tc>
      </w:tr>
      <w:tr w14:paraId="2C62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trPr>
        <w:tc>
          <w:tcPr>
            <w:tcW w:w="2865" w:type="dxa"/>
            <w:gridSpan w:val="2"/>
            <w:tcBorders>
              <w:right w:val="single" w:color="auto" w:sz="4" w:space="0"/>
            </w:tcBorders>
            <w:noWrap w:val="0"/>
            <w:vAlign w:val="center"/>
          </w:tcPr>
          <w:p w14:paraId="3DC94177">
            <w:pPr>
              <w:jc w:val="center"/>
              <w:rPr>
                <w:rFonts w:ascii="宋体" w:hAnsi="宋体" w:cs="Arial"/>
                <w:bCs/>
                <w:iCs/>
                <w:color w:val="auto"/>
                <w:szCs w:val="21"/>
                <w:highlight w:val="none"/>
              </w:rPr>
            </w:pPr>
            <w:r>
              <w:rPr>
                <w:rFonts w:hint="eastAsia" w:ascii="宋体" w:hAnsi="宋体"/>
                <w:color w:val="auto"/>
                <w:szCs w:val="21"/>
                <w:highlight w:val="none"/>
                <w:lang w:val="en-US" w:eastAsia="zh-CN"/>
              </w:rPr>
              <w:t>综合实力（5分）</w:t>
            </w:r>
          </w:p>
        </w:tc>
        <w:tc>
          <w:tcPr>
            <w:tcW w:w="7260" w:type="dxa"/>
            <w:tcBorders>
              <w:left w:val="single" w:color="auto" w:sz="4" w:space="0"/>
            </w:tcBorders>
            <w:noWrap w:val="0"/>
            <w:vAlign w:val="center"/>
          </w:tcPr>
          <w:p w14:paraId="64B92ED0">
            <w:pPr>
              <w:numPr>
                <w:ilvl w:val="0"/>
                <w:numId w:val="2"/>
              </w:numPr>
              <w:rPr>
                <w:rFonts w:ascii="宋体" w:hAnsi="宋体" w:eastAsia="宋体" w:cs="宋体"/>
                <w:color w:val="auto"/>
                <w:sz w:val="21"/>
                <w:highlight w:val="none"/>
              </w:rPr>
            </w:pPr>
            <w:r>
              <w:rPr>
                <w:rFonts w:hint="eastAsia" w:ascii="宋体" w:hAnsi="宋体"/>
                <w:bCs/>
                <w:color w:val="auto"/>
                <w:szCs w:val="21"/>
                <w:highlight w:val="none"/>
                <w:lang w:val="en-US" w:eastAsia="zh-CN"/>
              </w:rPr>
              <w:t>投标人</w:t>
            </w:r>
            <w:r>
              <w:rPr>
                <w:rFonts w:ascii="宋体" w:hAnsi="宋体" w:eastAsia="宋体" w:cs="宋体"/>
                <w:color w:val="auto"/>
                <w:sz w:val="21"/>
                <w:highlight w:val="none"/>
              </w:rPr>
              <w:t>具有有效期内的建筑装修装饰工程专业承包二级及以上资质</w:t>
            </w:r>
            <w:r>
              <w:rPr>
                <w:rFonts w:hint="eastAsia" w:ascii="宋体" w:hAnsi="宋体" w:eastAsia="宋体" w:cs="宋体"/>
                <w:color w:val="auto"/>
                <w:sz w:val="21"/>
                <w:highlight w:val="none"/>
                <w:lang w:eastAsia="zh-CN"/>
              </w:rPr>
              <w:t>，</w:t>
            </w:r>
            <w:r>
              <w:rPr>
                <w:rFonts w:hint="eastAsia" w:ascii="宋体" w:hAnsi="宋体"/>
                <w:bCs/>
                <w:color w:val="auto"/>
                <w:szCs w:val="21"/>
                <w:highlight w:val="none"/>
                <w:lang w:val="en-US" w:eastAsia="zh-CN"/>
              </w:rPr>
              <w:t>得1分。</w:t>
            </w:r>
            <w:r>
              <w:rPr>
                <w:rFonts w:ascii="宋体" w:hAnsi="宋体" w:eastAsia="宋体" w:cs="宋体"/>
                <w:color w:val="auto"/>
                <w:sz w:val="21"/>
                <w:highlight w:val="none"/>
              </w:rPr>
              <w:t>（提供证书原件扫描上传）</w:t>
            </w:r>
          </w:p>
          <w:p w14:paraId="4BFBC436">
            <w:pPr>
              <w:numPr>
                <w:ilvl w:val="0"/>
                <w:numId w:val="0"/>
              </w:numPr>
              <w:rPr>
                <w:rFonts w:hint="eastAsia" w:ascii="宋体" w:hAnsi="宋体"/>
                <w:b/>
                <w:bCs/>
                <w:color w:val="auto"/>
                <w:szCs w:val="21"/>
                <w:highlight w:val="none"/>
                <w:lang w:val="en-US" w:eastAsia="zh-CN"/>
              </w:rPr>
            </w:pPr>
            <w:r>
              <w:rPr>
                <w:rFonts w:hint="eastAsia" w:ascii="宋体" w:hAnsi="宋体" w:cs="宋体"/>
                <w:color w:val="auto"/>
                <w:sz w:val="21"/>
                <w:highlight w:val="none"/>
                <w:lang w:val="en-US" w:eastAsia="zh-CN"/>
              </w:rPr>
              <w:t>2、</w:t>
            </w:r>
            <w:r>
              <w:rPr>
                <w:rFonts w:ascii="宋体" w:hAnsi="宋体" w:eastAsia="宋体" w:cs="宋体"/>
                <w:color w:val="auto"/>
                <w:sz w:val="21"/>
                <w:highlight w:val="none"/>
              </w:rPr>
              <w:t>项目组成员具有工程类注册执业资格的，</w:t>
            </w:r>
            <w:r>
              <w:rPr>
                <w:rFonts w:hint="eastAsia" w:ascii="宋体" w:hAnsi="宋体" w:cs="宋体"/>
                <w:color w:val="auto"/>
                <w:sz w:val="21"/>
                <w:highlight w:val="none"/>
                <w:lang w:val="en-US" w:eastAsia="zh-CN"/>
              </w:rPr>
              <w:t>得1</w:t>
            </w:r>
            <w:r>
              <w:rPr>
                <w:rFonts w:ascii="宋体" w:hAnsi="宋体" w:eastAsia="宋体" w:cs="宋体"/>
                <w:color w:val="auto"/>
                <w:sz w:val="21"/>
                <w:highlight w:val="none"/>
              </w:rPr>
              <w:t>分。</w:t>
            </w:r>
            <w:r>
              <w:rPr>
                <w:rFonts w:ascii="宋体" w:hAnsi="宋体" w:eastAsia="宋体" w:cs="宋体"/>
                <w:b/>
                <w:bCs/>
                <w:color w:val="auto"/>
                <w:sz w:val="21"/>
                <w:highlight w:val="none"/>
              </w:rPr>
              <w:t>（提供注册证书原件扫描上传）</w:t>
            </w:r>
          </w:p>
          <w:p w14:paraId="48BA4A9B">
            <w:pPr>
              <w:pStyle w:val="29"/>
              <w:rPr>
                <w:rFonts w:hint="eastAsia" w:ascii="宋体" w:hAnsi="宋体" w:cs="宋体"/>
                <w:color w:val="auto"/>
                <w:szCs w:val="21"/>
                <w:highlight w:val="none"/>
              </w:rPr>
            </w:pPr>
            <w:r>
              <w:rPr>
                <w:rFonts w:hint="eastAsia" w:hAnsi="宋体" w:cs="宋体"/>
                <w:color w:val="auto"/>
                <w:sz w:val="21"/>
                <w:highlight w:val="none"/>
                <w:lang w:val="en-US" w:eastAsia="zh-CN"/>
              </w:rPr>
              <w:t>3、</w:t>
            </w:r>
            <w:r>
              <w:rPr>
                <w:rFonts w:hint="eastAsia" w:ascii="宋体" w:hAnsi="宋体" w:eastAsia="宋体" w:cs="宋体"/>
                <w:color w:val="auto"/>
                <w:sz w:val="21"/>
                <w:highlight w:val="none"/>
                <w:lang w:val="en-US" w:eastAsia="zh-CN"/>
              </w:rPr>
              <w:t>投资人</w:t>
            </w:r>
            <w:r>
              <w:rPr>
                <w:rFonts w:ascii="宋体" w:hAnsi="宋体" w:eastAsia="宋体" w:cs="宋体"/>
                <w:color w:val="auto"/>
                <w:sz w:val="21"/>
                <w:highlight w:val="none"/>
              </w:rPr>
              <w:t>具有有效期内的质量管理体系认证证书、环境管理体系认证证书、职业健康安全管理体系认证证书，有一个得1分，满分3分。</w:t>
            </w:r>
            <w:r>
              <w:rPr>
                <w:rFonts w:ascii="宋体" w:hAnsi="宋体" w:eastAsia="宋体" w:cs="宋体"/>
                <w:b/>
                <w:bCs/>
                <w:color w:val="auto"/>
                <w:sz w:val="21"/>
                <w:highlight w:val="none"/>
              </w:rPr>
              <w:t>（证书原件扫描上传）</w:t>
            </w:r>
          </w:p>
        </w:tc>
      </w:tr>
      <w:tr w14:paraId="66E1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2865" w:type="dxa"/>
            <w:gridSpan w:val="2"/>
            <w:tcBorders>
              <w:right w:val="single" w:color="auto" w:sz="4" w:space="0"/>
            </w:tcBorders>
            <w:noWrap w:val="0"/>
            <w:vAlign w:val="center"/>
          </w:tcPr>
          <w:p w14:paraId="3877411C">
            <w:pPr>
              <w:jc w:val="center"/>
              <w:rPr>
                <w:rFonts w:ascii="宋体" w:hAnsi="宋体" w:cs="宋体"/>
                <w:bCs/>
                <w:color w:val="auto"/>
                <w:szCs w:val="21"/>
                <w:highlight w:val="none"/>
              </w:rPr>
            </w:pPr>
            <w:r>
              <w:rPr>
                <w:rFonts w:hint="eastAsia" w:ascii="宋体" w:hAnsi="宋体" w:cs="宋体"/>
                <w:bCs/>
                <w:color w:val="auto"/>
                <w:szCs w:val="21"/>
                <w:highlight w:val="none"/>
              </w:rPr>
              <w:t>类似业绩</w:t>
            </w:r>
          </w:p>
          <w:p w14:paraId="15634262">
            <w:pPr>
              <w:spacing w:line="276" w:lineRule="auto"/>
              <w:jc w:val="center"/>
              <w:rPr>
                <w:rFonts w:ascii="宋体" w:hAnsi="宋体" w:cs="Arial"/>
                <w:bCs/>
                <w:iCs/>
                <w:color w:val="auto"/>
                <w:szCs w:val="21"/>
                <w:highlight w:val="none"/>
              </w:rPr>
            </w:pPr>
            <w:r>
              <w:rPr>
                <w:rFonts w:hint="eastAsia" w:ascii="宋体" w:hAnsi="宋体"/>
                <w:color w:val="auto"/>
                <w:szCs w:val="24"/>
                <w:highlight w:val="none"/>
              </w:rPr>
              <w:t>（</w:t>
            </w:r>
            <w:r>
              <w:rPr>
                <w:rFonts w:hint="eastAsia" w:ascii="宋体" w:hAnsi="宋体"/>
                <w:color w:val="auto"/>
                <w:szCs w:val="24"/>
                <w:highlight w:val="none"/>
                <w:lang w:val="en-US" w:eastAsia="zh-CN"/>
              </w:rPr>
              <w:t>4</w:t>
            </w:r>
            <w:r>
              <w:rPr>
                <w:rFonts w:hint="eastAsia" w:ascii="宋体" w:hAnsi="宋体"/>
                <w:color w:val="auto"/>
                <w:szCs w:val="24"/>
                <w:highlight w:val="none"/>
              </w:rPr>
              <w:t>分）</w:t>
            </w:r>
          </w:p>
        </w:tc>
        <w:tc>
          <w:tcPr>
            <w:tcW w:w="7260" w:type="dxa"/>
            <w:tcBorders>
              <w:left w:val="single" w:color="auto" w:sz="4" w:space="0"/>
            </w:tcBorders>
            <w:noWrap w:val="0"/>
            <w:vAlign w:val="center"/>
          </w:tcPr>
          <w:p w14:paraId="7FB7B295">
            <w:pPr>
              <w:rPr>
                <w:rFonts w:ascii="宋体" w:hAnsi="宋体" w:cs="Arial"/>
                <w:bCs/>
                <w:iCs/>
                <w:color w:val="auto"/>
                <w:szCs w:val="21"/>
                <w:highlight w:val="none"/>
              </w:rPr>
            </w:pPr>
            <w:r>
              <w:rPr>
                <w:rFonts w:hint="eastAsia" w:ascii="宋体" w:hAnsi="宋体" w:cs="宋体"/>
                <w:color w:val="auto"/>
                <w:szCs w:val="21"/>
                <w:highlight w:val="none"/>
              </w:rPr>
              <w:t>投标人提供20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月以来签订的与本采购项目内容相类似的业绩合同，每有一份得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w:t>
            </w:r>
            <w:r>
              <w:rPr>
                <w:rFonts w:hint="eastAsia" w:ascii="宋体" w:hAnsi="宋体" w:cs="宋体"/>
                <w:color w:val="auto"/>
                <w:szCs w:val="21"/>
                <w:highlight w:val="none"/>
                <w:lang w:val="zh-CN"/>
              </w:rPr>
              <w:t>，满分</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lang w:val="zh-CN"/>
              </w:rPr>
              <w:t>分。</w:t>
            </w:r>
            <w:bookmarkEnd w:id="32"/>
            <w:r>
              <w:rPr>
                <w:rFonts w:hint="eastAsia" w:ascii="宋体" w:hAnsi="宋体" w:cs="宋体"/>
                <w:b/>
                <w:bCs/>
                <w:color w:val="auto"/>
                <w:szCs w:val="21"/>
                <w:highlight w:val="none"/>
              </w:rPr>
              <w:t>注：业绩认定时间以</w:t>
            </w:r>
            <w:r>
              <w:rPr>
                <w:rFonts w:hint="eastAsia" w:ascii="宋体" w:hAnsi="宋体" w:cs="Microsoft JhengHei Light"/>
                <w:b/>
                <w:bCs/>
                <w:color w:val="auto"/>
                <w:szCs w:val="21"/>
                <w:highlight w:val="none"/>
              </w:rPr>
              <w:t>竣工</w:t>
            </w:r>
            <w:r>
              <w:rPr>
                <w:rFonts w:hint="eastAsia" w:ascii="宋体" w:hAnsi="宋体" w:cs="宋体"/>
                <w:b/>
                <w:bCs/>
                <w:color w:val="auto"/>
                <w:szCs w:val="21"/>
                <w:highlight w:val="none"/>
              </w:rPr>
              <w:t>验收时间为准，业绩材料需同时提供：1、依法承发包的交易结果(中标或成交)文件;</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合同;</w:t>
            </w:r>
            <w:r>
              <w:rPr>
                <w:rFonts w:hint="eastAsia" w:ascii="宋体" w:hAnsi="宋体" w:cs="宋体"/>
                <w:b/>
                <w:bCs/>
                <w:color w:val="auto"/>
                <w:szCs w:val="21"/>
                <w:highlight w:val="none"/>
                <w:lang w:val="en-US" w:eastAsia="zh-CN"/>
              </w:rPr>
              <w:t>3、竣工证明材料；4、合同对应任意发票（二维码清晰可扫描）</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依法可以不进行招标的项目，可以提供业主单位或招标代理机构出具的有关中标文件；</w:t>
            </w:r>
            <w:r>
              <w:rPr>
                <w:rFonts w:hint="eastAsia" w:ascii="宋体" w:hAnsi="宋体" w:cs="宋体"/>
                <w:b/>
                <w:bCs/>
                <w:color w:val="auto"/>
                <w:szCs w:val="21"/>
                <w:highlight w:val="none"/>
              </w:rPr>
              <w:t>提供合同</w:t>
            </w:r>
            <w:r>
              <w:rPr>
                <w:rFonts w:hint="eastAsia" w:ascii="宋体" w:hAnsi="宋体"/>
                <w:b/>
                <w:bCs/>
                <w:color w:val="auto"/>
                <w:szCs w:val="21"/>
                <w:highlight w:val="none"/>
              </w:rPr>
              <w:t>原件扫描上传，关键信息模糊或未提供证明材料的，该项不得分</w:t>
            </w:r>
            <w:r>
              <w:rPr>
                <w:rFonts w:hint="eastAsia" w:ascii="宋体" w:hAnsi="宋体" w:cs="宋体"/>
                <w:b/>
                <w:bCs/>
                <w:color w:val="auto"/>
                <w:szCs w:val="21"/>
                <w:highlight w:val="none"/>
              </w:rPr>
              <w:t>。</w:t>
            </w:r>
          </w:p>
        </w:tc>
      </w:tr>
      <w:tr w14:paraId="48AC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2865" w:type="dxa"/>
            <w:gridSpan w:val="2"/>
            <w:tcBorders>
              <w:right w:val="single" w:color="auto" w:sz="4" w:space="0"/>
            </w:tcBorders>
            <w:noWrap w:val="0"/>
            <w:vAlign w:val="center"/>
          </w:tcPr>
          <w:p w14:paraId="0AD56A1D">
            <w:pPr>
              <w:spacing w:line="276" w:lineRule="auto"/>
              <w:jc w:val="center"/>
              <w:rPr>
                <w:rFonts w:hint="eastAsia" w:ascii="宋体" w:hAnsi="宋体" w:eastAsia="宋体"/>
                <w:color w:val="auto"/>
                <w:szCs w:val="24"/>
                <w:highlight w:val="none"/>
                <w:lang w:val="en-US" w:eastAsia="zh-CN"/>
              </w:rPr>
            </w:pPr>
            <w:r>
              <w:rPr>
                <w:rFonts w:hint="eastAsia" w:ascii="宋体" w:hAnsi="宋体"/>
                <w:color w:val="auto"/>
                <w:szCs w:val="24"/>
                <w:highlight w:val="none"/>
                <w:lang w:val="en-US" w:eastAsia="zh-CN"/>
              </w:rPr>
              <w:t>样品（7分）</w:t>
            </w:r>
          </w:p>
        </w:tc>
        <w:tc>
          <w:tcPr>
            <w:tcW w:w="7260" w:type="dxa"/>
            <w:tcBorders>
              <w:left w:val="single" w:color="auto" w:sz="4" w:space="0"/>
            </w:tcBorders>
            <w:noWrap w:val="0"/>
            <w:vAlign w:val="center"/>
          </w:tcPr>
          <w:p w14:paraId="5CD3539A">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lang w:val="en-US" w:eastAsia="zh-CN"/>
              </w:rPr>
            </w:pPr>
          </w:p>
          <w:p w14:paraId="2C5C61CD">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lang w:val="en-US" w:eastAsia="zh-CN"/>
              </w:rPr>
            </w:pPr>
            <w:r>
              <w:rPr>
                <w:color w:val="auto"/>
                <w:highlight w:val="none"/>
              </w:rPr>
              <w:drawing>
                <wp:inline distT="0" distB="0" distL="114300" distR="114300">
                  <wp:extent cx="4169410" cy="140652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4169410" cy="1406525"/>
                          </a:xfrm>
                          <a:prstGeom prst="rect">
                            <a:avLst/>
                          </a:prstGeom>
                          <a:noFill/>
                          <a:ln>
                            <a:noFill/>
                          </a:ln>
                        </pic:spPr>
                      </pic:pic>
                    </a:graphicData>
                  </a:graphic>
                </wp:inline>
              </w:drawing>
            </w:r>
          </w:p>
          <w:p w14:paraId="318426FD">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default" w:ascii="宋体" w:hAnsi="宋体" w:eastAsia="宋体" w:cs="宋体"/>
                <w:color w:val="auto"/>
                <w:sz w:val="21"/>
                <w:highlight w:val="none"/>
                <w:lang w:val="en-US" w:eastAsia="zh-CN"/>
              </w:rPr>
            </w:pPr>
            <w:r>
              <w:rPr>
                <w:rFonts w:hint="eastAsia" w:ascii="宋体" w:hAnsi="宋体" w:cs="宋体"/>
                <w:color w:val="auto"/>
                <w:sz w:val="21"/>
                <w:highlight w:val="none"/>
                <w:lang w:val="en-US" w:eastAsia="zh-CN"/>
              </w:rPr>
              <w:t>样品一：制作尺寸大小要求：700*225（即缩小50%制作），工艺要求与清单要求一致。</w:t>
            </w:r>
          </w:p>
          <w:p w14:paraId="592A5EA9">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lang w:val="en-US" w:eastAsia="zh-CN"/>
              </w:rPr>
            </w:pPr>
          </w:p>
          <w:p w14:paraId="5E1A94BE">
            <w:pPr>
              <w:pBdr>
                <w:top w:val="none" w:color="000000" w:sz="0" w:space="0"/>
                <w:left w:val="none" w:color="000000" w:sz="0" w:space="0"/>
                <w:bottom w:val="none" w:color="000000" w:sz="0" w:space="0"/>
                <w:right w:val="none" w:color="000000" w:sz="0" w:space="0"/>
              </w:pBdr>
              <w:spacing w:before="0" w:after="0" w:line="240" w:lineRule="auto"/>
              <w:ind w:left="0" w:right="0" w:firstLine="0"/>
              <w:rPr>
                <w:color w:val="auto"/>
                <w:highlight w:val="none"/>
              </w:rPr>
            </w:pPr>
            <w:r>
              <w:rPr>
                <w:color w:val="auto"/>
                <w:highlight w:val="none"/>
              </w:rPr>
              <w:drawing>
                <wp:inline distT="0" distB="0" distL="114300" distR="114300">
                  <wp:extent cx="2766695" cy="926465"/>
                  <wp:effectExtent l="0" t="0" r="14605" b="698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rcRect t="7840" r="865" b="14347"/>
                          <a:stretch>
                            <a:fillRect/>
                          </a:stretch>
                        </pic:blipFill>
                        <pic:spPr>
                          <a:xfrm>
                            <a:off x="0" y="0"/>
                            <a:ext cx="2766695" cy="926465"/>
                          </a:xfrm>
                          <a:prstGeom prst="rect">
                            <a:avLst/>
                          </a:prstGeom>
                          <a:noFill/>
                          <a:ln>
                            <a:noFill/>
                          </a:ln>
                        </pic:spPr>
                      </pic:pic>
                    </a:graphicData>
                  </a:graphic>
                </wp:inline>
              </w:drawing>
            </w:r>
          </w:p>
          <w:p w14:paraId="351FC2CE">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default" w:ascii="宋体" w:hAnsi="宋体" w:eastAsia="宋体" w:cs="宋体"/>
                <w:color w:val="auto"/>
                <w:sz w:val="21"/>
                <w:highlight w:val="none"/>
                <w:lang w:val="en-US" w:eastAsia="zh-CN"/>
              </w:rPr>
            </w:pPr>
            <w:r>
              <w:rPr>
                <w:rFonts w:hint="eastAsia"/>
                <w:color w:val="auto"/>
                <w:highlight w:val="none"/>
                <w:lang w:val="en-US" w:eastAsia="zh-CN"/>
              </w:rPr>
              <w:t>样品二制作要求：“民</w:t>
            </w:r>
            <w:r>
              <w:rPr>
                <w:rFonts w:hint="default"/>
                <w:color w:val="auto"/>
                <w:highlight w:val="none"/>
                <w:lang w:val="en-US" w:eastAsia="zh-CN"/>
              </w:rPr>
              <w:t>”</w:t>
            </w:r>
            <w:r>
              <w:rPr>
                <w:rFonts w:hint="eastAsia"/>
                <w:color w:val="auto"/>
                <w:highlight w:val="none"/>
                <w:lang w:val="en-US" w:eastAsia="zh-CN"/>
              </w:rPr>
              <w:t>，大小高度50公分；工艺要求与清单要求一致。</w:t>
            </w:r>
          </w:p>
          <w:p w14:paraId="219676C2">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lang w:val="en-US" w:eastAsia="zh-CN"/>
              </w:rPr>
            </w:pPr>
          </w:p>
          <w:p w14:paraId="2F38C374">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lang w:val="en-US" w:eastAsia="zh-CN"/>
              </w:rPr>
            </w:pPr>
            <w:r>
              <w:rPr>
                <w:rFonts w:hint="eastAsia" w:ascii="宋体" w:hAnsi="宋体" w:eastAsia="宋体" w:cs="宋体"/>
                <w:color w:val="auto"/>
                <w:sz w:val="21"/>
                <w:highlight w:val="none"/>
                <w:lang w:val="en-US" w:eastAsia="zh-CN"/>
              </w:rPr>
              <w:t>样品（提供效果图红圈中的地面可见部分</w:t>
            </w:r>
            <w:r>
              <w:rPr>
                <w:rFonts w:hint="eastAsia" w:ascii="宋体" w:hAnsi="宋体" w:cs="宋体"/>
                <w:color w:val="auto"/>
                <w:sz w:val="21"/>
                <w:highlight w:val="none"/>
                <w:lang w:val="en-US" w:eastAsia="zh-CN"/>
              </w:rPr>
              <w:t>，效果图详见附件</w:t>
            </w:r>
            <w:r>
              <w:rPr>
                <w:rFonts w:hint="eastAsia" w:ascii="宋体" w:hAnsi="宋体" w:eastAsia="宋体" w:cs="宋体"/>
                <w:color w:val="auto"/>
                <w:sz w:val="21"/>
                <w:highlight w:val="none"/>
                <w:lang w:val="en-US" w:eastAsia="zh-CN"/>
              </w:rPr>
              <w:t>）：</w:t>
            </w:r>
          </w:p>
          <w:p w14:paraId="6700373C">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rPr>
              <w:t>样品整体情况</w:t>
            </w:r>
          </w:p>
          <w:p w14:paraId="40E00072">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rPr>
              <w:t>样品正确、各组件间连接紧密，</w:t>
            </w:r>
            <w:r>
              <w:rPr>
                <w:rFonts w:hint="eastAsia" w:ascii="宋体" w:hAnsi="宋体" w:eastAsia="宋体" w:cs="宋体"/>
                <w:color w:val="auto"/>
                <w:sz w:val="21"/>
                <w:highlight w:val="none"/>
                <w:lang w:val="en-US" w:eastAsia="zh-CN"/>
              </w:rPr>
              <w:t>外观</w:t>
            </w:r>
            <w:r>
              <w:rPr>
                <w:rFonts w:hint="eastAsia" w:ascii="宋体" w:hAnsi="宋体" w:eastAsia="宋体" w:cs="宋体"/>
                <w:color w:val="auto"/>
                <w:sz w:val="21"/>
                <w:highlight w:val="none"/>
              </w:rPr>
              <w:t>美观、舒适实用，能实现产品的整体使用功能得</w:t>
            </w:r>
            <w:r>
              <w:rPr>
                <w:rFonts w:hint="eastAsia" w:ascii="宋体" w:hAnsi="宋体" w:eastAsia="宋体" w:cs="宋体"/>
                <w:color w:val="auto"/>
                <w:sz w:val="21"/>
                <w:highlight w:val="none"/>
                <w:lang w:val="en-US" w:eastAsia="zh-CN"/>
              </w:rPr>
              <w:t>4</w:t>
            </w:r>
            <w:r>
              <w:rPr>
                <w:rFonts w:hint="eastAsia" w:ascii="宋体" w:hAnsi="宋体" w:eastAsia="宋体" w:cs="宋体"/>
                <w:color w:val="auto"/>
                <w:sz w:val="21"/>
                <w:highlight w:val="none"/>
              </w:rPr>
              <w:t>分；</w:t>
            </w:r>
          </w:p>
          <w:p w14:paraId="7676BE1A">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rPr>
              <w:t>样品正确、各组件间连接较紧密，</w:t>
            </w:r>
            <w:r>
              <w:rPr>
                <w:rFonts w:hint="eastAsia" w:ascii="宋体" w:hAnsi="宋体" w:eastAsia="宋体" w:cs="宋体"/>
                <w:color w:val="auto"/>
                <w:sz w:val="21"/>
                <w:highlight w:val="none"/>
                <w:lang w:val="en-US" w:eastAsia="zh-CN"/>
              </w:rPr>
              <w:t>外观</w:t>
            </w:r>
            <w:r>
              <w:rPr>
                <w:rFonts w:hint="eastAsia" w:ascii="宋体" w:hAnsi="宋体" w:eastAsia="宋体" w:cs="宋体"/>
                <w:color w:val="auto"/>
                <w:sz w:val="21"/>
                <w:highlight w:val="none"/>
              </w:rPr>
              <w:t>较美观、较实用舒适，基本能够实现产品的整体使用功能得</w:t>
            </w:r>
            <w:r>
              <w:rPr>
                <w:rFonts w:hint="eastAsia" w:ascii="宋体" w:hAnsi="宋体" w:cs="宋体"/>
                <w:color w:val="auto"/>
                <w:sz w:val="21"/>
                <w:highlight w:val="none"/>
                <w:lang w:val="en-US" w:eastAsia="zh-CN"/>
              </w:rPr>
              <w:t>2</w:t>
            </w:r>
            <w:r>
              <w:rPr>
                <w:rFonts w:hint="eastAsia" w:ascii="宋体" w:hAnsi="宋体" w:eastAsia="宋体" w:cs="宋体"/>
                <w:color w:val="auto"/>
                <w:sz w:val="21"/>
                <w:highlight w:val="none"/>
              </w:rPr>
              <w:t xml:space="preserve">分； </w:t>
            </w:r>
          </w:p>
          <w:p w14:paraId="0DEC1B84">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rPr>
              <w:t>样品不正确、各组件间连接不紧密，</w:t>
            </w:r>
            <w:r>
              <w:rPr>
                <w:rFonts w:hint="eastAsia" w:ascii="宋体" w:hAnsi="宋体" w:eastAsia="宋体" w:cs="宋体"/>
                <w:color w:val="auto"/>
                <w:sz w:val="21"/>
                <w:highlight w:val="none"/>
                <w:lang w:val="en-US" w:eastAsia="zh-CN"/>
              </w:rPr>
              <w:t>外观</w:t>
            </w:r>
            <w:r>
              <w:rPr>
                <w:rFonts w:hint="eastAsia" w:ascii="宋体" w:hAnsi="宋体" w:eastAsia="宋体" w:cs="宋体"/>
                <w:color w:val="auto"/>
                <w:sz w:val="21"/>
                <w:highlight w:val="none"/>
              </w:rPr>
              <w:t>不美观、不实用， 不能够实现产品的整体使用功能得</w:t>
            </w:r>
            <w:r>
              <w:rPr>
                <w:rFonts w:hint="eastAsia" w:ascii="宋体" w:hAnsi="宋体" w:eastAsia="宋体" w:cs="宋体"/>
                <w:color w:val="auto"/>
                <w:sz w:val="21"/>
                <w:highlight w:val="none"/>
                <w:lang w:val="en-US" w:eastAsia="zh-CN"/>
              </w:rPr>
              <w:t>1</w:t>
            </w:r>
            <w:r>
              <w:rPr>
                <w:rFonts w:hint="eastAsia" w:ascii="宋体" w:hAnsi="宋体" w:eastAsia="宋体" w:cs="宋体"/>
                <w:color w:val="auto"/>
                <w:sz w:val="21"/>
                <w:highlight w:val="none"/>
              </w:rPr>
              <w:t>分；</w:t>
            </w:r>
          </w:p>
          <w:p w14:paraId="1DF4CBA8">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rPr>
              <w:t>提供的样品不全或未提供样品的得0分。</w:t>
            </w:r>
          </w:p>
          <w:p w14:paraId="483689E2">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2</w:t>
            </w:r>
            <w:r>
              <w:rPr>
                <w:rFonts w:hint="eastAsia" w:ascii="宋体" w:hAnsi="宋体" w:eastAsia="宋体" w:cs="宋体"/>
                <w:color w:val="auto"/>
                <w:sz w:val="21"/>
                <w:highlight w:val="none"/>
                <w:lang w:eastAsia="zh-CN"/>
              </w:rPr>
              <w:t>）</w:t>
            </w:r>
            <w:r>
              <w:rPr>
                <w:rFonts w:hint="eastAsia" w:ascii="宋体" w:hAnsi="宋体" w:eastAsia="宋体" w:cs="宋体"/>
                <w:color w:val="auto"/>
                <w:sz w:val="21"/>
                <w:highlight w:val="none"/>
                <w:lang w:val="en-US" w:eastAsia="zh-CN"/>
              </w:rPr>
              <w:t>材料、</w:t>
            </w:r>
            <w:r>
              <w:rPr>
                <w:rFonts w:hint="eastAsia" w:ascii="宋体" w:hAnsi="宋体" w:eastAsia="宋体" w:cs="宋体"/>
                <w:color w:val="auto"/>
                <w:sz w:val="21"/>
                <w:highlight w:val="none"/>
              </w:rPr>
              <w:t>配件、牢固度、承重强度能力情况</w:t>
            </w:r>
          </w:p>
          <w:p w14:paraId="4607E7CE">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rPr>
              <w:t>样品</w:t>
            </w:r>
            <w:r>
              <w:rPr>
                <w:rFonts w:hint="eastAsia" w:ascii="宋体" w:hAnsi="宋体" w:eastAsia="宋体" w:cs="宋体"/>
                <w:color w:val="auto"/>
                <w:sz w:val="21"/>
                <w:highlight w:val="none"/>
                <w:lang w:val="en-US" w:eastAsia="zh-CN"/>
              </w:rPr>
              <w:t>材料、</w:t>
            </w:r>
            <w:r>
              <w:rPr>
                <w:rFonts w:hint="eastAsia" w:ascii="宋体" w:hAnsi="宋体" w:eastAsia="宋体" w:cs="宋体"/>
                <w:color w:val="auto"/>
                <w:sz w:val="21"/>
                <w:highlight w:val="none"/>
              </w:rPr>
              <w:t>配件质量佳，安装连接紧密、平整、端正、牢固，结合处无开裂或松动得</w:t>
            </w:r>
            <w:r>
              <w:rPr>
                <w:rFonts w:hint="eastAsia" w:ascii="宋体" w:hAnsi="宋体" w:cs="宋体"/>
                <w:color w:val="auto"/>
                <w:sz w:val="21"/>
                <w:highlight w:val="none"/>
                <w:lang w:val="en-US" w:eastAsia="zh-CN"/>
              </w:rPr>
              <w:t>3</w:t>
            </w:r>
            <w:r>
              <w:rPr>
                <w:rFonts w:hint="eastAsia" w:ascii="宋体" w:hAnsi="宋体" w:eastAsia="宋体" w:cs="宋体"/>
                <w:color w:val="auto"/>
                <w:sz w:val="21"/>
                <w:highlight w:val="none"/>
              </w:rPr>
              <w:t>分；</w:t>
            </w:r>
          </w:p>
          <w:p w14:paraId="76D9A9EB">
            <w:pPr>
              <w:pBdr>
                <w:top w:val="none" w:color="000000" w:sz="0" w:space="0"/>
                <w:left w:val="none" w:color="000000" w:sz="0" w:space="0"/>
                <w:bottom w:val="none" w:color="000000" w:sz="0" w:space="0"/>
                <w:right w:val="none" w:color="000000" w:sz="0" w:space="0"/>
              </w:pBdr>
              <w:spacing w:before="0" w:after="0" w:line="240" w:lineRule="auto"/>
              <w:ind w:left="0" w:right="0" w:firstLine="0"/>
              <w:rPr>
                <w:rFonts w:hint="eastAsia" w:ascii="宋体" w:hAnsi="宋体" w:eastAsia="宋体" w:cs="宋体"/>
                <w:color w:val="auto"/>
                <w:sz w:val="21"/>
                <w:highlight w:val="none"/>
              </w:rPr>
            </w:pPr>
            <w:r>
              <w:rPr>
                <w:rFonts w:hint="eastAsia" w:ascii="宋体" w:hAnsi="宋体" w:eastAsia="宋体" w:cs="宋体"/>
                <w:color w:val="auto"/>
                <w:sz w:val="21"/>
                <w:highlight w:val="none"/>
              </w:rPr>
              <w:t>样品</w:t>
            </w:r>
            <w:r>
              <w:rPr>
                <w:rFonts w:hint="eastAsia" w:ascii="宋体" w:hAnsi="宋体" w:eastAsia="宋体" w:cs="宋体"/>
                <w:color w:val="auto"/>
                <w:sz w:val="21"/>
                <w:highlight w:val="none"/>
                <w:lang w:val="en-US" w:eastAsia="zh-CN"/>
              </w:rPr>
              <w:t>材料、</w:t>
            </w:r>
            <w:r>
              <w:rPr>
                <w:rFonts w:hint="eastAsia" w:ascii="宋体" w:hAnsi="宋体" w:eastAsia="宋体" w:cs="宋体"/>
                <w:color w:val="auto"/>
                <w:sz w:val="21"/>
                <w:highlight w:val="none"/>
              </w:rPr>
              <w:t>配件质量尚可，安装连接较紧密、较平整、较端正、较牢固，有细微开裂或松动得</w:t>
            </w:r>
            <w:r>
              <w:rPr>
                <w:rFonts w:hint="eastAsia" w:ascii="宋体" w:hAnsi="宋体" w:cs="宋体"/>
                <w:color w:val="auto"/>
                <w:sz w:val="21"/>
                <w:highlight w:val="none"/>
                <w:lang w:val="en-US" w:eastAsia="zh-CN"/>
              </w:rPr>
              <w:t>2</w:t>
            </w:r>
            <w:r>
              <w:rPr>
                <w:rFonts w:hint="eastAsia" w:ascii="宋体" w:hAnsi="宋体" w:eastAsia="宋体" w:cs="宋体"/>
                <w:color w:val="auto"/>
                <w:sz w:val="21"/>
                <w:highlight w:val="none"/>
              </w:rPr>
              <w:t>分；</w:t>
            </w:r>
          </w:p>
          <w:p w14:paraId="0DB4F1BA">
            <w:pPr>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样品</w:t>
            </w:r>
            <w:r>
              <w:rPr>
                <w:rFonts w:hint="eastAsia" w:ascii="宋体" w:hAnsi="宋体" w:cs="宋体"/>
                <w:b w:val="0"/>
                <w:bCs w:val="0"/>
                <w:color w:val="auto"/>
                <w:sz w:val="21"/>
                <w:szCs w:val="21"/>
                <w:highlight w:val="none"/>
                <w:lang w:val="en-US" w:eastAsia="zh-CN"/>
              </w:rPr>
              <w:t>材料、</w:t>
            </w:r>
            <w:r>
              <w:rPr>
                <w:rFonts w:hint="eastAsia" w:ascii="宋体" w:hAnsi="宋体" w:eastAsia="宋体" w:cs="宋体"/>
                <w:b w:val="0"/>
                <w:bCs w:val="0"/>
                <w:color w:val="auto"/>
                <w:sz w:val="21"/>
                <w:szCs w:val="21"/>
                <w:highlight w:val="none"/>
              </w:rPr>
              <w:t>配件有欠缺，各种配件安装不太牢固，结合处有明显开裂或松动得</w:t>
            </w:r>
            <w:r>
              <w:rPr>
                <w:rFonts w:hint="eastAsia" w:ascii="宋体" w:hAnsi="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w:t>
            </w:r>
          </w:p>
          <w:p w14:paraId="75373E9C">
            <w:pP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提供的样品不全或未提供样品的得0分。</w:t>
            </w:r>
          </w:p>
          <w:p w14:paraId="4C6255B6">
            <w:pP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bCs/>
                <w:color w:val="auto"/>
                <w:sz w:val="21"/>
                <w:szCs w:val="20"/>
                <w:highlight w:val="none"/>
                <w:lang w:val="en-US" w:eastAsia="zh-CN" w:bidi="ar-SA"/>
              </w:rPr>
              <w:t>（样品需在开标当日投标截止时间前送达扬州市江都区文昌东路1175号佳源银座6楼并完成签收，否则不予接收）</w:t>
            </w:r>
          </w:p>
        </w:tc>
      </w:tr>
    </w:tbl>
    <w:p w14:paraId="5A92A45C">
      <w:pPr>
        <w:rPr>
          <w:color w:val="auto"/>
          <w:highlight w:val="none"/>
        </w:rPr>
      </w:pPr>
    </w:p>
    <w:p w14:paraId="083CC98C">
      <w:pPr>
        <w:spacing w:line="360" w:lineRule="auto"/>
        <w:jc w:val="center"/>
        <w:rPr>
          <w:rFonts w:hint="eastAsia" w:ascii="宋体" w:hAnsi="宋体"/>
          <w:b/>
          <w:color w:val="auto"/>
          <w:sz w:val="32"/>
          <w:szCs w:val="32"/>
          <w:highlight w:val="none"/>
        </w:rPr>
      </w:pPr>
    </w:p>
    <w:p w14:paraId="4FE176C3">
      <w:pPr>
        <w:spacing w:line="360" w:lineRule="auto"/>
        <w:jc w:val="center"/>
        <w:rPr>
          <w:rFonts w:hint="eastAsia" w:ascii="宋体" w:hAnsi="宋体"/>
          <w:b/>
          <w:color w:val="auto"/>
          <w:sz w:val="32"/>
          <w:szCs w:val="32"/>
          <w:highlight w:val="none"/>
        </w:rPr>
      </w:pPr>
    </w:p>
    <w:p w14:paraId="6A0D114A">
      <w:pPr>
        <w:spacing w:line="360" w:lineRule="auto"/>
        <w:jc w:val="center"/>
        <w:rPr>
          <w:rFonts w:hint="eastAsia" w:ascii="宋体" w:hAnsi="宋体"/>
          <w:b/>
          <w:color w:val="auto"/>
          <w:sz w:val="32"/>
          <w:szCs w:val="32"/>
          <w:highlight w:val="none"/>
        </w:rPr>
      </w:pPr>
    </w:p>
    <w:p w14:paraId="7B50CAA0">
      <w:pPr>
        <w:spacing w:line="360" w:lineRule="auto"/>
        <w:jc w:val="center"/>
        <w:rPr>
          <w:rFonts w:hint="eastAsia" w:ascii="宋体" w:hAnsi="宋体"/>
          <w:b/>
          <w:color w:val="auto"/>
          <w:sz w:val="32"/>
          <w:szCs w:val="32"/>
          <w:highlight w:val="none"/>
        </w:rPr>
      </w:pPr>
    </w:p>
    <w:p w14:paraId="2AA96F3E">
      <w:pPr>
        <w:spacing w:line="360" w:lineRule="auto"/>
        <w:jc w:val="center"/>
        <w:rPr>
          <w:rFonts w:hint="eastAsia" w:ascii="宋体" w:hAnsi="宋体"/>
          <w:b/>
          <w:color w:val="auto"/>
          <w:sz w:val="32"/>
          <w:szCs w:val="32"/>
          <w:highlight w:val="none"/>
        </w:rPr>
      </w:pPr>
    </w:p>
    <w:p w14:paraId="28974A60">
      <w:pPr>
        <w:spacing w:line="360" w:lineRule="auto"/>
        <w:jc w:val="center"/>
        <w:rPr>
          <w:rFonts w:hint="eastAsia" w:ascii="宋体" w:hAnsi="宋体"/>
          <w:b/>
          <w:color w:val="auto"/>
          <w:sz w:val="32"/>
          <w:szCs w:val="32"/>
          <w:highlight w:val="none"/>
        </w:rPr>
      </w:pPr>
    </w:p>
    <w:p w14:paraId="15A45375">
      <w:pPr>
        <w:spacing w:line="360" w:lineRule="auto"/>
        <w:jc w:val="center"/>
        <w:rPr>
          <w:rFonts w:hint="eastAsia" w:ascii="宋体" w:hAnsi="宋体"/>
          <w:b/>
          <w:color w:val="auto"/>
          <w:sz w:val="32"/>
          <w:szCs w:val="32"/>
          <w:highlight w:val="none"/>
        </w:rPr>
      </w:pPr>
    </w:p>
    <w:p w14:paraId="6B909651">
      <w:pPr>
        <w:spacing w:line="360" w:lineRule="auto"/>
        <w:jc w:val="center"/>
        <w:rPr>
          <w:rFonts w:hint="eastAsia" w:ascii="宋体" w:hAnsi="宋体"/>
          <w:b/>
          <w:color w:val="auto"/>
          <w:sz w:val="32"/>
          <w:szCs w:val="32"/>
          <w:highlight w:val="none"/>
        </w:rPr>
      </w:pPr>
    </w:p>
    <w:p w14:paraId="4820CC50">
      <w:pPr>
        <w:spacing w:line="360" w:lineRule="auto"/>
        <w:jc w:val="center"/>
        <w:rPr>
          <w:rFonts w:hint="eastAsia" w:ascii="宋体" w:hAnsi="宋体"/>
          <w:b/>
          <w:color w:val="auto"/>
          <w:sz w:val="32"/>
          <w:szCs w:val="32"/>
          <w:highlight w:val="none"/>
        </w:rPr>
      </w:pPr>
    </w:p>
    <w:p w14:paraId="57C804E9">
      <w:pPr>
        <w:spacing w:line="360" w:lineRule="auto"/>
        <w:jc w:val="center"/>
        <w:rPr>
          <w:rFonts w:hint="eastAsia" w:ascii="宋体" w:hAnsi="宋体"/>
          <w:b/>
          <w:color w:val="auto"/>
          <w:sz w:val="32"/>
          <w:szCs w:val="32"/>
          <w:highlight w:val="none"/>
        </w:rPr>
      </w:pPr>
    </w:p>
    <w:p w14:paraId="3A379A8A">
      <w:pPr>
        <w:spacing w:line="360" w:lineRule="auto"/>
        <w:jc w:val="center"/>
        <w:rPr>
          <w:rFonts w:hint="eastAsia" w:ascii="宋体" w:hAnsi="宋体"/>
          <w:b/>
          <w:color w:val="auto"/>
          <w:sz w:val="32"/>
          <w:szCs w:val="32"/>
          <w:highlight w:val="none"/>
        </w:rPr>
      </w:pPr>
    </w:p>
    <w:p w14:paraId="4C14067E">
      <w:pPr>
        <w:spacing w:line="360" w:lineRule="auto"/>
        <w:jc w:val="center"/>
        <w:rPr>
          <w:rFonts w:hint="eastAsia" w:ascii="宋体" w:hAnsi="宋体"/>
          <w:b/>
          <w:color w:val="auto"/>
          <w:sz w:val="32"/>
          <w:szCs w:val="32"/>
          <w:highlight w:val="none"/>
        </w:rPr>
      </w:pPr>
    </w:p>
    <w:p w14:paraId="7259EC01">
      <w:pPr>
        <w:spacing w:line="360" w:lineRule="auto"/>
        <w:jc w:val="center"/>
        <w:rPr>
          <w:rFonts w:hint="eastAsia" w:ascii="宋体" w:hAnsi="宋体"/>
          <w:b/>
          <w:color w:val="auto"/>
          <w:sz w:val="32"/>
          <w:szCs w:val="32"/>
          <w:highlight w:val="none"/>
        </w:rPr>
      </w:pPr>
    </w:p>
    <w:p w14:paraId="767908BA">
      <w:pPr>
        <w:spacing w:line="360" w:lineRule="auto"/>
        <w:jc w:val="center"/>
        <w:rPr>
          <w:rFonts w:hint="eastAsia" w:ascii="宋体" w:hAnsi="宋体"/>
          <w:b/>
          <w:color w:val="auto"/>
          <w:sz w:val="32"/>
          <w:szCs w:val="32"/>
          <w:highlight w:val="none"/>
        </w:rPr>
      </w:pPr>
    </w:p>
    <w:p w14:paraId="55D9AB86">
      <w:pPr>
        <w:spacing w:line="360" w:lineRule="auto"/>
        <w:jc w:val="center"/>
        <w:rPr>
          <w:rFonts w:hint="eastAsia" w:ascii="宋体" w:hAnsi="宋体"/>
          <w:b/>
          <w:color w:val="auto"/>
          <w:sz w:val="32"/>
          <w:szCs w:val="32"/>
          <w:highlight w:val="none"/>
        </w:rPr>
      </w:pPr>
    </w:p>
    <w:p w14:paraId="7AC98785">
      <w:pPr>
        <w:spacing w:line="360" w:lineRule="auto"/>
        <w:jc w:val="center"/>
        <w:rPr>
          <w:rFonts w:hint="eastAsia" w:ascii="宋体" w:hAnsi="宋体"/>
          <w:b/>
          <w:color w:val="auto"/>
          <w:sz w:val="32"/>
          <w:szCs w:val="32"/>
          <w:highlight w:val="none"/>
        </w:rPr>
      </w:pPr>
    </w:p>
    <w:p w14:paraId="51C28A16">
      <w:pPr>
        <w:spacing w:line="360" w:lineRule="auto"/>
        <w:jc w:val="center"/>
        <w:rPr>
          <w:rFonts w:hint="eastAsia" w:ascii="宋体" w:hAnsi="宋体"/>
          <w:b/>
          <w:color w:val="auto"/>
          <w:sz w:val="32"/>
          <w:szCs w:val="32"/>
          <w:highlight w:val="none"/>
        </w:rPr>
      </w:pPr>
    </w:p>
    <w:p w14:paraId="0C384E42">
      <w:pPr>
        <w:spacing w:line="360" w:lineRule="auto"/>
        <w:jc w:val="center"/>
        <w:rPr>
          <w:rFonts w:hint="eastAsia" w:ascii="宋体" w:hAnsi="宋体"/>
          <w:b/>
          <w:color w:val="auto"/>
          <w:sz w:val="32"/>
          <w:szCs w:val="32"/>
          <w:highlight w:val="none"/>
        </w:rPr>
      </w:pPr>
    </w:p>
    <w:p w14:paraId="1BB14D54">
      <w:pPr>
        <w:rPr>
          <w:rFonts w:hint="eastAsia"/>
          <w:color w:val="auto"/>
          <w:highlight w:val="none"/>
        </w:rPr>
      </w:pPr>
    </w:p>
    <w:p w14:paraId="4D5125A0">
      <w:p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第六章   投标文件（格式）</w:t>
      </w:r>
    </w:p>
    <w:p w14:paraId="7ADB52DB">
      <w:pPr>
        <w:pStyle w:val="9"/>
        <w:rPr>
          <w:rFonts w:ascii="宋体" w:hAnsi="宋体"/>
          <w:b/>
          <w:color w:val="auto"/>
          <w:sz w:val="32"/>
          <w:szCs w:val="32"/>
          <w:highlight w:val="none"/>
        </w:rPr>
      </w:pPr>
    </w:p>
    <w:p w14:paraId="631F71B9">
      <w:pPr>
        <w:rPr>
          <w:rFonts w:ascii="宋体" w:hAnsi="宋体"/>
          <w:b/>
          <w:color w:val="auto"/>
          <w:sz w:val="32"/>
          <w:szCs w:val="32"/>
          <w:highlight w:val="none"/>
        </w:rPr>
      </w:pPr>
    </w:p>
    <w:p w14:paraId="3CBDB48C">
      <w:pPr>
        <w:pStyle w:val="9"/>
        <w:rPr>
          <w:rFonts w:ascii="宋体" w:hAnsi="宋体"/>
          <w:b/>
          <w:color w:val="auto"/>
          <w:sz w:val="32"/>
          <w:szCs w:val="32"/>
          <w:highlight w:val="none"/>
        </w:rPr>
      </w:pPr>
    </w:p>
    <w:p w14:paraId="3D389AE7">
      <w:pPr>
        <w:rPr>
          <w:rFonts w:ascii="宋体" w:hAnsi="宋体"/>
          <w:b/>
          <w:color w:val="auto"/>
          <w:sz w:val="32"/>
          <w:szCs w:val="32"/>
          <w:highlight w:val="none"/>
        </w:rPr>
      </w:pPr>
    </w:p>
    <w:p w14:paraId="7761C2A1">
      <w:pPr>
        <w:pStyle w:val="9"/>
        <w:rPr>
          <w:color w:val="auto"/>
          <w:highlight w:val="none"/>
        </w:rPr>
      </w:pPr>
    </w:p>
    <w:p w14:paraId="70D206A7">
      <w:pPr>
        <w:spacing w:line="360" w:lineRule="auto"/>
        <w:jc w:val="center"/>
        <w:rPr>
          <w:rFonts w:ascii="宋体" w:hAnsi="宋体" w:cs="Arial"/>
          <w:b/>
          <w:bCs/>
          <w:color w:val="auto"/>
          <w:sz w:val="72"/>
          <w:szCs w:val="72"/>
          <w:highlight w:val="none"/>
        </w:rPr>
      </w:pPr>
      <w:r>
        <w:rPr>
          <w:rFonts w:hint="eastAsia" w:ascii="宋体" w:hAnsi="宋体"/>
          <w:b/>
          <w:color w:val="auto"/>
          <w:sz w:val="72"/>
          <w:highlight w:val="none"/>
        </w:rPr>
        <w:t>投  标  文  件</w:t>
      </w:r>
    </w:p>
    <w:p w14:paraId="60139F3C">
      <w:pPr>
        <w:spacing w:line="360" w:lineRule="auto"/>
        <w:jc w:val="center"/>
        <w:rPr>
          <w:rFonts w:ascii="宋体" w:hAnsi="宋体"/>
          <w:b/>
          <w:color w:val="auto"/>
          <w:sz w:val="72"/>
          <w:szCs w:val="21"/>
          <w:highlight w:val="none"/>
        </w:rPr>
      </w:pPr>
    </w:p>
    <w:p w14:paraId="7C978D89">
      <w:pPr>
        <w:spacing w:line="360" w:lineRule="auto"/>
        <w:jc w:val="center"/>
        <w:rPr>
          <w:rFonts w:ascii="宋体" w:hAnsi="宋体"/>
          <w:b/>
          <w:color w:val="auto"/>
          <w:sz w:val="36"/>
          <w:szCs w:val="21"/>
          <w:highlight w:val="none"/>
        </w:rPr>
      </w:pPr>
    </w:p>
    <w:p w14:paraId="49167C05">
      <w:pPr>
        <w:spacing w:line="360" w:lineRule="auto"/>
        <w:jc w:val="center"/>
        <w:rPr>
          <w:rFonts w:ascii="宋体" w:hAnsi="宋体"/>
          <w:b/>
          <w:color w:val="auto"/>
          <w:sz w:val="36"/>
          <w:szCs w:val="21"/>
          <w:highlight w:val="none"/>
        </w:rPr>
      </w:pPr>
    </w:p>
    <w:p w14:paraId="5A8E3A93">
      <w:pPr>
        <w:spacing w:line="360" w:lineRule="auto"/>
        <w:jc w:val="center"/>
        <w:rPr>
          <w:rFonts w:ascii="宋体" w:hAnsi="宋体"/>
          <w:b/>
          <w:color w:val="auto"/>
          <w:sz w:val="36"/>
          <w:szCs w:val="21"/>
          <w:highlight w:val="none"/>
        </w:rPr>
      </w:pPr>
    </w:p>
    <w:p w14:paraId="54B921D2">
      <w:pPr>
        <w:spacing w:line="360" w:lineRule="auto"/>
        <w:rPr>
          <w:rFonts w:ascii="宋体" w:hAnsi="宋体"/>
          <w:b/>
          <w:color w:val="auto"/>
          <w:sz w:val="36"/>
          <w:highlight w:val="none"/>
        </w:rPr>
      </w:pPr>
    </w:p>
    <w:p w14:paraId="50B2C1A5">
      <w:pPr>
        <w:spacing w:line="360" w:lineRule="auto"/>
        <w:jc w:val="center"/>
        <w:rPr>
          <w:rFonts w:ascii="宋体" w:hAnsi="宋体"/>
          <w:b/>
          <w:color w:val="auto"/>
          <w:sz w:val="36"/>
          <w:highlight w:val="none"/>
        </w:rPr>
      </w:pPr>
    </w:p>
    <w:p w14:paraId="17AC8CA4">
      <w:pPr>
        <w:spacing w:line="360" w:lineRule="auto"/>
        <w:ind w:firstLine="1084"/>
        <w:rPr>
          <w:rFonts w:ascii="宋体" w:hAnsi="宋体"/>
          <w:b/>
          <w:color w:val="auto"/>
          <w:sz w:val="36"/>
          <w:highlight w:val="none"/>
        </w:rPr>
      </w:pPr>
      <w:r>
        <w:rPr>
          <w:rFonts w:hint="eastAsia" w:ascii="宋体" w:hAnsi="宋体"/>
          <w:b/>
          <w:color w:val="auto"/>
          <w:sz w:val="36"/>
          <w:highlight w:val="none"/>
        </w:rPr>
        <w:t>项 目 名 称：</w:t>
      </w:r>
      <w:r>
        <w:rPr>
          <w:rFonts w:hint="eastAsia" w:ascii="宋体" w:hAnsi="宋体"/>
          <w:b/>
          <w:color w:val="auto"/>
          <w:sz w:val="36"/>
          <w:highlight w:val="none"/>
          <w:u w:val="single"/>
        </w:rPr>
        <w:t xml:space="preserve">                   </w:t>
      </w:r>
    </w:p>
    <w:p w14:paraId="6050BD16">
      <w:pPr>
        <w:spacing w:line="360" w:lineRule="auto"/>
        <w:ind w:firstLine="1084"/>
        <w:rPr>
          <w:rFonts w:ascii="宋体" w:hAnsi="宋体"/>
          <w:b/>
          <w:color w:val="auto"/>
          <w:sz w:val="36"/>
          <w:highlight w:val="none"/>
          <w:u w:val="single"/>
        </w:rPr>
      </w:pPr>
      <w:r>
        <w:rPr>
          <w:rFonts w:hint="eastAsia" w:ascii="宋体" w:hAnsi="宋体"/>
          <w:b/>
          <w:color w:val="auto"/>
          <w:sz w:val="36"/>
          <w:highlight w:val="none"/>
        </w:rPr>
        <w:t>项 目 编 号：</w:t>
      </w:r>
      <w:r>
        <w:rPr>
          <w:rFonts w:hint="eastAsia" w:ascii="宋体" w:hAnsi="宋体"/>
          <w:b/>
          <w:color w:val="auto"/>
          <w:sz w:val="36"/>
          <w:highlight w:val="none"/>
          <w:u w:val="single"/>
        </w:rPr>
        <w:t xml:space="preserve">                   </w:t>
      </w:r>
    </w:p>
    <w:p w14:paraId="6C1302E4">
      <w:pPr>
        <w:spacing w:line="360" w:lineRule="auto"/>
        <w:rPr>
          <w:rFonts w:ascii="宋体" w:hAnsi="宋体"/>
          <w:b/>
          <w:color w:val="auto"/>
          <w:sz w:val="36"/>
          <w:highlight w:val="none"/>
          <w:u w:val="single"/>
        </w:rPr>
      </w:pPr>
      <w:r>
        <w:rPr>
          <w:rFonts w:hint="eastAsia" w:ascii="宋体" w:hAnsi="宋体"/>
          <w:b/>
          <w:color w:val="auto"/>
          <w:sz w:val="36"/>
          <w:highlight w:val="none"/>
        </w:rPr>
        <w:t xml:space="preserve">      投标人名称 ：</w:t>
      </w:r>
      <w:r>
        <w:rPr>
          <w:rFonts w:hint="eastAsia" w:ascii="宋体" w:hAnsi="宋体"/>
          <w:b/>
          <w:color w:val="auto"/>
          <w:sz w:val="36"/>
          <w:highlight w:val="none"/>
          <w:u w:val="single"/>
        </w:rPr>
        <w:t xml:space="preserve">                   </w:t>
      </w:r>
    </w:p>
    <w:p w14:paraId="515F8EC3">
      <w:pPr>
        <w:spacing w:line="360" w:lineRule="auto"/>
        <w:rPr>
          <w:rFonts w:ascii="宋体" w:hAnsi="宋体"/>
          <w:b/>
          <w:color w:val="auto"/>
          <w:sz w:val="36"/>
          <w:highlight w:val="none"/>
          <w:u w:val="single"/>
        </w:rPr>
      </w:pPr>
      <w:r>
        <w:rPr>
          <w:rFonts w:hint="eastAsia" w:ascii="宋体" w:hAnsi="宋体"/>
          <w:b/>
          <w:color w:val="auto"/>
          <w:sz w:val="36"/>
          <w:highlight w:val="none"/>
        </w:rPr>
        <w:t xml:space="preserve">      日      期 ：</w:t>
      </w:r>
      <w:r>
        <w:rPr>
          <w:rFonts w:hint="eastAsia" w:ascii="宋体" w:hAnsi="宋体"/>
          <w:b/>
          <w:color w:val="auto"/>
          <w:sz w:val="36"/>
          <w:highlight w:val="none"/>
          <w:u w:val="single"/>
        </w:rPr>
        <w:t xml:space="preserve">                   </w:t>
      </w:r>
    </w:p>
    <w:p w14:paraId="54306141">
      <w:pPr>
        <w:spacing w:line="360" w:lineRule="auto"/>
        <w:ind w:firstLine="1084"/>
        <w:rPr>
          <w:rFonts w:ascii="宋体" w:hAnsi="宋体"/>
          <w:b/>
          <w:color w:val="auto"/>
          <w:sz w:val="36"/>
          <w:highlight w:val="none"/>
        </w:rPr>
      </w:pPr>
      <w:r>
        <w:rPr>
          <w:rFonts w:hint="eastAsia" w:ascii="宋体" w:hAnsi="宋体"/>
          <w:b/>
          <w:color w:val="auto"/>
          <w:sz w:val="36"/>
          <w:highlight w:val="none"/>
        </w:rPr>
        <w:t>供  应  商：</w:t>
      </w:r>
      <w:r>
        <w:rPr>
          <w:rFonts w:hint="eastAsia" w:ascii="宋体" w:hAnsi="宋体"/>
          <w:b/>
          <w:color w:val="auto"/>
          <w:sz w:val="36"/>
          <w:highlight w:val="none"/>
          <w:u w:val="single"/>
        </w:rPr>
        <w:t xml:space="preserve">         </w:t>
      </w:r>
      <w:r>
        <w:rPr>
          <w:rFonts w:hint="eastAsia" w:ascii="宋体" w:hAnsi="宋体"/>
          <w:b/>
          <w:color w:val="auto"/>
          <w:sz w:val="36"/>
          <w:highlight w:val="none"/>
        </w:rPr>
        <w:t>（电子签章）</w:t>
      </w:r>
    </w:p>
    <w:p w14:paraId="3882EF48">
      <w:pPr>
        <w:spacing w:line="440" w:lineRule="exact"/>
        <w:jc w:val="center"/>
        <w:rPr>
          <w:rFonts w:ascii="宋体" w:hAnsi="宋体"/>
          <w:b/>
          <w:bCs/>
          <w:color w:val="auto"/>
          <w:sz w:val="32"/>
          <w:szCs w:val="32"/>
          <w:highlight w:val="none"/>
        </w:rPr>
      </w:pPr>
      <w:r>
        <w:rPr>
          <w:rFonts w:hint="eastAsia" w:ascii="宋体" w:hAnsi="宋体"/>
          <w:color w:val="auto"/>
          <w:sz w:val="24"/>
          <w:highlight w:val="none"/>
        </w:rPr>
        <w:br w:type="page" w:clear="all"/>
      </w:r>
      <w:r>
        <w:rPr>
          <w:rFonts w:hint="eastAsia" w:ascii="宋体" w:hAnsi="宋体"/>
          <w:b/>
          <w:bCs/>
          <w:color w:val="auto"/>
          <w:sz w:val="32"/>
          <w:szCs w:val="32"/>
          <w:highlight w:val="none"/>
        </w:rPr>
        <w:t>投标主要文件目录</w:t>
      </w:r>
    </w:p>
    <w:p w14:paraId="57FC399B">
      <w:pPr>
        <w:spacing w:line="440" w:lineRule="exact"/>
        <w:jc w:val="center"/>
        <w:rPr>
          <w:rFonts w:ascii="宋体" w:hAnsi="宋体"/>
          <w:b/>
          <w:bCs/>
          <w:color w:val="auto"/>
          <w:sz w:val="32"/>
          <w:szCs w:val="32"/>
          <w:highlight w:val="none"/>
        </w:rPr>
      </w:pPr>
    </w:p>
    <w:p w14:paraId="3524A6A4">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一、资格审查响应对照表</w:t>
      </w:r>
    </w:p>
    <w:p w14:paraId="1D2E7A82">
      <w:pPr>
        <w:spacing w:line="360" w:lineRule="auto"/>
        <w:ind w:left="480"/>
        <w:rPr>
          <w:rFonts w:ascii="宋体" w:hAnsi="宋体"/>
          <w:color w:val="auto"/>
          <w:sz w:val="24"/>
          <w:highlight w:val="none"/>
        </w:rPr>
      </w:pPr>
      <w:r>
        <w:rPr>
          <w:rFonts w:hint="eastAsia" w:ascii="宋体" w:hAnsi="宋体"/>
          <w:color w:val="auto"/>
          <w:sz w:val="24"/>
          <w:highlight w:val="none"/>
        </w:rPr>
        <w:t>二、符合性审查响应对照表</w:t>
      </w:r>
    </w:p>
    <w:p w14:paraId="35CFDCFC">
      <w:pPr>
        <w:spacing w:line="360" w:lineRule="auto"/>
        <w:ind w:left="480"/>
        <w:rPr>
          <w:rFonts w:ascii="宋体" w:hAnsi="宋体"/>
          <w:color w:val="auto"/>
          <w:sz w:val="24"/>
          <w:highlight w:val="none"/>
        </w:rPr>
      </w:pPr>
      <w:r>
        <w:rPr>
          <w:rFonts w:hint="eastAsia" w:ascii="宋体" w:hAnsi="宋体"/>
          <w:color w:val="auto"/>
          <w:sz w:val="24"/>
          <w:highlight w:val="none"/>
        </w:rPr>
        <w:t>三、</w:t>
      </w:r>
      <w:r>
        <w:rPr>
          <w:rFonts w:hint="eastAsia" w:ascii="宋体" w:hAnsi="宋体"/>
          <w:i/>
          <w:color w:val="auto"/>
          <w:sz w:val="24"/>
          <w:highlight w:val="none"/>
          <w:u w:val="single"/>
        </w:rPr>
        <w:t>开标一览表</w:t>
      </w:r>
    </w:p>
    <w:p w14:paraId="405F9D2F">
      <w:pPr>
        <w:spacing w:line="360" w:lineRule="auto"/>
        <w:ind w:left="480"/>
        <w:rPr>
          <w:rFonts w:ascii="宋体" w:hAnsi="宋体"/>
          <w:color w:val="auto"/>
          <w:sz w:val="24"/>
          <w:highlight w:val="none"/>
        </w:rPr>
      </w:pPr>
      <w:r>
        <w:rPr>
          <w:rFonts w:hint="eastAsia" w:ascii="宋体" w:hAnsi="宋体"/>
          <w:color w:val="auto"/>
          <w:sz w:val="24"/>
          <w:highlight w:val="none"/>
        </w:rPr>
        <w:t>四、投标产品配置及分项报价表</w:t>
      </w:r>
    </w:p>
    <w:p w14:paraId="0A664E5C">
      <w:pPr>
        <w:spacing w:line="360" w:lineRule="auto"/>
        <w:ind w:left="480"/>
        <w:rPr>
          <w:rFonts w:ascii="宋体" w:hAnsi="宋体"/>
          <w:color w:val="auto"/>
          <w:sz w:val="24"/>
          <w:highlight w:val="none"/>
        </w:rPr>
      </w:pPr>
      <w:r>
        <w:rPr>
          <w:rFonts w:hint="eastAsia" w:ascii="宋体" w:hAnsi="宋体"/>
          <w:color w:val="auto"/>
          <w:sz w:val="24"/>
          <w:highlight w:val="none"/>
        </w:rPr>
        <w:t>五、技术参数响应及偏离表</w:t>
      </w:r>
    </w:p>
    <w:p w14:paraId="60C0A911">
      <w:pPr>
        <w:spacing w:line="360" w:lineRule="auto"/>
        <w:ind w:firstLine="480" w:firstLineChars="200"/>
        <w:rPr>
          <w:rFonts w:ascii="宋体" w:hAnsi="宋体"/>
          <w:color w:val="auto"/>
          <w:sz w:val="24"/>
          <w:szCs w:val="24"/>
          <w:highlight w:val="none"/>
        </w:rPr>
      </w:pPr>
      <w:r>
        <w:rPr>
          <w:rFonts w:hint="eastAsia" w:ascii="宋体" w:hAnsi="宋体"/>
          <w:color w:val="auto"/>
          <w:sz w:val="24"/>
          <w:szCs w:val="24"/>
          <w:highlight w:val="none"/>
        </w:rPr>
        <w:t>六、商务条款响应及偏离表</w:t>
      </w:r>
    </w:p>
    <w:p w14:paraId="58F60E33">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七、其他 （投标人认为有必要提供的声明和文件，如有自拟并自行添加）</w:t>
      </w:r>
    </w:p>
    <w:p w14:paraId="1D4483F4">
      <w:pPr>
        <w:spacing w:line="360" w:lineRule="auto"/>
        <w:jc w:val="center"/>
        <w:rPr>
          <w:rFonts w:ascii="宋体" w:hAnsi="宋体"/>
          <w:b/>
          <w:color w:val="auto"/>
          <w:sz w:val="32"/>
          <w:szCs w:val="32"/>
          <w:highlight w:val="none"/>
        </w:rPr>
      </w:pPr>
      <w:r>
        <w:rPr>
          <w:rFonts w:ascii="宋体" w:hAnsi="宋体"/>
          <w:b/>
          <w:color w:val="auto"/>
          <w:sz w:val="32"/>
          <w:szCs w:val="32"/>
          <w:highlight w:val="none"/>
        </w:rPr>
        <w:br w:type="page" w:clear="all"/>
      </w:r>
      <w:r>
        <w:rPr>
          <w:rFonts w:hint="eastAsia" w:ascii="宋体" w:hAnsi="宋体"/>
          <w:b/>
          <w:color w:val="auto"/>
          <w:sz w:val="32"/>
          <w:szCs w:val="32"/>
          <w:highlight w:val="none"/>
        </w:rPr>
        <w:t>一、资格审查响应对照表</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5933"/>
        <w:gridCol w:w="1672"/>
      </w:tblGrid>
      <w:tr w14:paraId="45ACCF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7" w:hRule="atLeast"/>
        </w:trPr>
        <w:tc>
          <w:tcPr>
            <w:tcW w:w="646" w:type="dxa"/>
            <w:vAlign w:val="center"/>
          </w:tcPr>
          <w:p w14:paraId="78CD0B6D">
            <w:pPr>
              <w:spacing w:line="360" w:lineRule="auto"/>
              <w:jc w:val="center"/>
              <w:rPr>
                <w:rFonts w:ascii="幼圆" w:eastAsia="幼圆"/>
                <w:b/>
                <w:color w:val="auto"/>
                <w:szCs w:val="21"/>
                <w:highlight w:val="none"/>
              </w:rPr>
            </w:pPr>
            <w:r>
              <w:rPr>
                <w:rFonts w:hint="eastAsia" w:ascii="幼圆" w:eastAsia="幼圆"/>
                <w:b/>
                <w:color w:val="auto"/>
                <w:szCs w:val="21"/>
                <w:highlight w:val="none"/>
              </w:rPr>
              <w:t>序号</w:t>
            </w:r>
          </w:p>
        </w:tc>
        <w:tc>
          <w:tcPr>
            <w:tcW w:w="5933" w:type="dxa"/>
            <w:vAlign w:val="center"/>
          </w:tcPr>
          <w:p w14:paraId="3DD2D532">
            <w:pPr>
              <w:spacing w:line="360" w:lineRule="auto"/>
              <w:jc w:val="center"/>
              <w:rPr>
                <w:rFonts w:ascii="幼圆" w:eastAsia="幼圆"/>
                <w:b/>
                <w:color w:val="auto"/>
                <w:szCs w:val="21"/>
                <w:highlight w:val="none"/>
              </w:rPr>
            </w:pPr>
            <w:r>
              <w:rPr>
                <w:rFonts w:hint="eastAsia" w:ascii="幼圆" w:eastAsia="幼圆"/>
                <w:b/>
                <w:color w:val="auto"/>
                <w:szCs w:val="21"/>
                <w:highlight w:val="none"/>
              </w:rPr>
              <w:t>资格审查响应内容</w:t>
            </w:r>
          </w:p>
        </w:tc>
        <w:tc>
          <w:tcPr>
            <w:tcW w:w="1672" w:type="dxa"/>
            <w:vAlign w:val="center"/>
          </w:tcPr>
          <w:p w14:paraId="11C5694A">
            <w:pPr>
              <w:spacing w:line="360" w:lineRule="auto"/>
              <w:jc w:val="center"/>
              <w:rPr>
                <w:rFonts w:ascii="幼圆" w:eastAsia="幼圆"/>
                <w:b/>
                <w:color w:val="auto"/>
                <w:szCs w:val="21"/>
                <w:highlight w:val="none"/>
              </w:rPr>
            </w:pPr>
            <w:r>
              <w:rPr>
                <w:rFonts w:hint="eastAsia" w:ascii="幼圆" w:eastAsia="幼圆"/>
                <w:b/>
                <w:color w:val="auto"/>
                <w:szCs w:val="21"/>
                <w:highlight w:val="none"/>
              </w:rPr>
              <w:t>是否响应</w:t>
            </w:r>
          </w:p>
          <w:p w14:paraId="465C0ADE">
            <w:pPr>
              <w:spacing w:line="360" w:lineRule="auto"/>
              <w:jc w:val="center"/>
              <w:rPr>
                <w:rFonts w:ascii="幼圆" w:eastAsia="幼圆"/>
                <w:b/>
                <w:color w:val="auto"/>
                <w:szCs w:val="21"/>
                <w:highlight w:val="none"/>
              </w:rPr>
            </w:pPr>
            <w:r>
              <w:rPr>
                <w:rFonts w:hint="eastAsia" w:ascii="幼圆" w:eastAsia="幼圆"/>
                <w:b/>
                <w:color w:val="auto"/>
                <w:szCs w:val="21"/>
                <w:highlight w:val="none"/>
              </w:rPr>
              <w:t>（填是或者否）</w:t>
            </w:r>
          </w:p>
        </w:tc>
      </w:tr>
      <w:tr w14:paraId="71405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5" w:hRule="atLeast"/>
        </w:trPr>
        <w:tc>
          <w:tcPr>
            <w:tcW w:w="8251" w:type="dxa"/>
            <w:gridSpan w:val="3"/>
            <w:vAlign w:val="center"/>
          </w:tcPr>
          <w:p w14:paraId="32561B80">
            <w:pPr>
              <w:spacing w:line="360" w:lineRule="auto"/>
              <w:rPr>
                <w:rFonts w:ascii="宋体" w:hAnsi="宋体"/>
                <w:b/>
                <w:color w:val="auto"/>
                <w:szCs w:val="21"/>
                <w:highlight w:val="none"/>
              </w:rPr>
            </w:pPr>
            <w:r>
              <w:rPr>
                <w:rFonts w:hint="eastAsia" w:ascii="宋体" w:hAnsi="宋体"/>
                <w:b/>
                <w:color w:val="auto"/>
                <w:szCs w:val="21"/>
                <w:highlight w:val="none"/>
              </w:rPr>
              <w:t>通用资格条件</w:t>
            </w:r>
          </w:p>
        </w:tc>
      </w:tr>
      <w:tr w14:paraId="39DA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1" w:hRule="atLeast"/>
        </w:trPr>
        <w:tc>
          <w:tcPr>
            <w:tcW w:w="646" w:type="dxa"/>
            <w:vAlign w:val="center"/>
          </w:tcPr>
          <w:p w14:paraId="3A6CAEF0">
            <w:pPr>
              <w:spacing w:line="360" w:lineRule="auto"/>
              <w:jc w:val="center"/>
              <w:rPr>
                <w:rFonts w:ascii="宋体" w:hAnsi="宋体"/>
                <w:b/>
                <w:color w:val="auto"/>
                <w:szCs w:val="21"/>
                <w:highlight w:val="none"/>
              </w:rPr>
            </w:pPr>
            <w:r>
              <w:rPr>
                <w:rFonts w:hint="eastAsia" w:ascii="宋体" w:hAnsi="宋体"/>
                <w:color w:val="auto"/>
                <w:szCs w:val="21"/>
                <w:highlight w:val="none"/>
              </w:rPr>
              <w:t>1</w:t>
            </w:r>
          </w:p>
        </w:tc>
        <w:tc>
          <w:tcPr>
            <w:tcW w:w="5933" w:type="dxa"/>
            <w:vAlign w:val="center"/>
          </w:tcPr>
          <w:p w14:paraId="19E4BD31">
            <w:pPr>
              <w:spacing w:line="360" w:lineRule="auto"/>
              <w:rPr>
                <w:rFonts w:ascii="宋体" w:hAnsi="宋体"/>
                <w:iCs/>
                <w:color w:val="auto"/>
                <w:szCs w:val="21"/>
                <w:highlight w:val="none"/>
              </w:rPr>
            </w:pPr>
            <w:r>
              <w:rPr>
                <w:rFonts w:hint="eastAsia" w:ascii="宋体" w:hAnsi="宋体" w:cs="宋体"/>
                <w:color w:val="auto"/>
                <w:szCs w:val="21"/>
                <w:highlight w:val="none"/>
              </w:rPr>
              <w:t>法人或者其他组织的营业执照等证明文件，自然人的身份证明</w:t>
            </w:r>
            <w:r>
              <w:rPr>
                <w:rFonts w:hint="eastAsia" w:ascii="宋体" w:hAnsi="宋体"/>
                <w:color w:val="auto"/>
                <w:szCs w:val="21"/>
                <w:highlight w:val="none"/>
              </w:rPr>
              <w:t>（身份证为正、反面）</w:t>
            </w:r>
          </w:p>
        </w:tc>
        <w:tc>
          <w:tcPr>
            <w:tcW w:w="1672" w:type="dxa"/>
            <w:vAlign w:val="center"/>
          </w:tcPr>
          <w:p w14:paraId="3920479C">
            <w:pPr>
              <w:spacing w:line="360" w:lineRule="auto"/>
              <w:rPr>
                <w:rFonts w:ascii="宋体" w:hAnsi="宋体"/>
                <w:b/>
                <w:color w:val="auto"/>
                <w:szCs w:val="21"/>
                <w:highlight w:val="none"/>
              </w:rPr>
            </w:pPr>
          </w:p>
        </w:tc>
      </w:tr>
      <w:tr w14:paraId="045305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7" w:hRule="atLeast"/>
        </w:trPr>
        <w:tc>
          <w:tcPr>
            <w:tcW w:w="646" w:type="dxa"/>
            <w:vAlign w:val="center"/>
          </w:tcPr>
          <w:p w14:paraId="7FF948AB">
            <w:pPr>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5933" w:type="dxa"/>
            <w:vAlign w:val="center"/>
          </w:tcPr>
          <w:p w14:paraId="13016988">
            <w:pPr>
              <w:spacing w:line="360" w:lineRule="auto"/>
              <w:rPr>
                <w:rFonts w:ascii="宋体" w:hAnsi="宋体"/>
                <w:iCs/>
                <w:color w:val="auto"/>
                <w:szCs w:val="21"/>
                <w:highlight w:val="none"/>
              </w:rPr>
            </w:pPr>
            <w:r>
              <w:rPr>
                <w:rFonts w:hint="eastAsia" w:ascii="宋体" w:hAnsi="宋体" w:cs="宋体"/>
                <w:color w:val="auto"/>
                <w:szCs w:val="21"/>
                <w:highlight w:val="none"/>
              </w:rPr>
              <w:t>依法缴纳职工社会保障资金的证明材料</w:t>
            </w:r>
            <w:r>
              <w:rPr>
                <w:rFonts w:hint="eastAsia" w:ascii="宋体" w:hAnsi="宋体" w:cs="宋体"/>
                <w:b/>
                <w:bCs/>
                <w:color w:val="auto"/>
                <w:szCs w:val="21"/>
                <w:highlight w:val="none"/>
              </w:rPr>
              <w:t>（可提供“基本资格条件承诺函”）</w:t>
            </w:r>
          </w:p>
        </w:tc>
        <w:tc>
          <w:tcPr>
            <w:tcW w:w="1672" w:type="dxa"/>
            <w:vAlign w:val="center"/>
          </w:tcPr>
          <w:p w14:paraId="139D99EE">
            <w:pPr>
              <w:spacing w:line="360" w:lineRule="auto"/>
              <w:rPr>
                <w:rFonts w:ascii="宋体" w:hAnsi="宋体"/>
                <w:color w:val="auto"/>
                <w:szCs w:val="21"/>
                <w:highlight w:val="none"/>
              </w:rPr>
            </w:pPr>
          </w:p>
        </w:tc>
      </w:tr>
      <w:tr w14:paraId="65FE0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646" w:type="dxa"/>
            <w:vAlign w:val="center"/>
          </w:tcPr>
          <w:p w14:paraId="28B00E3D">
            <w:pPr>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5933" w:type="dxa"/>
            <w:vAlign w:val="center"/>
          </w:tcPr>
          <w:p w14:paraId="763F01E5">
            <w:pPr>
              <w:spacing w:line="360" w:lineRule="auto"/>
              <w:rPr>
                <w:rFonts w:ascii="宋体" w:hAnsi="宋体"/>
                <w:iCs/>
                <w:color w:val="auto"/>
                <w:szCs w:val="21"/>
                <w:highlight w:val="none"/>
              </w:rPr>
            </w:pPr>
            <w:r>
              <w:rPr>
                <w:rFonts w:hint="eastAsia" w:ascii="宋体" w:hAnsi="宋体" w:cs="宋体"/>
                <w:color w:val="auto"/>
                <w:szCs w:val="21"/>
                <w:highlight w:val="none"/>
              </w:rPr>
              <w:t>投标人依法纳税的缴款凭证</w:t>
            </w:r>
            <w:r>
              <w:rPr>
                <w:rFonts w:hint="eastAsia" w:ascii="宋体" w:hAnsi="宋体" w:cs="宋体"/>
                <w:b/>
                <w:bCs/>
                <w:color w:val="auto"/>
                <w:szCs w:val="21"/>
                <w:highlight w:val="none"/>
              </w:rPr>
              <w:t>（可提供“基本资格条件承诺函”）</w:t>
            </w:r>
          </w:p>
        </w:tc>
        <w:tc>
          <w:tcPr>
            <w:tcW w:w="1672" w:type="dxa"/>
            <w:vAlign w:val="center"/>
          </w:tcPr>
          <w:p w14:paraId="2BA6BA40">
            <w:pPr>
              <w:spacing w:line="360" w:lineRule="auto"/>
              <w:rPr>
                <w:rFonts w:ascii="宋体" w:hAnsi="宋体"/>
                <w:color w:val="auto"/>
                <w:szCs w:val="21"/>
                <w:highlight w:val="none"/>
              </w:rPr>
            </w:pPr>
          </w:p>
        </w:tc>
      </w:tr>
      <w:tr w14:paraId="0B07D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646" w:type="dxa"/>
            <w:vAlign w:val="center"/>
          </w:tcPr>
          <w:p w14:paraId="6368EF36">
            <w:pPr>
              <w:spacing w:line="360" w:lineRule="auto"/>
              <w:jc w:val="center"/>
              <w:rPr>
                <w:rFonts w:ascii="宋体" w:hAnsi="宋体"/>
                <w:color w:val="auto"/>
                <w:szCs w:val="21"/>
                <w:highlight w:val="none"/>
              </w:rPr>
            </w:pPr>
            <w:r>
              <w:rPr>
                <w:rFonts w:hint="eastAsia" w:ascii="宋体" w:hAnsi="宋体"/>
                <w:color w:val="auto"/>
                <w:szCs w:val="21"/>
                <w:highlight w:val="none"/>
              </w:rPr>
              <w:t>4</w:t>
            </w:r>
          </w:p>
        </w:tc>
        <w:tc>
          <w:tcPr>
            <w:tcW w:w="5933" w:type="dxa"/>
            <w:vAlign w:val="center"/>
          </w:tcPr>
          <w:p w14:paraId="5FAE6A9F">
            <w:pPr>
              <w:spacing w:line="360" w:lineRule="auto"/>
              <w:rPr>
                <w:rFonts w:ascii="宋体" w:hAnsi="宋体"/>
                <w:iCs/>
                <w:color w:val="auto"/>
                <w:szCs w:val="21"/>
                <w:highlight w:val="none"/>
              </w:rPr>
            </w:pPr>
            <w:r>
              <w:rPr>
                <w:rFonts w:hint="eastAsia" w:ascii="宋体" w:hAnsi="宋体" w:cs="宋体"/>
                <w:color w:val="auto"/>
                <w:szCs w:val="21"/>
                <w:highlight w:val="none"/>
              </w:rPr>
              <w:t>具有良好的商业信誉和健全的财务会计制度</w:t>
            </w:r>
            <w:r>
              <w:rPr>
                <w:rFonts w:hint="eastAsia" w:ascii="宋体" w:hAnsi="宋体" w:cs="宋体"/>
                <w:b/>
                <w:bCs/>
                <w:color w:val="auto"/>
                <w:szCs w:val="21"/>
                <w:highlight w:val="none"/>
              </w:rPr>
              <w:t>（可提供“基本资格条件承诺函”）</w:t>
            </w:r>
          </w:p>
        </w:tc>
        <w:tc>
          <w:tcPr>
            <w:tcW w:w="1672" w:type="dxa"/>
            <w:vAlign w:val="center"/>
          </w:tcPr>
          <w:p w14:paraId="7B42ADA6">
            <w:pPr>
              <w:spacing w:line="360" w:lineRule="auto"/>
              <w:rPr>
                <w:rFonts w:ascii="宋体" w:hAnsi="宋体"/>
                <w:color w:val="auto"/>
                <w:szCs w:val="21"/>
                <w:highlight w:val="none"/>
              </w:rPr>
            </w:pPr>
          </w:p>
        </w:tc>
      </w:tr>
      <w:tr w14:paraId="008B5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646" w:type="dxa"/>
            <w:vAlign w:val="center"/>
          </w:tcPr>
          <w:p w14:paraId="2C0C4411">
            <w:pPr>
              <w:spacing w:line="360" w:lineRule="auto"/>
              <w:jc w:val="center"/>
              <w:rPr>
                <w:rFonts w:ascii="宋体" w:hAnsi="宋体"/>
                <w:color w:val="auto"/>
                <w:szCs w:val="21"/>
                <w:highlight w:val="none"/>
              </w:rPr>
            </w:pPr>
            <w:r>
              <w:rPr>
                <w:rFonts w:hint="eastAsia" w:ascii="宋体" w:hAnsi="宋体"/>
                <w:color w:val="auto"/>
                <w:szCs w:val="21"/>
                <w:highlight w:val="none"/>
              </w:rPr>
              <w:t>5</w:t>
            </w:r>
          </w:p>
        </w:tc>
        <w:tc>
          <w:tcPr>
            <w:tcW w:w="5933" w:type="dxa"/>
            <w:vAlign w:val="center"/>
          </w:tcPr>
          <w:p w14:paraId="566E8014">
            <w:pPr>
              <w:spacing w:line="360" w:lineRule="auto"/>
              <w:rPr>
                <w:rFonts w:ascii="宋体" w:hAnsi="宋体"/>
                <w:iCs/>
                <w:color w:val="auto"/>
                <w:szCs w:val="21"/>
                <w:highlight w:val="none"/>
              </w:rPr>
            </w:pPr>
            <w:r>
              <w:rPr>
                <w:rFonts w:hint="eastAsia" w:ascii="宋体" w:hAnsi="宋体" w:cs="宋体"/>
                <w:color w:val="auto"/>
                <w:szCs w:val="21"/>
                <w:highlight w:val="none"/>
              </w:rPr>
              <w:t>具备履行合同所必需的设备和专业技术能力的证明材料</w:t>
            </w:r>
            <w:r>
              <w:rPr>
                <w:rFonts w:hint="eastAsia" w:ascii="宋体" w:hAnsi="宋体" w:cs="宋体"/>
                <w:b/>
                <w:bCs/>
                <w:color w:val="auto"/>
                <w:szCs w:val="21"/>
                <w:highlight w:val="none"/>
              </w:rPr>
              <w:t>（可提供“基本资格条件承诺函”）</w:t>
            </w:r>
          </w:p>
        </w:tc>
        <w:tc>
          <w:tcPr>
            <w:tcW w:w="1672" w:type="dxa"/>
            <w:vAlign w:val="center"/>
          </w:tcPr>
          <w:p w14:paraId="53DA4E08">
            <w:pPr>
              <w:spacing w:line="360" w:lineRule="auto"/>
              <w:rPr>
                <w:rFonts w:ascii="宋体" w:hAnsi="宋体"/>
                <w:color w:val="auto"/>
                <w:szCs w:val="21"/>
                <w:highlight w:val="none"/>
              </w:rPr>
            </w:pPr>
          </w:p>
        </w:tc>
      </w:tr>
      <w:tr w14:paraId="26789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646" w:type="dxa"/>
            <w:vAlign w:val="center"/>
          </w:tcPr>
          <w:p w14:paraId="3C9DC46A">
            <w:pPr>
              <w:spacing w:line="360" w:lineRule="auto"/>
              <w:jc w:val="center"/>
              <w:rPr>
                <w:rFonts w:ascii="宋体" w:hAnsi="宋体"/>
                <w:color w:val="auto"/>
                <w:szCs w:val="21"/>
                <w:highlight w:val="none"/>
              </w:rPr>
            </w:pPr>
            <w:r>
              <w:rPr>
                <w:rFonts w:hint="eastAsia" w:ascii="宋体" w:hAnsi="宋体"/>
                <w:color w:val="auto"/>
                <w:szCs w:val="21"/>
                <w:highlight w:val="none"/>
              </w:rPr>
              <w:t>6</w:t>
            </w:r>
          </w:p>
        </w:tc>
        <w:tc>
          <w:tcPr>
            <w:tcW w:w="5933" w:type="dxa"/>
            <w:vAlign w:val="center"/>
          </w:tcPr>
          <w:p w14:paraId="4959F13C">
            <w:pPr>
              <w:spacing w:line="360" w:lineRule="auto"/>
              <w:rPr>
                <w:rFonts w:ascii="宋体" w:hAnsi="宋体"/>
                <w:iCs/>
                <w:color w:val="auto"/>
                <w:szCs w:val="21"/>
                <w:highlight w:val="none"/>
              </w:rPr>
            </w:pPr>
            <w:r>
              <w:rPr>
                <w:rFonts w:hint="eastAsia" w:ascii="宋体" w:hAnsi="宋体" w:cs="宋体"/>
                <w:color w:val="auto"/>
                <w:szCs w:val="21"/>
                <w:highlight w:val="none"/>
              </w:rPr>
              <w:t>参加本次政府采购活动前3年内在经营活动中没有重大违法记录的书面声明</w:t>
            </w:r>
            <w:r>
              <w:rPr>
                <w:rFonts w:hint="eastAsia" w:ascii="宋体" w:hAnsi="宋体" w:cs="宋体"/>
                <w:b/>
                <w:bCs/>
                <w:color w:val="auto"/>
                <w:szCs w:val="21"/>
                <w:highlight w:val="none"/>
              </w:rPr>
              <w:t>（可提供“基本资格条件承诺函”）</w:t>
            </w:r>
          </w:p>
        </w:tc>
        <w:tc>
          <w:tcPr>
            <w:tcW w:w="1672" w:type="dxa"/>
            <w:vAlign w:val="center"/>
          </w:tcPr>
          <w:p w14:paraId="074C914D">
            <w:pPr>
              <w:spacing w:line="360" w:lineRule="auto"/>
              <w:rPr>
                <w:rFonts w:ascii="宋体" w:hAnsi="宋体"/>
                <w:color w:val="auto"/>
                <w:szCs w:val="21"/>
                <w:highlight w:val="none"/>
              </w:rPr>
            </w:pPr>
          </w:p>
        </w:tc>
      </w:tr>
      <w:tr w14:paraId="092F14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646" w:type="dxa"/>
            <w:vAlign w:val="center"/>
          </w:tcPr>
          <w:p w14:paraId="31346AD1">
            <w:pPr>
              <w:spacing w:line="360" w:lineRule="auto"/>
              <w:jc w:val="center"/>
              <w:rPr>
                <w:rFonts w:ascii="宋体" w:hAnsi="宋体"/>
                <w:color w:val="auto"/>
                <w:szCs w:val="21"/>
                <w:highlight w:val="none"/>
              </w:rPr>
            </w:pPr>
            <w:r>
              <w:rPr>
                <w:rFonts w:hint="eastAsia" w:ascii="宋体" w:hAnsi="宋体"/>
                <w:color w:val="auto"/>
                <w:szCs w:val="21"/>
                <w:highlight w:val="none"/>
              </w:rPr>
              <w:t>7</w:t>
            </w:r>
          </w:p>
        </w:tc>
        <w:tc>
          <w:tcPr>
            <w:tcW w:w="5933" w:type="dxa"/>
            <w:vAlign w:val="center"/>
          </w:tcPr>
          <w:p w14:paraId="7D307232">
            <w:pPr>
              <w:spacing w:line="360" w:lineRule="auto"/>
              <w:rPr>
                <w:rFonts w:ascii="宋体" w:hAnsi="宋体" w:cs="宋体"/>
                <w:color w:val="auto"/>
                <w:szCs w:val="21"/>
                <w:highlight w:val="none"/>
              </w:rPr>
            </w:pPr>
            <w:r>
              <w:rPr>
                <w:rFonts w:hint="eastAsia" w:ascii="宋体" w:hAnsi="宋体" w:cs="宋体"/>
                <w:color w:val="auto"/>
                <w:szCs w:val="21"/>
                <w:highlight w:val="none"/>
              </w:rPr>
              <w:t>未被“信用中国”网站（www.creditchina.gov.cn）、“中国政府采购网"(www.ccgp.gov.cn)列入失信被执行人、重大税收违法失信主体、政府采购严重违法失信行为记录名单</w:t>
            </w:r>
            <w:r>
              <w:rPr>
                <w:rFonts w:hint="eastAsia" w:ascii="宋体" w:hAnsi="宋体" w:cs="宋体"/>
                <w:b/>
                <w:bCs/>
                <w:color w:val="auto"/>
                <w:szCs w:val="21"/>
                <w:highlight w:val="none"/>
              </w:rPr>
              <w:t>（可提供“基本资格条件承诺函”）</w:t>
            </w:r>
          </w:p>
        </w:tc>
        <w:tc>
          <w:tcPr>
            <w:tcW w:w="1672" w:type="dxa"/>
            <w:vAlign w:val="center"/>
          </w:tcPr>
          <w:p w14:paraId="00988B21">
            <w:pPr>
              <w:spacing w:line="360" w:lineRule="auto"/>
              <w:rPr>
                <w:rFonts w:ascii="宋体" w:hAnsi="宋体"/>
                <w:color w:val="auto"/>
                <w:szCs w:val="21"/>
                <w:highlight w:val="none"/>
              </w:rPr>
            </w:pPr>
          </w:p>
        </w:tc>
      </w:tr>
      <w:tr w14:paraId="0C03DB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0" w:hRule="atLeast"/>
        </w:trPr>
        <w:tc>
          <w:tcPr>
            <w:tcW w:w="646" w:type="dxa"/>
            <w:vAlign w:val="center"/>
          </w:tcPr>
          <w:p w14:paraId="0984771D">
            <w:pPr>
              <w:spacing w:line="360" w:lineRule="auto"/>
              <w:jc w:val="center"/>
              <w:rPr>
                <w:rFonts w:ascii="宋体" w:hAnsi="宋体"/>
                <w:color w:val="auto"/>
                <w:szCs w:val="21"/>
                <w:highlight w:val="none"/>
              </w:rPr>
            </w:pPr>
            <w:r>
              <w:rPr>
                <w:rFonts w:hint="eastAsia" w:ascii="宋体" w:hAnsi="宋体"/>
                <w:color w:val="auto"/>
                <w:szCs w:val="21"/>
                <w:highlight w:val="none"/>
              </w:rPr>
              <w:t>8</w:t>
            </w:r>
          </w:p>
        </w:tc>
        <w:tc>
          <w:tcPr>
            <w:tcW w:w="5933" w:type="dxa"/>
            <w:vAlign w:val="center"/>
          </w:tcPr>
          <w:p w14:paraId="43DD7AAE">
            <w:pPr>
              <w:spacing w:line="360" w:lineRule="auto"/>
              <w:rPr>
                <w:rFonts w:ascii="宋体" w:hAnsi="宋体" w:cs="宋体"/>
                <w:color w:val="auto"/>
                <w:szCs w:val="21"/>
                <w:highlight w:val="none"/>
              </w:rPr>
            </w:pPr>
            <w:r>
              <w:rPr>
                <w:rFonts w:hint="eastAsia" w:ascii="宋体" w:hAnsi="宋体" w:cs="宋体"/>
                <w:color w:val="auto"/>
                <w:szCs w:val="21"/>
                <w:highlight w:val="none"/>
              </w:rPr>
              <w:t>供应商信用承诺函</w:t>
            </w:r>
          </w:p>
        </w:tc>
        <w:tc>
          <w:tcPr>
            <w:tcW w:w="1672" w:type="dxa"/>
            <w:vAlign w:val="center"/>
          </w:tcPr>
          <w:p w14:paraId="4B9189F5">
            <w:pPr>
              <w:spacing w:line="360" w:lineRule="auto"/>
              <w:rPr>
                <w:rFonts w:ascii="宋体" w:hAnsi="宋体"/>
                <w:color w:val="auto"/>
                <w:szCs w:val="21"/>
                <w:highlight w:val="none"/>
              </w:rPr>
            </w:pPr>
          </w:p>
        </w:tc>
      </w:tr>
      <w:tr w14:paraId="588A5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8251" w:type="dxa"/>
            <w:gridSpan w:val="3"/>
            <w:vAlign w:val="center"/>
          </w:tcPr>
          <w:p w14:paraId="2013D374">
            <w:pPr>
              <w:spacing w:line="360" w:lineRule="auto"/>
              <w:rPr>
                <w:rFonts w:ascii="宋体" w:hAnsi="宋体"/>
                <w:color w:val="auto"/>
                <w:szCs w:val="21"/>
                <w:highlight w:val="none"/>
              </w:rPr>
            </w:pPr>
            <w:r>
              <w:rPr>
                <w:rFonts w:hint="eastAsia" w:ascii="宋体" w:hAnsi="宋体" w:cs="宋体"/>
                <w:b/>
                <w:bCs/>
                <w:color w:val="auto"/>
                <w:szCs w:val="21"/>
                <w:highlight w:val="none"/>
              </w:rPr>
              <w:t>落实政府采购政策需满足的资格要求</w:t>
            </w:r>
          </w:p>
        </w:tc>
      </w:tr>
      <w:tr w14:paraId="141DD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646" w:type="dxa"/>
            <w:vAlign w:val="center"/>
          </w:tcPr>
          <w:p w14:paraId="08757309">
            <w:pPr>
              <w:spacing w:line="360" w:lineRule="auto"/>
              <w:jc w:val="center"/>
              <w:rPr>
                <w:rFonts w:ascii="宋体" w:hAnsi="宋体"/>
                <w:color w:val="auto"/>
                <w:szCs w:val="21"/>
                <w:highlight w:val="none"/>
              </w:rPr>
            </w:pPr>
            <w:r>
              <w:rPr>
                <w:rFonts w:hint="eastAsia" w:ascii="宋体" w:hAnsi="宋体"/>
                <w:color w:val="auto"/>
                <w:szCs w:val="21"/>
                <w:highlight w:val="none"/>
              </w:rPr>
              <w:t>9</w:t>
            </w:r>
          </w:p>
        </w:tc>
        <w:tc>
          <w:tcPr>
            <w:tcW w:w="5933" w:type="dxa"/>
            <w:vAlign w:val="center"/>
          </w:tcPr>
          <w:p w14:paraId="431F2E74">
            <w:pPr>
              <w:spacing w:line="360" w:lineRule="auto"/>
              <w:rPr>
                <w:rFonts w:ascii="宋体" w:hAnsi="宋体" w:cs="宋体"/>
                <w:color w:val="auto"/>
                <w:szCs w:val="21"/>
                <w:highlight w:val="none"/>
              </w:rPr>
            </w:pPr>
            <w:r>
              <w:rPr>
                <w:rFonts w:hint="eastAsia" w:ascii="宋体" w:hAnsi="宋体" w:cs="宋体"/>
                <w:color w:val="auto"/>
                <w:szCs w:val="21"/>
                <w:highlight w:val="none"/>
              </w:rPr>
              <w:t>根据《政府采购促进中小企业发展管理办法》的规定，本项目专门面向中小企业采购，投标人投标时须提供《中小企业声明函》，《中小企业声明函》不符合要求或未提供的，投标文件无效。</w:t>
            </w:r>
          </w:p>
        </w:tc>
        <w:tc>
          <w:tcPr>
            <w:tcW w:w="1672" w:type="dxa"/>
            <w:vAlign w:val="center"/>
          </w:tcPr>
          <w:p w14:paraId="553CB5B0">
            <w:pPr>
              <w:spacing w:line="360" w:lineRule="auto"/>
              <w:rPr>
                <w:rFonts w:ascii="宋体" w:hAnsi="宋体"/>
                <w:color w:val="auto"/>
                <w:szCs w:val="21"/>
                <w:highlight w:val="none"/>
              </w:rPr>
            </w:pPr>
          </w:p>
        </w:tc>
      </w:tr>
      <w:tr w14:paraId="11197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8251" w:type="dxa"/>
            <w:gridSpan w:val="3"/>
            <w:vAlign w:val="center"/>
          </w:tcPr>
          <w:p w14:paraId="10B34539">
            <w:pPr>
              <w:spacing w:line="360" w:lineRule="auto"/>
              <w:rPr>
                <w:rFonts w:ascii="宋体" w:hAnsi="宋体" w:cs="宋体"/>
                <w:color w:val="auto"/>
                <w:szCs w:val="21"/>
                <w:highlight w:val="none"/>
              </w:rPr>
            </w:pPr>
            <w:r>
              <w:rPr>
                <w:rFonts w:hint="eastAsia" w:ascii="宋体" w:hAnsi="宋体" w:cs="宋体"/>
                <w:b/>
                <w:bCs/>
                <w:color w:val="auto"/>
                <w:szCs w:val="21"/>
                <w:highlight w:val="none"/>
              </w:rPr>
              <w:t>特定资格条件</w:t>
            </w:r>
          </w:p>
        </w:tc>
      </w:tr>
      <w:tr w14:paraId="5C3B9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trPr>
        <w:tc>
          <w:tcPr>
            <w:tcW w:w="646" w:type="dxa"/>
            <w:vAlign w:val="center"/>
          </w:tcPr>
          <w:p w14:paraId="6377A8F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10</w:t>
            </w:r>
          </w:p>
        </w:tc>
        <w:tc>
          <w:tcPr>
            <w:tcW w:w="5933" w:type="dxa"/>
            <w:vAlign w:val="center"/>
          </w:tcPr>
          <w:p w14:paraId="54023A1C">
            <w:pPr>
              <w:spacing w:line="360" w:lineRule="auto"/>
              <w:rPr>
                <w:rFonts w:ascii="宋体" w:hAnsi="宋体" w:cs="宋体"/>
                <w:color w:val="auto"/>
                <w:szCs w:val="21"/>
                <w:highlight w:val="none"/>
              </w:rPr>
            </w:pPr>
            <w:r>
              <w:rPr>
                <w:rFonts w:hint="eastAsia" w:ascii="宋体" w:hAnsi="宋体" w:cs="宋体"/>
                <w:color w:val="auto"/>
                <w:szCs w:val="21"/>
                <w:highlight w:val="none"/>
              </w:rPr>
              <w:t>无</w:t>
            </w:r>
          </w:p>
        </w:tc>
        <w:tc>
          <w:tcPr>
            <w:tcW w:w="1672" w:type="dxa"/>
            <w:vAlign w:val="center"/>
          </w:tcPr>
          <w:p w14:paraId="76D28D90">
            <w:pPr>
              <w:spacing w:line="360" w:lineRule="auto"/>
              <w:rPr>
                <w:rFonts w:ascii="宋体" w:hAnsi="宋体" w:cs="宋体"/>
                <w:color w:val="auto"/>
                <w:szCs w:val="21"/>
                <w:highlight w:val="none"/>
              </w:rPr>
            </w:pPr>
          </w:p>
        </w:tc>
      </w:tr>
      <w:tr w14:paraId="2DC8BE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8251" w:type="dxa"/>
            <w:gridSpan w:val="3"/>
            <w:vAlign w:val="center"/>
          </w:tcPr>
          <w:p w14:paraId="3E97A4D8">
            <w:pPr>
              <w:spacing w:line="360" w:lineRule="auto"/>
              <w:rPr>
                <w:rFonts w:ascii="宋体" w:hAnsi="宋体"/>
                <w:color w:val="auto"/>
                <w:szCs w:val="21"/>
                <w:highlight w:val="none"/>
              </w:rPr>
            </w:pPr>
            <w:r>
              <w:rPr>
                <w:rFonts w:hint="eastAsia" w:ascii="宋体" w:hAnsi="宋体"/>
                <w:b/>
                <w:color w:val="auto"/>
                <w:szCs w:val="21"/>
                <w:highlight w:val="none"/>
              </w:rPr>
              <w:t>其他资格条件</w:t>
            </w:r>
          </w:p>
        </w:tc>
      </w:tr>
      <w:tr w14:paraId="03C42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646" w:type="dxa"/>
            <w:vAlign w:val="center"/>
          </w:tcPr>
          <w:p w14:paraId="610810DA">
            <w:pPr>
              <w:spacing w:line="360" w:lineRule="auto"/>
              <w:jc w:val="center"/>
              <w:rPr>
                <w:rFonts w:ascii="宋体" w:hAnsi="宋体"/>
                <w:color w:val="auto"/>
                <w:szCs w:val="21"/>
                <w:highlight w:val="none"/>
              </w:rPr>
            </w:pPr>
            <w:r>
              <w:rPr>
                <w:rFonts w:hint="eastAsia" w:ascii="宋体" w:hAnsi="宋体"/>
                <w:color w:val="auto"/>
                <w:szCs w:val="21"/>
                <w:highlight w:val="none"/>
              </w:rPr>
              <w:t>11</w:t>
            </w:r>
          </w:p>
        </w:tc>
        <w:tc>
          <w:tcPr>
            <w:tcW w:w="5933" w:type="dxa"/>
            <w:vAlign w:val="center"/>
          </w:tcPr>
          <w:p w14:paraId="49F9D196">
            <w:pPr>
              <w:spacing w:line="360" w:lineRule="auto"/>
              <w:jc w:val="left"/>
              <w:rPr>
                <w:rFonts w:ascii="宋体" w:hAnsi="宋体"/>
                <w:iCs/>
                <w:color w:val="auto"/>
                <w:szCs w:val="21"/>
                <w:highlight w:val="none"/>
              </w:rPr>
            </w:pPr>
            <w:r>
              <w:rPr>
                <w:rFonts w:hint="eastAsia" w:ascii="宋体" w:hAnsi="宋体"/>
                <w:iCs/>
                <w:color w:val="auto"/>
                <w:szCs w:val="21"/>
                <w:highlight w:val="none"/>
              </w:rPr>
              <w:t>投标函</w:t>
            </w:r>
          </w:p>
        </w:tc>
        <w:tc>
          <w:tcPr>
            <w:tcW w:w="1672" w:type="dxa"/>
            <w:vAlign w:val="center"/>
          </w:tcPr>
          <w:p w14:paraId="4227A103">
            <w:pPr>
              <w:spacing w:line="360" w:lineRule="auto"/>
              <w:rPr>
                <w:rFonts w:ascii="宋体" w:hAnsi="宋体"/>
                <w:color w:val="auto"/>
                <w:szCs w:val="21"/>
                <w:highlight w:val="none"/>
              </w:rPr>
            </w:pPr>
          </w:p>
        </w:tc>
      </w:tr>
      <w:tr w14:paraId="511E6E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646" w:type="dxa"/>
            <w:vAlign w:val="center"/>
          </w:tcPr>
          <w:p w14:paraId="1D46B912">
            <w:pPr>
              <w:spacing w:line="360" w:lineRule="auto"/>
              <w:jc w:val="center"/>
              <w:rPr>
                <w:rFonts w:ascii="宋体" w:hAnsi="宋体"/>
                <w:color w:val="auto"/>
                <w:szCs w:val="21"/>
                <w:highlight w:val="none"/>
              </w:rPr>
            </w:pPr>
            <w:r>
              <w:rPr>
                <w:rFonts w:hint="eastAsia" w:ascii="宋体" w:hAnsi="宋体"/>
                <w:color w:val="auto"/>
                <w:szCs w:val="21"/>
                <w:highlight w:val="none"/>
              </w:rPr>
              <w:t>12</w:t>
            </w:r>
          </w:p>
        </w:tc>
        <w:tc>
          <w:tcPr>
            <w:tcW w:w="5933" w:type="dxa"/>
            <w:vAlign w:val="center"/>
          </w:tcPr>
          <w:p w14:paraId="0F3E457D">
            <w:pPr>
              <w:spacing w:line="360" w:lineRule="auto"/>
              <w:jc w:val="left"/>
              <w:rPr>
                <w:rFonts w:ascii="宋体" w:hAnsi="宋体"/>
                <w:iCs/>
                <w:color w:val="auto"/>
                <w:szCs w:val="21"/>
                <w:highlight w:val="none"/>
              </w:rPr>
            </w:pPr>
            <w:r>
              <w:rPr>
                <w:rFonts w:hint="eastAsia" w:ascii="宋体" w:hAnsi="宋体"/>
                <w:iCs/>
                <w:color w:val="auto"/>
                <w:szCs w:val="21"/>
                <w:highlight w:val="none"/>
              </w:rPr>
              <w:t>法人授权书</w:t>
            </w:r>
          </w:p>
        </w:tc>
        <w:tc>
          <w:tcPr>
            <w:tcW w:w="1672" w:type="dxa"/>
            <w:vAlign w:val="center"/>
          </w:tcPr>
          <w:p w14:paraId="5861A78D">
            <w:pPr>
              <w:spacing w:line="360" w:lineRule="auto"/>
              <w:rPr>
                <w:rFonts w:ascii="宋体" w:hAnsi="宋体"/>
                <w:color w:val="auto"/>
                <w:szCs w:val="21"/>
                <w:highlight w:val="none"/>
              </w:rPr>
            </w:pPr>
          </w:p>
        </w:tc>
      </w:tr>
    </w:tbl>
    <w:p w14:paraId="21527A28">
      <w:pPr>
        <w:spacing w:line="500" w:lineRule="exact"/>
        <w:jc w:val="center"/>
        <w:rPr>
          <w:rFonts w:ascii="宋体" w:hAnsi="宋体"/>
          <w:b/>
          <w:color w:val="auto"/>
          <w:szCs w:val="21"/>
          <w:highlight w:val="none"/>
        </w:rPr>
      </w:pPr>
    </w:p>
    <w:p w14:paraId="17A7F9A8">
      <w:pPr>
        <w:spacing w:line="500" w:lineRule="exact"/>
        <w:rPr>
          <w:rFonts w:ascii="宋体" w:hAnsi="宋体"/>
          <w:b/>
          <w:color w:val="auto"/>
          <w:szCs w:val="21"/>
          <w:highlight w:val="none"/>
        </w:rPr>
      </w:pPr>
    </w:p>
    <w:p w14:paraId="2EB4A96E">
      <w:pPr>
        <w:spacing w:line="500" w:lineRule="exact"/>
        <w:jc w:val="center"/>
        <w:rPr>
          <w:rFonts w:ascii="宋体" w:hAnsi="宋体"/>
          <w:b/>
          <w:color w:val="auto"/>
          <w:szCs w:val="21"/>
          <w:highlight w:val="none"/>
        </w:rPr>
      </w:pPr>
      <w:r>
        <w:rPr>
          <w:rFonts w:ascii="宋体" w:hAnsi="宋体"/>
          <w:b/>
          <w:color w:val="auto"/>
          <w:szCs w:val="21"/>
          <w:highlight w:val="none"/>
        </w:rPr>
        <w:t>基本资格条件承诺函</w:t>
      </w:r>
    </w:p>
    <w:p w14:paraId="2ACAE148">
      <w:pPr>
        <w:tabs>
          <w:tab w:val="left" w:pos="6300"/>
        </w:tabs>
        <w:snapToGrid w:val="0"/>
        <w:spacing w:line="530" w:lineRule="exact"/>
        <w:rPr>
          <w:color w:val="auto"/>
          <w:sz w:val="24"/>
          <w:highlight w:val="none"/>
        </w:rPr>
      </w:pPr>
    </w:p>
    <w:p w14:paraId="569A0405">
      <w:pPr>
        <w:spacing w:line="560" w:lineRule="exact"/>
        <w:ind w:firstLine="420" w:firstLineChars="200"/>
        <w:rPr>
          <w:rFonts w:ascii="宋体" w:hAnsi="宋体"/>
          <w:color w:val="auto"/>
          <w:szCs w:val="21"/>
          <w:highlight w:val="none"/>
        </w:rPr>
      </w:pPr>
      <w:r>
        <w:rPr>
          <w:rFonts w:ascii="宋体" w:hAnsi="宋体"/>
          <w:color w:val="auto"/>
          <w:szCs w:val="21"/>
          <w:highlight w:val="none"/>
        </w:rPr>
        <w:t>致                   （采购代理机构名称）：</w:t>
      </w:r>
    </w:p>
    <w:p w14:paraId="503C3C12">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我公司自愿参加</w:t>
      </w:r>
      <w:r>
        <w:rPr>
          <w:rFonts w:ascii="宋体" w:hAnsi="宋体"/>
          <w:color w:val="auto"/>
          <w:szCs w:val="21"/>
          <w:highlight w:val="none"/>
        </w:rPr>
        <w:t xml:space="preserve">                   （</w:t>
      </w:r>
      <w:r>
        <w:rPr>
          <w:rFonts w:hint="eastAsia" w:ascii="宋体" w:hAnsi="宋体"/>
          <w:color w:val="auto"/>
          <w:szCs w:val="21"/>
          <w:highlight w:val="none"/>
        </w:rPr>
        <w:t>项目</w:t>
      </w:r>
      <w:r>
        <w:rPr>
          <w:rFonts w:ascii="宋体" w:hAnsi="宋体"/>
          <w:color w:val="auto"/>
          <w:szCs w:val="21"/>
          <w:highlight w:val="none"/>
        </w:rPr>
        <w:t>名称）</w:t>
      </w:r>
      <w:r>
        <w:rPr>
          <w:rFonts w:hint="eastAsia" w:ascii="宋体" w:hAnsi="宋体"/>
          <w:color w:val="auto"/>
          <w:szCs w:val="21"/>
          <w:highlight w:val="none"/>
        </w:rPr>
        <w:t>政府采购活动，并</w:t>
      </w:r>
      <w:r>
        <w:rPr>
          <w:rFonts w:ascii="宋体" w:hAnsi="宋体"/>
          <w:color w:val="auto"/>
          <w:szCs w:val="21"/>
          <w:highlight w:val="none"/>
        </w:rPr>
        <w:t>郑重承诺：</w:t>
      </w:r>
    </w:p>
    <w:p w14:paraId="14B70A03">
      <w:pPr>
        <w:spacing w:line="560" w:lineRule="exact"/>
        <w:ind w:firstLine="420" w:firstLineChars="200"/>
        <w:rPr>
          <w:rFonts w:ascii="宋体" w:hAnsi="宋体"/>
          <w:color w:val="auto"/>
          <w:szCs w:val="21"/>
          <w:highlight w:val="none"/>
        </w:rPr>
      </w:pPr>
      <w:r>
        <w:rPr>
          <w:rFonts w:ascii="宋体" w:hAnsi="宋体"/>
          <w:color w:val="auto"/>
          <w:szCs w:val="21"/>
          <w:highlight w:val="none"/>
        </w:rPr>
        <w:t>1.我方具有良好的商业信誉和健全的财务会计制度，具有履行合同所必需的设备和专业技术能力，具</w:t>
      </w:r>
      <w:r>
        <w:rPr>
          <w:rFonts w:ascii="宋体" w:hAnsi="宋体"/>
          <w:color w:val="auto"/>
          <w:szCs w:val="21"/>
          <w:highlight w:val="none"/>
          <w:lang w:val="zh-CN"/>
        </w:rPr>
        <w:t>有依法缴纳税收和社会保障金的良好记录</w:t>
      </w:r>
      <w:r>
        <w:rPr>
          <w:rFonts w:ascii="宋体" w:hAnsi="宋体"/>
          <w:color w:val="auto"/>
          <w:szCs w:val="21"/>
          <w:highlight w:val="none"/>
        </w:rPr>
        <w:t>，参加本项目采购活动前三年内无重大违法活动记录。</w:t>
      </w:r>
    </w:p>
    <w:p w14:paraId="65250222">
      <w:pPr>
        <w:spacing w:line="560" w:lineRule="exact"/>
        <w:ind w:firstLine="420" w:firstLineChars="200"/>
        <w:rPr>
          <w:rFonts w:ascii="宋体" w:hAnsi="宋体"/>
          <w:color w:val="auto"/>
          <w:szCs w:val="21"/>
          <w:highlight w:val="none"/>
        </w:rPr>
      </w:pPr>
      <w:r>
        <w:rPr>
          <w:rFonts w:ascii="宋体" w:hAnsi="宋体"/>
          <w:color w:val="auto"/>
          <w:szCs w:val="21"/>
          <w:highlight w:val="none"/>
        </w:rPr>
        <w:t>2.我方未列入在信用中国网站（www.creditchina.gov.cn）“失信被执行人”、“</w:t>
      </w:r>
      <w:r>
        <w:rPr>
          <w:rFonts w:hint="eastAsia" w:ascii="宋体" w:hAnsi="宋体"/>
          <w:color w:val="auto"/>
          <w:szCs w:val="21"/>
          <w:highlight w:val="none"/>
        </w:rPr>
        <w:t>重大税收违法失信主体</w:t>
      </w:r>
      <w:r>
        <w:rPr>
          <w:rFonts w:ascii="宋体" w:hAnsi="宋体"/>
          <w:color w:val="auto"/>
          <w:szCs w:val="21"/>
          <w:highlight w:val="none"/>
        </w:rPr>
        <w:t>”中，也未列入中国政府采购网（www.ccgp.gov.cn）“政府采购严重违法失信行为记录名单”中。</w:t>
      </w:r>
    </w:p>
    <w:p w14:paraId="70DCEE7D">
      <w:pPr>
        <w:spacing w:line="560" w:lineRule="exact"/>
        <w:ind w:firstLine="420" w:firstLineChars="200"/>
        <w:rPr>
          <w:rFonts w:ascii="宋体" w:hAnsi="宋体"/>
          <w:color w:val="auto"/>
          <w:szCs w:val="21"/>
          <w:highlight w:val="none"/>
        </w:rPr>
      </w:pPr>
      <w:r>
        <w:rPr>
          <w:rFonts w:ascii="宋体" w:hAnsi="宋体"/>
          <w:color w:val="auto"/>
          <w:szCs w:val="21"/>
          <w:highlight w:val="none"/>
        </w:rPr>
        <w:t>3.我方在采购项目评审（评标）环节结束后，随时接受采购人、采购代理机构的检查验证，配合提供相关证明材料，证明符合《中华人民共和国政府采购法》规定的投标人基本资格条件。</w:t>
      </w:r>
    </w:p>
    <w:p w14:paraId="5F3CBA32">
      <w:pPr>
        <w:spacing w:line="560" w:lineRule="exact"/>
        <w:ind w:firstLine="420" w:firstLineChars="200"/>
        <w:rPr>
          <w:rFonts w:ascii="宋体" w:hAnsi="宋体"/>
          <w:color w:val="auto"/>
          <w:szCs w:val="21"/>
          <w:highlight w:val="none"/>
        </w:rPr>
      </w:pPr>
      <w:r>
        <w:rPr>
          <w:rFonts w:ascii="宋体" w:hAnsi="宋体"/>
          <w:color w:val="auto"/>
          <w:szCs w:val="21"/>
          <w:highlight w:val="none"/>
        </w:rPr>
        <w:t>我方对以上承诺负全部法律责任。</w:t>
      </w:r>
    </w:p>
    <w:p w14:paraId="4AA187A7">
      <w:pPr>
        <w:spacing w:line="560" w:lineRule="exact"/>
        <w:ind w:firstLine="420" w:firstLineChars="200"/>
        <w:rPr>
          <w:rFonts w:ascii="宋体" w:hAnsi="宋体"/>
          <w:color w:val="auto"/>
          <w:szCs w:val="21"/>
          <w:highlight w:val="none"/>
        </w:rPr>
      </w:pPr>
      <w:r>
        <w:rPr>
          <w:rFonts w:ascii="宋体" w:hAnsi="宋体"/>
          <w:color w:val="auto"/>
          <w:szCs w:val="21"/>
          <w:highlight w:val="none"/>
        </w:rPr>
        <w:t>特此承诺。</w:t>
      </w:r>
    </w:p>
    <w:p w14:paraId="37054E04">
      <w:pPr>
        <w:spacing w:line="560" w:lineRule="exact"/>
        <w:rPr>
          <w:rFonts w:ascii="宋体" w:hAnsi="宋体"/>
          <w:color w:val="auto"/>
          <w:szCs w:val="21"/>
          <w:highlight w:val="none"/>
        </w:rPr>
      </w:pPr>
    </w:p>
    <w:p w14:paraId="3D83F573">
      <w:pPr>
        <w:spacing w:line="560" w:lineRule="exact"/>
        <w:rPr>
          <w:rFonts w:ascii="宋体" w:hAnsi="宋体"/>
          <w:color w:val="auto"/>
          <w:szCs w:val="21"/>
          <w:highlight w:val="none"/>
        </w:rPr>
      </w:pPr>
      <w:r>
        <w:rPr>
          <w:rFonts w:hint="eastAsia" w:ascii="宋体" w:hAnsi="宋体"/>
          <w:color w:val="auto"/>
          <w:szCs w:val="21"/>
          <w:highlight w:val="none"/>
        </w:rPr>
        <w:t>法定代表人（签章）：</w:t>
      </w:r>
    </w:p>
    <w:p w14:paraId="27EC0A66">
      <w:pPr>
        <w:spacing w:line="56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752B25F3">
      <w:pPr>
        <w:spacing w:line="560" w:lineRule="exact"/>
        <w:rPr>
          <w:rFonts w:ascii="宋体" w:hAnsi="宋体"/>
          <w:color w:val="auto"/>
          <w:szCs w:val="21"/>
          <w:highlight w:val="none"/>
        </w:rPr>
      </w:pPr>
      <w:r>
        <w:rPr>
          <w:rFonts w:hint="eastAsia" w:ascii="宋体" w:hAnsi="宋体"/>
          <w:color w:val="auto"/>
          <w:szCs w:val="21"/>
          <w:highlight w:val="none"/>
        </w:rPr>
        <w:t>供应商名称（签章）：</w:t>
      </w:r>
    </w:p>
    <w:p w14:paraId="74805B61">
      <w:pPr>
        <w:spacing w:line="560" w:lineRule="exact"/>
        <w:ind w:firstLine="420" w:firstLineChars="200"/>
        <w:rPr>
          <w:rFonts w:ascii="宋体" w:hAnsi="宋体"/>
          <w:color w:val="auto"/>
          <w:szCs w:val="21"/>
          <w:highlight w:val="none"/>
        </w:rPr>
      </w:pPr>
    </w:p>
    <w:p w14:paraId="21B4D92C">
      <w:pPr>
        <w:spacing w:line="560" w:lineRule="exact"/>
        <w:ind w:firstLine="420" w:firstLineChars="200"/>
        <w:rPr>
          <w:rFonts w:ascii="宋体" w:hAnsi="宋体"/>
          <w:color w:val="auto"/>
          <w:szCs w:val="21"/>
          <w:highlight w:val="none"/>
        </w:rPr>
      </w:pPr>
      <w:r>
        <w:rPr>
          <w:rFonts w:ascii="宋体" w:hAnsi="宋体"/>
          <w:color w:val="auto"/>
          <w:szCs w:val="21"/>
          <w:highlight w:val="none"/>
        </w:rPr>
        <w:t>年   月   日</w:t>
      </w:r>
    </w:p>
    <w:p w14:paraId="57723915">
      <w:pPr>
        <w:spacing w:line="360" w:lineRule="auto"/>
        <w:rPr>
          <w:rFonts w:ascii="宋体" w:hAnsi="宋体"/>
          <w:bCs/>
          <w:color w:val="auto"/>
          <w:highlight w:val="none"/>
        </w:rPr>
      </w:pPr>
    </w:p>
    <w:p w14:paraId="43EAEC2C">
      <w:pPr>
        <w:spacing w:line="360" w:lineRule="auto"/>
        <w:rPr>
          <w:rFonts w:ascii="宋体" w:hAnsi="宋体"/>
          <w:b/>
          <w:bCs/>
          <w:color w:val="auto"/>
          <w:highlight w:val="none"/>
        </w:rPr>
        <w:sectPr>
          <w:footerReference r:id="rId4" w:type="default"/>
          <w:pgSz w:w="11906" w:h="16838"/>
          <w:pgMar w:top="1440" w:right="1800" w:bottom="1440" w:left="1800" w:header="851" w:footer="992" w:gutter="0"/>
          <w:cols w:space="720" w:num="1"/>
          <w:docGrid w:linePitch="360" w:charSpace="0"/>
        </w:sectPr>
      </w:pPr>
    </w:p>
    <w:p w14:paraId="2DD5F361">
      <w:pPr>
        <w:spacing w:line="360" w:lineRule="auto"/>
        <w:jc w:val="center"/>
        <w:rPr>
          <w:rFonts w:ascii="宋体" w:hAnsi="宋体"/>
          <w:b/>
          <w:color w:val="auto"/>
          <w:szCs w:val="21"/>
          <w:highlight w:val="none"/>
        </w:rPr>
      </w:pPr>
      <w:r>
        <w:rPr>
          <w:rFonts w:hint="eastAsia" w:ascii="宋体" w:hAnsi="宋体"/>
          <w:b/>
          <w:color w:val="auto"/>
          <w:szCs w:val="21"/>
          <w:highlight w:val="none"/>
        </w:rPr>
        <w:t>供应商信用承诺书</w:t>
      </w:r>
    </w:p>
    <w:p w14:paraId="22CB2F22">
      <w:pPr>
        <w:spacing w:line="360" w:lineRule="auto"/>
        <w:rPr>
          <w:rFonts w:ascii="方正仿宋_GBK"/>
          <w:color w:val="auto"/>
          <w:szCs w:val="32"/>
          <w:highlight w:val="none"/>
        </w:rPr>
      </w:pPr>
    </w:p>
    <w:p w14:paraId="610FEC8E">
      <w:pPr>
        <w:spacing w:line="360" w:lineRule="auto"/>
        <w:rPr>
          <w:rFonts w:ascii="宋体" w:hAnsi="宋体"/>
          <w:color w:val="auto"/>
          <w:szCs w:val="21"/>
          <w:highlight w:val="none"/>
        </w:rPr>
      </w:pPr>
      <w:r>
        <w:rPr>
          <w:rFonts w:hint="eastAsia" w:ascii="宋体" w:hAnsi="宋体"/>
          <w:color w:val="auto"/>
          <w:szCs w:val="21"/>
          <w:highlight w:val="none"/>
        </w:rPr>
        <w:t>承诺主体名称：</w:t>
      </w:r>
    </w:p>
    <w:p w14:paraId="1ED101FA">
      <w:pPr>
        <w:spacing w:line="360" w:lineRule="auto"/>
        <w:rPr>
          <w:rFonts w:ascii="宋体" w:hAnsi="宋体"/>
          <w:color w:val="auto"/>
          <w:szCs w:val="21"/>
          <w:highlight w:val="none"/>
        </w:rPr>
      </w:pPr>
      <w:r>
        <w:rPr>
          <w:rFonts w:hint="eastAsia" w:ascii="宋体" w:hAnsi="宋体"/>
          <w:color w:val="auto"/>
          <w:szCs w:val="21"/>
          <w:highlight w:val="none"/>
        </w:rPr>
        <w:t>统一社会信用代码：</w:t>
      </w:r>
    </w:p>
    <w:p w14:paraId="013D492C">
      <w:pPr>
        <w:spacing w:line="360" w:lineRule="auto"/>
        <w:rPr>
          <w:rFonts w:ascii="宋体" w:hAnsi="宋体"/>
          <w:color w:val="auto"/>
          <w:szCs w:val="21"/>
          <w:highlight w:val="none"/>
        </w:rPr>
      </w:pPr>
    </w:p>
    <w:p w14:paraId="273DA7D8">
      <w:pPr>
        <w:spacing w:line="360" w:lineRule="auto"/>
        <w:ind w:firstLine="420"/>
        <w:rPr>
          <w:rFonts w:ascii="宋体" w:hAnsi="宋体"/>
          <w:color w:val="auto"/>
          <w:szCs w:val="21"/>
          <w:highlight w:val="none"/>
        </w:rPr>
      </w:pPr>
      <w:r>
        <w:rPr>
          <w:rFonts w:hint="eastAsia" w:ascii="宋体" w:hAnsi="宋体"/>
          <w:color w:val="auto"/>
          <w:szCs w:val="21"/>
          <w:highlight w:val="none"/>
        </w:rPr>
        <w:t>为维护公平竞争、规范有序的市场秩序，营造诚实守信的信用环境，共同推进社会信用体系建设完善，树立企业诚信守法形象，本企业对________________________项目政府采购活动郑重承诺如下:</w:t>
      </w:r>
    </w:p>
    <w:p w14:paraId="3DD80242">
      <w:pPr>
        <w:spacing w:line="360" w:lineRule="auto"/>
        <w:ind w:firstLine="420"/>
        <w:rPr>
          <w:rFonts w:ascii="宋体" w:hAnsi="宋体"/>
          <w:color w:val="auto"/>
          <w:szCs w:val="21"/>
          <w:highlight w:val="none"/>
        </w:rPr>
      </w:pPr>
      <w:r>
        <w:rPr>
          <w:rFonts w:hint="eastAsia" w:ascii="宋体" w:hAnsi="宋体"/>
          <w:color w:val="auto"/>
          <w:szCs w:val="21"/>
          <w:highlight w:val="none"/>
        </w:rPr>
        <w:t>一、对提供给注册登记部门、行业管理部门、司法部门、行业组织以及在政府采购活动中提交的所有资料的合法性、真实性、准确性和有效性负责；</w:t>
      </w:r>
    </w:p>
    <w:p w14:paraId="11FD7B71">
      <w:pPr>
        <w:spacing w:line="360" w:lineRule="auto"/>
        <w:ind w:firstLine="420"/>
        <w:rPr>
          <w:rFonts w:ascii="宋体" w:hAnsi="宋体"/>
          <w:color w:val="auto"/>
          <w:szCs w:val="21"/>
          <w:highlight w:val="none"/>
        </w:rPr>
      </w:pPr>
      <w:r>
        <w:rPr>
          <w:rFonts w:hint="eastAsia" w:ascii="宋体" w:hAnsi="宋体"/>
          <w:color w:val="auto"/>
          <w:szCs w:val="21"/>
          <w:highlight w:val="none"/>
        </w:rPr>
        <w:t>二、严格按照国家法律、法规和规章开展采购活动，全面履行应尽的责任和义务，全面做到履约守信，具备《中华人民共和国政府采购法》第二十二条第一款规定的条件;</w:t>
      </w:r>
    </w:p>
    <w:p w14:paraId="1A3842CC">
      <w:pPr>
        <w:spacing w:line="360" w:lineRule="auto"/>
        <w:ind w:firstLine="420"/>
        <w:rPr>
          <w:rFonts w:ascii="宋体" w:hAnsi="宋体"/>
          <w:color w:val="auto"/>
          <w:szCs w:val="21"/>
          <w:highlight w:val="none"/>
        </w:rPr>
      </w:pPr>
      <w:r>
        <w:rPr>
          <w:rFonts w:hint="eastAsia" w:ascii="宋体" w:hAnsi="宋体"/>
          <w:color w:val="auto"/>
          <w:szCs w:val="21"/>
          <w:highlight w:val="none"/>
        </w:rPr>
        <w:t>三、严格依法开展生产经营活动，主动接受行业监管，自愿接受依法开展的日常检查；违法失信经营后将自愿接受约束和惩戒，并依法承担相应责任；</w:t>
      </w:r>
    </w:p>
    <w:p w14:paraId="6B9A2D2F">
      <w:pPr>
        <w:spacing w:line="360" w:lineRule="auto"/>
        <w:ind w:firstLine="420"/>
        <w:rPr>
          <w:rFonts w:ascii="宋体" w:hAnsi="宋体"/>
          <w:color w:val="auto"/>
          <w:szCs w:val="21"/>
          <w:highlight w:val="none"/>
        </w:rPr>
      </w:pPr>
      <w:r>
        <w:rPr>
          <w:rFonts w:hint="eastAsia" w:ascii="宋体" w:hAnsi="宋体"/>
          <w:color w:val="auto"/>
          <w:szCs w:val="21"/>
          <w:highlight w:val="none"/>
        </w:rPr>
        <w:t>四、自觉接受行政管理部门、行业组织、社会公众、新闻舆论的监督；</w:t>
      </w:r>
    </w:p>
    <w:p w14:paraId="12298F4C">
      <w:pPr>
        <w:spacing w:line="360" w:lineRule="auto"/>
        <w:ind w:firstLine="420"/>
        <w:rPr>
          <w:rFonts w:ascii="宋体" w:hAnsi="宋体"/>
          <w:color w:val="auto"/>
          <w:szCs w:val="21"/>
          <w:highlight w:val="none"/>
        </w:rPr>
      </w:pPr>
      <w:r>
        <w:rPr>
          <w:rFonts w:hint="eastAsia" w:ascii="宋体" w:hAnsi="宋体"/>
          <w:color w:val="auto"/>
          <w:szCs w:val="21"/>
          <w:highlight w:val="none"/>
        </w:rPr>
        <w:t>五、自觉做到自我约束、自我管理，不制假售假、商标侵权、虚假宣传、违约毁约、恶意逃债、偷税漏税、垄断和不正当竞争，维护经营者、消费者的合法权益；</w:t>
      </w:r>
    </w:p>
    <w:p w14:paraId="723CDCB8">
      <w:pPr>
        <w:spacing w:line="360" w:lineRule="auto"/>
        <w:ind w:firstLine="420"/>
        <w:rPr>
          <w:rFonts w:ascii="宋体" w:hAnsi="宋体"/>
          <w:color w:val="auto"/>
          <w:szCs w:val="21"/>
          <w:highlight w:val="none"/>
        </w:rPr>
      </w:pPr>
      <w:r>
        <w:rPr>
          <w:rFonts w:hint="eastAsia" w:ascii="宋体" w:hAnsi="宋体"/>
          <w:color w:val="auto"/>
          <w:szCs w:val="21"/>
          <w:highlight w:val="none"/>
        </w:rPr>
        <w:t>六、提出政府采购质疑和投诉坚持依法依规、诚实信用原则，在全国范围12个月内没有三次以上查无实据的政府采购投诉；</w:t>
      </w:r>
    </w:p>
    <w:p w14:paraId="2900B6F7">
      <w:pPr>
        <w:spacing w:line="360" w:lineRule="auto"/>
        <w:ind w:firstLine="420"/>
        <w:rPr>
          <w:rFonts w:ascii="宋体" w:hAnsi="宋体"/>
          <w:color w:val="auto"/>
          <w:szCs w:val="21"/>
          <w:highlight w:val="none"/>
        </w:rPr>
      </w:pPr>
      <w:r>
        <w:rPr>
          <w:rFonts w:hint="eastAsia" w:ascii="宋体" w:hAnsi="宋体"/>
          <w:color w:val="auto"/>
          <w:szCs w:val="21"/>
          <w:highlight w:val="none"/>
        </w:rPr>
        <w:t>七、严格遵守信用信息公示相关规定，向社会公示信用信息；</w:t>
      </w:r>
    </w:p>
    <w:p w14:paraId="080CE80F">
      <w:pPr>
        <w:spacing w:line="360" w:lineRule="auto"/>
        <w:ind w:firstLine="420"/>
        <w:rPr>
          <w:rFonts w:ascii="宋体" w:hAnsi="宋体"/>
          <w:color w:val="auto"/>
          <w:szCs w:val="21"/>
          <w:highlight w:val="none"/>
        </w:rPr>
      </w:pPr>
      <w:r>
        <w:rPr>
          <w:rFonts w:hint="eastAsia" w:ascii="宋体" w:hAnsi="宋体"/>
          <w:color w:val="auto"/>
          <w:szCs w:val="21"/>
          <w:highlight w:val="none"/>
        </w:rPr>
        <w:t>八、在“信用中国”和“中国政府采购网”网站中无重大违法违规、较重或严重失信记录；</w:t>
      </w:r>
    </w:p>
    <w:p w14:paraId="1A6C0EEE">
      <w:pPr>
        <w:spacing w:line="360" w:lineRule="auto"/>
        <w:ind w:firstLine="420"/>
        <w:rPr>
          <w:rFonts w:ascii="宋体" w:hAnsi="宋体"/>
          <w:color w:val="auto"/>
          <w:szCs w:val="21"/>
          <w:highlight w:val="none"/>
        </w:rPr>
      </w:pPr>
      <w:r>
        <w:rPr>
          <w:rFonts w:hint="eastAsia" w:ascii="宋体" w:hAnsi="宋体"/>
          <w:color w:val="auto"/>
          <w:szCs w:val="21"/>
          <w:highlight w:val="none"/>
        </w:rPr>
        <w:t>九、如违反承诺，自愿接受管理部门依法给予的行政处罚，同意将违反承诺的行为作为不良记录记入信用档案，依法依规进行信息公示，并承担所产生的一切法律责任和经济损失。</w:t>
      </w:r>
    </w:p>
    <w:p w14:paraId="08CB8159">
      <w:pPr>
        <w:spacing w:line="360" w:lineRule="auto"/>
        <w:ind w:firstLine="420"/>
        <w:rPr>
          <w:rFonts w:ascii="宋体" w:hAnsi="宋体"/>
          <w:color w:val="auto"/>
          <w:szCs w:val="21"/>
          <w:highlight w:val="none"/>
        </w:rPr>
      </w:pPr>
      <w:r>
        <w:rPr>
          <w:rFonts w:hint="eastAsia" w:ascii="宋体" w:hAnsi="宋体"/>
          <w:color w:val="auto"/>
          <w:szCs w:val="21"/>
          <w:highlight w:val="none"/>
        </w:rPr>
        <w:t>十、本承诺书自签订之日起生效。</w:t>
      </w:r>
    </w:p>
    <w:p w14:paraId="7B55555D">
      <w:pPr>
        <w:spacing w:line="360" w:lineRule="auto"/>
        <w:ind w:firstLine="420"/>
        <w:rPr>
          <w:rFonts w:ascii="宋体" w:hAnsi="宋体"/>
          <w:color w:val="auto"/>
          <w:szCs w:val="21"/>
          <w:highlight w:val="none"/>
        </w:rPr>
      </w:pPr>
      <w:r>
        <w:rPr>
          <w:rFonts w:hint="eastAsia" w:ascii="宋体" w:hAnsi="宋体"/>
          <w:color w:val="auto"/>
          <w:szCs w:val="21"/>
          <w:highlight w:val="none"/>
        </w:rPr>
        <w:t> （注：法定代表人或负责人、主体名称发生变更的应当重新做出承诺。）</w:t>
      </w:r>
    </w:p>
    <w:p w14:paraId="7561B2C7">
      <w:pPr>
        <w:spacing w:line="360" w:lineRule="auto"/>
        <w:jc w:val="center"/>
        <w:rPr>
          <w:rFonts w:ascii="宋体" w:hAnsi="宋体"/>
          <w:color w:val="auto"/>
          <w:szCs w:val="21"/>
          <w:highlight w:val="none"/>
        </w:rPr>
      </w:pPr>
      <w:r>
        <w:rPr>
          <w:rFonts w:hint="eastAsia" w:ascii="宋体" w:hAnsi="宋体"/>
          <w:color w:val="auto"/>
          <w:szCs w:val="21"/>
          <w:highlight w:val="none"/>
        </w:rPr>
        <w:t xml:space="preserve">　　　　　　　　　　                     承诺单位（签章）：           </w:t>
      </w:r>
    </w:p>
    <w:p w14:paraId="22D8DFBE">
      <w:pPr>
        <w:spacing w:line="360" w:lineRule="auto"/>
        <w:jc w:val="center"/>
        <w:rPr>
          <w:rFonts w:ascii="宋体" w:hAnsi="宋体"/>
          <w:color w:val="auto"/>
          <w:szCs w:val="21"/>
          <w:highlight w:val="none"/>
        </w:rPr>
      </w:pPr>
      <w:r>
        <w:rPr>
          <w:rFonts w:hint="eastAsia" w:ascii="宋体" w:hAnsi="宋体"/>
          <w:color w:val="auto"/>
          <w:szCs w:val="21"/>
          <w:highlight w:val="none"/>
        </w:rPr>
        <w:t>　　　　　　　　　   　  法定代表人（负责人）：</w:t>
      </w:r>
    </w:p>
    <w:p w14:paraId="7253F80A">
      <w:pPr>
        <w:spacing w:line="360" w:lineRule="auto"/>
        <w:jc w:val="center"/>
        <w:rPr>
          <w:rFonts w:ascii="宋体" w:hAnsi="宋体"/>
          <w:b/>
          <w:bCs/>
          <w:color w:val="auto"/>
          <w:highlight w:val="none"/>
        </w:rPr>
        <w:sectPr>
          <w:pgSz w:w="11906" w:h="16838"/>
          <w:pgMar w:top="1440" w:right="1800" w:bottom="1440" w:left="1800" w:header="851" w:footer="992" w:gutter="0"/>
          <w:cols w:space="720" w:num="1"/>
          <w:docGrid w:linePitch="360" w:charSpace="0"/>
        </w:sectPr>
      </w:pPr>
      <w:r>
        <w:rPr>
          <w:rFonts w:hint="eastAsia" w:ascii="宋体" w:hAnsi="宋体"/>
          <w:color w:val="auto"/>
          <w:szCs w:val="21"/>
          <w:highlight w:val="none"/>
        </w:rPr>
        <w:t>　　　　　　　　　      　年    月    日</w:t>
      </w:r>
    </w:p>
    <w:p w14:paraId="661E9BE7">
      <w:pPr>
        <w:spacing w:line="360" w:lineRule="auto"/>
        <w:jc w:val="center"/>
        <w:rPr>
          <w:rFonts w:ascii="宋体" w:hAnsi="宋体"/>
          <w:b/>
          <w:bCs/>
          <w:color w:val="auto"/>
          <w:highlight w:val="none"/>
        </w:rPr>
      </w:pPr>
      <w:r>
        <w:rPr>
          <w:rFonts w:hint="eastAsia" w:ascii="宋体" w:hAnsi="宋体"/>
          <w:b/>
          <w:bCs/>
          <w:color w:val="auto"/>
          <w:highlight w:val="none"/>
        </w:rPr>
        <w:t>投标函格式</w:t>
      </w:r>
    </w:p>
    <w:p w14:paraId="08BC9CB5">
      <w:pPr>
        <w:pStyle w:val="38"/>
        <w:spacing w:before="0" w:after="0"/>
        <w:ind w:firstLine="0"/>
        <w:rPr>
          <w:rFonts w:ascii="宋体" w:hAnsi="宋体"/>
          <w:color w:val="auto"/>
          <w:kern w:val="2"/>
          <w:sz w:val="21"/>
          <w:szCs w:val="21"/>
          <w:highlight w:val="none"/>
        </w:rPr>
      </w:pPr>
      <w:r>
        <w:rPr>
          <w:rFonts w:hint="eastAsia" w:ascii="宋体" w:hAnsi="宋体"/>
          <w:color w:val="auto"/>
          <w:kern w:val="2"/>
          <w:sz w:val="21"/>
          <w:szCs w:val="21"/>
          <w:highlight w:val="none"/>
        </w:rPr>
        <w:t>致：</w:t>
      </w:r>
    </w:p>
    <w:p w14:paraId="22D6D678">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根据贵方的（）号招标文件，正式授权下述签字人_________________(姓名)代表我方______________（投标人的名称），全权处理本次项目投标的有关事宜。</w:t>
      </w:r>
    </w:p>
    <w:p w14:paraId="37A4E511">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据此函，__________签字人（姓名）兹宣布同意如下：</w:t>
      </w:r>
    </w:p>
    <w:p w14:paraId="4BE826EA">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1.按招标文件规定的各项要求，向买方提供所需货物与服务。</w:t>
      </w:r>
    </w:p>
    <w:p w14:paraId="51451E5E">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2.我们完全理解贵方不一定将合同授予最低报价的投标人。</w:t>
      </w:r>
    </w:p>
    <w:p w14:paraId="1F68E7CE">
      <w:pPr>
        <w:pStyle w:val="38"/>
        <w:spacing w:before="0" w:after="0"/>
        <w:ind w:firstLine="420" w:firstLineChars="200"/>
        <w:rPr>
          <w:rFonts w:ascii="宋体" w:hAnsi="宋体"/>
          <w:color w:val="auto"/>
          <w:kern w:val="2"/>
          <w:sz w:val="21"/>
          <w:szCs w:val="21"/>
          <w:highlight w:val="none"/>
        </w:rPr>
      </w:pPr>
      <w:r>
        <w:rPr>
          <w:rFonts w:hint="eastAsia" w:ascii="宋体" w:hAnsi="宋体"/>
          <w:color w:val="auto"/>
          <w:kern w:val="2"/>
          <w:sz w:val="21"/>
          <w:szCs w:val="21"/>
          <w:highlight w:val="none"/>
        </w:rPr>
        <w:t>3.我们已详细审核全部招标文件及其有效补充文件，我们知道必须放弃提出含糊不清或误解问题的权利。</w:t>
      </w:r>
    </w:p>
    <w:p w14:paraId="02314637">
      <w:pPr>
        <w:pStyle w:val="38"/>
        <w:spacing w:before="0" w:after="0"/>
        <w:rPr>
          <w:rFonts w:ascii="宋体" w:hAnsi="宋体"/>
          <w:color w:val="auto"/>
          <w:kern w:val="2"/>
          <w:sz w:val="21"/>
          <w:szCs w:val="21"/>
          <w:highlight w:val="none"/>
        </w:rPr>
      </w:pPr>
      <w:r>
        <w:rPr>
          <w:rFonts w:hint="eastAsia" w:ascii="宋体" w:hAnsi="宋体"/>
          <w:color w:val="auto"/>
          <w:kern w:val="2"/>
          <w:sz w:val="21"/>
          <w:szCs w:val="21"/>
          <w:highlight w:val="none"/>
        </w:rPr>
        <w:t>4.我们同意从规定的开标日期起遵循本投标文件，并在规定的投标有效期期满之前均具有约束力。</w:t>
      </w:r>
    </w:p>
    <w:p w14:paraId="649F2838">
      <w:pPr>
        <w:pStyle w:val="38"/>
        <w:spacing w:before="0" w:after="0"/>
        <w:rPr>
          <w:rFonts w:ascii="宋体" w:hAnsi="宋体"/>
          <w:color w:val="auto"/>
          <w:kern w:val="2"/>
          <w:sz w:val="21"/>
          <w:szCs w:val="21"/>
          <w:highlight w:val="none"/>
        </w:rPr>
      </w:pPr>
      <w:r>
        <w:rPr>
          <w:rFonts w:hint="eastAsia" w:ascii="宋体" w:hAnsi="宋体"/>
          <w:color w:val="auto"/>
          <w:kern w:val="2"/>
          <w:sz w:val="21"/>
          <w:szCs w:val="21"/>
          <w:highlight w:val="none"/>
        </w:rPr>
        <w:t>5.同意向贵方提供贵方可能另外要求的与投标有关的任何证据或资料，并保证我方已提供和将要提供的文件是真实的、准确的。</w:t>
      </w:r>
    </w:p>
    <w:p w14:paraId="1962EF43">
      <w:pPr>
        <w:pStyle w:val="38"/>
        <w:spacing w:before="0" w:after="0"/>
        <w:rPr>
          <w:rFonts w:ascii="宋体" w:hAnsi="宋体"/>
          <w:color w:val="auto"/>
          <w:kern w:val="2"/>
          <w:sz w:val="21"/>
          <w:szCs w:val="21"/>
          <w:highlight w:val="none"/>
        </w:rPr>
      </w:pPr>
      <w:r>
        <w:rPr>
          <w:rFonts w:hint="eastAsia" w:ascii="宋体" w:hAnsi="宋体"/>
          <w:color w:val="auto"/>
          <w:kern w:val="2"/>
          <w:sz w:val="21"/>
          <w:szCs w:val="21"/>
          <w:highlight w:val="none"/>
        </w:rPr>
        <w:t>6.一旦我方中标,我方将根据招标文件的规定，严格履行合同的责任和义务,并保证在招标文件规定的时间完成项目，交付买方验收、使用。</w:t>
      </w:r>
    </w:p>
    <w:p w14:paraId="3EEFAF59">
      <w:pPr>
        <w:pStyle w:val="39"/>
        <w:spacing w:line="360" w:lineRule="auto"/>
        <w:ind w:firstLine="420"/>
        <w:rPr>
          <w:rFonts w:ascii="宋体" w:hAnsi="宋体"/>
          <w:color w:val="auto"/>
          <w:sz w:val="21"/>
          <w:szCs w:val="21"/>
          <w:highlight w:val="none"/>
        </w:rPr>
      </w:pPr>
      <w:r>
        <w:rPr>
          <w:rFonts w:hint="eastAsia" w:ascii="宋体" w:hAnsi="宋体"/>
          <w:color w:val="auto"/>
          <w:kern w:val="2"/>
          <w:sz w:val="21"/>
          <w:szCs w:val="21"/>
          <w:highlight w:val="none"/>
        </w:rPr>
        <w:t>7.与本投标有关的正式通讯地址为：</w:t>
      </w:r>
    </w:p>
    <w:p w14:paraId="2141142D">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 xml:space="preserve">地 址：                         </w:t>
      </w:r>
    </w:p>
    <w:p w14:paraId="6540DEDB">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邮 编：</w:t>
      </w:r>
    </w:p>
    <w:p w14:paraId="66F104D6">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 xml:space="preserve">电 话：                         </w:t>
      </w:r>
    </w:p>
    <w:p w14:paraId="554CAEA0">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传 真：</w:t>
      </w:r>
    </w:p>
    <w:p w14:paraId="4433601A">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 xml:space="preserve">供应商开户行：                  </w:t>
      </w:r>
    </w:p>
    <w:p w14:paraId="47E5CE44">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 xml:space="preserve">账 户： </w:t>
      </w:r>
    </w:p>
    <w:p w14:paraId="07E21F8D">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 xml:space="preserve">法定代表人姓名（签章）：        </w:t>
      </w:r>
    </w:p>
    <w:p w14:paraId="074D6E85">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联系电话：</w:t>
      </w:r>
    </w:p>
    <w:p w14:paraId="5E369612">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 xml:space="preserve">供应商名称（公章）：            </w:t>
      </w:r>
    </w:p>
    <w:p w14:paraId="25321823">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日 期：________年____月____日</w:t>
      </w:r>
    </w:p>
    <w:p w14:paraId="06E9A2B0">
      <w:pPr>
        <w:pStyle w:val="39"/>
        <w:spacing w:after="312" w:line="360" w:lineRule="auto"/>
        <w:ind w:firstLine="422"/>
        <w:jc w:val="center"/>
        <w:rPr>
          <w:rFonts w:ascii="宋体" w:hAnsi="宋体"/>
          <w:b/>
          <w:color w:val="auto"/>
          <w:sz w:val="21"/>
          <w:szCs w:val="21"/>
          <w:highlight w:val="none"/>
        </w:rPr>
      </w:pPr>
      <w:r>
        <w:rPr>
          <w:rFonts w:ascii="宋体" w:hAnsi="宋体"/>
          <w:b/>
          <w:color w:val="auto"/>
          <w:sz w:val="21"/>
          <w:szCs w:val="21"/>
          <w:highlight w:val="none"/>
        </w:rPr>
        <w:br w:type="page" w:clear="all"/>
      </w:r>
      <w:r>
        <w:rPr>
          <w:rFonts w:hint="eastAsia" w:ascii="宋体" w:hAnsi="宋体"/>
          <w:b/>
          <w:color w:val="auto"/>
          <w:sz w:val="21"/>
          <w:szCs w:val="21"/>
          <w:highlight w:val="none"/>
        </w:rPr>
        <w:t>法人授权书</w:t>
      </w:r>
    </w:p>
    <w:p w14:paraId="75B79C98">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本授权书声明：</w:t>
      </w:r>
      <w:r>
        <w:rPr>
          <w:rFonts w:ascii="宋体" w:hAnsi="宋体"/>
          <w:color w:val="auto"/>
          <w:sz w:val="21"/>
          <w:szCs w:val="21"/>
          <w:highlight w:val="none"/>
        </w:rPr>
        <w:t>________________</w:t>
      </w:r>
      <w:r>
        <w:rPr>
          <w:rFonts w:hint="eastAsia" w:ascii="宋体" w:hAnsi="宋体"/>
          <w:color w:val="auto"/>
          <w:sz w:val="21"/>
          <w:szCs w:val="21"/>
          <w:highlight w:val="none"/>
        </w:rPr>
        <w:t>（供应商名称）授权</w:t>
      </w:r>
      <w:r>
        <w:rPr>
          <w:rFonts w:ascii="宋体" w:hAnsi="宋体"/>
          <w:color w:val="auto"/>
          <w:sz w:val="21"/>
          <w:szCs w:val="21"/>
          <w:highlight w:val="none"/>
        </w:rPr>
        <w:t>________________</w:t>
      </w:r>
      <w:r>
        <w:rPr>
          <w:rFonts w:hint="eastAsia" w:ascii="宋体" w:hAnsi="宋体"/>
          <w:color w:val="auto"/>
          <w:sz w:val="21"/>
          <w:szCs w:val="21"/>
          <w:highlight w:val="none"/>
        </w:rPr>
        <w:t>（被授权人的姓名）为我方就（项目编号）号（项目名称）项目采购活动的合法代理人，以本公司名义全权处理一切与该项目采购有关的事务。</w:t>
      </w:r>
    </w:p>
    <w:p w14:paraId="3720A90F">
      <w:pPr>
        <w:pStyle w:val="39"/>
        <w:spacing w:line="360" w:lineRule="auto"/>
        <w:ind w:firstLine="420"/>
        <w:rPr>
          <w:rFonts w:ascii="宋体" w:hAnsi="宋体"/>
          <w:color w:val="auto"/>
          <w:sz w:val="21"/>
          <w:szCs w:val="21"/>
          <w:highlight w:val="none"/>
        </w:rPr>
      </w:pPr>
      <w:r>
        <w:rPr>
          <w:rFonts w:hint="eastAsia" w:ascii="宋体" w:hAnsi="宋体"/>
          <w:color w:val="auto"/>
          <w:sz w:val="21"/>
          <w:szCs w:val="21"/>
          <w:highlight w:val="none"/>
        </w:rPr>
        <w:t>本授权书于</w:t>
      </w:r>
      <w:r>
        <w:rPr>
          <w:rFonts w:ascii="宋体" w:hAnsi="宋体"/>
          <w:color w:val="auto"/>
          <w:sz w:val="21"/>
          <w:szCs w:val="21"/>
          <w:highlight w:val="none"/>
        </w:rPr>
        <w:t>______</w:t>
      </w:r>
      <w:r>
        <w:rPr>
          <w:rFonts w:hint="eastAsia" w:ascii="宋体" w:hAnsi="宋体"/>
          <w:color w:val="auto"/>
          <w:sz w:val="21"/>
          <w:szCs w:val="21"/>
          <w:highlight w:val="none"/>
        </w:rPr>
        <w:t>年</w:t>
      </w:r>
      <w:r>
        <w:rPr>
          <w:rFonts w:ascii="宋体" w:hAnsi="宋体"/>
          <w:color w:val="auto"/>
          <w:sz w:val="21"/>
          <w:szCs w:val="21"/>
          <w:highlight w:val="none"/>
        </w:rPr>
        <w:t>____</w:t>
      </w:r>
      <w:r>
        <w:rPr>
          <w:rFonts w:hint="eastAsia" w:ascii="宋体" w:hAnsi="宋体"/>
          <w:color w:val="auto"/>
          <w:sz w:val="21"/>
          <w:szCs w:val="21"/>
          <w:highlight w:val="none"/>
        </w:rPr>
        <w:t>月</w:t>
      </w:r>
      <w:r>
        <w:rPr>
          <w:rFonts w:ascii="宋体" w:hAnsi="宋体"/>
          <w:color w:val="auto"/>
          <w:sz w:val="21"/>
          <w:szCs w:val="21"/>
          <w:highlight w:val="none"/>
        </w:rPr>
        <w:t>____</w:t>
      </w:r>
      <w:r>
        <w:rPr>
          <w:rFonts w:hint="eastAsia" w:ascii="宋体" w:hAnsi="宋体"/>
          <w:color w:val="auto"/>
          <w:sz w:val="21"/>
          <w:szCs w:val="21"/>
          <w:highlight w:val="none"/>
        </w:rPr>
        <w:t>日起生效，特此声明。</w:t>
      </w:r>
    </w:p>
    <w:p w14:paraId="12A7C3DB">
      <w:pPr>
        <w:pStyle w:val="39"/>
        <w:spacing w:line="360" w:lineRule="auto"/>
        <w:ind w:firstLine="420"/>
        <w:rPr>
          <w:rFonts w:ascii="宋体" w:hAnsi="宋体"/>
          <w:color w:val="auto"/>
          <w:sz w:val="21"/>
          <w:szCs w:val="21"/>
          <w:highlight w:val="none"/>
        </w:rPr>
      </w:pPr>
    </w:p>
    <w:p w14:paraId="7440C348">
      <w:pPr>
        <w:pStyle w:val="39"/>
        <w:spacing w:line="360" w:lineRule="auto"/>
        <w:ind w:firstLine="420"/>
        <w:rPr>
          <w:rFonts w:ascii="宋体" w:hAnsi="宋体"/>
          <w:color w:val="auto"/>
          <w:sz w:val="21"/>
          <w:szCs w:val="21"/>
          <w:highlight w:val="none"/>
          <w:u w:val="single"/>
        </w:rPr>
      </w:pPr>
      <w:r>
        <w:rPr>
          <w:rFonts w:hint="eastAsia" w:ascii="宋体" w:hAnsi="宋体"/>
          <w:color w:val="auto"/>
          <w:sz w:val="21"/>
          <w:szCs w:val="21"/>
          <w:highlight w:val="none"/>
        </w:rPr>
        <w:t xml:space="preserve">被授权人姓名： </w:t>
      </w:r>
      <w:r>
        <w:rPr>
          <w:rFonts w:hint="eastAsia" w:ascii="宋体" w:hAnsi="宋体"/>
          <w:color w:val="auto"/>
          <w:sz w:val="21"/>
          <w:szCs w:val="21"/>
          <w:highlight w:val="none"/>
          <w:u w:val="single"/>
        </w:rPr>
        <w:t xml:space="preserve">                          </w:t>
      </w:r>
    </w:p>
    <w:p w14:paraId="3F7536D1">
      <w:pPr>
        <w:pStyle w:val="39"/>
        <w:spacing w:line="360" w:lineRule="auto"/>
        <w:ind w:firstLine="420"/>
        <w:rPr>
          <w:rFonts w:ascii="宋体" w:hAnsi="宋体"/>
          <w:color w:val="auto"/>
          <w:sz w:val="21"/>
          <w:szCs w:val="21"/>
          <w:highlight w:val="none"/>
          <w:u w:val="single"/>
        </w:rPr>
      </w:pPr>
      <w:r>
        <w:rPr>
          <w:rFonts w:hint="eastAsia" w:ascii="宋体" w:hAnsi="宋体"/>
          <w:color w:val="auto"/>
          <w:sz w:val="21"/>
          <w:szCs w:val="21"/>
          <w:highlight w:val="none"/>
        </w:rPr>
        <w:t>联系电话（手机）：</w:t>
      </w:r>
      <w:r>
        <w:rPr>
          <w:rFonts w:hint="eastAsia" w:ascii="宋体" w:hAnsi="宋体"/>
          <w:color w:val="auto"/>
          <w:sz w:val="21"/>
          <w:szCs w:val="21"/>
          <w:highlight w:val="none"/>
          <w:u w:val="single"/>
        </w:rPr>
        <w:t xml:space="preserve">                       </w:t>
      </w:r>
    </w:p>
    <w:p w14:paraId="0AA2169F">
      <w:pPr>
        <w:pStyle w:val="39"/>
        <w:spacing w:line="360" w:lineRule="auto"/>
        <w:ind w:firstLine="0"/>
        <w:rPr>
          <w:rFonts w:ascii="宋体" w:hAnsi="宋体"/>
          <w:color w:val="auto"/>
          <w:sz w:val="21"/>
          <w:szCs w:val="21"/>
          <w:highlight w:val="none"/>
        </w:rPr>
      </w:pPr>
      <w:r>
        <w:rPr>
          <w:rFonts w:ascii="宋体" w:hAnsi="宋体"/>
          <w:color w:val="auto"/>
          <w:sz w:val="21"/>
          <w:szCs w:val="21"/>
          <w:highlight w:val="none"/>
        </w:rPr>
        <w:t xml:space="preserve">    </w:t>
      </w:r>
      <w:r>
        <w:rPr>
          <w:rFonts w:hint="eastAsia" w:ascii="宋体" w:hAnsi="宋体"/>
          <w:color w:val="auto"/>
          <w:sz w:val="21"/>
          <w:szCs w:val="21"/>
          <w:highlight w:val="none"/>
        </w:rPr>
        <w:t>单位名称：</w:t>
      </w:r>
      <w:r>
        <w:rPr>
          <w:rFonts w:ascii="宋体" w:hAnsi="宋体"/>
          <w:color w:val="auto"/>
          <w:sz w:val="21"/>
          <w:szCs w:val="21"/>
          <w:highlight w:val="none"/>
        </w:rPr>
        <w:t>_______________________________</w:t>
      </w:r>
    </w:p>
    <w:p w14:paraId="7F0C8FCC">
      <w:pPr>
        <w:pStyle w:val="39"/>
        <w:spacing w:line="360" w:lineRule="auto"/>
        <w:ind w:firstLine="420"/>
        <w:rPr>
          <w:color w:val="auto"/>
          <w:sz w:val="21"/>
          <w:szCs w:val="21"/>
          <w:highlight w:val="none"/>
          <w:u w:val="single"/>
        </w:rPr>
      </w:pPr>
      <w:r>
        <w:rPr>
          <w:rFonts w:hint="eastAsia"/>
          <w:color w:val="auto"/>
          <w:sz w:val="21"/>
          <w:szCs w:val="21"/>
          <w:highlight w:val="none"/>
        </w:rPr>
        <w:t>单位地址：</w:t>
      </w:r>
      <w:r>
        <w:rPr>
          <w:color w:val="auto"/>
          <w:sz w:val="21"/>
          <w:szCs w:val="21"/>
          <w:highlight w:val="none"/>
          <w:u w:val="single"/>
        </w:rPr>
        <w:t xml:space="preserve">                               </w:t>
      </w:r>
    </w:p>
    <w:p w14:paraId="25BF191B">
      <w:pPr>
        <w:pStyle w:val="39"/>
        <w:spacing w:line="360" w:lineRule="auto"/>
        <w:ind w:firstLine="420"/>
        <w:rPr>
          <w:color w:val="auto"/>
          <w:sz w:val="21"/>
          <w:szCs w:val="21"/>
          <w:highlight w:val="none"/>
        </w:rPr>
      </w:pPr>
      <w:r>
        <w:rPr>
          <w:rFonts w:hint="eastAsia"/>
          <w:color w:val="auto"/>
          <w:sz w:val="21"/>
          <w:szCs w:val="21"/>
          <w:highlight w:val="none"/>
        </w:rPr>
        <w:t>日期：</w:t>
      </w:r>
      <w:r>
        <w:rPr>
          <w:color w:val="auto"/>
          <w:sz w:val="21"/>
          <w:szCs w:val="21"/>
          <w:highlight w:val="none"/>
          <w:u w:val="single"/>
        </w:rPr>
        <w:t xml:space="preserve">                                   </w:t>
      </w:r>
      <w:r>
        <w:rPr>
          <w:color w:val="auto"/>
          <w:sz w:val="21"/>
          <w:szCs w:val="21"/>
          <w:highlight w:val="none"/>
        </w:rPr>
        <w:t xml:space="preserve"> </w:t>
      </w:r>
    </w:p>
    <w:p w14:paraId="7E6A08DF">
      <w:pPr>
        <w:spacing w:line="360" w:lineRule="auto"/>
        <w:rPr>
          <w:rFonts w:ascii="宋体" w:hAnsi="宋体"/>
          <w:bCs/>
          <w:color w:val="auto"/>
          <w:highlight w:val="none"/>
        </w:rPr>
      </w:pPr>
    </w:p>
    <w:p w14:paraId="64F921C3">
      <w:pPr>
        <w:spacing w:line="360" w:lineRule="auto"/>
        <w:ind w:firstLine="420"/>
        <w:rPr>
          <w:rFonts w:ascii="宋体" w:hAnsi="宋体"/>
          <w:bCs/>
          <w:color w:val="auto"/>
          <w:highlight w:val="none"/>
        </w:rPr>
      </w:pPr>
    </w:p>
    <w:p w14:paraId="33908BB1">
      <w:pPr>
        <w:spacing w:line="360" w:lineRule="auto"/>
        <w:ind w:firstLine="420"/>
        <w:rPr>
          <w:rFonts w:ascii="宋体" w:hAnsi="宋体"/>
          <w:bCs/>
          <w:color w:val="auto"/>
          <w:highlight w:val="none"/>
        </w:rPr>
      </w:pPr>
    </w:p>
    <w:p w14:paraId="79075111">
      <w:pPr>
        <w:spacing w:line="360" w:lineRule="auto"/>
        <w:ind w:firstLine="420"/>
        <w:rPr>
          <w:rFonts w:ascii="宋体" w:hAnsi="宋体"/>
          <w:bCs/>
          <w:color w:val="auto"/>
          <w:highlight w:val="none"/>
        </w:rPr>
        <w:sectPr>
          <w:pgSz w:w="11906" w:h="16838"/>
          <w:pgMar w:top="1440" w:right="1800" w:bottom="1440" w:left="1800" w:header="851" w:footer="992" w:gutter="0"/>
          <w:cols w:space="720" w:num="1"/>
          <w:docGrid w:linePitch="360" w:charSpace="0"/>
        </w:sectPr>
      </w:pPr>
      <w:r>
        <w:rPr>
          <w:rFonts w:hint="eastAsia" w:ascii="宋体" w:hAnsi="宋体"/>
          <w:bCs/>
          <w:color w:val="auto"/>
          <w:highlight w:val="none"/>
        </w:rPr>
        <w:t>被授权人身份证复印件</w:t>
      </w:r>
    </w:p>
    <w:p w14:paraId="5E118F26">
      <w:pPr>
        <w:numPr>
          <w:ilvl w:val="0"/>
          <w:numId w:val="3"/>
        </w:numPr>
        <w:spacing w:line="360" w:lineRule="auto"/>
        <w:jc w:val="center"/>
        <w:rPr>
          <w:rFonts w:ascii="宋体" w:hAnsi="宋体"/>
          <w:b/>
          <w:color w:val="auto"/>
          <w:sz w:val="32"/>
          <w:szCs w:val="32"/>
          <w:highlight w:val="none"/>
        </w:rPr>
      </w:pPr>
      <w:r>
        <w:rPr>
          <w:rFonts w:hint="eastAsia" w:ascii="宋体" w:hAnsi="宋体"/>
          <w:b/>
          <w:color w:val="auto"/>
          <w:sz w:val="32"/>
          <w:szCs w:val="32"/>
          <w:highlight w:val="none"/>
        </w:rPr>
        <w:t>符合性审查响应对照表</w:t>
      </w:r>
    </w:p>
    <w:tbl>
      <w:tblPr>
        <w:tblStyle w:val="18"/>
        <w:tblW w:w="879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4792"/>
        <w:gridCol w:w="2006"/>
        <w:gridCol w:w="1348"/>
      </w:tblGrid>
      <w:tr w14:paraId="043A0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2" w:hRule="atLeast"/>
        </w:trPr>
        <w:tc>
          <w:tcPr>
            <w:tcW w:w="646" w:type="dxa"/>
            <w:vAlign w:val="center"/>
          </w:tcPr>
          <w:p w14:paraId="4A489D02">
            <w:pPr>
              <w:spacing w:line="360" w:lineRule="auto"/>
              <w:jc w:val="center"/>
              <w:rPr>
                <w:rFonts w:ascii="幼圆" w:eastAsia="幼圆"/>
                <w:b/>
                <w:color w:val="auto"/>
                <w:szCs w:val="21"/>
                <w:highlight w:val="none"/>
              </w:rPr>
            </w:pPr>
            <w:r>
              <w:rPr>
                <w:rFonts w:hint="eastAsia" w:ascii="幼圆" w:eastAsia="幼圆"/>
                <w:b/>
                <w:color w:val="auto"/>
                <w:szCs w:val="21"/>
                <w:highlight w:val="none"/>
              </w:rPr>
              <w:t>序号</w:t>
            </w:r>
          </w:p>
        </w:tc>
        <w:tc>
          <w:tcPr>
            <w:tcW w:w="4792" w:type="dxa"/>
            <w:vAlign w:val="center"/>
          </w:tcPr>
          <w:p w14:paraId="779989E0">
            <w:pPr>
              <w:spacing w:line="360" w:lineRule="auto"/>
              <w:jc w:val="center"/>
              <w:rPr>
                <w:rFonts w:ascii="幼圆" w:eastAsia="幼圆"/>
                <w:b/>
                <w:color w:val="auto"/>
                <w:szCs w:val="21"/>
                <w:highlight w:val="none"/>
              </w:rPr>
            </w:pPr>
            <w:r>
              <w:rPr>
                <w:rFonts w:hint="eastAsia" w:ascii="幼圆" w:eastAsia="幼圆"/>
                <w:b/>
                <w:color w:val="auto"/>
                <w:szCs w:val="21"/>
                <w:highlight w:val="none"/>
              </w:rPr>
              <w:t>符合性审查响应内容</w:t>
            </w:r>
          </w:p>
        </w:tc>
        <w:tc>
          <w:tcPr>
            <w:tcW w:w="2006" w:type="dxa"/>
            <w:vAlign w:val="center"/>
          </w:tcPr>
          <w:p w14:paraId="74B20FDE">
            <w:pPr>
              <w:spacing w:line="360" w:lineRule="auto"/>
              <w:jc w:val="center"/>
              <w:rPr>
                <w:rFonts w:ascii="幼圆" w:eastAsia="幼圆"/>
                <w:b/>
                <w:color w:val="auto"/>
                <w:szCs w:val="21"/>
                <w:highlight w:val="none"/>
              </w:rPr>
            </w:pPr>
            <w:r>
              <w:rPr>
                <w:rFonts w:hint="eastAsia" w:ascii="幼圆" w:eastAsia="幼圆"/>
                <w:b/>
                <w:color w:val="auto"/>
                <w:szCs w:val="21"/>
                <w:highlight w:val="none"/>
              </w:rPr>
              <w:t>是否响应</w:t>
            </w:r>
          </w:p>
          <w:p w14:paraId="6997C84B">
            <w:pPr>
              <w:spacing w:line="360" w:lineRule="auto"/>
              <w:jc w:val="center"/>
              <w:rPr>
                <w:rFonts w:ascii="幼圆" w:eastAsia="幼圆"/>
                <w:b/>
                <w:color w:val="auto"/>
                <w:szCs w:val="21"/>
                <w:highlight w:val="none"/>
              </w:rPr>
            </w:pPr>
            <w:r>
              <w:rPr>
                <w:rFonts w:hint="eastAsia" w:ascii="幼圆" w:eastAsia="幼圆"/>
                <w:b/>
                <w:color w:val="auto"/>
                <w:szCs w:val="21"/>
                <w:highlight w:val="none"/>
              </w:rPr>
              <w:t>（填是或者否）</w:t>
            </w:r>
          </w:p>
        </w:tc>
        <w:tc>
          <w:tcPr>
            <w:tcW w:w="1348" w:type="dxa"/>
            <w:vAlign w:val="center"/>
          </w:tcPr>
          <w:p w14:paraId="125FD292">
            <w:pPr>
              <w:spacing w:line="360" w:lineRule="auto"/>
              <w:jc w:val="center"/>
              <w:rPr>
                <w:rFonts w:ascii="幼圆" w:eastAsia="幼圆"/>
                <w:b/>
                <w:color w:val="auto"/>
                <w:szCs w:val="21"/>
                <w:highlight w:val="none"/>
              </w:rPr>
            </w:pPr>
            <w:r>
              <w:rPr>
                <w:rFonts w:hint="eastAsia" w:ascii="幼圆" w:eastAsia="幼圆"/>
                <w:b/>
                <w:color w:val="auto"/>
                <w:szCs w:val="21"/>
                <w:highlight w:val="none"/>
              </w:rPr>
              <w:t>响应情况</w:t>
            </w:r>
          </w:p>
        </w:tc>
      </w:tr>
      <w:tr w14:paraId="184D6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646" w:type="dxa"/>
            <w:vAlign w:val="center"/>
          </w:tcPr>
          <w:p w14:paraId="24C0D101">
            <w:pPr>
              <w:spacing w:line="360" w:lineRule="auto"/>
              <w:jc w:val="center"/>
              <w:rPr>
                <w:rFonts w:ascii="宋体" w:hAnsi="宋体"/>
                <w:color w:val="auto"/>
                <w:szCs w:val="21"/>
                <w:highlight w:val="none"/>
              </w:rPr>
            </w:pPr>
            <w:r>
              <w:rPr>
                <w:rFonts w:hint="eastAsia" w:ascii="宋体" w:hAnsi="宋体"/>
                <w:color w:val="auto"/>
                <w:szCs w:val="21"/>
                <w:highlight w:val="none"/>
              </w:rPr>
              <w:t>1</w:t>
            </w:r>
          </w:p>
        </w:tc>
        <w:tc>
          <w:tcPr>
            <w:tcW w:w="4792" w:type="dxa"/>
            <w:vAlign w:val="center"/>
          </w:tcPr>
          <w:p w14:paraId="70C7F968">
            <w:pPr>
              <w:spacing w:line="360" w:lineRule="auto"/>
              <w:jc w:val="left"/>
              <w:rPr>
                <w:rFonts w:ascii="宋体" w:hAnsi="宋体"/>
                <w:color w:val="auto"/>
                <w:szCs w:val="21"/>
                <w:highlight w:val="none"/>
              </w:rPr>
            </w:pPr>
            <w:r>
              <w:rPr>
                <w:rFonts w:hint="eastAsia" w:ascii="宋体" w:hAnsi="宋体"/>
                <w:color w:val="auto"/>
                <w:szCs w:val="21"/>
                <w:highlight w:val="none"/>
              </w:rPr>
              <w:t>《企业声明函》</w:t>
            </w:r>
          </w:p>
        </w:tc>
        <w:tc>
          <w:tcPr>
            <w:tcW w:w="2006" w:type="dxa"/>
            <w:vAlign w:val="center"/>
          </w:tcPr>
          <w:p w14:paraId="5DA986B2">
            <w:pPr>
              <w:spacing w:line="360" w:lineRule="auto"/>
              <w:rPr>
                <w:rFonts w:ascii="宋体" w:hAnsi="宋体"/>
                <w:b/>
                <w:color w:val="auto"/>
                <w:szCs w:val="21"/>
                <w:highlight w:val="none"/>
              </w:rPr>
            </w:pPr>
          </w:p>
        </w:tc>
        <w:tc>
          <w:tcPr>
            <w:tcW w:w="1348" w:type="dxa"/>
            <w:vAlign w:val="center"/>
          </w:tcPr>
          <w:p w14:paraId="68A50D08">
            <w:pPr>
              <w:spacing w:line="360" w:lineRule="auto"/>
              <w:rPr>
                <w:rFonts w:ascii="宋体" w:hAnsi="宋体"/>
                <w:b/>
                <w:color w:val="auto"/>
                <w:szCs w:val="21"/>
                <w:highlight w:val="none"/>
              </w:rPr>
            </w:pPr>
          </w:p>
        </w:tc>
      </w:tr>
      <w:tr w14:paraId="3F598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646" w:type="dxa"/>
            <w:vAlign w:val="center"/>
          </w:tcPr>
          <w:p w14:paraId="49D14C82">
            <w:pPr>
              <w:spacing w:line="360" w:lineRule="auto"/>
              <w:jc w:val="center"/>
              <w:rPr>
                <w:rFonts w:ascii="宋体" w:hAnsi="宋体"/>
                <w:color w:val="auto"/>
                <w:szCs w:val="21"/>
                <w:highlight w:val="none"/>
              </w:rPr>
            </w:pPr>
            <w:r>
              <w:rPr>
                <w:rFonts w:hint="eastAsia" w:ascii="宋体" w:hAnsi="宋体"/>
                <w:color w:val="auto"/>
                <w:szCs w:val="21"/>
                <w:highlight w:val="none"/>
              </w:rPr>
              <w:t>2</w:t>
            </w:r>
          </w:p>
        </w:tc>
        <w:tc>
          <w:tcPr>
            <w:tcW w:w="4792" w:type="dxa"/>
            <w:vAlign w:val="center"/>
          </w:tcPr>
          <w:p w14:paraId="306CF457">
            <w:pPr>
              <w:spacing w:line="360" w:lineRule="auto"/>
              <w:jc w:val="left"/>
              <w:rPr>
                <w:rFonts w:ascii="宋体" w:hAnsi="宋体"/>
                <w:color w:val="auto"/>
                <w:szCs w:val="21"/>
                <w:highlight w:val="none"/>
              </w:rPr>
            </w:pPr>
            <w:r>
              <w:rPr>
                <w:rFonts w:hint="eastAsia" w:ascii="宋体" w:hAnsi="宋体"/>
                <w:color w:val="auto"/>
                <w:szCs w:val="21"/>
                <w:highlight w:val="none"/>
              </w:rPr>
              <w:t>《残疾人福利性单位声明函》</w:t>
            </w:r>
          </w:p>
        </w:tc>
        <w:tc>
          <w:tcPr>
            <w:tcW w:w="2006" w:type="dxa"/>
            <w:vAlign w:val="center"/>
          </w:tcPr>
          <w:p w14:paraId="751308DD">
            <w:pPr>
              <w:spacing w:line="360" w:lineRule="auto"/>
              <w:rPr>
                <w:rFonts w:ascii="宋体" w:hAnsi="宋体"/>
                <w:color w:val="auto"/>
                <w:szCs w:val="21"/>
                <w:highlight w:val="none"/>
              </w:rPr>
            </w:pPr>
          </w:p>
        </w:tc>
        <w:tc>
          <w:tcPr>
            <w:tcW w:w="1348" w:type="dxa"/>
            <w:vAlign w:val="center"/>
          </w:tcPr>
          <w:p w14:paraId="7A5D6461">
            <w:pPr>
              <w:spacing w:line="360" w:lineRule="auto"/>
              <w:rPr>
                <w:rFonts w:ascii="宋体" w:hAnsi="宋体"/>
                <w:color w:val="auto"/>
                <w:szCs w:val="21"/>
                <w:highlight w:val="none"/>
              </w:rPr>
            </w:pPr>
          </w:p>
        </w:tc>
      </w:tr>
      <w:tr w14:paraId="67CEF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5" w:hRule="atLeast"/>
        </w:trPr>
        <w:tc>
          <w:tcPr>
            <w:tcW w:w="646" w:type="dxa"/>
            <w:vAlign w:val="center"/>
          </w:tcPr>
          <w:p w14:paraId="31CF7FB1">
            <w:pPr>
              <w:spacing w:line="360" w:lineRule="auto"/>
              <w:jc w:val="center"/>
              <w:rPr>
                <w:rFonts w:ascii="宋体" w:hAnsi="宋体"/>
                <w:color w:val="auto"/>
                <w:szCs w:val="21"/>
                <w:highlight w:val="none"/>
              </w:rPr>
            </w:pPr>
            <w:r>
              <w:rPr>
                <w:rFonts w:hint="eastAsia" w:ascii="宋体" w:hAnsi="宋体"/>
                <w:color w:val="auto"/>
                <w:szCs w:val="21"/>
                <w:highlight w:val="none"/>
              </w:rPr>
              <w:t>3</w:t>
            </w:r>
          </w:p>
        </w:tc>
        <w:tc>
          <w:tcPr>
            <w:tcW w:w="4792" w:type="dxa"/>
            <w:vAlign w:val="center"/>
          </w:tcPr>
          <w:p w14:paraId="344D88A0">
            <w:pPr>
              <w:spacing w:line="360" w:lineRule="auto"/>
              <w:jc w:val="left"/>
              <w:rPr>
                <w:rFonts w:ascii="宋体" w:hAnsi="宋体"/>
                <w:color w:val="auto"/>
                <w:szCs w:val="21"/>
                <w:highlight w:val="none"/>
              </w:rPr>
            </w:pPr>
            <w:r>
              <w:rPr>
                <w:rFonts w:hint="eastAsia" w:ascii="宋体" w:hAnsi="宋体"/>
                <w:color w:val="auto"/>
                <w:szCs w:val="21"/>
                <w:highlight w:val="none"/>
              </w:rPr>
              <w:t>《投标产品配置及分项报价表》</w:t>
            </w:r>
          </w:p>
        </w:tc>
        <w:tc>
          <w:tcPr>
            <w:tcW w:w="2006" w:type="dxa"/>
            <w:vAlign w:val="center"/>
          </w:tcPr>
          <w:p w14:paraId="23191859">
            <w:pPr>
              <w:spacing w:line="360" w:lineRule="auto"/>
              <w:rPr>
                <w:rFonts w:ascii="宋体" w:hAnsi="宋体"/>
                <w:color w:val="auto"/>
                <w:szCs w:val="21"/>
                <w:highlight w:val="none"/>
              </w:rPr>
            </w:pPr>
          </w:p>
        </w:tc>
        <w:tc>
          <w:tcPr>
            <w:tcW w:w="1348" w:type="dxa"/>
            <w:vAlign w:val="center"/>
          </w:tcPr>
          <w:p w14:paraId="059375DC">
            <w:pPr>
              <w:spacing w:line="360" w:lineRule="auto"/>
              <w:rPr>
                <w:rFonts w:ascii="宋体" w:hAnsi="宋体"/>
                <w:color w:val="auto"/>
                <w:szCs w:val="21"/>
                <w:highlight w:val="none"/>
              </w:rPr>
            </w:pPr>
          </w:p>
        </w:tc>
      </w:tr>
      <w:tr w14:paraId="3C8D6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17" w:hRule="atLeast"/>
        </w:trPr>
        <w:tc>
          <w:tcPr>
            <w:tcW w:w="646" w:type="dxa"/>
            <w:vAlign w:val="center"/>
          </w:tcPr>
          <w:p w14:paraId="6824589C">
            <w:pPr>
              <w:spacing w:line="360" w:lineRule="auto"/>
              <w:jc w:val="center"/>
              <w:rPr>
                <w:rFonts w:ascii="宋体" w:hAnsi="宋体"/>
                <w:color w:val="auto"/>
                <w:szCs w:val="21"/>
                <w:highlight w:val="none"/>
              </w:rPr>
            </w:pPr>
            <w:r>
              <w:rPr>
                <w:rFonts w:hint="eastAsia" w:ascii="宋体" w:hAnsi="宋体"/>
                <w:color w:val="auto"/>
                <w:szCs w:val="21"/>
                <w:highlight w:val="none"/>
              </w:rPr>
              <w:t>4</w:t>
            </w:r>
          </w:p>
        </w:tc>
        <w:tc>
          <w:tcPr>
            <w:tcW w:w="4792" w:type="dxa"/>
            <w:vAlign w:val="center"/>
          </w:tcPr>
          <w:p w14:paraId="5FB295CF">
            <w:pPr>
              <w:spacing w:line="360" w:lineRule="auto"/>
              <w:jc w:val="left"/>
              <w:rPr>
                <w:rFonts w:ascii="宋体" w:hAnsi="宋体"/>
                <w:color w:val="auto"/>
                <w:szCs w:val="21"/>
                <w:highlight w:val="none"/>
              </w:rPr>
            </w:pPr>
          </w:p>
        </w:tc>
        <w:tc>
          <w:tcPr>
            <w:tcW w:w="2006" w:type="dxa"/>
            <w:vAlign w:val="center"/>
          </w:tcPr>
          <w:p w14:paraId="76B42BC7">
            <w:pPr>
              <w:spacing w:line="360" w:lineRule="auto"/>
              <w:rPr>
                <w:rFonts w:ascii="宋体" w:hAnsi="宋体"/>
                <w:color w:val="auto"/>
                <w:szCs w:val="21"/>
                <w:highlight w:val="none"/>
              </w:rPr>
            </w:pPr>
          </w:p>
        </w:tc>
        <w:tc>
          <w:tcPr>
            <w:tcW w:w="1348" w:type="dxa"/>
            <w:vAlign w:val="center"/>
          </w:tcPr>
          <w:p w14:paraId="17CA8F3B">
            <w:pPr>
              <w:spacing w:line="360" w:lineRule="auto"/>
              <w:rPr>
                <w:rFonts w:ascii="宋体" w:hAnsi="宋体"/>
                <w:color w:val="auto"/>
                <w:szCs w:val="21"/>
                <w:highlight w:val="none"/>
              </w:rPr>
            </w:pPr>
          </w:p>
        </w:tc>
      </w:tr>
      <w:tr w14:paraId="365C3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trPr>
        <w:tc>
          <w:tcPr>
            <w:tcW w:w="646" w:type="dxa"/>
            <w:vAlign w:val="center"/>
          </w:tcPr>
          <w:p w14:paraId="3264E46B">
            <w:pPr>
              <w:spacing w:line="360" w:lineRule="auto"/>
              <w:jc w:val="center"/>
              <w:rPr>
                <w:rFonts w:ascii="宋体" w:hAnsi="宋体"/>
                <w:color w:val="auto"/>
                <w:szCs w:val="21"/>
                <w:highlight w:val="none"/>
              </w:rPr>
            </w:pPr>
            <w:r>
              <w:rPr>
                <w:rFonts w:hint="eastAsia" w:ascii="宋体" w:hAnsi="宋体"/>
                <w:color w:val="auto"/>
                <w:szCs w:val="21"/>
                <w:highlight w:val="none"/>
              </w:rPr>
              <w:t>5</w:t>
            </w:r>
          </w:p>
        </w:tc>
        <w:tc>
          <w:tcPr>
            <w:tcW w:w="4792" w:type="dxa"/>
            <w:vAlign w:val="center"/>
          </w:tcPr>
          <w:p w14:paraId="0CB8EF55">
            <w:pPr>
              <w:spacing w:line="360" w:lineRule="auto"/>
              <w:rPr>
                <w:rFonts w:ascii="宋体" w:hAnsi="宋体"/>
                <w:iCs/>
                <w:color w:val="auto"/>
                <w:szCs w:val="21"/>
                <w:highlight w:val="none"/>
              </w:rPr>
            </w:pPr>
            <w:r>
              <w:rPr>
                <w:rFonts w:ascii="宋体" w:hAnsi="宋体"/>
                <w:iCs/>
                <w:color w:val="auto"/>
                <w:szCs w:val="21"/>
                <w:highlight w:val="none"/>
              </w:rPr>
              <w:t>……</w:t>
            </w:r>
          </w:p>
        </w:tc>
        <w:tc>
          <w:tcPr>
            <w:tcW w:w="2006" w:type="dxa"/>
            <w:vAlign w:val="center"/>
          </w:tcPr>
          <w:p w14:paraId="60673FAA">
            <w:pPr>
              <w:spacing w:line="360" w:lineRule="auto"/>
              <w:rPr>
                <w:rFonts w:ascii="宋体" w:hAnsi="宋体"/>
                <w:color w:val="auto"/>
                <w:szCs w:val="21"/>
                <w:highlight w:val="none"/>
              </w:rPr>
            </w:pPr>
          </w:p>
        </w:tc>
        <w:tc>
          <w:tcPr>
            <w:tcW w:w="1348" w:type="dxa"/>
            <w:vAlign w:val="center"/>
          </w:tcPr>
          <w:p w14:paraId="1A105B49">
            <w:pPr>
              <w:spacing w:line="360" w:lineRule="auto"/>
              <w:rPr>
                <w:rFonts w:ascii="宋体" w:hAnsi="宋体"/>
                <w:color w:val="auto"/>
                <w:szCs w:val="21"/>
                <w:highlight w:val="none"/>
              </w:rPr>
            </w:pPr>
          </w:p>
        </w:tc>
      </w:tr>
    </w:tbl>
    <w:p w14:paraId="738D7E25">
      <w:pPr>
        <w:spacing w:line="360" w:lineRule="auto"/>
        <w:contextualSpacing/>
        <w:jc w:val="center"/>
        <w:rPr>
          <w:b/>
          <w:bCs/>
          <w:color w:val="auto"/>
          <w:highlight w:val="none"/>
        </w:rPr>
      </w:pPr>
      <w:r>
        <w:rPr>
          <w:rFonts w:ascii="宋体" w:hAnsi="宋体"/>
          <w:b/>
          <w:bCs/>
          <w:color w:val="auto"/>
          <w:sz w:val="32"/>
          <w:szCs w:val="32"/>
          <w:highlight w:val="none"/>
        </w:rPr>
        <w:br w:type="page" w:clear="all"/>
      </w:r>
    </w:p>
    <w:p w14:paraId="21CD4159">
      <w:pPr>
        <w:jc w:val="center"/>
        <w:rPr>
          <w:b/>
          <w:bCs/>
          <w:color w:val="auto"/>
          <w:highlight w:val="none"/>
        </w:rPr>
      </w:pPr>
      <w:r>
        <w:rPr>
          <w:rFonts w:hint="eastAsia"/>
          <w:b/>
          <w:bCs/>
          <w:color w:val="auto"/>
          <w:highlight w:val="none"/>
        </w:rPr>
        <w:t>中小企业声明函（货物）</w:t>
      </w:r>
    </w:p>
    <w:p w14:paraId="0283848A">
      <w:pPr>
        <w:spacing w:line="360" w:lineRule="auto"/>
        <w:ind w:firstLine="420"/>
        <w:jc w:val="left"/>
        <w:rPr>
          <w:color w:val="auto"/>
          <w:highlight w:val="none"/>
        </w:rPr>
      </w:pPr>
      <w:r>
        <w:rPr>
          <w:rFonts w:hint="eastAsia"/>
          <w:color w:val="auto"/>
          <w:highlight w:val="none"/>
        </w:rPr>
        <w:t>本公司（联合体）郑重声明，根据《政府采购促进中小企业发展管理办法》（财库﹝2020﹞46 号）的规定，本公司（联合体）参加</w:t>
      </w:r>
      <w:r>
        <w:rPr>
          <w:rFonts w:hint="eastAsia"/>
          <w:color w:val="auto"/>
          <w:highlight w:val="none"/>
          <w:u w:val="single"/>
        </w:rPr>
        <w:t>（单位名称）</w:t>
      </w:r>
      <w:r>
        <w:rPr>
          <w:rFonts w:hint="eastAsia"/>
          <w:color w:val="auto"/>
          <w:highlight w:val="none"/>
        </w:rPr>
        <w:t>的</w:t>
      </w:r>
      <w:r>
        <w:rPr>
          <w:rFonts w:hint="eastAsia"/>
          <w:color w:val="auto"/>
          <w:highlight w:val="none"/>
          <w:u w:val="single"/>
        </w:rPr>
        <w:t>（项目名称）</w:t>
      </w:r>
      <w:r>
        <w:rPr>
          <w:rFonts w:hint="eastAsia"/>
          <w:color w:val="auto"/>
          <w:highlight w:val="none"/>
        </w:rPr>
        <w:t>采购活动，提供的货物全部由符合政策要求的中小企业制造。相关企业（含联合体中的中小企业、签订分包意向协议的中小企业）的具体情况如下：</w:t>
      </w:r>
    </w:p>
    <w:p w14:paraId="33F2A3BF">
      <w:pPr>
        <w:spacing w:line="360" w:lineRule="auto"/>
        <w:ind w:firstLine="420" w:firstLineChars="200"/>
        <w:jc w:val="left"/>
        <w:rPr>
          <w:color w:val="auto"/>
          <w:highlight w:val="none"/>
        </w:rPr>
      </w:pPr>
      <w:r>
        <w:rPr>
          <w:rFonts w:hint="eastAsia"/>
          <w:color w:val="auto"/>
          <w:highlight w:val="none"/>
        </w:rPr>
        <w:t xml:space="preserve">1. </w:t>
      </w:r>
      <w:r>
        <w:rPr>
          <w:rFonts w:hint="eastAsia"/>
          <w:color w:val="auto"/>
          <w:highlight w:val="none"/>
          <w:u w:val="single"/>
        </w:rPr>
        <w:t xml:space="preserve">（标的名称） </w:t>
      </w:r>
      <w:r>
        <w:rPr>
          <w:rFonts w:hint="eastAsia"/>
          <w:color w:val="auto"/>
          <w:highlight w:val="none"/>
        </w:rPr>
        <w:t>，属于</w:t>
      </w:r>
      <w:r>
        <w:rPr>
          <w:rFonts w:hint="eastAsia"/>
          <w:color w:val="auto"/>
          <w:highlight w:val="none"/>
          <w:u w:val="single"/>
        </w:rPr>
        <w:t>（采购文件中明确的所属行业）行业</w:t>
      </w:r>
      <w:r>
        <w:rPr>
          <w:rFonts w:hint="eastAsia"/>
          <w:color w:val="auto"/>
          <w:highlight w:val="none"/>
        </w:rPr>
        <w:t>；制造商为</w:t>
      </w:r>
      <w:r>
        <w:rPr>
          <w:rFonts w:hint="eastAsia"/>
          <w:color w:val="auto"/>
          <w:highlight w:val="none"/>
          <w:u w:val="single"/>
        </w:rPr>
        <w:t>（企业名称）</w:t>
      </w:r>
      <w:r>
        <w:rPr>
          <w:rFonts w:hint="eastAsia"/>
          <w:color w:val="auto"/>
          <w:highlight w:val="none"/>
        </w:rPr>
        <w:t>，从业人员</w:t>
      </w:r>
      <w:r>
        <w:rPr>
          <w:rFonts w:hint="eastAsia"/>
          <w:color w:val="auto"/>
          <w:highlight w:val="none"/>
          <w:u w:val="single"/>
        </w:rPr>
        <w:t xml:space="preserve">       </w:t>
      </w:r>
      <w:r>
        <w:rPr>
          <w:rFonts w:hint="eastAsia"/>
          <w:color w:val="auto"/>
          <w:highlight w:val="none"/>
        </w:rPr>
        <w:t>人，营业收入为</w:t>
      </w:r>
      <w:r>
        <w:rPr>
          <w:rFonts w:hint="eastAsia"/>
          <w:color w:val="auto"/>
          <w:highlight w:val="none"/>
          <w:u w:val="single"/>
        </w:rPr>
        <w:t xml:space="preserve">        </w:t>
      </w:r>
      <w:r>
        <w:rPr>
          <w:rFonts w:hint="eastAsia"/>
          <w:color w:val="auto"/>
          <w:highlight w:val="none"/>
        </w:rPr>
        <w:t>万元，资产总额为</w:t>
      </w:r>
      <w:r>
        <w:rPr>
          <w:rFonts w:hint="eastAsia"/>
          <w:color w:val="auto"/>
          <w:highlight w:val="none"/>
          <w:u w:val="single"/>
        </w:rPr>
        <w:t xml:space="preserve">        </w:t>
      </w:r>
      <w:r>
        <w:rPr>
          <w:rFonts w:hint="eastAsia"/>
          <w:color w:val="auto"/>
          <w:highlight w:val="none"/>
        </w:rPr>
        <w:t>万元</w:t>
      </w:r>
      <w:r>
        <w:rPr>
          <w:color w:val="auto"/>
          <w:highlight w:val="none"/>
        </w:rPr>
        <w:fldChar w:fldCharType="begin"/>
      </w:r>
      <w:r>
        <w:rPr>
          <w:color w:val="auto"/>
          <w:highlight w:val="none"/>
        </w:rPr>
        <w:instrText xml:space="preserve"> HYPERLINK \l "br1" </w:instrText>
      </w:r>
      <w:r>
        <w:rPr>
          <w:color w:val="auto"/>
          <w:highlight w:val="none"/>
        </w:rPr>
        <w:fldChar w:fldCharType="separate"/>
      </w:r>
      <w:r>
        <w:rPr>
          <w:rFonts w:ascii="仿宋" w:eastAsia="Times New Roman"/>
          <w:color w:val="auto"/>
          <w:spacing w:val="-1"/>
          <w:highlight w:val="none"/>
          <w:vertAlign w:val="superscript"/>
        </w:rPr>
        <w:t>1</w:t>
      </w:r>
      <w:r>
        <w:rPr>
          <w:rFonts w:ascii="仿宋" w:eastAsia="Times New Roman"/>
          <w:color w:val="auto"/>
          <w:spacing w:val="-1"/>
          <w:highlight w:val="none"/>
          <w:vertAlign w:val="superscript"/>
        </w:rPr>
        <w:fldChar w:fldCharType="end"/>
      </w:r>
      <w:r>
        <w:rPr>
          <w:rFonts w:hint="eastAsia"/>
          <w:color w:val="auto"/>
          <w:highlight w:val="none"/>
        </w:rPr>
        <w:t>，属于</w:t>
      </w:r>
      <w:r>
        <w:rPr>
          <w:rFonts w:hint="eastAsia"/>
          <w:color w:val="auto"/>
          <w:highlight w:val="none"/>
          <w:u w:val="single"/>
        </w:rPr>
        <w:t>（中型企业、小型企业、微型企业）；</w:t>
      </w:r>
    </w:p>
    <w:p w14:paraId="7DA7660A">
      <w:pPr>
        <w:spacing w:line="360" w:lineRule="auto"/>
        <w:ind w:firstLine="420" w:firstLineChars="200"/>
        <w:jc w:val="left"/>
        <w:rPr>
          <w:color w:val="auto"/>
          <w:highlight w:val="none"/>
          <w:u w:val="single"/>
        </w:rPr>
      </w:pPr>
      <w:r>
        <w:rPr>
          <w:rFonts w:hint="eastAsia"/>
          <w:color w:val="auto"/>
          <w:highlight w:val="none"/>
        </w:rPr>
        <w:t xml:space="preserve">2. </w:t>
      </w:r>
      <w:r>
        <w:rPr>
          <w:rFonts w:hint="eastAsia"/>
          <w:color w:val="auto"/>
          <w:highlight w:val="none"/>
          <w:u w:val="single"/>
        </w:rPr>
        <w:t xml:space="preserve">（标的名称） </w:t>
      </w:r>
      <w:r>
        <w:rPr>
          <w:rFonts w:hint="eastAsia"/>
          <w:color w:val="auto"/>
          <w:highlight w:val="none"/>
        </w:rPr>
        <w:t>，属于</w:t>
      </w:r>
      <w:r>
        <w:rPr>
          <w:rFonts w:hint="eastAsia"/>
          <w:color w:val="auto"/>
          <w:highlight w:val="none"/>
          <w:u w:val="single"/>
        </w:rPr>
        <w:t>（采购文件中明确的所属行业）行业</w:t>
      </w:r>
      <w:r>
        <w:rPr>
          <w:rFonts w:hint="eastAsia"/>
          <w:color w:val="auto"/>
          <w:highlight w:val="none"/>
        </w:rPr>
        <w:t>；制造商为</w:t>
      </w:r>
      <w:r>
        <w:rPr>
          <w:rFonts w:hint="eastAsia"/>
          <w:color w:val="auto"/>
          <w:highlight w:val="none"/>
          <w:u w:val="single"/>
        </w:rPr>
        <w:t>（企业名称）</w:t>
      </w:r>
      <w:r>
        <w:rPr>
          <w:rFonts w:hint="eastAsia"/>
          <w:color w:val="auto"/>
          <w:highlight w:val="none"/>
        </w:rPr>
        <w:t>，从业人员</w:t>
      </w:r>
      <w:r>
        <w:rPr>
          <w:rFonts w:hint="eastAsia"/>
          <w:color w:val="auto"/>
          <w:highlight w:val="none"/>
          <w:u w:val="single"/>
        </w:rPr>
        <w:t xml:space="preserve">       </w:t>
      </w:r>
      <w:r>
        <w:rPr>
          <w:rFonts w:hint="eastAsia"/>
          <w:color w:val="auto"/>
          <w:highlight w:val="none"/>
        </w:rPr>
        <w:t>人，营业收入为</w:t>
      </w:r>
      <w:r>
        <w:rPr>
          <w:rFonts w:hint="eastAsia"/>
          <w:color w:val="auto"/>
          <w:highlight w:val="none"/>
          <w:u w:val="single"/>
        </w:rPr>
        <w:t xml:space="preserve">        </w:t>
      </w:r>
      <w:r>
        <w:rPr>
          <w:rFonts w:hint="eastAsia"/>
          <w:color w:val="auto"/>
          <w:highlight w:val="none"/>
        </w:rPr>
        <w:t>万元，资产总额为</w:t>
      </w:r>
      <w:r>
        <w:rPr>
          <w:rFonts w:hint="eastAsia"/>
          <w:color w:val="auto"/>
          <w:highlight w:val="none"/>
          <w:u w:val="single"/>
        </w:rPr>
        <w:t xml:space="preserve">        </w:t>
      </w:r>
      <w:r>
        <w:rPr>
          <w:rFonts w:hint="eastAsia"/>
          <w:color w:val="auto"/>
          <w:highlight w:val="none"/>
        </w:rPr>
        <w:t>万元，属于</w:t>
      </w:r>
      <w:r>
        <w:rPr>
          <w:rFonts w:hint="eastAsia"/>
          <w:color w:val="auto"/>
          <w:highlight w:val="none"/>
          <w:u w:val="single"/>
        </w:rPr>
        <w:t>（中型企业、小型企业、微型企业）；</w:t>
      </w:r>
    </w:p>
    <w:p w14:paraId="0E066E60">
      <w:pPr>
        <w:spacing w:line="360" w:lineRule="auto"/>
        <w:ind w:firstLine="420"/>
        <w:jc w:val="left"/>
        <w:rPr>
          <w:color w:val="auto"/>
          <w:highlight w:val="none"/>
        </w:rPr>
      </w:pPr>
      <w:r>
        <w:rPr>
          <w:rFonts w:hint="eastAsia"/>
          <w:color w:val="auto"/>
          <w:highlight w:val="none"/>
        </w:rPr>
        <w:t>……</w:t>
      </w:r>
    </w:p>
    <w:p w14:paraId="48713839">
      <w:pPr>
        <w:spacing w:line="360" w:lineRule="auto"/>
        <w:ind w:firstLine="420"/>
        <w:jc w:val="left"/>
        <w:rPr>
          <w:color w:val="auto"/>
          <w:highlight w:val="none"/>
        </w:rPr>
      </w:pPr>
      <w:r>
        <w:rPr>
          <w:rFonts w:hint="eastAsia"/>
          <w:color w:val="auto"/>
          <w:highlight w:val="none"/>
        </w:rPr>
        <w:t>以上企业，不属于大企业的分支机构，不存在控股股东为大企业的情形，也不存在与大企业的负责人为同一人的情形。</w:t>
      </w:r>
    </w:p>
    <w:p w14:paraId="536B5D17">
      <w:pPr>
        <w:spacing w:line="360" w:lineRule="auto"/>
        <w:ind w:firstLine="420"/>
        <w:jc w:val="left"/>
        <w:rPr>
          <w:color w:val="auto"/>
          <w:highlight w:val="none"/>
        </w:rPr>
      </w:pPr>
      <w:r>
        <w:rPr>
          <w:rFonts w:hint="eastAsia"/>
          <w:color w:val="auto"/>
          <w:highlight w:val="none"/>
        </w:rPr>
        <w:t>本企业对上述声明内容的真实性负责。如有虚假，将依法承担相应责任。</w:t>
      </w:r>
    </w:p>
    <w:p w14:paraId="4B0D157A">
      <w:pPr>
        <w:spacing w:line="360" w:lineRule="auto"/>
        <w:rPr>
          <w:rFonts w:ascii="宋体" w:hAnsi="宋体"/>
          <w:color w:val="auto"/>
          <w:highlight w:val="none"/>
        </w:rPr>
      </w:pPr>
      <w:r>
        <w:rPr>
          <w:rFonts w:hint="eastAsia" w:ascii="宋体" w:hAnsi="宋体"/>
          <w:b/>
          <w:bCs/>
          <w:color w:val="auto"/>
          <w:highlight w:val="none"/>
        </w:rPr>
        <w:t>注</w:t>
      </w:r>
      <w:r>
        <w:rPr>
          <w:rFonts w:hint="eastAsia" w:ascii="宋体" w:hAnsi="宋体"/>
          <w:color w:val="auto"/>
          <w:highlight w:val="none"/>
        </w:rPr>
        <w:t>：1、</w:t>
      </w:r>
      <w:r>
        <w:rPr>
          <w:rFonts w:hint="eastAsia"/>
          <w:color w:val="auto"/>
          <w:highlight w:val="none"/>
        </w:rPr>
        <w:t>从业人员（不仅指在职职工）、营业收入、资产总额填报上一年度数据，无上一年度数据的新成立企业可不填报。</w:t>
      </w:r>
    </w:p>
    <w:p w14:paraId="2BEED731">
      <w:pPr>
        <w:spacing w:line="360" w:lineRule="auto"/>
        <w:ind w:firstLine="420"/>
        <w:rPr>
          <w:rFonts w:ascii="宋体" w:hAnsi="宋体"/>
          <w:color w:val="auto"/>
          <w:highlight w:val="none"/>
        </w:rPr>
      </w:pPr>
      <w:r>
        <w:rPr>
          <w:rFonts w:hint="eastAsia" w:ascii="宋体" w:hAnsi="宋体"/>
          <w:color w:val="auto"/>
          <w:highlight w:val="none"/>
        </w:rPr>
        <w:t>2、供应商如不提供此声明函，价格将不做相应扣除。</w:t>
      </w:r>
    </w:p>
    <w:p w14:paraId="1C6FFCB6">
      <w:pPr>
        <w:spacing w:line="360" w:lineRule="auto"/>
        <w:rPr>
          <w:rFonts w:ascii="宋体" w:hAnsi="宋体"/>
          <w:color w:val="auto"/>
          <w:highlight w:val="none"/>
        </w:rPr>
      </w:pPr>
      <w:r>
        <w:rPr>
          <w:rFonts w:hint="eastAsia" w:ascii="宋体" w:hAnsi="宋体"/>
          <w:color w:val="auto"/>
          <w:highlight w:val="none"/>
        </w:rPr>
        <w:t xml:space="preserve">    3、企业声明函请完整填写，中标后将公示。</w:t>
      </w:r>
    </w:p>
    <w:p w14:paraId="600C3609">
      <w:pPr>
        <w:spacing w:line="360" w:lineRule="auto"/>
        <w:ind w:firstLine="420"/>
        <w:jc w:val="left"/>
        <w:rPr>
          <w:color w:val="auto"/>
          <w:highlight w:val="none"/>
        </w:rPr>
      </w:pPr>
      <w:r>
        <w:rPr>
          <w:rFonts w:hint="eastAsia"/>
          <w:color w:val="auto"/>
          <w:highlight w:val="none"/>
        </w:rPr>
        <w:t>4、供应商应当对其出具的《中小企业声明函》真实性负责，供应商出具的《中小企业声明函》内容不实的，属于提供虚假材料谋取中标。对相关制造商信息了解不充分，或者不能确定相关信息真实、准确的，不建议出具《中小企业声明函》。</w:t>
      </w:r>
    </w:p>
    <w:p w14:paraId="6B04AF8F">
      <w:pPr>
        <w:spacing w:line="360" w:lineRule="auto"/>
        <w:ind w:firstLine="420"/>
        <w:jc w:val="left"/>
        <w:rPr>
          <w:color w:val="auto"/>
          <w:highlight w:val="none"/>
        </w:rPr>
      </w:pPr>
      <w:r>
        <w:rPr>
          <w:rFonts w:hint="eastAsia"/>
          <w:color w:val="auto"/>
          <w:highlight w:val="none"/>
        </w:rPr>
        <w:t>5、中小企业不得属于大企业的分支机构，不得存在控股股东为大企业的情形，不得存在与大企业的负责人为同一人的情形。</w:t>
      </w:r>
    </w:p>
    <w:p w14:paraId="5DF53CE4">
      <w:pPr>
        <w:spacing w:line="360" w:lineRule="auto"/>
        <w:ind w:firstLine="420"/>
        <w:jc w:val="left"/>
        <w:rPr>
          <w:color w:val="auto"/>
          <w:highlight w:val="none"/>
        </w:rPr>
      </w:pPr>
      <w:r>
        <w:rPr>
          <w:rFonts w:hint="eastAsia"/>
          <w:color w:val="auto"/>
          <w:highlight w:val="none"/>
        </w:rPr>
        <w:t>6、《政府采购法》第七十七条第一款：提供虚假材料谋取中标、成交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 。</w:t>
      </w:r>
    </w:p>
    <w:p w14:paraId="41EAB483">
      <w:pPr>
        <w:spacing w:line="360" w:lineRule="auto"/>
        <w:ind w:firstLine="4620"/>
        <w:jc w:val="left"/>
        <w:rPr>
          <w:color w:val="auto"/>
          <w:highlight w:val="none"/>
        </w:rPr>
      </w:pPr>
      <w:r>
        <w:rPr>
          <w:rFonts w:hint="eastAsia"/>
          <w:color w:val="auto"/>
          <w:highlight w:val="none"/>
        </w:rPr>
        <w:t>企业名称（盖章）：</w:t>
      </w:r>
    </w:p>
    <w:p w14:paraId="643A44A9">
      <w:pPr>
        <w:spacing w:line="360" w:lineRule="auto"/>
        <w:ind w:firstLine="4620"/>
        <w:jc w:val="left"/>
        <w:rPr>
          <w:color w:val="auto"/>
          <w:highlight w:val="none"/>
        </w:rPr>
      </w:pPr>
      <w:r>
        <w:rPr>
          <w:rFonts w:hint="eastAsia"/>
          <w:color w:val="auto"/>
          <w:highlight w:val="none"/>
        </w:rPr>
        <w:t>日 期：</w:t>
      </w:r>
    </w:p>
    <w:p w14:paraId="333146D4">
      <w:pPr>
        <w:pStyle w:val="34"/>
        <w:widowControl/>
        <w:spacing w:before="300" w:after="300" w:line="360" w:lineRule="auto"/>
        <w:jc w:val="center"/>
        <w:rPr>
          <w:rFonts w:ascii="宋体" w:hAnsi="宋体"/>
          <w:color w:val="auto"/>
          <w:sz w:val="21"/>
          <w:szCs w:val="21"/>
          <w:highlight w:val="none"/>
          <w:lang w:eastAsia="zh-CN"/>
        </w:rPr>
      </w:pPr>
      <w:bookmarkStart w:id="33" w:name="_Toc109304977"/>
      <w:r>
        <w:rPr>
          <w:rFonts w:hint="eastAsia" w:ascii="宋体" w:hAnsi="宋体" w:cs="微软雅黑"/>
          <w:bCs w:val="0"/>
          <w:color w:val="auto"/>
          <w:sz w:val="21"/>
          <w:szCs w:val="21"/>
          <w:highlight w:val="none"/>
          <w:lang w:eastAsia="zh-CN"/>
        </w:rPr>
        <w:t>中小微企业划型标准</w:t>
      </w:r>
      <w:bookmarkEnd w:id="33"/>
      <w:r>
        <w:rPr>
          <w:rFonts w:hint="eastAsia" w:ascii="宋体" w:hAnsi="宋体" w:cs="微软雅黑"/>
          <w:bCs w:val="0"/>
          <w:color w:val="auto"/>
          <w:sz w:val="21"/>
          <w:szCs w:val="21"/>
          <w:highlight w:val="none"/>
          <w:lang w:eastAsia="zh-CN"/>
        </w:rPr>
        <w:t> </w:t>
      </w:r>
    </w:p>
    <w:p w14:paraId="5C5CB1B5">
      <w:pPr>
        <w:pStyle w:val="40"/>
        <w:widowControl/>
        <w:spacing w:before="300" w:after="452" w:line="360" w:lineRule="auto"/>
        <w:ind w:firstLine="420"/>
        <w:rPr>
          <w:rFonts w:ascii="宋体" w:hAnsi="宋体"/>
          <w:color w:val="auto"/>
          <w:sz w:val="21"/>
          <w:szCs w:val="21"/>
          <w:highlight w:val="none"/>
        </w:rPr>
      </w:pPr>
      <w:r>
        <w:rPr>
          <w:rFonts w:hint="eastAsia" w:ascii="宋体" w:hAnsi="宋体" w:cs="仿宋"/>
          <w:color w:val="auto"/>
          <w:sz w:val="21"/>
          <w:szCs w:val="21"/>
          <w:highlight w:val="none"/>
        </w:rPr>
        <w:t>    </w:t>
      </w:r>
      <w:r>
        <w:rPr>
          <w:rStyle w:val="41"/>
          <w:rFonts w:hint="eastAsia" w:ascii="宋体" w:hAnsi="宋体" w:cs="仿宋"/>
          <w:color w:val="auto"/>
          <w:szCs w:val="21"/>
          <w:highlight w:val="none"/>
        </w:rPr>
        <w:t>中小微企业划型标准如下：</w:t>
      </w:r>
    </w:p>
    <w:tbl>
      <w:tblPr>
        <w:tblStyle w:val="18"/>
        <w:tblW w:w="0" w:type="auto"/>
        <w:tblCellSpacing w:w="15" w:type="dxa"/>
        <w:tblInd w:w="0" w:type="dxa"/>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1491"/>
        <w:gridCol w:w="1769"/>
        <w:gridCol w:w="535"/>
        <w:gridCol w:w="2119"/>
        <w:gridCol w:w="1739"/>
        <w:gridCol w:w="1545"/>
      </w:tblGrid>
      <w:tr w14:paraId="79326418">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285" w:hRule="atLeast"/>
          <w:tblCellSpacing w:w="15" w:type="dxa"/>
        </w:trPr>
        <w:tc>
          <w:tcPr>
            <w:tcW w:w="1446" w:type="dxa"/>
            <w:tcBorders>
              <w:top w:val="single" w:color="000000" w:sz="6" w:space="0"/>
              <w:left w:val="single" w:color="000000" w:sz="6" w:space="0"/>
              <w:bottom w:val="single" w:color="000000" w:sz="6" w:space="0"/>
              <w:right w:val="single" w:color="000000" w:sz="6" w:space="0"/>
            </w:tcBorders>
            <w:tcMar>
              <w:top w:w="0" w:type="dxa"/>
              <w:left w:w="105" w:type="dxa"/>
              <w:bottom w:w="0" w:type="dxa"/>
              <w:right w:w="105" w:type="dxa"/>
            </w:tcMar>
            <w:vAlign w:val="center"/>
          </w:tcPr>
          <w:p w14:paraId="11D35DB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行业名称</w:t>
            </w:r>
          </w:p>
        </w:tc>
        <w:tc>
          <w:tcPr>
            <w:tcW w:w="1739" w:type="dxa"/>
            <w:tcBorders>
              <w:top w:val="single" w:color="000000" w:sz="6" w:space="0"/>
              <w:left w:val="nil"/>
              <w:bottom w:val="single" w:color="999999" w:sz="6" w:space="0"/>
              <w:right w:val="single" w:color="999999" w:sz="6" w:space="0"/>
            </w:tcBorders>
            <w:tcMar>
              <w:top w:w="0" w:type="dxa"/>
              <w:left w:w="105" w:type="dxa"/>
              <w:bottom w:w="0" w:type="dxa"/>
              <w:right w:w="105" w:type="dxa"/>
            </w:tcMar>
            <w:vAlign w:val="center"/>
          </w:tcPr>
          <w:p w14:paraId="65C47650">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指标名称</w:t>
            </w:r>
          </w:p>
        </w:tc>
        <w:tc>
          <w:tcPr>
            <w:tcW w:w="505" w:type="dxa"/>
            <w:tcBorders>
              <w:top w:val="single" w:color="000000" w:sz="6" w:space="0"/>
              <w:left w:val="nil"/>
              <w:bottom w:val="single" w:color="999999" w:sz="6" w:space="0"/>
              <w:right w:val="single" w:color="999999" w:sz="6" w:space="0"/>
            </w:tcBorders>
            <w:tcMar>
              <w:top w:w="0" w:type="dxa"/>
              <w:left w:w="105" w:type="dxa"/>
              <w:bottom w:w="0" w:type="dxa"/>
              <w:right w:w="105" w:type="dxa"/>
            </w:tcMar>
            <w:vAlign w:val="center"/>
          </w:tcPr>
          <w:p w14:paraId="5E687F16">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计量单位</w:t>
            </w:r>
          </w:p>
        </w:tc>
        <w:tc>
          <w:tcPr>
            <w:tcW w:w="2089" w:type="dxa"/>
            <w:tcBorders>
              <w:top w:val="single" w:color="000000" w:sz="6" w:space="0"/>
              <w:left w:val="nil"/>
              <w:bottom w:val="single" w:color="999999" w:sz="6" w:space="0"/>
              <w:right w:val="single" w:color="999999" w:sz="6" w:space="0"/>
            </w:tcBorders>
            <w:tcMar>
              <w:top w:w="0" w:type="dxa"/>
              <w:left w:w="105" w:type="dxa"/>
              <w:bottom w:w="0" w:type="dxa"/>
              <w:right w:w="105" w:type="dxa"/>
            </w:tcMar>
            <w:vAlign w:val="center"/>
          </w:tcPr>
          <w:p w14:paraId="19404B7A">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中型</w:t>
            </w:r>
          </w:p>
        </w:tc>
        <w:tc>
          <w:tcPr>
            <w:tcW w:w="1709" w:type="dxa"/>
            <w:tcBorders>
              <w:top w:val="single" w:color="000000" w:sz="6" w:space="0"/>
              <w:left w:val="nil"/>
              <w:bottom w:val="single" w:color="999999" w:sz="6" w:space="0"/>
              <w:right w:val="single" w:color="999999" w:sz="6" w:space="0"/>
            </w:tcBorders>
            <w:tcMar>
              <w:top w:w="0" w:type="dxa"/>
              <w:left w:w="105" w:type="dxa"/>
              <w:bottom w:w="0" w:type="dxa"/>
              <w:right w:w="105" w:type="dxa"/>
            </w:tcMar>
            <w:vAlign w:val="center"/>
          </w:tcPr>
          <w:p w14:paraId="3809C076">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小型</w:t>
            </w:r>
          </w:p>
        </w:tc>
        <w:tc>
          <w:tcPr>
            <w:tcW w:w="1500" w:type="dxa"/>
            <w:tcBorders>
              <w:top w:val="single" w:color="000000" w:sz="6" w:space="0"/>
              <w:left w:val="nil"/>
              <w:bottom w:val="single" w:color="999999" w:sz="6" w:space="0"/>
              <w:right w:val="single" w:color="999999" w:sz="6" w:space="0"/>
            </w:tcBorders>
            <w:tcMar>
              <w:top w:w="0" w:type="dxa"/>
              <w:left w:w="105" w:type="dxa"/>
              <w:bottom w:w="0" w:type="dxa"/>
              <w:right w:w="105" w:type="dxa"/>
            </w:tcMar>
            <w:vAlign w:val="center"/>
          </w:tcPr>
          <w:p w14:paraId="7ED82AC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微型</w:t>
            </w:r>
          </w:p>
        </w:tc>
      </w:tr>
      <w:tr w14:paraId="70B2987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225" w:hRule="atLeast"/>
          <w:tblCellSpacing w:w="15" w:type="dxa"/>
        </w:trPr>
        <w:tc>
          <w:tcPr>
            <w:tcW w:w="1446" w:type="dxa"/>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69B6FF0E">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农、林、牧、渔</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64277C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FAD613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5C315E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500≤Y＜20000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AB265EA">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50≤Y＜500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EB1C40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Y＜50</w:t>
            </w:r>
          </w:p>
        </w:tc>
      </w:tr>
      <w:tr w14:paraId="06E7C24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4E8D0EDD">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工业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F2D7CA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A99FCF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F1D068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300≤X＜1000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C20FEC6">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20≤X＜300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0A7D7E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X＜20</w:t>
            </w:r>
          </w:p>
        </w:tc>
      </w:tr>
      <w:tr w14:paraId="59D4E9D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3CC0A46B">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0068E3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2E4FC5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B58808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2000≤Y＜40000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D15F122">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300≤Y＜2000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6F5235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Y＜300</w:t>
            </w:r>
          </w:p>
        </w:tc>
      </w:tr>
      <w:tr w14:paraId="32D1791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4294E6BE">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建筑业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7436C1F">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59F349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CC532B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6000≤Y＜80000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07EC8F5">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300≤Y＜6000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D11D81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Y＜300</w:t>
            </w:r>
          </w:p>
        </w:tc>
      </w:tr>
      <w:tr w14:paraId="554EAE8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19087E75">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E7C82E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资产总额（Z）</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A7CAFC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BA944B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5000≤Z＜80000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72AE0AD">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300≤Z＜5000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02E64E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Z＜300</w:t>
            </w:r>
          </w:p>
        </w:tc>
      </w:tr>
      <w:tr w14:paraId="4EA28F7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7FEBCEAD">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批发业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F0AF8E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C076D3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3285D6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20≤X＜200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2D309D1">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5≤X＜20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03BD82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X＜5</w:t>
            </w:r>
          </w:p>
        </w:tc>
      </w:tr>
      <w:tr w14:paraId="1EBAC205">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35EBA6CD">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ECE350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DD5713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B6AFDE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5000≤Y＜40000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E922C90">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1000≤Y＜5000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B09721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Y＜1000</w:t>
            </w:r>
          </w:p>
        </w:tc>
      </w:tr>
      <w:tr w14:paraId="3084F721">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246889E9">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零售业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E79091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5F1506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FA6243C">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50≤X＜300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3996B71">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10≤X＜50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D914138">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r w14:paraId="50CF1573">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57108FCB">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5E867D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57DECA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A4569E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500≤Y＜20000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7187512">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100≤Y＜500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BE78D3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58241359">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5783F47E">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交通运输业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2585FDC">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BDED5F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214D37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300≤X＜1000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73B30B5">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20≤X＜300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9EB183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X＜20</w:t>
            </w:r>
          </w:p>
        </w:tc>
      </w:tr>
      <w:tr w14:paraId="267DF586">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04D8C621">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F28B7C4">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4ECFB1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59B5786">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3000≤Y＜30000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873425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200≤Y＜3000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BFB194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Y＜200</w:t>
            </w:r>
          </w:p>
        </w:tc>
      </w:tr>
      <w:tr w14:paraId="3269404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574845BD">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仓储业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702DF0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61AD3F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49B1B7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100≤X＜200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46C487C">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20≤X＜100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4181B9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X＜20</w:t>
            </w:r>
          </w:p>
        </w:tc>
      </w:tr>
      <w:tr w14:paraId="5F7BD43A">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2638013C">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BC9FC4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F22E8E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54A94F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1000≤Y＜30000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DB4A41C">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100≤Y＜1000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42FBC9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036A7A2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759AE853">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邮政业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E74057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1BB6FB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451C40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300≤X＜1000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D453787">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20≤X＜300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A7C843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X＜20</w:t>
            </w:r>
          </w:p>
        </w:tc>
      </w:tr>
      <w:tr w14:paraId="1DDDCF88">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5F55C5E9">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23AC0EC">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3D3790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9B2DA48">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2000≤Y＜30000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BB40DA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100≤Y＜2000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70C84C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5C326449">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130505DD">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住宿业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2032E0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0DFDCFF">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6D9C662">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100≤X＜300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29ADCE0">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A3DD00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r w14:paraId="5A60C59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417B0BD8">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ABCE27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61B9E8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73586E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2000≤Y＜10000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AB85175">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100≤Y＜2000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A862AF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60321F7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4A13C92C">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餐饮业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BE8F70F">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A3FB06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E2D3F1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100≤X＜300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562E63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1A75C5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r w14:paraId="4ED5E8AB">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57ABCE8B">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A6774F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23D2D9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0E0B2D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2000≤Y＜10000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51A20C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100≤Y＜2000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9049FD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1ABD8DB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7BACB0E8">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信息传输业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D5D2B96">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6763558">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EA0294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100≤X＜2000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CA63180">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902755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r w14:paraId="72CC4C9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6DD305DC">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F7CC06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5D2F65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5CB56C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1000≤Y＜100000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262BD93">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100≤Y＜1000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9BF8070">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16573B1B">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7B62A384">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软件和信息技术服务业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A8B6FA5">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41D1DE0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B510C6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100≤X＜300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855D846">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9D11A1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r w14:paraId="03695D8D">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76E4D228">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521C38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E030C5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898EF2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1000≤Y＜10000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47B490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50≤Y＜1000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4D893F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Y＜50</w:t>
            </w:r>
          </w:p>
        </w:tc>
      </w:tr>
      <w:tr w14:paraId="00B6380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12A03B47">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房地产开发经营</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3AB249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F903676">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648FD4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1000≤Y＜200000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72019FE">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100≤X＜1000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85B157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X＜100</w:t>
            </w:r>
          </w:p>
        </w:tc>
      </w:tr>
      <w:tr w14:paraId="5053B0A9">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7205DEFF">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B7EE903">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资产总额（Z）</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65AC64E">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7DB6836">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5000≤Z＜10000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A430E6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2000≤Y＜5000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C7624F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Y＜2000</w:t>
            </w:r>
          </w:p>
        </w:tc>
      </w:tr>
      <w:tr w14:paraId="195FFB52">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6D986849">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物业管理</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1C330B0C">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75FAD6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80A43ED">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300≤X＜1000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A90025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100≤X＜300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58E416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X＜100</w:t>
            </w:r>
          </w:p>
        </w:tc>
      </w:tr>
      <w:tr w14:paraId="5DBE9517">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7D2666DD">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283A97C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营业收入（Y）</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D199448">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693E6FF">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1000≤Y＜5000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90CB3D7">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500≤Y＜1000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E72E811">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Y＜500</w:t>
            </w:r>
          </w:p>
        </w:tc>
      </w:tr>
      <w:tr w14:paraId="186EC3F6">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restart"/>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683636BB">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租赁和商务服务业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38E749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A1BAB6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3C586D9">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100≤X＜300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B01E505">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B8A8C84">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r w14:paraId="0D49E8DF">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rHeight w:val="225" w:hRule="atLeast"/>
          <w:tblCellSpacing w:w="15" w:type="dxa"/>
        </w:trPr>
        <w:tc>
          <w:tcPr>
            <w:tcW w:w="1446" w:type="dxa"/>
            <w:vMerge w:val="continue"/>
            <w:tcBorders>
              <w:top w:val="nil"/>
              <w:left w:val="single" w:color="000000" w:sz="6" w:space="0"/>
              <w:bottom w:val="single" w:color="999999" w:sz="6" w:space="0"/>
              <w:right w:val="single" w:color="999999" w:sz="6" w:space="0"/>
            </w:tcBorders>
            <w:vAlign w:val="center"/>
          </w:tcPr>
          <w:p w14:paraId="73964326">
            <w:pPr>
              <w:widowControl/>
              <w:spacing w:line="360" w:lineRule="auto"/>
              <w:jc w:val="left"/>
              <w:rPr>
                <w:rFonts w:ascii="宋体" w:hAnsi="宋体"/>
                <w:color w:val="auto"/>
                <w:szCs w:val="21"/>
                <w:highlight w:val="none"/>
              </w:rPr>
            </w:pP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66F1A76">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资产总额（Z）</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D93F1E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万万元</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0BD3626B">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8000≤Z＜120000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785E2F2A">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100≤Z＜8000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77CA278">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Y＜100</w:t>
            </w:r>
          </w:p>
        </w:tc>
      </w:tr>
      <w:tr w14:paraId="571992BB">
        <w:tblPrEx>
          <w:tblBorders>
            <w:top w:val="single" w:color="999999" w:sz="6" w:space="0"/>
            <w:left w:val="single" w:color="999999" w:sz="6"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rPr>
          <w:trHeight w:val="225" w:hRule="atLeast"/>
          <w:tblCellSpacing w:w="15" w:type="dxa"/>
        </w:trPr>
        <w:tc>
          <w:tcPr>
            <w:tcW w:w="1446" w:type="dxa"/>
            <w:tcBorders>
              <w:top w:val="nil"/>
              <w:left w:val="single" w:color="000000" w:sz="6" w:space="0"/>
              <w:bottom w:val="single" w:color="999999" w:sz="6" w:space="0"/>
              <w:right w:val="single" w:color="999999" w:sz="6" w:space="0"/>
            </w:tcBorders>
            <w:tcMar>
              <w:top w:w="0" w:type="dxa"/>
              <w:left w:w="105" w:type="dxa"/>
              <w:bottom w:w="0" w:type="dxa"/>
              <w:right w:w="105" w:type="dxa"/>
            </w:tcMar>
            <w:vAlign w:val="bottom"/>
          </w:tcPr>
          <w:p w14:paraId="619E2ED6">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其他未列明行业</w:t>
            </w:r>
          </w:p>
        </w:tc>
        <w:tc>
          <w:tcPr>
            <w:tcW w:w="173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B41CED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从业人员（X）</w:t>
            </w:r>
          </w:p>
        </w:tc>
        <w:tc>
          <w:tcPr>
            <w:tcW w:w="505"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75B550A">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人</w:t>
            </w:r>
          </w:p>
        </w:tc>
        <w:tc>
          <w:tcPr>
            <w:tcW w:w="208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56CD6237">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100≤X＜300</w:t>
            </w:r>
          </w:p>
        </w:tc>
        <w:tc>
          <w:tcPr>
            <w:tcW w:w="1709"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36550901">
            <w:pPr>
              <w:pStyle w:val="40"/>
              <w:widowControl/>
              <w:spacing w:line="360" w:lineRule="auto"/>
              <w:jc w:val="center"/>
              <w:rPr>
                <w:rFonts w:ascii="宋体" w:hAnsi="宋体"/>
                <w:color w:val="auto"/>
                <w:sz w:val="21"/>
                <w:szCs w:val="21"/>
                <w:highlight w:val="none"/>
              </w:rPr>
            </w:pPr>
            <w:r>
              <w:rPr>
                <w:rStyle w:val="41"/>
                <w:rFonts w:hint="eastAsia" w:ascii="宋体" w:hAnsi="宋体" w:cs="仿宋"/>
                <w:color w:val="auto"/>
                <w:szCs w:val="21"/>
                <w:highlight w:val="none"/>
              </w:rPr>
              <w:t>10≤X＜100</w:t>
            </w:r>
          </w:p>
        </w:tc>
        <w:tc>
          <w:tcPr>
            <w:tcW w:w="1500" w:type="dxa"/>
            <w:tcBorders>
              <w:top w:val="nil"/>
              <w:left w:val="nil"/>
              <w:bottom w:val="single" w:color="999999" w:sz="6" w:space="0"/>
              <w:right w:val="single" w:color="999999" w:sz="6" w:space="0"/>
            </w:tcBorders>
            <w:tcMar>
              <w:top w:w="0" w:type="dxa"/>
              <w:left w:w="105" w:type="dxa"/>
              <w:bottom w:w="0" w:type="dxa"/>
              <w:right w:w="105" w:type="dxa"/>
            </w:tcMar>
            <w:vAlign w:val="center"/>
          </w:tcPr>
          <w:p w14:paraId="6AA00AA4">
            <w:pPr>
              <w:pStyle w:val="40"/>
              <w:widowControl/>
              <w:spacing w:line="360" w:lineRule="auto"/>
              <w:rPr>
                <w:rFonts w:ascii="宋体" w:hAnsi="宋体"/>
                <w:color w:val="auto"/>
                <w:sz w:val="21"/>
                <w:szCs w:val="21"/>
                <w:highlight w:val="none"/>
              </w:rPr>
            </w:pPr>
            <w:r>
              <w:rPr>
                <w:rStyle w:val="41"/>
                <w:rFonts w:hint="eastAsia" w:ascii="宋体" w:hAnsi="宋体" w:cs="仿宋"/>
                <w:color w:val="auto"/>
                <w:szCs w:val="21"/>
                <w:highlight w:val="none"/>
              </w:rPr>
              <w:t>X＜10</w:t>
            </w:r>
          </w:p>
        </w:tc>
      </w:tr>
    </w:tbl>
    <w:p w14:paraId="35DB5DB9">
      <w:pPr>
        <w:pStyle w:val="16"/>
        <w:widowControl/>
        <w:spacing w:before="300" w:after="452" w:line="360" w:lineRule="auto"/>
        <w:ind w:firstLine="810"/>
        <w:rPr>
          <w:rStyle w:val="20"/>
          <w:rFonts w:ascii="宋体" w:hAnsi="宋体" w:cs="仿宋"/>
          <w:color w:val="auto"/>
          <w:sz w:val="21"/>
          <w:szCs w:val="21"/>
          <w:highlight w:val="none"/>
        </w:rPr>
      </w:pPr>
      <w:r>
        <w:rPr>
          <w:rStyle w:val="20"/>
          <w:rFonts w:hint="eastAsia" w:ascii="宋体" w:hAnsi="宋体" w:cs="仿宋"/>
          <w:color w:val="auto"/>
          <w:sz w:val="21"/>
          <w:szCs w:val="21"/>
          <w:highlight w:val="none"/>
        </w:rPr>
        <w:t>说明：上述标准参照《关于印发中小企业划型标准规定的通知》（工信部联企业[2011]300号），大型、中型和小型企业须同时满足所列指标的下限，否则下划一档；微型企业只须满足所列指标中的一项即可。</w:t>
      </w:r>
    </w:p>
    <w:p w14:paraId="4BC8F371">
      <w:pPr>
        <w:pStyle w:val="40"/>
        <w:widowControl/>
        <w:spacing w:before="300" w:after="452" w:line="360" w:lineRule="auto"/>
        <w:ind w:firstLine="420"/>
        <w:rPr>
          <w:rStyle w:val="41"/>
          <w:rFonts w:ascii="宋体" w:hAnsi="宋体" w:cs="仿宋"/>
          <w:color w:val="auto"/>
          <w:szCs w:val="21"/>
          <w:highlight w:val="none"/>
        </w:rPr>
      </w:pPr>
    </w:p>
    <w:p w14:paraId="3A94C258">
      <w:pPr>
        <w:spacing w:line="360" w:lineRule="auto"/>
        <w:jc w:val="center"/>
        <w:rPr>
          <w:color w:val="auto"/>
          <w:highlight w:val="none"/>
        </w:rPr>
      </w:pPr>
      <w:r>
        <w:rPr>
          <w:rStyle w:val="41"/>
          <w:rFonts w:ascii="宋体" w:hAnsi="宋体" w:cs="仿宋"/>
          <w:color w:val="auto"/>
          <w:szCs w:val="21"/>
          <w:highlight w:val="none"/>
        </w:rPr>
        <w:br w:type="page" w:clear="all"/>
      </w:r>
      <w:r>
        <w:rPr>
          <w:rFonts w:hint="eastAsia" w:ascii="宋体" w:hAnsi="宋体"/>
          <w:b/>
          <w:bCs/>
          <w:color w:val="auto"/>
          <w:highlight w:val="none"/>
        </w:rPr>
        <w:t>残疾人福利性单位声明函</w:t>
      </w:r>
    </w:p>
    <w:p w14:paraId="5723AA09">
      <w:pPr>
        <w:spacing w:line="360" w:lineRule="auto"/>
        <w:ind w:firstLine="624"/>
        <w:rPr>
          <w:rFonts w:ascii="仿宋_GB2312" w:eastAsia="仿宋_GB2312"/>
          <w:color w:val="auto"/>
          <w:spacing w:val="6"/>
          <w:sz w:val="30"/>
          <w:szCs w:val="30"/>
          <w:highlight w:val="none"/>
        </w:rPr>
      </w:pPr>
    </w:p>
    <w:p w14:paraId="36D065E6">
      <w:pPr>
        <w:spacing w:line="360" w:lineRule="auto"/>
        <w:ind w:firstLine="420"/>
        <w:rPr>
          <w:rFonts w:ascii="宋体" w:hAnsi="宋体"/>
          <w:color w:val="auto"/>
          <w:szCs w:val="21"/>
          <w:highlight w:val="none"/>
        </w:rPr>
      </w:pPr>
      <w:r>
        <w:rPr>
          <w:rFonts w:hint="eastAsia" w:ascii="宋体" w:hAnsi="宋体"/>
          <w:color w:val="auto"/>
          <w:szCs w:val="21"/>
          <w:highlight w:val="none"/>
        </w:rPr>
        <w:t>本单位郑重声明，根据《财政部 民政部 中国残疾人联合会关于促进残疾人就业政府采购政策的通知》（财库〔2017〕 141号）的规定，本单位为符合条件的残疾人福利性单位，且本单位参加______单位的采购文件编号为______的</w:t>
      </w:r>
      <w:r>
        <w:rPr>
          <w:rFonts w:hint="eastAsia" w:ascii="宋体" w:hAnsi="宋体"/>
          <w:color w:val="auto"/>
          <w:szCs w:val="21"/>
          <w:highlight w:val="none"/>
          <w:u w:val="single"/>
        </w:rPr>
        <w:t xml:space="preserve">       </w:t>
      </w:r>
      <w:r>
        <w:rPr>
          <w:rFonts w:hint="eastAsia" w:ascii="宋体" w:hAnsi="宋体"/>
          <w:color w:val="auto"/>
          <w:szCs w:val="21"/>
          <w:highlight w:val="none"/>
        </w:rPr>
        <w:t>项目采购活动提供本单位制造的产品或服务（由本单位承担工程/提供服务），或者提供其他残疾人福利性单位制造的产品或服务（不包括使用非残疾人福利性单位注册商标的产品或服务）。</w:t>
      </w:r>
    </w:p>
    <w:p w14:paraId="6684F7F8">
      <w:pPr>
        <w:spacing w:line="360" w:lineRule="auto"/>
        <w:ind w:firstLine="420"/>
        <w:rPr>
          <w:rFonts w:ascii="宋体" w:hAnsi="宋体"/>
          <w:color w:val="auto"/>
          <w:szCs w:val="21"/>
          <w:highlight w:val="none"/>
        </w:rPr>
      </w:pPr>
      <w:r>
        <w:rPr>
          <w:rFonts w:hint="eastAsia" w:ascii="宋体" w:hAnsi="宋体"/>
          <w:color w:val="auto"/>
          <w:szCs w:val="21"/>
          <w:highlight w:val="none"/>
        </w:rPr>
        <w:t>本单位在本次政府采购活动中提供的残疾人福利单位产品报价合计为人民币（大写）</w:t>
      </w:r>
      <w:r>
        <w:rPr>
          <w:rFonts w:hint="eastAsia" w:ascii="宋体" w:hAnsi="宋体"/>
          <w:color w:val="auto"/>
          <w:szCs w:val="21"/>
          <w:highlight w:val="none"/>
          <w:u w:val="single"/>
        </w:rPr>
        <w:t xml:space="preserve">      </w:t>
      </w:r>
      <w:r>
        <w:rPr>
          <w:rFonts w:hint="eastAsia" w:ascii="宋体" w:hAnsi="宋体"/>
          <w:color w:val="auto"/>
          <w:szCs w:val="21"/>
          <w:highlight w:val="none"/>
        </w:rPr>
        <w:t>圆整（￥：     ）。</w:t>
      </w:r>
    </w:p>
    <w:p w14:paraId="35A0B29D">
      <w:pPr>
        <w:spacing w:line="360" w:lineRule="auto"/>
        <w:ind w:firstLine="420"/>
        <w:rPr>
          <w:rFonts w:ascii="宋体" w:hAnsi="宋体"/>
          <w:color w:val="auto"/>
          <w:szCs w:val="21"/>
          <w:highlight w:val="none"/>
        </w:rPr>
      </w:pPr>
      <w:r>
        <w:rPr>
          <w:rFonts w:hint="eastAsia" w:ascii="宋体" w:hAnsi="宋体"/>
          <w:color w:val="auto"/>
          <w:szCs w:val="21"/>
          <w:highlight w:val="none"/>
        </w:rPr>
        <w:t>本单位对上述声明的真实性负责。如有虚假，将依法承担相应责任。</w:t>
      </w:r>
    </w:p>
    <w:p w14:paraId="6F1038DF">
      <w:pPr>
        <w:spacing w:line="360" w:lineRule="auto"/>
        <w:ind w:firstLine="420"/>
        <w:rPr>
          <w:rFonts w:ascii="宋体" w:hAnsi="宋体"/>
          <w:color w:val="auto"/>
          <w:szCs w:val="21"/>
          <w:highlight w:val="none"/>
        </w:rPr>
      </w:pPr>
    </w:p>
    <w:p w14:paraId="3C9F20A9">
      <w:pPr>
        <w:spacing w:line="360" w:lineRule="auto"/>
        <w:ind w:firstLine="420"/>
        <w:rPr>
          <w:rFonts w:ascii="宋体" w:hAnsi="宋体"/>
          <w:color w:val="auto"/>
          <w:szCs w:val="21"/>
          <w:highlight w:val="none"/>
        </w:rPr>
      </w:pPr>
      <w:r>
        <w:rPr>
          <w:rFonts w:hint="eastAsia" w:ascii="宋体" w:hAnsi="宋体"/>
          <w:color w:val="auto"/>
          <w:szCs w:val="21"/>
          <w:highlight w:val="none"/>
        </w:rPr>
        <w:t>（备注：1、供应商如不提供此声明函，价格将不做相应扣除。2、成交供应商为残疾人福利单位的，此声明函将随成交结果同时公告，接受社会监督）</w:t>
      </w:r>
    </w:p>
    <w:p w14:paraId="0E15217E">
      <w:pPr>
        <w:spacing w:line="360" w:lineRule="auto"/>
        <w:ind w:firstLine="444"/>
        <w:rPr>
          <w:rFonts w:ascii="仿宋_GB2312" w:eastAsia="仿宋_GB2312"/>
          <w:color w:val="auto"/>
          <w:spacing w:val="6"/>
          <w:szCs w:val="21"/>
          <w:highlight w:val="none"/>
        </w:rPr>
      </w:pPr>
    </w:p>
    <w:p w14:paraId="787E1203">
      <w:pPr>
        <w:tabs>
          <w:tab w:val="left" w:pos="4860"/>
        </w:tabs>
        <w:spacing w:line="360" w:lineRule="auto"/>
        <w:ind w:right="1560" w:firstLine="444"/>
        <w:jc w:val="center"/>
        <w:rPr>
          <w:rFonts w:ascii="宋体" w:hAnsi="宋体"/>
          <w:color w:val="auto"/>
          <w:szCs w:val="21"/>
          <w:highlight w:val="none"/>
        </w:rPr>
      </w:pPr>
      <w:r>
        <w:rPr>
          <w:rFonts w:hint="eastAsia" w:ascii="仿宋_GB2312" w:eastAsia="仿宋_GB2312"/>
          <w:color w:val="auto"/>
          <w:spacing w:val="6"/>
          <w:szCs w:val="21"/>
          <w:highlight w:val="none"/>
        </w:rPr>
        <w:t xml:space="preserve">             </w:t>
      </w:r>
      <w:r>
        <w:rPr>
          <w:rFonts w:hint="eastAsia" w:ascii="宋体" w:hAnsi="宋体"/>
          <w:color w:val="auto"/>
          <w:szCs w:val="21"/>
          <w:highlight w:val="none"/>
        </w:rPr>
        <w:t xml:space="preserve">               供应商全称（盖章）：</w:t>
      </w:r>
    </w:p>
    <w:p w14:paraId="0781E836">
      <w:pPr>
        <w:tabs>
          <w:tab w:val="left" w:pos="4860"/>
        </w:tabs>
        <w:spacing w:line="360" w:lineRule="auto"/>
        <w:ind w:right="1560" w:firstLine="420"/>
        <w:jc w:val="center"/>
        <w:rPr>
          <w:rFonts w:ascii="宋体" w:hAnsi="宋体"/>
          <w:color w:val="auto"/>
          <w:szCs w:val="21"/>
          <w:highlight w:val="none"/>
        </w:rPr>
      </w:pPr>
      <w:r>
        <w:rPr>
          <w:rFonts w:hint="eastAsia" w:ascii="宋体" w:hAnsi="宋体"/>
          <w:color w:val="auto"/>
          <w:szCs w:val="21"/>
          <w:highlight w:val="none"/>
        </w:rPr>
        <w:t xml:space="preserve">                              日  期：</w:t>
      </w:r>
    </w:p>
    <w:p w14:paraId="3E0B716B">
      <w:pPr>
        <w:pStyle w:val="3"/>
        <w:spacing w:line="360" w:lineRule="auto"/>
        <w:ind w:firstLine="3213" w:firstLineChars="1000"/>
        <w:rPr>
          <w:rFonts w:eastAsia="仿宋_GB2312"/>
          <w:color w:val="auto"/>
          <w:sz w:val="24"/>
          <w:szCs w:val="20"/>
          <w:highlight w:val="none"/>
        </w:rPr>
      </w:pPr>
      <w:r>
        <w:rPr>
          <w:rFonts w:ascii="宋体" w:hAnsi="宋体"/>
          <w:color w:val="auto"/>
          <w:highlight w:val="none"/>
        </w:rPr>
        <w:br w:type="page" w:clear="all"/>
      </w:r>
      <w:r>
        <w:rPr>
          <w:rFonts w:hint="eastAsia" w:ascii="宋体" w:hAnsi="宋体"/>
          <w:color w:val="auto"/>
          <w:highlight w:val="none"/>
        </w:rPr>
        <w:t>三</w:t>
      </w:r>
      <w:r>
        <w:rPr>
          <w:rFonts w:hint="eastAsia" w:ascii="宋体" w:hAnsi="宋体"/>
          <w:bCs w:val="0"/>
          <w:color w:val="auto"/>
          <w:highlight w:val="none"/>
        </w:rPr>
        <w:t>、</w:t>
      </w:r>
      <w:r>
        <w:rPr>
          <w:rFonts w:hint="eastAsia" w:ascii="宋体" w:hAnsi="宋体"/>
          <w:color w:val="auto"/>
          <w:highlight w:val="none"/>
        </w:rPr>
        <w:t>开标一览表</w:t>
      </w:r>
    </w:p>
    <w:p w14:paraId="648419DD">
      <w:pPr>
        <w:spacing w:line="360" w:lineRule="auto"/>
        <w:ind w:firstLine="480"/>
        <w:rPr>
          <w:color w:val="auto"/>
          <w:szCs w:val="21"/>
          <w:highlight w:val="none"/>
        </w:rPr>
      </w:pPr>
      <w:r>
        <w:rPr>
          <w:rFonts w:hint="eastAsia" w:ascii="宋体" w:hAnsi="宋体"/>
          <w:color w:val="auto"/>
          <w:szCs w:val="21"/>
          <w:highlight w:val="none"/>
        </w:rPr>
        <w:t>项目名称：</w:t>
      </w:r>
    </w:p>
    <w:p w14:paraId="7250BEF8">
      <w:pPr>
        <w:spacing w:line="360" w:lineRule="auto"/>
        <w:ind w:firstLine="480"/>
        <w:rPr>
          <w:rFonts w:ascii="宋体" w:hAnsi="宋体"/>
          <w:color w:val="auto"/>
          <w:szCs w:val="21"/>
          <w:highlight w:val="none"/>
        </w:rPr>
      </w:pPr>
      <w:r>
        <w:rPr>
          <w:rFonts w:hint="eastAsia" w:ascii="宋体" w:hAnsi="宋体"/>
          <w:color w:val="auto"/>
          <w:szCs w:val="21"/>
          <w:highlight w:val="none"/>
        </w:rPr>
        <w:t>项目编号：</w:t>
      </w:r>
    </w:p>
    <w:p w14:paraId="38F5BB98">
      <w:pPr>
        <w:spacing w:line="360" w:lineRule="auto"/>
        <w:ind w:firstLine="480"/>
        <w:rPr>
          <w:rFonts w:ascii="宋体" w:hAnsi="宋体"/>
          <w:color w:val="auto"/>
          <w:szCs w:val="21"/>
          <w:highlight w:val="none"/>
        </w:rPr>
      </w:pPr>
      <w:r>
        <w:rPr>
          <w:rFonts w:hint="eastAsia" w:ascii="宋体" w:hAnsi="宋体"/>
          <w:color w:val="auto"/>
          <w:szCs w:val="21"/>
          <w:highlight w:val="none"/>
        </w:rPr>
        <w:t xml:space="preserve">分包号(如有)： </w:t>
      </w:r>
    </w:p>
    <w:p w14:paraId="6CB8D3A1">
      <w:pPr>
        <w:spacing w:line="360" w:lineRule="auto"/>
        <w:ind w:firstLine="480"/>
        <w:rPr>
          <w:rFonts w:ascii="宋体" w:hAnsi="宋体"/>
          <w:color w:val="auto"/>
          <w:szCs w:val="21"/>
          <w:highlight w:val="none"/>
        </w:rPr>
      </w:pPr>
      <w:r>
        <w:rPr>
          <w:rFonts w:hint="eastAsia" w:ascii="宋体" w:hAnsi="宋体"/>
          <w:color w:val="auto"/>
          <w:szCs w:val="21"/>
          <w:highlight w:val="none"/>
        </w:rPr>
        <w:t xml:space="preserve">                       </w:t>
      </w:r>
    </w:p>
    <w:tbl>
      <w:tblPr>
        <w:tblStyle w:val="18"/>
        <w:tblW w:w="88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1"/>
        <w:gridCol w:w="6405"/>
      </w:tblGrid>
      <w:tr w14:paraId="2704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trPr>
        <w:tc>
          <w:tcPr>
            <w:tcW w:w="2481" w:type="dxa"/>
            <w:vAlign w:val="center"/>
          </w:tcPr>
          <w:p w14:paraId="406C2EA2">
            <w:pPr>
              <w:pStyle w:val="8"/>
              <w:adjustRightInd w:val="0"/>
              <w:snapToGrid w:val="0"/>
              <w:spacing w:line="360" w:lineRule="auto"/>
              <w:jc w:val="center"/>
              <w:rPr>
                <w:rFonts w:ascii="宋体" w:hAnsi="宋体" w:eastAsia="宋体" w:cs="宋体"/>
                <w:color w:val="auto"/>
                <w:sz w:val="21"/>
                <w:szCs w:val="21"/>
                <w:highlight w:val="none"/>
              </w:rPr>
            </w:pPr>
            <w:r>
              <w:rPr>
                <w:rFonts w:hint="eastAsia" w:ascii="宋体" w:hAnsi="宋体" w:eastAsia="宋体" w:cs="宋体"/>
                <w:color w:val="auto"/>
                <w:sz w:val="21"/>
                <w:szCs w:val="21"/>
                <w:highlight w:val="none"/>
              </w:rPr>
              <w:t>投标货物名称</w:t>
            </w:r>
          </w:p>
        </w:tc>
        <w:tc>
          <w:tcPr>
            <w:tcW w:w="6405" w:type="dxa"/>
            <w:vAlign w:val="center"/>
          </w:tcPr>
          <w:p w14:paraId="7C7D7101">
            <w:pPr>
              <w:spacing w:line="360" w:lineRule="auto"/>
              <w:rPr>
                <w:rFonts w:ascii="宋体" w:hAnsi="宋体"/>
                <w:color w:val="auto"/>
                <w:szCs w:val="21"/>
                <w:highlight w:val="none"/>
              </w:rPr>
            </w:pPr>
            <w:r>
              <w:rPr>
                <w:rFonts w:hint="eastAsia" w:ascii="宋体" w:hAnsi="宋体" w:cs="宋体"/>
                <w:color w:val="auto"/>
                <w:szCs w:val="21"/>
                <w:highlight w:val="none"/>
              </w:rPr>
              <w:t xml:space="preserve">                      </w:t>
            </w:r>
            <w:r>
              <w:rPr>
                <w:rFonts w:hint="eastAsia" w:ascii="宋体" w:hAnsi="宋体"/>
                <w:color w:val="auto"/>
                <w:szCs w:val="21"/>
                <w:highlight w:val="none"/>
              </w:rPr>
              <w:t>投标总报价</w:t>
            </w:r>
          </w:p>
        </w:tc>
      </w:tr>
      <w:tr w14:paraId="70FF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7" w:hRule="atLeast"/>
        </w:trPr>
        <w:tc>
          <w:tcPr>
            <w:tcW w:w="2481" w:type="dxa"/>
            <w:vAlign w:val="center"/>
          </w:tcPr>
          <w:p w14:paraId="1AF83746">
            <w:pPr>
              <w:pStyle w:val="8"/>
              <w:adjustRightInd w:val="0"/>
              <w:snapToGrid w:val="0"/>
              <w:spacing w:line="360" w:lineRule="auto"/>
              <w:rPr>
                <w:rFonts w:ascii="宋体" w:hAnsi="宋体" w:eastAsia="宋体" w:cs="宋体"/>
                <w:color w:val="auto"/>
                <w:sz w:val="21"/>
                <w:szCs w:val="21"/>
                <w:highlight w:val="none"/>
              </w:rPr>
            </w:pPr>
          </w:p>
        </w:tc>
        <w:tc>
          <w:tcPr>
            <w:tcW w:w="6405" w:type="dxa"/>
            <w:vAlign w:val="center"/>
          </w:tcPr>
          <w:p w14:paraId="62DB3C2D">
            <w:pPr>
              <w:pStyle w:val="38"/>
              <w:spacing w:before="0" w:after="0"/>
              <w:ind w:firstLine="0"/>
              <w:rPr>
                <w:rFonts w:ascii="宋体" w:hAnsi="宋体" w:cs="宋体"/>
                <w:color w:val="auto"/>
                <w:sz w:val="21"/>
                <w:szCs w:val="21"/>
                <w:highlight w:val="none"/>
              </w:rPr>
            </w:pPr>
            <w:r>
              <w:rPr>
                <w:rFonts w:hint="eastAsia" w:ascii="宋体" w:hAnsi="宋体" w:cs="宋体"/>
                <w:color w:val="auto"/>
                <w:sz w:val="21"/>
                <w:szCs w:val="21"/>
                <w:highlight w:val="none"/>
              </w:rPr>
              <w:t>大写：</w:t>
            </w:r>
          </w:p>
          <w:p w14:paraId="0F414202">
            <w:pPr>
              <w:pStyle w:val="38"/>
              <w:spacing w:before="0" w:after="0"/>
              <w:ind w:firstLine="0"/>
              <w:rPr>
                <w:rFonts w:ascii="宋体" w:hAnsi="宋体" w:cs="宋体"/>
                <w:color w:val="auto"/>
                <w:sz w:val="21"/>
                <w:szCs w:val="21"/>
                <w:highlight w:val="none"/>
              </w:rPr>
            </w:pPr>
            <w:r>
              <w:rPr>
                <w:rFonts w:hint="eastAsia" w:ascii="宋体" w:hAnsi="宋体" w:cs="宋体"/>
                <w:color w:val="auto"/>
                <w:sz w:val="21"/>
                <w:szCs w:val="21"/>
                <w:highlight w:val="none"/>
              </w:rPr>
              <w:t>小写：                             （人民币：元）</w:t>
            </w:r>
          </w:p>
          <w:p w14:paraId="742EE626">
            <w:pPr>
              <w:pStyle w:val="38"/>
              <w:spacing w:before="0" w:after="0"/>
              <w:ind w:firstLine="0"/>
              <w:rPr>
                <w:rFonts w:ascii="宋体" w:hAnsi="宋体" w:cs="宋体"/>
                <w:color w:val="auto"/>
                <w:sz w:val="21"/>
                <w:szCs w:val="21"/>
                <w:highlight w:val="none"/>
              </w:rPr>
            </w:pPr>
          </w:p>
        </w:tc>
      </w:tr>
    </w:tbl>
    <w:p w14:paraId="0B250536">
      <w:pPr>
        <w:ind w:firstLine="480"/>
        <w:rPr>
          <w:rFonts w:ascii="宋体" w:hAnsi="宋体"/>
          <w:color w:val="auto"/>
          <w:szCs w:val="21"/>
          <w:highlight w:val="none"/>
        </w:rPr>
      </w:pPr>
      <w:r>
        <w:rPr>
          <w:rFonts w:hint="eastAsia" w:ascii="宋体" w:hAnsi="宋体"/>
          <w:color w:val="auto"/>
          <w:szCs w:val="21"/>
          <w:highlight w:val="none"/>
        </w:rPr>
        <w:t xml:space="preserve">                       </w:t>
      </w:r>
    </w:p>
    <w:p w14:paraId="424266C6">
      <w:pPr>
        <w:rPr>
          <w:rFonts w:ascii="宋体" w:hAnsi="宋体"/>
          <w:color w:val="auto"/>
          <w:szCs w:val="21"/>
          <w:highlight w:val="none"/>
        </w:rPr>
      </w:pPr>
    </w:p>
    <w:p w14:paraId="4B7A7567">
      <w:pPr>
        <w:spacing w:line="480" w:lineRule="auto"/>
        <w:ind w:left="3885" w:leftChars="200" w:hanging="3465" w:hangingChars="1650"/>
        <w:rPr>
          <w:rFonts w:ascii="宋体"/>
          <w:color w:val="auto"/>
          <w:highlight w:val="none"/>
        </w:rPr>
      </w:pPr>
      <w:r>
        <w:rPr>
          <w:rFonts w:hint="eastAsia" w:ascii="宋体" w:hAnsi="宋体"/>
          <w:color w:val="auto"/>
          <w:szCs w:val="21"/>
          <w:highlight w:val="none"/>
        </w:rPr>
        <w:t xml:space="preserve">                                              日期：  </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20CCB368">
      <w:pPr>
        <w:spacing w:line="480" w:lineRule="auto"/>
        <w:ind w:left="3885" w:leftChars="200" w:hanging="3465" w:hangingChars="1650"/>
        <w:rPr>
          <w:rFonts w:ascii="宋体"/>
          <w:color w:val="auto"/>
          <w:highlight w:val="none"/>
        </w:rPr>
      </w:pPr>
    </w:p>
    <w:p w14:paraId="11126CFA">
      <w:pPr>
        <w:spacing w:line="480" w:lineRule="auto"/>
        <w:ind w:left="3885" w:leftChars="200" w:hanging="3465" w:hangingChars="1650"/>
        <w:rPr>
          <w:rFonts w:ascii="宋体"/>
          <w:color w:val="auto"/>
          <w:highlight w:val="none"/>
        </w:rPr>
      </w:pPr>
    </w:p>
    <w:p w14:paraId="27660EA9">
      <w:pPr>
        <w:spacing w:line="360" w:lineRule="auto"/>
        <w:ind w:firstLine="3162" w:firstLineChars="1500"/>
        <w:rPr>
          <w:rFonts w:ascii="宋体" w:hAnsi="宋体"/>
          <w:b/>
          <w:color w:val="auto"/>
          <w:highlight w:val="none"/>
        </w:rPr>
      </w:pPr>
    </w:p>
    <w:p w14:paraId="735119C0">
      <w:pPr>
        <w:spacing w:line="360" w:lineRule="auto"/>
        <w:ind w:firstLine="3162" w:firstLineChars="1500"/>
        <w:rPr>
          <w:rFonts w:ascii="宋体" w:hAnsi="宋体"/>
          <w:b/>
          <w:color w:val="auto"/>
          <w:highlight w:val="none"/>
        </w:rPr>
      </w:pPr>
    </w:p>
    <w:p w14:paraId="2B603123">
      <w:pPr>
        <w:spacing w:line="360" w:lineRule="auto"/>
        <w:ind w:firstLine="3162" w:firstLineChars="1500"/>
        <w:rPr>
          <w:rFonts w:ascii="宋体" w:hAnsi="宋体"/>
          <w:b/>
          <w:color w:val="auto"/>
          <w:highlight w:val="none"/>
        </w:rPr>
      </w:pPr>
    </w:p>
    <w:p w14:paraId="7731F93D">
      <w:pPr>
        <w:spacing w:line="360" w:lineRule="auto"/>
        <w:ind w:firstLine="3162" w:firstLineChars="1500"/>
        <w:rPr>
          <w:rFonts w:ascii="宋体" w:hAnsi="宋体"/>
          <w:b/>
          <w:color w:val="auto"/>
          <w:highlight w:val="none"/>
        </w:rPr>
      </w:pPr>
    </w:p>
    <w:p w14:paraId="02D79EF1">
      <w:pPr>
        <w:spacing w:line="360" w:lineRule="auto"/>
        <w:ind w:firstLine="3162" w:firstLineChars="1500"/>
        <w:rPr>
          <w:rFonts w:ascii="宋体" w:hAnsi="宋体"/>
          <w:b/>
          <w:color w:val="auto"/>
          <w:highlight w:val="none"/>
        </w:rPr>
      </w:pPr>
    </w:p>
    <w:p w14:paraId="2308DAD5">
      <w:pPr>
        <w:spacing w:line="360" w:lineRule="auto"/>
        <w:ind w:firstLine="3162" w:firstLineChars="1500"/>
        <w:rPr>
          <w:rFonts w:ascii="宋体" w:hAnsi="宋体"/>
          <w:b/>
          <w:color w:val="auto"/>
          <w:highlight w:val="none"/>
        </w:rPr>
      </w:pPr>
    </w:p>
    <w:p w14:paraId="3288BDB4">
      <w:pPr>
        <w:spacing w:line="360" w:lineRule="auto"/>
        <w:ind w:firstLine="3162" w:firstLineChars="1500"/>
        <w:rPr>
          <w:rFonts w:ascii="宋体" w:hAnsi="宋体"/>
          <w:b/>
          <w:color w:val="auto"/>
          <w:highlight w:val="none"/>
        </w:rPr>
      </w:pPr>
    </w:p>
    <w:p w14:paraId="0BA6E9D4">
      <w:pPr>
        <w:spacing w:line="360" w:lineRule="auto"/>
        <w:ind w:firstLine="420"/>
        <w:rPr>
          <w:rFonts w:ascii="宋体" w:hAnsi="宋体"/>
          <w:color w:val="auto"/>
          <w:szCs w:val="21"/>
          <w:highlight w:val="none"/>
        </w:rPr>
      </w:pPr>
    </w:p>
    <w:p w14:paraId="51D4DEDC">
      <w:pPr>
        <w:pStyle w:val="34"/>
        <w:spacing w:line="360" w:lineRule="auto"/>
        <w:jc w:val="center"/>
        <w:rPr>
          <w:rFonts w:ascii="宋体" w:hAnsi="宋体"/>
          <w:bCs w:val="0"/>
          <w:color w:val="auto"/>
          <w:highlight w:val="none"/>
          <w:lang w:eastAsia="zh-CN"/>
        </w:rPr>
      </w:pPr>
      <w:bookmarkStart w:id="34" w:name="_Hlt26955054"/>
      <w:bookmarkEnd w:id="34"/>
      <w:bookmarkStart w:id="35" w:name="_Toc109304979"/>
      <w:r>
        <w:rPr>
          <w:rFonts w:ascii="宋体" w:hAnsi="宋体"/>
          <w:bCs w:val="0"/>
          <w:color w:val="auto"/>
          <w:highlight w:val="none"/>
          <w:lang w:eastAsia="zh-CN"/>
        </w:rPr>
        <w:br w:type="page" w:clear="all"/>
      </w:r>
    </w:p>
    <w:p w14:paraId="7DEC4664">
      <w:pPr>
        <w:pStyle w:val="3"/>
        <w:spacing w:line="360" w:lineRule="auto"/>
        <w:jc w:val="center"/>
        <w:rPr>
          <w:rFonts w:asciiTheme="minorEastAsia" w:hAnsiTheme="minorEastAsia" w:eastAsiaTheme="minorEastAsia"/>
          <w:color w:val="auto"/>
          <w:highlight w:val="none"/>
        </w:rPr>
      </w:pPr>
      <w:r>
        <w:rPr>
          <w:rFonts w:hint="eastAsia" w:ascii="宋体" w:hAnsi="宋体"/>
          <w:color w:val="auto"/>
          <w:highlight w:val="none"/>
        </w:rPr>
        <w:t>四、</w:t>
      </w:r>
      <w:r>
        <w:rPr>
          <w:rFonts w:hint="eastAsia" w:asciiTheme="minorEastAsia" w:hAnsiTheme="minorEastAsia" w:eastAsiaTheme="minorEastAsia"/>
          <w:color w:val="auto"/>
          <w:highlight w:val="none"/>
        </w:rPr>
        <w:t>投标产品配置及分项报价表</w:t>
      </w:r>
    </w:p>
    <w:tbl>
      <w:tblPr>
        <w:tblStyle w:val="18"/>
        <w:tblW w:w="88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0"/>
        <w:gridCol w:w="1866"/>
        <w:gridCol w:w="915"/>
        <w:gridCol w:w="1005"/>
        <w:gridCol w:w="1065"/>
        <w:gridCol w:w="1253"/>
      </w:tblGrid>
      <w:tr w14:paraId="0560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trPr>
        <w:tc>
          <w:tcPr>
            <w:tcW w:w="2770" w:type="dxa"/>
            <w:vAlign w:val="center"/>
          </w:tcPr>
          <w:p w14:paraId="09DA075E">
            <w:pPr>
              <w:spacing w:line="360" w:lineRule="auto"/>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866" w:type="dxa"/>
            <w:vAlign w:val="center"/>
          </w:tcPr>
          <w:p w14:paraId="74E8F876">
            <w:pPr>
              <w:spacing w:line="360" w:lineRule="auto"/>
              <w:jc w:val="center"/>
              <w:rPr>
                <w:rFonts w:hint="eastAsia" w:ascii="宋体" w:hAnsi="宋体"/>
                <w:color w:val="auto"/>
                <w:szCs w:val="21"/>
                <w:highlight w:val="none"/>
              </w:rPr>
            </w:pPr>
            <w:r>
              <w:rPr>
                <w:rFonts w:hint="eastAsia" w:ascii="宋体" w:hAnsi="宋体"/>
                <w:color w:val="auto"/>
                <w:szCs w:val="21"/>
                <w:highlight w:val="none"/>
              </w:rPr>
              <w:t>主要材质及参数</w:t>
            </w:r>
          </w:p>
        </w:tc>
        <w:tc>
          <w:tcPr>
            <w:tcW w:w="915" w:type="dxa"/>
            <w:vAlign w:val="center"/>
          </w:tcPr>
          <w:p w14:paraId="2F57AE6D">
            <w:pPr>
              <w:spacing w:line="360" w:lineRule="auto"/>
              <w:jc w:val="center"/>
              <w:rPr>
                <w:rFonts w:hint="eastAsia" w:ascii="宋体" w:hAnsi="宋体"/>
                <w:color w:val="auto"/>
                <w:szCs w:val="21"/>
                <w:highlight w:val="none"/>
              </w:rPr>
            </w:pPr>
            <w:r>
              <w:rPr>
                <w:rFonts w:hint="eastAsia" w:ascii="宋体" w:hAnsi="宋体"/>
                <w:color w:val="auto"/>
                <w:szCs w:val="21"/>
                <w:highlight w:val="none"/>
              </w:rPr>
              <w:t>数量</w:t>
            </w:r>
          </w:p>
        </w:tc>
        <w:tc>
          <w:tcPr>
            <w:tcW w:w="1005" w:type="dxa"/>
            <w:vAlign w:val="center"/>
          </w:tcPr>
          <w:p w14:paraId="07849FAB">
            <w:pPr>
              <w:spacing w:line="360" w:lineRule="auto"/>
              <w:jc w:val="center"/>
              <w:rPr>
                <w:rFonts w:hint="eastAsia" w:ascii="宋体" w:hAnsi="宋体" w:eastAsia="宋体"/>
                <w:color w:val="auto"/>
                <w:szCs w:val="21"/>
                <w:highlight w:val="none"/>
                <w:lang w:eastAsia="zh-CN"/>
              </w:rPr>
            </w:pPr>
            <w:r>
              <w:rPr>
                <w:rFonts w:hint="eastAsia" w:ascii="宋体" w:hAnsi="宋体"/>
                <w:color w:val="auto"/>
                <w:szCs w:val="21"/>
                <w:highlight w:val="none"/>
                <w:lang w:eastAsia="zh-CN"/>
              </w:rPr>
              <w:t>单位</w:t>
            </w:r>
          </w:p>
        </w:tc>
        <w:tc>
          <w:tcPr>
            <w:tcW w:w="1065" w:type="dxa"/>
            <w:vAlign w:val="center"/>
          </w:tcPr>
          <w:p w14:paraId="520C94A5">
            <w:pPr>
              <w:spacing w:line="360" w:lineRule="auto"/>
              <w:jc w:val="center"/>
              <w:rPr>
                <w:rFonts w:hint="default" w:ascii="宋体" w:hAnsi="宋体" w:eastAsia="宋体"/>
                <w:color w:val="auto"/>
                <w:szCs w:val="21"/>
                <w:highlight w:val="none"/>
                <w:lang w:val="en-US" w:eastAsia="zh-CN"/>
              </w:rPr>
            </w:pPr>
            <w:r>
              <w:rPr>
                <w:rFonts w:hint="eastAsia" w:ascii="宋体" w:hAnsi="宋体"/>
                <w:color w:val="auto"/>
                <w:szCs w:val="21"/>
                <w:highlight w:val="none"/>
              </w:rPr>
              <w:t>单价</w:t>
            </w:r>
            <w:r>
              <w:rPr>
                <w:rFonts w:hint="eastAsia" w:ascii="宋体" w:hAnsi="宋体"/>
                <w:color w:val="auto"/>
                <w:szCs w:val="21"/>
                <w:highlight w:val="none"/>
                <w:lang w:val="en-US" w:eastAsia="zh-CN"/>
              </w:rPr>
              <w:t>（元）</w:t>
            </w:r>
          </w:p>
        </w:tc>
        <w:tc>
          <w:tcPr>
            <w:tcW w:w="1253" w:type="dxa"/>
            <w:vAlign w:val="center"/>
          </w:tcPr>
          <w:p w14:paraId="4127D919">
            <w:pPr>
              <w:spacing w:line="360" w:lineRule="auto"/>
              <w:jc w:val="center"/>
              <w:rPr>
                <w:rFonts w:hint="eastAsia" w:ascii="宋体" w:hAnsi="宋体" w:eastAsia="宋体"/>
                <w:color w:val="auto"/>
                <w:szCs w:val="21"/>
                <w:highlight w:val="none"/>
                <w:lang w:eastAsia="zh-CN"/>
              </w:rPr>
            </w:pPr>
            <w:r>
              <w:rPr>
                <w:rFonts w:hint="eastAsia" w:ascii="宋体" w:hAnsi="宋体"/>
                <w:color w:val="auto"/>
                <w:szCs w:val="21"/>
                <w:highlight w:val="none"/>
              </w:rPr>
              <w:t>总价</w:t>
            </w:r>
            <w:r>
              <w:rPr>
                <w:rFonts w:hint="eastAsia" w:ascii="宋体" w:hAnsi="宋体"/>
                <w:color w:val="auto"/>
                <w:szCs w:val="21"/>
                <w:highlight w:val="none"/>
                <w:lang w:eastAsia="zh-CN"/>
              </w:rPr>
              <w:t>（元）</w:t>
            </w:r>
          </w:p>
        </w:tc>
      </w:tr>
      <w:tr w14:paraId="779C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2770" w:type="dxa"/>
            <w:vAlign w:val="center"/>
          </w:tcPr>
          <w:p w14:paraId="73811B53">
            <w:pPr>
              <w:spacing w:line="360" w:lineRule="auto"/>
              <w:rPr>
                <w:rFonts w:ascii="宋体" w:hAnsi="宋体"/>
                <w:color w:val="auto"/>
                <w:szCs w:val="21"/>
                <w:highlight w:val="none"/>
              </w:rPr>
            </w:pPr>
          </w:p>
        </w:tc>
        <w:tc>
          <w:tcPr>
            <w:tcW w:w="1866" w:type="dxa"/>
            <w:vAlign w:val="center"/>
          </w:tcPr>
          <w:p w14:paraId="4DFB97EF">
            <w:pPr>
              <w:spacing w:line="360" w:lineRule="auto"/>
              <w:rPr>
                <w:rFonts w:ascii="宋体" w:hAnsi="宋体"/>
                <w:color w:val="auto"/>
                <w:szCs w:val="21"/>
                <w:highlight w:val="none"/>
              </w:rPr>
            </w:pPr>
          </w:p>
        </w:tc>
        <w:tc>
          <w:tcPr>
            <w:tcW w:w="915" w:type="dxa"/>
            <w:vAlign w:val="center"/>
          </w:tcPr>
          <w:p w14:paraId="4DBD65C1">
            <w:pPr>
              <w:spacing w:line="360" w:lineRule="auto"/>
              <w:rPr>
                <w:rFonts w:ascii="宋体" w:hAnsi="宋体"/>
                <w:color w:val="auto"/>
                <w:szCs w:val="21"/>
                <w:highlight w:val="none"/>
              </w:rPr>
            </w:pPr>
          </w:p>
        </w:tc>
        <w:tc>
          <w:tcPr>
            <w:tcW w:w="1005" w:type="dxa"/>
            <w:vAlign w:val="center"/>
          </w:tcPr>
          <w:p w14:paraId="1914E2C1">
            <w:pPr>
              <w:spacing w:line="360" w:lineRule="auto"/>
              <w:rPr>
                <w:rFonts w:ascii="宋体" w:hAnsi="宋体"/>
                <w:color w:val="auto"/>
                <w:szCs w:val="21"/>
                <w:highlight w:val="none"/>
              </w:rPr>
            </w:pPr>
          </w:p>
        </w:tc>
        <w:tc>
          <w:tcPr>
            <w:tcW w:w="1065" w:type="dxa"/>
            <w:vAlign w:val="center"/>
          </w:tcPr>
          <w:p w14:paraId="4025FF6D">
            <w:pPr>
              <w:spacing w:line="360" w:lineRule="auto"/>
              <w:rPr>
                <w:rFonts w:ascii="宋体" w:hAnsi="宋体"/>
                <w:color w:val="auto"/>
                <w:szCs w:val="21"/>
                <w:highlight w:val="none"/>
              </w:rPr>
            </w:pPr>
          </w:p>
        </w:tc>
        <w:tc>
          <w:tcPr>
            <w:tcW w:w="1253" w:type="dxa"/>
            <w:vAlign w:val="center"/>
          </w:tcPr>
          <w:p w14:paraId="29081989">
            <w:pPr>
              <w:spacing w:line="360" w:lineRule="auto"/>
              <w:rPr>
                <w:rFonts w:ascii="宋体" w:hAnsi="宋体"/>
                <w:color w:val="auto"/>
                <w:szCs w:val="21"/>
                <w:highlight w:val="none"/>
              </w:rPr>
            </w:pPr>
          </w:p>
        </w:tc>
      </w:tr>
      <w:tr w14:paraId="1531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2770" w:type="dxa"/>
            <w:vAlign w:val="center"/>
          </w:tcPr>
          <w:p w14:paraId="70C47FDA">
            <w:pPr>
              <w:spacing w:line="360" w:lineRule="auto"/>
              <w:rPr>
                <w:rFonts w:ascii="宋体" w:hAnsi="宋体"/>
                <w:color w:val="auto"/>
                <w:szCs w:val="21"/>
                <w:highlight w:val="none"/>
              </w:rPr>
            </w:pPr>
          </w:p>
        </w:tc>
        <w:tc>
          <w:tcPr>
            <w:tcW w:w="1866" w:type="dxa"/>
            <w:vAlign w:val="center"/>
          </w:tcPr>
          <w:p w14:paraId="500DFD7C">
            <w:pPr>
              <w:spacing w:line="360" w:lineRule="auto"/>
              <w:rPr>
                <w:rFonts w:ascii="宋体" w:hAnsi="宋体"/>
                <w:color w:val="auto"/>
                <w:szCs w:val="21"/>
                <w:highlight w:val="none"/>
              </w:rPr>
            </w:pPr>
          </w:p>
        </w:tc>
        <w:tc>
          <w:tcPr>
            <w:tcW w:w="915" w:type="dxa"/>
            <w:vAlign w:val="center"/>
          </w:tcPr>
          <w:p w14:paraId="524C12A0">
            <w:pPr>
              <w:spacing w:line="360" w:lineRule="auto"/>
              <w:rPr>
                <w:rFonts w:ascii="宋体" w:hAnsi="宋体"/>
                <w:color w:val="auto"/>
                <w:szCs w:val="21"/>
                <w:highlight w:val="none"/>
              </w:rPr>
            </w:pPr>
          </w:p>
        </w:tc>
        <w:tc>
          <w:tcPr>
            <w:tcW w:w="1005" w:type="dxa"/>
            <w:vAlign w:val="center"/>
          </w:tcPr>
          <w:p w14:paraId="067E8235">
            <w:pPr>
              <w:spacing w:line="360" w:lineRule="auto"/>
              <w:rPr>
                <w:rFonts w:ascii="宋体" w:hAnsi="宋体"/>
                <w:color w:val="auto"/>
                <w:szCs w:val="21"/>
                <w:highlight w:val="none"/>
              </w:rPr>
            </w:pPr>
          </w:p>
        </w:tc>
        <w:tc>
          <w:tcPr>
            <w:tcW w:w="1065" w:type="dxa"/>
            <w:vAlign w:val="center"/>
          </w:tcPr>
          <w:p w14:paraId="21EE27FB">
            <w:pPr>
              <w:spacing w:line="360" w:lineRule="auto"/>
              <w:rPr>
                <w:rFonts w:ascii="宋体" w:hAnsi="宋体"/>
                <w:color w:val="auto"/>
                <w:szCs w:val="21"/>
                <w:highlight w:val="none"/>
              </w:rPr>
            </w:pPr>
          </w:p>
        </w:tc>
        <w:tc>
          <w:tcPr>
            <w:tcW w:w="1253" w:type="dxa"/>
            <w:vAlign w:val="center"/>
          </w:tcPr>
          <w:p w14:paraId="07EB9CEE">
            <w:pPr>
              <w:spacing w:line="360" w:lineRule="auto"/>
              <w:rPr>
                <w:rFonts w:ascii="宋体" w:hAnsi="宋体"/>
                <w:color w:val="auto"/>
                <w:szCs w:val="21"/>
                <w:highlight w:val="none"/>
              </w:rPr>
            </w:pPr>
          </w:p>
        </w:tc>
      </w:tr>
      <w:tr w14:paraId="25C22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2770" w:type="dxa"/>
            <w:vAlign w:val="center"/>
          </w:tcPr>
          <w:p w14:paraId="09C4E632">
            <w:pPr>
              <w:spacing w:line="360" w:lineRule="auto"/>
              <w:rPr>
                <w:rFonts w:ascii="宋体" w:hAnsi="宋体"/>
                <w:color w:val="auto"/>
                <w:szCs w:val="21"/>
                <w:highlight w:val="none"/>
              </w:rPr>
            </w:pPr>
          </w:p>
        </w:tc>
        <w:tc>
          <w:tcPr>
            <w:tcW w:w="1866" w:type="dxa"/>
            <w:vAlign w:val="center"/>
          </w:tcPr>
          <w:p w14:paraId="5A96288E">
            <w:pPr>
              <w:spacing w:line="360" w:lineRule="auto"/>
              <w:rPr>
                <w:rFonts w:ascii="宋体" w:hAnsi="宋体"/>
                <w:color w:val="auto"/>
                <w:szCs w:val="21"/>
                <w:highlight w:val="none"/>
              </w:rPr>
            </w:pPr>
          </w:p>
        </w:tc>
        <w:tc>
          <w:tcPr>
            <w:tcW w:w="915" w:type="dxa"/>
            <w:vAlign w:val="center"/>
          </w:tcPr>
          <w:p w14:paraId="4F196E37">
            <w:pPr>
              <w:spacing w:line="360" w:lineRule="auto"/>
              <w:rPr>
                <w:rFonts w:ascii="宋体" w:hAnsi="宋体"/>
                <w:color w:val="auto"/>
                <w:szCs w:val="21"/>
                <w:highlight w:val="none"/>
              </w:rPr>
            </w:pPr>
          </w:p>
        </w:tc>
        <w:tc>
          <w:tcPr>
            <w:tcW w:w="1005" w:type="dxa"/>
            <w:vAlign w:val="center"/>
          </w:tcPr>
          <w:p w14:paraId="22262F96">
            <w:pPr>
              <w:spacing w:line="360" w:lineRule="auto"/>
              <w:rPr>
                <w:rFonts w:ascii="宋体" w:hAnsi="宋体"/>
                <w:color w:val="auto"/>
                <w:szCs w:val="21"/>
                <w:highlight w:val="none"/>
              </w:rPr>
            </w:pPr>
          </w:p>
        </w:tc>
        <w:tc>
          <w:tcPr>
            <w:tcW w:w="1065" w:type="dxa"/>
            <w:vAlign w:val="center"/>
          </w:tcPr>
          <w:p w14:paraId="3E2CE523">
            <w:pPr>
              <w:spacing w:line="360" w:lineRule="auto"/>
              <w:rPr>
                <w:rFonts w:ascii="宋体" w:hAnsi="宋体"/>
                <w:color w:val="auto"/>
                <w:szCs w:val="21"/>
                <w:highlight w:val="none"/>
              </w:rPr>
            </w:pPr>
          </w:p>
        </w:tc>
        <w:tc>
          <w:tcPr>
            <w:tcW w:w="1253" w:type="dxa"/>
            <w:vAlign w:val="center"/>
          </w:tcPr>
          <w:p w14:paraId="3962FC77">
            <w:pPr>
              <w:spacing w:line="360" w:lineRule="auto"/>
              <w:rPr>
                <w:rFonts w:ascii="宋体" w:hAnsi="宋体"/>
                <w:color w:val="auto"/>
                <w:szCs w:val="21"/>
                <w:highlight w:val="none"/>
              </w:rPr>
            </w:pPr>
          </w:p>
        </w:tc>
      </w:tr>
      <w:tr w14:paraId="7C0B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trPr>
        <w:tc>
          <w:tcPr>
            <w:tcW w:w="2770" w:type="dxa"/>
            <w:vAlign w:val="center"/>
          </w:tcPr>
          <w:p w14:paraId="704C7369">
            <w:pPr>
              <w:spacing w:line="360" w:lineRule="auto"/>
              <w:rPr>
                <w:rFonts w:ascii="宋体" w:hAnsi="宋体"/>
                <w:color w:val="auto"/>
                <w:szCs w:val="21"/>
                <w:highlight w:val="none"/>
              </w:rPr>
            </w:pPr>
          </w:p>
        </w:tc>
        <w:tc>
          <w:tcPr>
            <w:tcW w:w="1866" w:type="dxa"/>
            <w:vAlign w:val="center"/>
          </w:tcPr>
          <w:p w14:paraId="6008DBEB">
            <w:pPr>
              <w:spacing w:line="360" w:lineRule="auto"/>
              <w:rPr>
                <w:rFonts w:ascii="宋体" w:hAnsi="宋体"/>
                <w:color w:val="auto"/>
                <w:szCs w:val="21"/>
                <w:highlight w:val="none"/>
              </w:rPr>
            </w:pPr>
          </w:p>
        </w:tc>
        <w:tc>
          <w:tcPr>
            <w:tcW w:w="915" w:type="dxa"/>
            <w:vAlign w:val="center"/>
          </w:tcPr>
          <w:p w14:paraId="5B42DA9E">
            <w:pPr>
              <w:spacing w:line="360" w:lineRule="auto"/>
              <w:rPr>
                <w:rFonts w:ascii="宋体" w:hAnsi="宋体"/>
                <w:color w:val="auto"/>
                <w:szCs w:val="21"/>
                <w:highlight w:val="none"/>
              </w:rPr>
            </w:pPr>
          </w:p>
        </w:tc>
        <w:tc>
          <w:tcPr>
            <w:tcW w:w="1005" w:type="dxa"/>
            <w:vAlign w:val="center"/>
          </w:tcPr>
          <w:p w14:paraId="7E133565">
            <w:pPr>
              <w:spacing w:line="360" w:lineRule="auto"/>
              <w:rPr>
                <w:rFonts w:ascii="宋体" w:hAnsi="宋体"/>
                <w:color w:val="auto"/>
                <w:szCs w:val="21"/>
                <w:highlight w:val="none"/>
              </w:rPr>
            </w:pPr>
          </w:p>
        </w:tc>
        <w:tc>
          <w:tcPr>
            <w:tcW w:w="1065" w:type="dxa"/>
            <w:vAlign w:val="center"/>
          </w:tcPr>
          <w:p w14:paraId="7CCCB383">
            <w:pPr>
              <w:spacing w:line="360" w:lineRule="auto"/>
              <w:rPr>
                <w:rFonts w:ascii="宋体" w:hAnsi="宋体"/>
                <w:color w:val="auto"/>
                <w:szCs w:val="21"/>
                <w:highlight w:val="none"/>
              </w:rPr>
            </w:pPr>
          </w:p>
        </w:tc>
        <w:tc>
          <w:tcPr>
            <w:tcW w:w="1253" w:type="dxa"/>
            <w:vAlign w:val="center"/>
          </w:tcPr>
          <w:p w14:paraId="17EDCB26">
            <w:pPr>
              <w:spacing w:line="360" w:lineRule="auto"/>
              <w:rPr>
                <w:rFonts w:ascii="宋体" w:hAnsi="宋体"/>
                <w:color w:val="auto"/>
                <w:szCs w:val="21"/>
                <w:highlight w:val="none"/>
              </w:rPr>
            </w:pPr>
          </w:p>
        </w:tc>
      </w:tr>
      <w:tr w14:paraId="06E4B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0" w:hRule="atLeast"/>
        </w:trPr>
        <w:tc>
          <w:tcPr>
            <w:tcW w:w="2770" w:type="dxa"/>
            <w:vAlign w:val="center"/>
          </w:tcPr>
          <w:p w14:paraId="0829F0B4">
            <w:pPr>
              <w:spacing w:line="360" w:lineRule="auto"/>
              <w:jc w:val="center"/>
              <w:rPr>
                <w:rFonts w:ascii="宋体" w:hAnsi="宋体"/>
                <w:color w:val="auto"/>
                <w:szCs w:val="21"/>
                <w:highlight w:val="none"/>
              </w:rPr>
            </w:pPr>
            <w:r>
              <w:rPr>
                <w:rFonts w:hint="eastAsia" w:ascii="宋体" w:hAnsi="宋体"/>
                <w:color w:val="auto"/>
                <w:szCs w:val="21"/>
                <w:highlight w:val="none"/>
              </w:rPr>
              <w:t>合计</w:t>
            </w:r>
          </w:p>
        </w:tc>
        <w:tc>
          <w:tcPr>
            <w:tcW w:w="6104" w:type="dxa"/>
            <w:gridSpan w:val="5"/>
          </w:tcPr>
          <w:p w14:paraId="2AC6D6D4">
            <w:pPr>
              <w:spacing w:line="360" w:lineRule="auto"/>
              <w:rPr>
                <w:rFonts w:ascii="宋体" w:hAnsi="宋体"/>
                <w:color w:val="auto"/>
                <w:szCs w:val="21"/>
                <w:highlight w:val="none"/>
              </w:rPr>
            </w:pPr>
            <w:r>
              <w:rPr>
                <w:rFonts w:hint="eastAsia" w:ascii="宋体" w:hAnsi="宋体"/>
                <w:color w:val="auto"/>
                <w:szCs w:val="21"/>
                <w:highlight w:val="none"/>
              </w:rPr>
              <w:t xml:space="preserve"> </w:t>
            </w:r>
          </w:p>
        </w:tc>
      </w:tr>
    </w:tbl>
    <w:p w14:paraId="13742D32">
      <w:pPr>
        <w:pStyle w:val="3"/>
        <w:numPr>
          <w:ilvl w:val="1"/>
          <w:numId w:val="0"/>
        </w:numPr>
        <w:jc w:val="center"/>
        <w:rPr>
          <w:rFonts w:ascii="宋体" w:hAnsi="宋体"/>
          <w:color w:val="auto"/>
          <w:sz w:val="21"/>
          <w:szCs w:val="22"/>
          <w:highlight w:val="none"/>
        </w:rPr>
      </w:pPr>
    </w:p>
    <w:p w14:paraId="4BCDE169">
      <w:pPr>
        <w:pStyle w:val="3"/>
        <w:spacing w:line="360" w:lineRule="auto"/>
        <w:jc w:val="center"/>
        <w:rPr>
          <w:rFonts w:ascii="宋体" w:hAnsi="宋体"/>
          <w:bCs w:val="0"/>
          <w:color w:val="auto"/>
          <w:highlight w:val="none"/>
        </w:rPr>
      </w:pPr>
    </w:p>
    <w:p w14:paraId="26A36ACC">
      <w:pPr>
        <w:pStyle w:val="3"/>
        <w:spacing w:line="360" w:lineRule="auto"/>
        <w:jc w:val="center"/>
        <w:rPr>
          <w:rFonts w:ascii="宋体" w:hAnsi="宋体"/>
          <w:bCs w:val="0"/>
          <w:color w:val="auto"/>
          <w:highlight w:val="none"/>
        </w:rPr>
      </w:pPr>
    </w:p>
    <w:p w14:paraId="5648D783">
      <w:pPr>
        <w:pStyle w:val="3"/>
        <w:spacing w:line="360" w:lineRule="auto"/>
        <w:jc w:val="center"/>
        <w:rPr>
          <w:rFonts w:ascii="宋体" w:hAnsi="宋体"/>
          <w:bCs w:val="0"/>
          <w:color w:val="auto"/>
          <w:highlight w:val="none"/>
        </w:rPr>
      </w:pPr>
    </w:p>
    <w:p w14:paraId="57F1C6F3">
      <w:pPr>
        <w:pStyle w:val="3"/>
        <w:spacing w:line="360" w:lineRule="auto"/>
        <w:jc w:val="center"/>
        <w:rPr>
          <w:rFonts w:ascii="宋体" w:hAnsi="宋体"/>
          <w:bCs w:val="0"/>
          <w:color w:val="auto"/>
          <w:highlight w:val="none"/>
        </w:rPr>
      </w:pPr>
    </w:p>
    <w:p w14:paraId="7454517D">
      <w:pPr>
        <w:pStyle w:val="4"/>
        <w:rPr>
          <w:rFonts w:ascii="宋体" w:hAnsi="宋体"/>
          <w:color w:val="auto"/>
          <w:highlight w:val="none"/>
        </w:rPr>
      </w:pPr>
    </w:p>
    <w:p w14:paraId="1CE3E0A9">
      <w:pPr>
        <w:pStyle w:val="4"/>
        <w:rPr>
          <w:rFonts w:ascii="宋体" w:hAnsi="宋体"/>
          <w:color w:val="auto"/>
          <w:highlight w:val="none"/>
        </w:rPr>
      </w:pPr>
    </w:p>
    <w:p w14:paraId="3A7029D0">
      <w:pPr>
        <w:pStyle w:val="4"/>
        <w:rPr>
          <w:rFonts w:ascii="宋体" w:hAnsi="宋体"/>
          <w:color w:val="auto"/>
          <w:highlight w:val="none"/>
        </w:rPr>
      </w:pPr>
    </w:p>
    <w:p w14:paraId="7FD3AA5E">
      <w:pPr>
        <w:pStyle w:val="3"/>
        <w:spacing w:line="360" w:lineRule="auto"/>
        <w:jc w:val="center"/>
        <w:rPr>
          <w:rFonts w:ascii="宋体" w:hAnsi="宋体"/>
          <w:bCs w:val="0"/>
          <w:color w:val="auto"/>
          <w:highlight w:val="none"/>
        </w:rPr>
      </w:pPr>
    </w:p>
    <w:p w14:paraId="185BC218">
      <w:pPr>
        <w:pStyle w:val="4"/>
        <w:rPr>
          <w:rFonts w:ascii="宋体" w:hAnsi="宋体"/>
          <w:color w:val="auto"/>
          <w:highlight w:val="none"/>
        </w:rPr>
      </w:pPr>
    </w:p>
    <w:p w14:paraId="2FC2039E">
      <w:pPr>
        <w:pStyle w:val="4"/>
        <w:rPr>
          <w:rFonts w:ascii="宋体" w:hAnsi="宋体"/>
          <w:color w:val="auto"/>
          <w:highlight w:val="none"/>
        </w:rPr>
      </w:pPr>
    </w:p>
    <w:p w14:paraId="61A57FF6">
      <w:pPr>
        <w:pStyle w:val="3"/>
        <w:spacing w:line="360" w:lineRule="auto"/>
        <w:jc w:val="center"/>
        <w:rPr>
          <w:rFonts w:ascii="宋体" w:hAnsi="宋体"/>
          <w:bCs w:val="0"/>
          <w:color w:val="auto"/>
          <w:highlight w:val="none"/>
        </w:rPr>
      </w:pPr>
      <w:r>
        <w:rPr>
          <w:rFonts w:hint="eastAsia" w:ascii="宋体" w:hAnsi="宋体"/>
          <w:bCs w:val="0"/>
          <w:color w:val="auto"/>
          <w:highlight w:val="none"/>
        </w:rPr>
        <w:t>五、技术参数响应及偏离表</w:t>
      </w:r>
    </w:p>
    <w:tbl>
      <w:tblPr>
        <w:tblStyle w:val="18"/>
        <w:tblW w:w="8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2409"/>
        <w:gridCol w:w="2284"/>
        <w:gridCol w:w="2016"/>
        <w:gridCol w:w="1137"/>
      </w:tblGrid>
      <w:tr w14:paraId="6691C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4" w:hRule="atLeast"/>
        </w:trPr>
        <w:tc>
          <w:tcPr>
            <w:tcW w:w="984" w:type="dxa"/>
            <w:vAlign w:val="center"/>
          </w:tcPr>
          <w:p w14:paraId="49840B73">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2409" w:type="dxa"/>
            <w:vAlign w:val="center"/>
          </w:tcPr>
          <w:p w14:paraId="27BE6B96">
            <w:pPr>
              <w:spacing w:line="360" w:lineRule="auto"/>
              <w:jc w:val="center"/>
              <w:rPr>
                <w:rFonts w:ascii="宋体" w:hAnsi="宋体"/>
                <w:color w:val="auto"/>
                <w:szCs w:val="21"/>
                <w:highlight w:val="none"/>
              </w:rPr>
            </w:pPr>
            <w:r>
              <w:rPr>
                <w:rFonts w:hint="eastAsia" w:ascii="宋体" w:hAnsi="宋体"/>
                <w:color w:val="auto"/>
                <w:szCs w:val="21"/>
                <w:highlight w:val="none"/>
              </w:rPr>
              <w:t>采购要求</w:t>
            </w:r>
          </w:p>
        </w:tc>
        <w:tc>
          <w:tcPr>
            <w:tcW w:w="2284" w:type="dxa"/>
            <w:vAlign w:val="center"/>
          </w:tcPr>
          <w:p w14:paraId="4A349EF9">
            <w:pPr>
              <w:spacing w:line="360" w:lineRule="auto"/>
              <w:jc w:val="center"/>
              <w:rPr>
                <w:rFonts w:ascii="宋体" w:hAnsi="宋体"/>
                <w:color w:val="auto"/>
                <w:szCs w:val="21"/>
                <w:highlight w:val="none"/>
              </w:rPr>
            </w:pPr>
            <w:r>
              <w:rPr>
                <w:rFonts w:hint="eastAsia" w:ascii="宋体" w:hAnsi="宋体"/>
                <w:color w:val="auto"/>
                <w:szCs w:val="21"/>
                <w:highlight w:val="none"/>
              </w:rPr>
              <w:t>招标响应</w:t>
            </w:r>
          </w:p>
        </w:tc>
        <w:tc>
          <w:tcPr>
            <w:tcW w:w="2016" w:type="dxa"/>
            <w:vAlign w:val="center"/>
          </w:tcPr>
          <w:p w14:paraId="7EB72BAB">
            <w:pPr>
              <w:spacing w:line="360" w:lineRule="auto"/>
              <w:jc w:val="center"/>
              <w:rPr>
                <w:rFonts w:ascii="宋体" w:hAnsi="宋体"/>
                <w:color w:val="auto"/>
                <w:szCs w:val="21"/>
                <w:highlight w:val="none"/>
              </w:rPr>
            </w:pPr>
            <w:r>
              <w:rPr>
                <w:rFonts w:hint="eastAsia" w:ascii="宋体" w:hAnsi="宋体"/>
                <w:color w:val="auto"/>
                <w:szCs w:val="21"/>
                <w:highlight w:val="none"/>
              </w:rPr>
              <w:t>超出、符合或偏离</w:t>
            </w:r>
          </w:p>
        </w:tc>
        <w:tc>
          <w:tcPr>
            <w:tcW w:w="1137" w:type="dxa"/>
            <w:vAlign w:val="center"/>
          </w:tcPr>
          <w:p w14:paraId="31783C1B">
            <w:pPr>
              <w:spacing w:line="360" w:lineRule="auto"/>
              <w:jc w:val="center"/>
              <w:rPr>
                <w:rFonts w:ascii="宋体" w:hAnsi="宋体"/>
                <w:color w:val="auto"/>
                <w:szCs w:val="21"/>
                <w:highlight w:val="none"/>
              </w:rPr>
            </w:pPr>
            <w:r>
              <w:rPr>
                <w:rFonts w:hint="eastAsia" w:ascii="宋体" w:hAnsi="宋体"/>
                <w:color w:val="auto"/>
                <w:szCs w:val="21"/>
                <w:highlight w:val="none"/>
              </w:rPr>
              <w:t>证明材料</w:t>
            </w:r>
          </w:p>
        </w:tc>
      </w:tr>
      <w:tr w14:paraId="3A8A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6A03AAFB">
            <w:pPr>
              <w:spacing w:line="360" w:lineRule="auto"/>
              <w:jc w:val="center"/>
              <w:rPr>
                <w:rFonts w:ascii="宋体" w:hAnsi="宋体"/>
                <w:color w:val="auto"/>
                <w:szCs w:val="21"/>
                <w:highlight w:val="none"/>
              </w:rPr>
            </w:pPr>
          </w:p>
        </w:tc>
        <w:tc>
          <w:tcPr>
            <w:tcW w:w="2409" w:type="dxa"/>
          </w:tcPr>
          <w:p w14:paraId="189599DA">
            <w:pPr>
              <w:spacing w:line="360" w:lineRule="auto"/>
              <w:jc w:val="center"/>
              <w:rPr>
                <w:rFonts w:ascii="宋体" w:hAnsi="宋体"/>
                <w:color w:val="auto"/>
                <w:szCs w:val="21"/>
                <w:highlight w:val="none"/>
              </w:rPr>
            </w:pPr>
          </w:p>
        </w:tc>
        <w:tc>
          <w:tcPr>
            <w:tcW w:w="2284" w:type="dxa"/>
          </w:tcPr>
          <w:p w14:paraId="3F206510">
            <w:pPr>
              <w:spacing w:line="360" w:lineRule="auto"/>
              <w:jc w:val="center"/>
              <w:rPr>
                <w:rFonts w:ascii="宋体" w:hAnsi="宋体"/>
                <w:color w:val="auto"/>
                <w:szCs w:val="21"/>
                <w:highlight w:val="none"/>
              </w:rPr>
            </w:pPr>
          </w:p>
        </w:tc>
        <w:tc>
          <w:tcPr>
            <w:tcW w:w="2016" w:type="dxa"/>
          </w:tcPr>
          <w:p w14:paraId="5AF3E19F">
            <w:pPr>
              <w:spacing w:line="360" w:lineRule="auto"/>
              <w:jc w:val="center"/>
              <w:rPr>
                <w:rFonts w:ascii="宋体" w:hAnsi="宋体"/>
                <w:color w:val="auto"/>
                <w:szCs w:val="21"/>
                <w:highlight w:val="none"/>
              </w:rPr>
            </w:pPr>
          </w:p>
        </w:tc>
        <w:tc>
          <w:tcPr>
            <w:tcW w:w="1137" w:type="dxa"/>
          </w:tcPr>
          <w:p w14:paraId="7DC610D1">
            <w:pPr>
              <w:spacing w:line="360" w:lineRule="auto"/>
              <w:jc w:val="center"/>
              <w:rPr>
                <w:rFonts w:ascii="宋体" w:hAnsi="宋体"/>
                <w:color w:val="auto"/>
                <w:szCs w:val="21"/>
                <w:highlight w:val="none"/>
              </w:rPr>
            </w:pPr>
          </w:p>
        </w:tc>
      </w:tr>
      <w:tr w14:paraId="2B988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1CDB0754">
            <w:pPr>
              <w:spacing w:line="360" w:lineRule="auto"/>
              <w:jc w:val="center"/>
              <w:rPr>
                <w:rFonts w:ascii="宋体" w:hAnsi="宋体"/>
                <w:color w:val="auto"/>
                <w:szCs w:val="21"/>
                <w:highlight w:val="none"/>
              </w:rPr>
            </w:pPr>
          </w:p>
        </w:tc>
        <w:tc>
          <w:tcPr>
            <w:tcW w:w="2409" w:type="dxa"/>
          </w:tcPr>
          <w:p w14:paraId="789465A4">
            <w:pPr>
              <w:spacing w:line="360" w:lineRule="auto"/>
              <w:jc w:val="center"/>
              <w:rPr>
                <w:rFonts w:ascii="宋体" w:hAnsi="宋体"/>
                <w:color w:val="auto"/>
                <w:szCs w:val="21"/>
                <w:highlight w:val="none"/>
              </w:rPr>
            </w:pPr>
          </w:p>
        </w:tc>
        <w:tc>
          <w:tcPr>
            <w:tcW w:w="2284" w:type="dxa"/>
          </w:tcPr>
          <w:p w14:paraId="1FEDB3D6">
            <w:pPr>
              <w:spacing w:line="360" w:lineRule="auto"/>
              <w:jc w:val="center"/>
              <w:rPr>
                <w:rFonts w:ascii="宋体" w:hAnsi="宋体"/>
                <w:color w:val="auto"/>
                <w:szCs w:val="21"/>
                <w:highlight w:val="none"/>
              </w:rPr>
            </w:pPr>
          </w:p>
        </w:tc>
        <w:tc>
          <w:tcPr>
            <w:tcW w:w="2016" w:type="dxa"/>
          </w:tcPr>
          <w:p w14:paraId="286D6BB1">
            <w:pPr>
              <w:spacing w:line="360" w:lineRule="auto"/>
              <w:jc w:val="center"/>
              <w:rPr>
                <w:rFonts w:ascii="宋体" w:hAnsi="宋体"/>
                <w:color w:val="auto"/>
                <w:szCs w:val="21"/>
                <w:highlight w:val="none"/>
              </w:rPr>
            </w:pPr>
          </w:p>
        </w:tc>
        <w:tc>
          <w:tcPr>
            <w:tcW w:w="1137" w:type="dxa"/>
          </w:tcPr>
          <w:p w14:paraId="0C98AC02">
            <w:pPr>
              <w:spacing w:line="360" w:lineRule="auto"/>
              <w:jc w:val="center"/>
              <w:rPr>
                <w:rFonts w:ascii="宋体" w:hAnsi="宋体"/>
                <w:color w:val="auto"/>
                <w:szCs w:val="21"/>
                <w:highlight w:val="none"/>
              </w:rPr>
            </w:pPr>
          </w:p>
        </w:tc>
      </w:tr>
      <w:tr w14:paraId="7885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268A14D5">
            <w:pPr>
              <w:spacing w:line="360" w:lineRule="auto"/>
              <w:jc w:val="center"/>
              <w:rPr>
                <w:rFonts w:ascii="宋体" w:hAnsi="宋体"/>
                <w:color w:val="auto"/>
                <w:szCs w:val="21"/>
                <w:highlight w:val="none"/>
              </w:rPr>
            </w:pPr>
          </w:p>
        </w:tc>
        <w:tc>
          <w:tcPr>
            <w:tcW w:w="2409" w:type="dxa"/>
          </w:tcPr>
          <w:p w14:paraId="24F7ECC6">
            <w:pPr>
              <w:spacing w:line="360" w:lineRule="auto"/>
              <w:jc w:val="center"/>
              <w:rPr>
                <w:rFonts w:ascii="宋体" w:hAnsi="宋体"/>
                <w:color w:val="auto"/>
                <w:szCs w:val="21"/>
                <w:highlight w:val="none"/>
              </w:rPr>
            </w:pPr>
          </w:p>
        </w:tc>
        <w:tc>
          <w:tcPr>
            <w:tcW w:w="2284" w:type="dxa"/>
          </w:tcPr>
          <w:p w14:paraId="610C19A1">
            <w:pPr>
              <w:spacing w:line="360" w:lineRule="auto"/>
              <w:jc w:val="center"/>
              <w:rPr>
                <w:rFonts w:ascii="宋体" w:hAnsi="宋体"/>
                <w:color w:val="auto"/>
                <w:szCs w:val="21"/>
                <w:highlight w:val="none"/>
              </w:rPr>
            </w:pPr>
          </w:p>
        </w:tc>
        <w:tc>
          <w:tcPr>
            <w:tcW w:w="2016" w:type="dxa"/>
          </w:tcPr>
          <w:p w14:paraId="4B87A408">
            <w:pPr>
              <w:spacing w:line="360" w:lineRule="auto"/>
              <w:jc w:val="center"/>
              <w:rPr>
                <w:rFonts w:ascii="宋体" w:hAnsi="宋体"/>
                <w:color w:val="auto"/>
                <w:szCs w:val="21"/>
                <w:highlight w:val="none"/>
              </w:rPr>
            </w:pPr>
          </w:p>
        </w:tc>
        <w:tc>
          <w:tcPr>
            <w:tcW w:w="1137" w:type="dxa"/>
          </w:tcPr>
          <w:p w14:paraId="169D5A7D">
            <w:pPr>
              <w:spacing w:line="360" w:lineRule="auto"/>
              <w:jc w:val="center"/>
              <w:rPr>
                <w:rFonts w:ascii="宋体" w:hAnsi="宋体"/>
                <w:color w:val="auto"/>
                <w:szCs w:val="21"/>
                <w:highlight w:val="none"/>
              </w:rPr>
            </w:pPr>
          </w:p>
        </w:tc>
      </w:tr>
      <w:tr w14:paraId="664F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0A6C2C9A">
            <w:pPr>
              <w:spacing w:line="360" w:lineRule="auto"/>
              <w:jc w:val="center"/>
              <w:rPr>
                <w:rFonts w:ascii="宋体" w:hAnsi="宋体"/>
                <w:color w:val="auto"/>
                <w:szCs w:val="21"/>
                <w:highlight w:val="none"/>
              </w:rPr>
            </w:pPr>
          </w:p>
        </w:tc>
        <w:tc>
          <w:tcPr>
            <w:tcW w:w="2409" w:type="dxa"/>
          </w:tcPr>
          <w:p w14:paraId="1E8BD635">
            <w:pPr>
              <w:spacing w:line="360" w:lineRule="auto"/>
              <w:jc w:val="center"/>
              <w:rPr>
                <w:rFonts w:ascii="宋体" w:hAnsi="宋体"/>
                <w:color w:val="auto"/>
                <w:szCs w:val="21"/>
                <w:highlight w:val="none"/>
              </w:rPr>
            </w:pPr>
          </w:p>
        </w:tc>
        <w:tc>
          <w:tcPr>
            <w:tcW w:w="2284" w:type="dxa"/>
          </w:tcPr>
          <w:p w14:paraId="528A9465">
            <w:pPr>
              <w:spacing w:line="360" w:lineRule="auto"/>
              <w:jc w:val="center"/>
              <w:rPr>
                <w:rFonts w:ascii="宋体" w:hAnsi="宋体"/>
                <w:color w:val="auto"/>
                <w:szCs w:val="21"/>
                <w:highlight w:val="none"/>
              </w:rPr>
            </w:pPr>
          </w:p>
        </w:tc>
        <w:tc>
          <w:tcPr>
            <w:tcW w:w="2016" w:type="dxa"/>
          </w:tcPr>
          <w:p w14:paraId="2659CF7B">
            <w:pPr>
              <w:spacing w:line="360" w:lineRule="auto"/>
              <w:jc w:val="center"/>
              <w:rPr>
                <w:rFonts w:ascii="宋体" w:hAnsi="宋体"/>
                <w:color w:val="auto"/>
                <w:szCs w:val="21"/>
                <w:highlight w:val="none"/>
              </w:rPr>
            </w:pPr>
          </w:p>
        </w:tc>
        <w:tc>
          <w:tcPr>
            <w:tcW w:w="1137" w:type="dxa"/>
          </w:tcPr>
          <w:p w14:paraId="255A396A">
            <w:pPr>
              <w:spacing w:line="360" w:lineRule="auto"/>
              <w:jc w:val="center"/>
              <w:rPr>
                <w:rFonts w:ascii="宋体" w:hAnsi="宋体"/>
                <w:color w:val="auto"/>
                <w:szCs w:val="21"/>
                <w:highlight w:val="none"/>
              </w:rPr>
            </w:pPr>
          </w:p>
        </w:tc>
      </w:tr>
      <w:tr w14:paraId="0BF5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565DAF1A">
            <w:pPr>
              <w:spacing w:line="360" w:lineRule="auto"/>
              <w:jc w:val="center"/>
              <w:rPr>
                <w:rFonts w:ascii="宋体" w:hAnsi="宋体"/>
                <w:color w:val="auto"/>
                <w:szCs w:val="21"/>
                <w:highlight w:val="none"/>
              </w:rPr>
            </w:pPr>
          </w:p>
        </w:tc>
        <w:tc>
          <w:tcPr>
            <w:tcW w:w="2409" w:type="dxa"/>
          </w:tcPr>
          <w:p w14:paraId="49D543E7">
            <w:pPr>
              <w:spacing w:line="360" w:lineRule="auto"/>
              <w:jc w:val="center"/>
              <w:rPr>
                <w:rFonts w:ascii="宋体" w:hAnsi="宋体"/>
                <w:color w:val="auto"/>
                <w:szCs w:val="21"/>
                <w:highlight w:val="none"/>
              </w:rPr>
            </w:pPr>
          </w:p>
        </w:tc>
        <w:tc>
          <w:tcPr>
            <w:tcW w:w="2284" w:type="dxa"/>
          </w:tcPr>
          <w:p w14:paraId="63CE5570">
            <w:pPr>
              <w:spacing w:line="360" w:lineRule="auto"/>
              <w:jc w:val="center"/>
              <w:rPr>
                <w:rFonts w:ascii="宋体" w:hAnsi="宋体"/>
                <w:color w:val="auto"/>
                <w:szCs w:val="21"/>
                <w:highlight w:val="none"/>
              </w:rPr>
            </w:pPr>
          </w:p>
        </w:tc>
        <w:tc>
          <w:tcPr>
            <w:tcW w:w="2016" w:type="dxa"/>
          </w:tcPr>
          <w:p w14:paraId="6C79E0D0">
            <w:pPr>
              <w:spacing w:line="360" w:lineRule="auto"/>
              <w:jc w:val="center"/>
              <w:rPr>
                <w:rFonts w:ascii="宋体" w:hAnsi="宋体"/>
                <w:color w:val="auto"/>
                <w:szCs w:val="21"/>
                <w:highlight w:val="none"/>
              </w:rPr>
            </w:pPr>
          </w:p>
        </w:tc>
        <w:tc>
          <w:tcPr>
            <w:tcW w:w="1137" w:type="dxa"/>
          </w:tcPr>
          <w:p w14:paraId="69BD3173">
            <w:pPr>
              <w:spacing w:line="360" w:lineRule="auto"/>
              <w:jc w:val="center"/>
              <w:rPr>
                <w:rFonts w:ascii="宋体" w:hAnsi="宋体"/>
                <w:color w:val="auto"/>
                <w:szCs w:val="21"/>
                <w:highlight w:val="none"/>
              </w:rPr>
            </w:pPr>
          </w:p>
        </w:tc>
      </w:tr>
      <w:tr w14:paraId="13DD7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1FBDF743">
            <w:pPr>
              <w:spacing w:line="360" w:lineRule="auto"/>
              <w:jc w:val="center"/>
              <w:rPr>
                <w:rFonts w:ascii="宋体" w:hAnsi="宋体"/>
                <w:color w:val="auto"/>
                <w:szCs w:val="21"/>
                <w:highlight w:val="none"/>
              </w:rPr>
            </w:pPr>
          </w:p>
        </w:tc>
        <w:tc>
          <w:tcPr>
            <w:tcW w:w="2409" w:type="dxa"/>
          </w:tcPr>
          <w:p w14:paraId="454EBF7B">
            <w:pPr>
              <w:spacing w:line="360" w:lineRule="auto"/>
              <w:jc w:val="center"/>
              <w:rPr>
                <w:rFonts w:ascii="宋体" w:hAnsi="宋体"/>
                <w:color w:val="auto"/>
                <w:szCs w:val="21"/>
                <w:highlight w:val="none"/>
              </w:rPr>
            </w:pPr>
          </w:p>
        </w:tc>
        <w:tc>
          <w:tcPr>
            <w:tcW w:w="2284" w:type="dxa"/>
          </w:tcPr>
          <w:p w14:paraId="6933ACD8">
            <w:pPr>
              <w:spacing w:line="360" w:lineRule="auto"/>
              <w:jc w:val="center"/>
              <w:rPr>
                <w:rFonts w:ascii="宋体" w:hAnsi="宋体"/>
                <w:color w:val="auto"/>
                <w:szCs w:val="21"/>
                <w:highlight w:val="none"/>
              </w:rPr>
            </w:pPr>
          </w:p>
        </w:tc>
        <w:tc>
          <w:tcPr>
            <w:tcW w:w="2016" w:type="dxa"/>
          </w:tcPr>
          <w:p w14:paraId="09CDB6EC">
            <w:pPr>
              <w:spacing w:line="360" w:lineRule="auto"/>
              <w:jc w:val="center"/>
              <w:rPr>
                <w:rFonts w:ascii="宋体" w:hAnsi="宋体"/>
                <w:color w:val="auto"/>
                <w:szCs w:val="21"/>
                <w:highlight w:val="none"/>
              </w:rPr>
            </w:pPr>
          </w:p>
        </w:tc>
        <w:tc>
          <w:tcPr>
            <w:tcW w:w="1137" w:type="dxa"/>
          </w:tcPr>
          <w:p w14:paraId="35C2C9E7">
            <w:pPr>
              <w:spacing w:line="360" w:lineRule="auto"/>
              <w:jc w:val="center"/>
              <w:rPr>
                <w:rFonts w:ascii="宋体" w:hAnsi="宋体"/>
                <w:color w:val="auto"/>
                <w:szCs w:val="21"/>
                <w:highlight w:val="none"/>
              </w:rPr>
            </w:pPr>
          </w:p>
        </w:tc>
      </w:tr>
      <w:tr w14:paraId="6980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4911548A">
            <w:pPr>
              <w:spacing w:line="360" w:lineRule="auto"/>
              <w:jc w:val="center"/>
              <w:rPr>
                <w:rFonts w:ascii="宋体" w:hAnsi="宋体"/>
                <w:color w:val="auto"/>
                <w:szCs w:val="21"/>
                <w:highlight w:val="none"/>
              </w:rPr>
            </w:pPr>
          </w:p>
        </w:tc>
        <w:tc>
          <w:tcPr>
            <w:tcW w:w="2409" w:type="dxa"/>
          </w:tcPr>
          <w:p w14:paraId="5907D71E">
            <w:pPr>
              <w:spacing w:line="360" w:lineRule="auto"/>
              <w:jc w:val="center"/>
              <w:rPr>
                <w:rFonts w:ascii="宋体" w:hAnsi="宋体"/>
                <w:color w:val="auto"/>
                <w:szCs w:val="21"/>
                <w:highlight w:val="none"/>
              </w:rPr>
            </w:pPr>
          </w:p>
        </w:tc>
        <w:tc>
          <w:tcPr>
            <w:tcW w:w="2284" w:type="dxa"/>
          </w:tcPr>
          <w:p w14:paraId="5CF11BB9">
            <w:pPr>
              <w:spacing w:line="360" w:lineRule="auto"/>
              <w:jc w:val="center"/>
              <w:rPr>
                <w:rFonts w:ascii="宋体" w:hAnsi="宋体"/>
                <w:color w:val="auto"/>
                <w:szCs w:val="21"/>
                <w:highlight w:val="none"/>
              </w:rPr>
            </w:pPr>
          </w:p>
        </w:tc>
        <w:tc>
          <w:tcPr>
            <w:tcW w:w="2016" w:type="dxa"/>
          </w:tcPr>
          <w:p w14:paraId="7061F0C4">
            <w:pPr>
              <w:spacing w:line="360" w:lineRule="auto"/>
              <w:jc w:val="center"/>
              <w:rPr>
                <w:rFonts w:ascii="宋体" w:hAnsi="宋体"/>
                <w:color w:val="auto"/>
                <w:szCs w:val="21"/>
                <w:highlight w:val="none"/>
              </w:rPr>
            </w:pPr>
          </w:p>
        </w:tc>
        <w:tc>
          <w:tcPr>
            <w:tcW w:w="1137" w:type="dxa"/>
          </w:tcPr>
          <w:p w14:paraId="4B296A23">
            <w:pPr>
              <w:spacing w:line="360" w:lineRule="auto"/>
              <w:jc w:val="center"/>
              <w:rPr>
                <w:rFonts w:ascii="宋体" w:hAnsi="宋体"/>
                <w:color w:val="auto"/>
                <w:szCs w:val="21"/>
                <w:highlight w:val="none"/>
              </w:rPr>
            </w:pPr>
          </w:p>
        </w:tc>
      </w:tr>
      <w:tr w14:paraId="75C0B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984" w:type="dxa"/>
          </w:tcPr>
          <w:p w14:paraId="1E4609E6">
            <w:pPr>
              <w:spacing w:line="360" w:lineRule="auto"/>
              <w:jc w:val="center"/>
              <w:rPr>
                <w:rFonts w:ascii="宋体" w:hAnsi="宋体"/>
                <w:color w:val="auto"/>
                <w:szCs w:val="21"/>
                <w:highlight w:val="none"/>
              </w:rPr>
            </w:pPr>
          </w:p>
        </w:tc>
        <w:tc>
          <w:tcPr>
            <w:tcW w:w="2409" w:type="dxa"/>
          </w:tcPr>
          <w:p w14:paraId="1EFC652A">
            <w:pPr>
              <w:spacing w:line="360" w:lineRule="auto"/>
              <w:jc w:val="center"/>
              <w:rPr>
                <w:rFonts w:ascii="宋体" w:hAnsi="宋体"/>
                <w:color w:val="auto"/>
                <w:szCs w:val="21"/>
                <w:highlight w:val="none"/>
              </w:rPr>
            </w:pPr>
          </w:p>
        </w:tc>
        <w:tc>
          <w:tcPr>
            <w:tcW w:w="2284" w:type="dxa"/>
          </w:tcPr>
          <w:p w14:paraId="0C31697E">
            <w:pPr>
              <w:spacing w:line="360" w:lineRule="auto"/>
              <w:jc w:val="center"/>
              <w:rPr>
                <w:rFonts w:ascii="宋体" w:hAnsi="宋体"/>
                <w:color w:val="auto"/>
                <w:szCs w:val="21"/>
                <w:highlight w:val="none"/>
              </w:rPr>
            </w:pPr>
          </w:p>
        </w:tc>
        <w:tc>
          <w:tcPr>
            <w:tcW w:w="2016" w:type="dxa"/>
          </w:tcPr>
          <w:p w14:paraId="587F45AA">
            <w:pPr>
              <w:spacing w:line="360" w:lineRule="auto"/>
              <w:jc w:val="center"/>
              <w:rPr>
                <w:rFonts w:ascii="宋体" w:hAnsi="宋体"/>
                <w:color w:val="auto"/>
                <w:szCs w:val="21"/>
                <w:highlight w:val="none"/>
              </w:rPr>
            </w:pPr>
          </w:p>
        </w:tc>
        <w:tc>
          <w:tcPr>
            <w:tcW w:w="1137" w:type="dxa"/>
          </w:tcPr>
          <w:p w14:paraId="13B748DE">
            <w:pPr>
              <w:spacing w:line="360" w:lineRule="auto"/>
              <w:jc w:val="center"/>
              <w:rPr>
                <w:rFonts w:ascii="宋体" w:hAnsi="宋体"/>
                <w:color w:val="auto"/>
                <w:szCs w:val="21"/>
                <w:highlight w:val="none"/>
              </w:rPr>
            </w:pPr>
          </w:p>
        </w:tc>
      </w:tr>
    </w:tbl>
    <w:p w14:paraId="694CF50A">
      <w:pPr>
        <w:spacing w:line="360" w:lineRule="auto"/>
        <w:rPr>
          <w:rFonts w:ascii="宋体" w:hAnsi="宋体"/>
          <w:color w:val="auto"/>
          <w:szCs w:val="21"/>
          <w:highlight w:val="none"/>
        </w:rPr>
      </w:pPr>
    </w:p>
    <w:p w14:paraId="0162C04B">
      <w:pPr>
        <w:spacing w:line="360" w:lineRule="auto"/>
        <w:rPr>
          <w:rFonts w:ascii="宋体" w:hAnsi="宋体"/>
          <w:color w:val="auto"/>
          <w:szCs w:val="21"/>
          <w:highlight w:val="none"/>
        </w:rPr>
      </w:pPr>
      <w:r>
        <w:rPr>
          <w:rFonts w:hint="eastAsia" w:ascii="宋体" w:hAnsi="宋体"/>
          <w:color w:val="auto"/>
          <w:szCs w:val="21"/>
          <w:highlight w:val="none"/>
        </w:rPr>
        <w:t>注：1、按照基本技术要求详细填列。</w:t>
      </w:r>
    </w:p>
    <w:p w14:paraId="003A05ED">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2、行数不够，可自行添加。</w:t>
      </w:r>
    </w:p>
    <w:p w14:paraId="632C7E0A">
      <w:pPr>
        <w:pStyle w:val="34"/>
        <w:spacing w:line="360" w:lineRule="auto"/>
        <w:rPr>
          <w:rFonts w:ascii="宋体" w:hAnsi="宋体"/>
          <w:bCs w:val="0"/>
          <w:color w:val="auto"/>
          <w:highlight w:val="none"/>
          <w:lang w:eastAsia="zh-CN"/>
        </w:rPr>
      </w:pPr>
    </w:p>
    <w:p w14:paraId="2AD867C7">
      <w:pPr>
        <w:pStyle w:val="35"/>
        <w:rPr>
          <w:rFonts w:ascii="宋体" w:hAnsi="宋体"/>
          <w:color w:val="auto"/>
          <w:highlight w:val="none"/>
        </w:rPr>
      </w:pPr>
    </w:p>
    <w:p w14:paraId="19D86F9D">
      <w:pPr>
        <w:pStyle w:val="35"/>
        <w:rPr>
          <w:rFonts w:ascii="宋体" w:hAnsi="宋体"/>
          <w:color w:val="auto"/>
          <w:highlight w:val="none"/>
        </w:rPr>
      </w:pPr>
    </w:p>
    <w:p w14:paraId="1C79F655">
      <w:pPr>
        <w:pStyle w:val="35"/>
        <w:rPr>
          <w:rFonts w:ascii="宋体" w:hAnsi="宋体"/>
          <w:color w:val="auto"/>
          <w:highlight w:val="none"/>
        </w:rPr>
      </w:pPr>
    </w:p>
    <w:p w14:paraId="55BEDA88">
      <w:pPr>
        <w:pStyle w:val="35"/>
        <w:rPr>
          <w:rFonts w:ascii="宋体" w:hAnsi="宋体"/>
          <w:color w:val="auto"/>
          <w:highlight w:val="none"/>
        </w:rPr>
      </w:pPr>
    </w:p>
    <w:p w14:paraId="1DC2063F">
      <w:pPr>
        <w:pStyle w:val="35"/>
        <w:rPr>
          <w:rFonts w:ascii="宋体" w:hAnsi="宋体"/>
          <w:color w:val="auto"/>
          <w:highlight w:val="none"/>
        </w:rPr>
      </w:pPr>
    </w:p>
    <w:p w14:paraId="5279C493">
      <w:pPr>
        <w:pStyle w:val="35"/>
        <w:rPr>
          <w:rFonts w:ascii="宋体" w:hAnsi="宋体"/>
          <w:color w:val="auto"/>
          <w:highlight w:val="none"/>
        </w:rPr>
      </w:pPr>
    </w:p>
    <w:p w14:paraId="641EE360">
      <w:pPr>
        <w:pStyle w:val="35"/>
        <w:rPr>
          <w:rFonts w:ascii="宋体" w:hAnsi="宋体"/>
          <w:color w:val="auto"/>
          <w:highlight w:val="none"/>
        </w:rPr>
      </w:pPr>
    </w:p>
    <w:p w14:paraId="6173B9CF">
      <w:pPr>
        <w:pStyle w:val="35"/>
        <w:rPr>
          <w:rFonts w:ascii="宋体" w:hAnsi="宋体"/>
          <w:color w:val="auto"/>
          <w:highlight w:val="none"/>
        </w:rPr>
      </w:pPr>
    </w:p>
    <w:p w14:paraId="4F8F957F">
      <w:pPr>
        <w:pStyle w:val="35"/>
        <w:rPr>
          <w:rFonts w:ascii="宋体" w:hAnsi="宋体"/>
          <w:color w:val="auto"/>
          <w:highlight w:val="none"/>
        </w:rPr>
      </w:pPr>
    </w:p>
    <w:p w14:paraId="2BA45E06">
      <w:pPr>
        <w:pStyle w:val="35"/>
        <w:rPr>
          <w:rFonts w:ascii="宋体" w:hAnsi="宋体"/>
          <w:color w:val="auto"/>
          <w:highlight w:val="none"/>
        </w:rPr>
      </w:pPr>
    </w:p>
    <w:p w14:paraId="4E4CA97A">
      <w:pPr>
        <w:pStyle w:val="35"/>
        <w:rPr>
          <w:rFonts w:ascii="宋体" w:hAnsi="宋体"/>
          <w:color w:val="auto"/>
          <w:highlight w:val="none"/>
        </w:rPr>
      </w:pPr>
    </w:p>
    <w:p w14:paraId="0A225476">
      <w:pPr>
        <w:pStyle w:val="34"/>
        <w:numPr>
          <w:ilvl w:val="0"/>
          <w:numId w:val="4"/>
        </w:numPr>
        <w:spacing w:line="360" w:lineRule="auto"/>
        <w:jc w:val="center"/>
        <w:rPr>
          <w:color w:val="auto"/>
          <w:highlight w:val="none"/>
        </w:rPr>
      </w:pPr>
      <w:r>
        <w:rPr>
          <w:rFonts w:hint="eastAsia" w:ascii="宋体" w:hAnsi="宋体"/>
          <w:bCs w:val="0"/>
          <w:color w:val="auto"/>
          <w:highlight w:val="none"/>
        </w:rPr>
        <w:t>商务条款响应及偏离表</w:t>
      </w:r>
      <w:bookmarkEnd w:id="35"/>
    </w:p>
    <w:tbl>
      <w:tblPr>
        <w:tblStyle w:val="18"/>
        <w:tblW w:w="8591"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638"/>
        <w:gridCol w:w="2502"/>
        <w:gridCol w:w="1837"/>
        <w:gridCol w:w="2614"/>
      </w:tblGrid>
      <w:tr w14:paraId="6FFD55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1638" w:type="dxa"/>
            <w:tcBorders>
              <w:top w:val="single" w:color="auto" w:sz="4" w:space="0"/>
              <w:left w:val="single" w:color="auto" w:sz="4" w:space="0"/>
              <w:bottom w:val="single" w:color="auto" w:sz="4" w:space="0"/>
              <w:right w:val="single" w:color="auto" w:sz="4" w:space="0"/>
            </w:tcBorders>
          </w:tcPr>
          <w:p w14:paraId="6ABCDF2A">
            <w:pPr>
              <w:snapToGrid w:val="0"/>
              <w:spacing w:before="156" w:beforeLines="50"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项目</w:t>
            </w:r>
          </w:p>
        </w:tc>
        <w:tc>
          <w:tcPr>
            <w:tcW w:w="2502" w:type="dxa"/>
            <w:tcBorders>
              <w:top w:val="single" w:color="auto" w:sz="4" w:space="0"/>
              <w:left w:val="single" w:color="auto" w:sz="4" w:space="0"/>
              <w:bottom w:val="single" w:color="auto" w:sz="4" w:space="0"/>
              <w:right w:val="single" w:color="auto" w:sz="4" w:space="0"/>
            </w:tcBorders>
          </w:tcPr>
          <w:p w14:paraId="6BEF0E03">
            <w:pPr>
              <w:snapToGrid w:val="0"/>
              <w:spacing w:before="156" w:beforeLines="50"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招标文件要求</w:t>
            </w:r>
          </w:p>
        </w:tc>
        <w:tc>
          <w:tcPr>
            <w:tcW w:w="1837" w:type="dxa"/>
            <w:tcBorders>
              <w:top w:val="single" w:color="auto" w:sz="4" w:space="0"/>
              <w:left w:val="single" w:color="auto" w:sz="4" w:space="0"/>
              <w:bottom w:val="single" w:color="auto" w:sz="4" w:space="0"/>
              <w:right w:val="single" w:color="auto" w:sz="4" w:space="0"/>
            </w:tcBorders>
          </w:tcPr>
          <w:p w14:paraId="40651A40">
            <w:pPr>
              <w:snapToGrid w:val="0"/>
              <w:spacing w:before="156" w:beforeLines="50"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是否响应</w:t>
            </w:r>
          </w:p>
        </w:tc>
        <w:tc>
          <w:tcPr>
            <w:tcW w:w="2614" w:type="dxa"/>
            <w:tcBorders>
              <w:top w:val="single" w:color="auto" w:sz="4" w:space="0"/>
              <w:left w:val="single" w:color="auto" w:sz="4" w:space="0"/>
              <w:bottom w:val="single" w:color="auto" w:sz="4" w:space="0"/>
              <w:right w:val="single" w:color="auto" w:sz="4" w:space="0"/>
            </w:tcBorders>
          </w:tcPr>
          <w:p w14:paraId="7267935A">
            <w:pPr>
              <w:snapToGrid w:val="0"/>
              <w:spacing w:before="156" w:beforeLines="50"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投标人的承诺或说明</w:t>
            </w:r>
          </w:p>
        </w:tc>
      </w:tr>
      <w:tr w14:paraId="7D746F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638" w:type="dxa"/>
            <w:tcBorders>
              <w:top w:val="single" w:color="auto" w:sz="4" w:space="0"/>
              <w:left w:val="single" w:color="auto" w:sz="4" w:space="0"/>
              <w:bottom w:val="single" w:color="auto" w:sz="4" w:space="0"/>
              <w:right w:val="single" w:color="auto" w:sz="4" w:space="0"/>
            </w:tcBorders>
          </w:tcPr>
          <w:p w14:paraId="6E135DFC">
            <w:pPr>
              <w:snapToGrid w:val="0"/>
              <w:spacing w:before="156" w:beforeLines="50"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质保期</w:t>
            </w:r>
          </w:p>
        </w:tc>
        <w:tc>
          <w:tcPr>
            <w:tcW w:w="2502" w:type="dxa"/>
            <w:tcBorders>
              <w:top w:val="single" w:color="auto" w:sz="4" w:space="0"/>
              <w:left w:val="single" w:color="auto" w:sz="4" w:space="0"/>
              <w:bottom w:val="single" w:color="auto" w:sz="4" w:space="0"/>
              <w:right w:val="single" w:color="auto" w:sz="4" w:space="0"/>
            </w:tcBorders>
          </w:tcPr>
          <w:p w14:paraId="1F720A17">
            <w:pPr>
              <w:snapToGrid w:val="0"/>
              <w:spacing w:before="156" w:beforeLines="50" w:line="360" w:lineRule="auto"/>
              <w:jc w:val="center"/>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tcPr>
          <w:p w14:paraId="2F541D59">
            <w:pPr>
              <w:snapToGrid w:val="0"/>
              <w:spacing w:before="156" w:beforeLines="50" w:line="360" w:lineRule="auto"/>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tcPr>
          <w:p w14:paraId="3C0AB585">
            <w:pPr>
              <w:snapToGrid w:val="0"/>
              <w:spacing w:before="156" w:beforeLines="50" w:line="360" w:lineRule="auto"/>
              <w:jc w:val="center"/>
              <w:rPr>
                <w:rFonts w:ascii="仿宋_GB2312" w:hAnsi="宋体" w:eastAsia="仿宋_GB2312"/>
                <w:color w:val="auto"/>
                <w:szCs w:val="21"/>
                <w:highlight w:val="none"/>
              </w:rPr>
            </w:pPr>
          </w:p>
        </w:tc>
      </w:tr>
      <w:tr w14:paraId="672172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1638" w:type="dxa"/>
            <w:tcBorders>
              <w:top w:val="single" w:color="auto" w:sz="4" w:space="0"/>
              <w:left w:val="single" w:color="auto" w:sz="4" w:space="0"/>
              <w:bottom w:val="single" w:color="auto" w:sz="4" w:space="0"/>
              <w:right w:val="single" w:color="auto" w:sz="4" w:space="0"/>
            </w:tcBorders>
          </w:tcPr>
          <w:p w14:paraId="6D7A7F0F">
            <w:pPr>
              <w:snapToGrid w:val="0"/>
              <w:spacing w:before="156" w:beforeLines="50" w:line="360" w:lineRule="auto"/>
              <w:jc w:val="center"/>
              <w:rPr>
                <w:rFonts w:ascii="仿宋_GB2312" w:hAnsi="宋体" w:eastAsia="仿宋_GB2312"/>
                <w:color w:val="auto"/>
                <w:szCs w:val="21"/>
                <w:highlight w:val="none"/>
              </w:rPr>
            </w:pPr>
            <w:r>
              <w:rPr>
                <w:rFonts w:hint="eastAsia" w:ascii="仿宋_GB2312"/>
                <w:color w:val="auto"/>
                <w:szCs w:val="21"/>
                <w:highlight w:val="none"/>
              </w:rPr>
              <w:t>售后技术服务要求</w:t>
            </w:r>
          </w:p>
        </w:tc>
        <w:tc>
          <w:tcPr>
            <w:tcW w:w="2502" w:type="dxa"/>
            <w:tcBorders>
              <w:top w:val="single" w:color="auto" w:sz="4" w:space="0"/>
              <w:left w:val="single" w:color="auto" w:sz="4" w:space="0"/>
              <w:bottom w:val="single" w:color="auto" w:sz="4" w:space="0"/>
              <w:right w:val="single" w:color="auto" w:sz="4" w:space="0"/>
            </w:tcBorders>
          </w:tcPr>
          <w:p w14:paraId="7F532471">
            <w:pPr>
              <w:snapToGrid w:val="0"/>
              <w:spacing w:before="156" w:beforeLines="50" w:line="360" w:lineRule="auto"/>
              <w:jc w:val="center"/>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tcPr>
          <w:p w14:paraId="54660DB9">
            <w:pPr>
              <w:snapToGrid w:val="0"/>
              <w:spacing w:before="156" w:beforeLines="50" w:line="360" w:lineRule="auto"/>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tcPr>
          <w:p w14:paraId="0E869DDB">
            <w:pPr>
              <w:snapToGrid w:val="0"/>
              <w:spacing w:before="156" w:beforeLines="50" w:line="360" w:lineRule="auto"/>
              <w:jc w:val="center"/>
              <w:rPr>
                <w:rFonts w:ascii="仿宋_GB2312" w:hAnsi="宋体" w:eastAsia="仿宋_GB2312"/>
                <w:color w:val="auto"/>
                <w:szCs w:val="21"/>
                <w:highlight w:val="none"/>
              </w:rPr>
            </w:pPr>
          </w:p>
        </w:tc>
      </w:tr>
      <w:tr w14:paraId="5EFAC0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638" w:type="dxa"/>
            <w:tcBorders>
              <w:top w:val="single" w:color="auto" w:sz="4" w:space="0"/>
              <w:left w:val="single" w:color="auto" w:sz="4" w:space="0"/>
              <w:bottom w:val="single" w:color="auto" w:sz="4" w:space="0"/>
              <w:right w:val="single" w:color="auto" w:sz="4" w:space="0"/>
            </w:tcBorders>
          </w:tcPr>
          <w:p w14:paraId="2C0F2219">
            <w:pPr>
              <w:snapToGrid w:val="0"/>
              <w:spacing w:before="156" w:beforeLines="50" w:line="360" w:lineRule="auto"/>
              <w:jc w:val="center"/>
              <w:rPr>
                <w:rFonts w:ascii="仿宋_GB2312" w:hAnsi="宋体" w:eastAsia="仿宋_GB2312"/>
                <w:color w:val="auto"/>
                <w:szCs w:val="21"/>
                <w:highlight w:val="none"/>
              </w:rPr>
            </w:pPr>
            <w:r>
              <w:rPr>
                <w:rFonts w:hint="eastAsia" w:ascii="仿宋_GB2312"/>
                <w:color w:val="auto"/>
                <w:szCs w:val="21"/>
                <w:highlight w:val="none"/>
              </w:rPr>
              <w:t>交付时间</w:t>
            </w:r>
          </w:p>
        </w:tc>
        <w:tc>
          <w:tcPr>
            <w:tcW w:w="2502" w:type="dxa"/>
            <w:tcBorders>
              <w:top w:val="single" w:color="auto" w:sz="4" w:space="0"/>
              <w:left w:val="single" w:color="auto" w:sz="4" w:space="0"/>
              <w:bottom w:val="single" w:color="auto" w:sz="4" w:space="0"/>
              <w:right w:val="single" w:color="auto" w:sz="4" w:space="0"/>
            </w:tcBorders>
          </w:tcPr>
          <w:p w14:paraId="459212D2">
            <w:pPr>
              <w:snapToGrid w:val="0"/>
              <w:spacing w:before="156" w:beforeLines="50" w:line="360" w:lineRule="auto"/>
              <w:jc w:val="center"/>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tcPr>
          <w:p w14:paraId="6BCC32D6">
            <w:pPr>
              <w:snapToGrid w:val="0"/>
              <w:spacing w:before="156" w:beforeLines="50" w:line="360" w:lineRule="auto"/>
              <w:ind w:left="43"/>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tcPr>
          <w:p w14:paraId="014F0B21">
            <w:pPr>
              <w:snapToGrid w:val="0"/>
              <w:spacing w:before="156" w:beforeLines="50" w:line="360" w:lineRule="auto"/>
              <w:ind w:left="43"/>
              <w:jc w:val="center"/>
              <w:rPr>
                <w:rFonts w:ascii="仿宋_GB2312" w:hAnsi="宋体" w:eastAsia="仿宋_GB2312"/>
                <w:color w:val="auto"/>
                <w:szCs w:val="21"/>
                <w:highlight w:val="none"/>
              </w:rPr>
            </w:pPr>
          </w:p>
        </w:tc>
      </w:tr>
      <w:tr w14:paraId="3FE6C6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638" w:type="dxa"/>
            <w:tcBorders>
              <w:top w:val="single" w:color="auto" w:sz="4" w:space="0"/>
              <w:left w:val="single" w:color="auto" w:sz="4" w:space="0"/>
              <w:bottom w:val="single" w:color="auto" w:sz="4" w:space="0"/>
              <w:right w:val="single" w:color="auto" w:sz="4" w:space="0"/>
            </w:tcBorders>
          </w:tcPr>
          <w:p w14:paraId="10A3482B">
            <w:pPr>
              <w:snapToGrid w:val="0"/>
              <w:spacing w:before="156" w:beforeLines="50" w:line="360" w:lineRule="auto"/>
              <w:jc w:val="center"/>
              <w:rPr>
                <w:rFonts w:ascii="仿宋_GB2312"/>
                <w:color w:val="auto"/>
                <w:szCs w:val="21"/>
                <w:highlight w:val="none"/>
              </w:rPr>
            </w:pPr>
            <w:r>
              <w:rPr>
                <w:rFonts w:hint="eastAsia" w:ascii="仿宋_GB2312"/>
                <w:color w:val="auto"/>
                <w:szCs w:val="21"/>
                <w:highlight w:val="none"/>
              </w:rPr>
              <w:t>交货方式</w:t>
            </w:r>
          </w:p>
        </w:tc>
        <w:tc>
          <w:tcPr>
            <w:tcW w:w="2502" w:type="dxa"/>
            <w:tcBorders>
              <w:top w:val="single" w:color="auto" w:sz="4" w:space="0"/>
              <w:left w:val="single" w:color="auto" w:sz="4" w:space="0"/>
              <w:bottom w:val="single" w:color="auto" w:sz="4" w:space="0"/>
              <w:right w:val="single" w:color="auto" w:sz="4" w:space="0"/>
            </w:tcBorders>
          </w:tcPr>
          <w:p w14:paraId="51A52632">
            <w:pPr>
              <w:snapToGrid w:val="0"/>
              <w:spacing w:before="156" w:beforeLines="50" w:line="360" w:lineRule="auto"/>
              <w:rPr>
                <w:rFonts w:ascii="仿宋_GB2312" w:hAnsi="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tcPr>
          <w:p w14:paraId="5E4F0517">
            <w:pPr>
              <w:snapToGrid w:val="0"/>
              <w:spacing w:before="156" w:beforeLines="50" w:line="360" w:lineRule="auto"/>
              <w:ind w:left="43"/>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tcPr>
          <w:p w14:paraId="7BB4F9F4">
            <w:pPr>
              <w:snapToGrid w:val="0"/>
              <w:spacing w:before="156" w:beforeLines="50" w:line="360" w:lineRule="auto"/>
              <w:ind w:left="43"/>
              <w:jc w:val="center"/>
              <w:rPr>
                <w:rFonts w:ascii="仿宋_GB2312" w:hAnsi="宋体" w:eastAsia="仿宋_GB2312"/>
                <w:color w:val="auto"/>
                <w:szCs w:val="21"/>
                <w:highlight w:val="none"/>
              </w:rPr>
            </w:pPr>
          </w:p>
        </w:tc>
      </w:tr>
      <w:tr w14:paraId="3727BE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638" w:type="dxa"/>
            <w:tcBorders>
              <w:top w:val="single" w:color="auto" w:sz="4" w:space="0"/>
              <w:left w:val="single" w:color="auto" w:sz="4" w:space="0"/>
              <w:bottom w:val="single" w:color="auto" w:sz="4" w:space="0"/>
              <w:right w:val="single" w:color="auto" w:sz="4" w:space="0"/>
            </w:tcBorders>
          </w:tcPr>
          <w:p w14:paraId="32E8925F">
            <w:pPr>
              <w:snapToGrid w:val="0"/>
              <w:spacing w:before="156" w:beforeLines="50" w:line="360" w:lineRule="auto"/>
              <w:jc w:val="center"/>
              <w:rPr>
                <w:rFonts w:ascii="仿宋_GB2312"/>
                <w:color w:val="auto"/>
                <w:szCs w:val="21"/>
                <w:highlight w:val="none"/>
              </w:rPr>
            </w:pPr>
            <w:r>
              <w:rPr>
                <w:rFonts w:hint="eastAsia" w:ascii="仿宋_GB2312"/>
                <w:color w:val="auto"/>
                <w:szCs w:val="21"/>
                <w:highlight w:val="none"/>
              </w:rPr>
              <w:t>交货地点</w:t>
            </w:r>
          </w:p>
        </w:tc>
        <w:tc>
          <w:tcPr>
            <w:tcW w:w="2502" w:type="dxa"/>
            <w:tcBorders>
              <w:top w:val="single" w:color="auto" w:sz="4" w:space="0"/>
              <w:left w:val="single" w:color="auto" w:sz="4" w:space="0"/>
              <w:bottom w:val="single" w:color="auto" w:sz="4" w:space="0"/>
              <w:right w:val="single" w:color="auto" w:sz="4" w:space="0"/>
            </w:tcBorders>
          </w:tcPr>
          <w:p w14:paraId="20230587">
            <w:pPr>
              <w:snapToGrid w:val="0"/>
              <w:spacing w:before="156" w:beforeLines="50" w:line="360" w:lineRule="auto"/>
              <w:rPr>
                <w:rFonts w:ascii="仿宋_GB2312" w:hAnsi="宋体"/>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tcPr>
          <w:p w14:paraId="5C31608F">
            <w:pPr>
              <w:snapToGrid w:val="0"/>
              <w:spacing w:before="156" w:beforeLines="50" w:line="360" w:lineRule="auto"/>
              <w:ind w:left="43"/>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tcPr>
          <w:p w14:paraId="7CAC7D1E">
            <w:pPr>
              <w:snapToGrid w:val="0"/>
              <w:spacing w:before="156" w:beforeLines="50" w:line="360" w:lineRule="auto"/>
              <w:ind w:left="43"/>
              <w:jc w:val="center"/>
              <w:rPr>
                <w:rFonts w:ascii="仿宋_GB2312" w:hAnsi="宋体" w:eastAsia="仿宋_GB2312"/>
                <w:color w:val="auto"/>
                <w:szCs w:val="21"/>
                <w:highlight w:val="none"/>
              </w:rPr>
            </w:pPr>
          </w:p>
        </w:tc>
      </w:tr>
      <w:tr w14:paraId="62A66B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1638" w:type="dxa"/>
            <w:tcBorders>
              <w:top w:val="single" w:color="auto" w:sz="4" w:space="0"/>
              <w:left w:val="single" w:color="auto" w:sz="4" w:space="0"/>
              <w:bottom w:val="single" w:color="auto" w:sz="4" w:space="0"/>
              <w:right w:val="single" w:color="auto" w:sz="4" w:space="0"/>
            </w:tcBorders>
          </w:tcPr>
          <w:p w14:paraId="00C994DF">
            <w:pPr>
              <w:snapToGrid w:val="0"/>
              <w:spacing w:before="156" w:beforeLines="50" w:line="360" w:lineRule="auto"/>
              <w:jc w:val="center"/>
              <w:rPr>
                <w:rFonts w:ascii="仿宋_GB2312" w:hAnsi="宋体" w:eastAsia="仿宋_GB2312"/>
                <w:color w:val="auto"/>
                <w:szCs w:val="21"/>
                <w:highlight w:val="none"/>
              </w:rPr>
            </w:pPr>
            <w:r>
              <w:rPr>
                <w:rFonts w:hint="eastAsia" w:ascii="仿宋_GB2312" w:hAnsi="宋体"/>
                <w:color w:val="auto"/>
                <w:szCs w:val="21"/>
                <w:highlight w:val="none"/>
              </w:rPr>
              <w:t>付款方式</w:t>
            </w:r>
          </w:p>
        </w:tc>
        <w:tc>
          <w:tcPr>
            <w:tcW w:w="2502" w:type="dxa"/>
            <w:tcBorders>
              <w:top w:val="single" w:color="auto" w:sz="4" w:space="0"/>
              <w:left w:val="single" w:color="auto" w:sz="4" w:space="0"/>
              <w:bottom w:val="single" w:color="auto" w:sz="4" w:space="0"/>
              <w:right w:val="single" w:color="auto" w:sz="4" w:space="0"/>
            </w:tcBorders>
          </w:tcPr>
          <w:p w14:paraId="7F84A6FF">
            <w:pPr>
              <w:snapToGrid w:val="0"/>
              <w:spacing w:before="156" w:beforeLines="50" w:line="360" w:lineRule="auto"/>
              <w:rPr>
                <w:rFonts w:ascii="仿宋_GB2312" w:hAnsi="宋体" w:eastAsia="仿宋_GB2312"/>
                <w:color w:val="auto"/>
                <w:szCs w:val="21"/>
                <w:highlight w:val="none"/>
              </w:rPr>
            </w:pPr>
          </w:p>
        </w:tc>
        <w:tc>
          <w:tcPr>
            <w:tcW w:w="1837" w:type="dxa"/>
            <w:tcBorders>
              <w:top w:val="single" w:color="auto" w:sz="4" w:space="0"/>
              <w:left w:val="single" w:color="auto" w:sz="4" w:space="0"/>
              <w:bottom w:val="single" w:color="auto" w:sz="4" w:space="0"/>
              <w:right w:val="single" w:color="auto" w:sz="4" w:space="0"/>
            </w:tcBorders>
          </w:tcPr>
          <w:p w14:paraId="30C86A11">
            <w:pPr>
              <w:snapToGrid w:val="0"/>
              <w:spacing w:before="156" w:beforeLines="50" w:line="360" w:lineRule="auto"/>
              <w:jc w:val="center"/>
              <w:rPr>
                <w:rFonts w:ascii="仿宋_GB2312" w:hAnsi="宋体" w:eastAsia="仿宋_GB2312"/>
                <w:color w:val="auto"/>
                <w:szCs w:val="21"/>
                <w:highlight w:val="none"/>
              </w:rPr>
            </w:pPr>
          </w:p>
        </w:tc>
        <w:tc>
          <w:tcPr>
            <w:tcW w:w="2614" w:type="dxa"/>
            <w:tcBorders>
              <w:top w:val="single" w:color="auto" w:sz="4" w:space="0"/>
              <w:left w:val="single" w:color="auto" w:sz="4" w:space="0"/>
              <w:bottom w:val="single" w:color="auto" w:sz="4" w:space="0"/>
              <w:right w:val="single" w:color="auto" w:sz="4" w:space="0"/>
            </w:tcBorders>
          </w:tcPr>
          <w:p w14:paraId="708E0C49">
            <w:pPr>
              <w:snapToGrid w:val="0"/>
              <w:spacing w:before="156" w:beforeLines="50" w:line="360" w:lineRule="auto"/>
              <w:jc w:val="center"/>
              <w:rPr>
                <w:rFonts w:ascii="仿宋_GB2312" w:hAnsi="宋体" w:eastAsia="仿宋_GB2312"/>
                <w:color w:val="auto"/>
                <w:szCs w:val="21"/>
                <w:highlight w:val="none"/>
              </w:rPr>
            </w:pPr>
          </w:p>
        </w:tc>
      </w:tr>
    </w:tbl>
    <w:p w14:paraId="3C042169">
      <w:pPr>
        <w:pStyle w:val="35"/>
        <w:rPr>
          <w:color w:val="auto"/>
          <w:highlight w:val="none"/>
        </w:rPr>
      </w:pPr>
    </w:p>
    <w:p w14:paraId="578C2AAE">
      <w:pPr>
        <w:pStyle w:val="35"/>
        <w:rPr>
          <w:color w:val="auto"/>
          <w:highlight w:val="none"/>
        </w:rPr>
      </w:pPr>
    </w:p>
    <w:p w14:paraId="282C9FBB">
      <w:pPr>
        <w:widowControl/>
        <w:spacing w:line="360" w:lineRule="auto"/>
        <w:jc w:val="left"/>
        <w:rPr>
          <w:rFonts w:ascii="宋体" w:hAnsi="宋体"/>
          <w:b/>
          <w:color w:val="auto"/>
          <w:highlight w:val="none"/>
        </w:rPr>
      </w:pPr>
      <w:bookmarkStart w:id="36" w:name="_Hlt26955056"/>
      <w:bookmarkEnd w:id="36"/>
      <w:bookmarkStart w:id="37" w:name="_Hlt26955064"/>
      <w:bookmarkEnd w:id="37"/>
      <w:bookmarkStart w:id="38" w:name="_Hlt26671372"/>
      <w:bookmarkEnd w:id="38"/>
      <w:bookmarkStart w:id="39" w:name="_Hlt24879081"/>
      <w:bookmarkEnd w:id="39"/>
      <w:bookmarkStart w:id="40" w:name="_Hlt26671343"/>
      <w:bookmarkEnd w:id="40"/>
      <w:bookmarkStart w:id="41" w:name="_Hlt26609391"/>
      <w:bookmarkEnd w:id="41"/>
      <w:bookmarkStart w:id="42" w:name="_Hlt26580838"/>
      <w:bookmarkEnd w:id="42"/>
      <w:bookmarkStart w:id="43" w:name="_Hlt26782999"/>
      <w:bookmarkEnd w:id="43"/>
      <w:r>
        <w:rPr>
          <w:rFonts w:ascii="宋体" w:hAnsi="宋体"/>
          <w:b/>
          <w:color w:val="auto"/>
          <w:highlight w:val="none"/>
        </w:rPr>
        <w:br w:type="page" w:clear="all"/>
      </w:r>
    </w:p>
    <w:p w14:paraId="7F8E6ABC">
      <w:pPr>
        <w:spacing w:before="312" w:line="360" w:lineRule="auto"/>
        <w:jc w:val="center"/>
        <w:rPr>
          <w:rFonts w:ascii="宋体" w:hAnsi="宋体"/>
          <w:b/>
          <w:color w:val="auto"/>
          <w:highlight w:val="none"/>
        </w:rPr>
      </w:pPr>
      <w:r>
        <w:rPr>
          <w:rFonts w:hint="eastAsia" w:ascii="宋体" w:hAnsi="宋体"/>
          <w:b/>
          <w:color w:val="auto"/>
          <w:highlight w:val="none"/>
        </w:rPr>
        <w:t>主要标的信息（中标后将公示）</w:t>
      </w:r>
    </w:p>
    <w:p w14:paraId="7844E2A0">
      <w:pPr>
        <w:spacing w:after="312" w:line="360" w:lineRule="auto"/>
        <w:rPr>
          <w:rFonts w:ascii="宋体" w:hAnsi="宋体"/>
          <w:b/>
          <w:color w:val="auto"/>
          <w:highlight w:val="none"/>
        </w:rPr>
      </w:pPr>
      <w:r>
        <w:rPr>
          <w:rFonts w:hint="eastAsia" w:ascii="宋体" w:hAnsi="宋体"/>
          <w:color w:val="auto"/>
          <w:highlight w:val="none"/>
        </w:rPr>
        <w:t>供应商全称：</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01"/>
        <w:gridCol w:w="3780"/>
      </w:tblGrid>
      <w:tr w14:paraId="74BFE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01" w:type="dxa"/>
          </w:tcPr>
          <w:p w14:paraId="0552117C">
            <w:pPr>
              <w:spacing w:line="360" w:lineRule="auto"/>
              <w:jc w:val="center"/>
              <w:rPr>
                <w:rFonts w:ascii="宋体" w:hAnsi="宋体" w:cs="宋体"/>
                <w:color w:val="auto"/>
                <w:highlight w:val="none"/>
              </w:rPr>
            </w:pPr>
            <w:r>
              <w:rPr>
                <w:rFonts w:hint="eastAsia" w:ascii="宋体" w:hAnsi="宋体" w:cs="宋体"/>
                <w:color w:val="auto"/>
                <w:highlight w:val="none"/>
              </w:rPr>
              <w:t>货物类</w:t>
            </w:r>
          </w:p>
        </w:tc>
        <w:tc>
          <w:tcPr>
            <w:tcW w:w="3780" w:type="dxa"/>
          </w:tcPr>
          <w:p w14:paraId="5F82E14E">
            <w:pPr>
              <w:spacing w:line="360" w:lineRule="auto"/>
              <w:jc w:val="center"/>
              <w:rPr>
                <w:rFonts w:ascii="宋体" w:hAnsi="宋体" w:cs="宋体"/>
                <w:color w:val="auto"/>
                <w:highlight w:val="none"/>
              </w:rPr>
            </w:pPr>
            <w:r>
              <w:rPr>
                <w:rFonts w:hint="eastAsia" w:ascii="宋体" w:hAnsi="宋体" w:cs="宋体"/>
                <w:color w:val="auto"/>
                <w:highlight w:val="none"/>
              </w:rPr>
              <w:t>服务类</w:t>
            </w:r>
          </w:p>
        </w:tc>
      </w:tr>
      <w:tr w14:paraId="5E43A5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0" w:hRule="atLeast"/>
        </w:trPr>
        <w:tc>
          <w:tcPr>
            <w:tcW w:w="3901" w:type="dxa"/>
          </w:tcPr>
          <w:p w14:paraId="497A51CA">
            <w:pPr>
              <w:spacing w:line="360" w:lineRule="auto"/>
              <w:rPr>
                <w:rFonts w:ascii="宋体" w:hAnsi="宋体" w:cs="宋体"/>
                <w:color w:val="auto"/>
                <w:highlight w:val="none"/>
              </w:rPr>
            </w:pPr>
            <w:r>
              <w:rPr>
                <w:rFonts w:hint="eastAsia" w:ascii="宋体" w:hAnsi="宋体" w:cs="宋体"/>
                <w:color w:val="auto"/>
                <w:highlight w:val="none"/>
              </w:rPr>
              <w:t>名称：</w:t>
            </w:r>
          </w:p>
          <w:p w14:paraId="2C414108">
            <w:pPr>
              <w:spacing w:line="360" w:lineRule="auto"/>
              <w:rPr>
                <w:rFonts w:ascii="宋体" w:hAnsi="宋体" w:cs="宋体"/>
                <w:color w:val="auto"/>
                <w:highlight w:val="none"/>
              </w:rPr>
            </w:pPr>
            <w:r>
              <w:rPr>
                <w:rFonts w:hint="eastAsia" w:ascii="宋体" w:hAnsi="宋体" w:cs="宋体"/>
                <w:color w:val="auto"/>
                <w:highlight w:val="none"/>
              </w:rPr>
              <w:t>品牌（如有）：</w:t>
            </w:r>
          </w:p>
          <w:p w14:paraId="7814F3F3">
            <w:pPr>
              <w:spacing w:line="360" w:lineRule="auto"/>
              <w:rPr>
                <w:rFonts w:ascii="宋体" w:hAnsi="宋体" w:cs="宋体"/>
                <w:color w:val="auto"/>
                <w:highlight w:val="none"/>
              </w:rPr>
            </w:pPr>
            <w:r>
              <w:rPr>
                <w:rFonts w:hint="eastAsia" w:ascii="宋体" w:hAnsi="宋体" w:cs="宋体"/>
                <w:color w:val="auto"/>
                <w:highlight w:val="none"/>
              </w:rPr>
              <w:t>规格型号：</w:t>
            </w:r>
          </w:p>
          <w:p w14:paraId="251FDF2F">
            <w:pPr>
              <w:spacing w:line="360" w:lineRule="auto"/>
              <w:rPr>
                <w:rFonts w:ascii="宋体" w:hAnsi="宋体" w:cs="宋体"/>
                <w:color w:val="auto"/>
                <w:highlight w:val="none"/>
              </w:rPr>
            </w:pPr>
            <w:r>
              <w:rPr>
                <w:rFonts w:hint="eastAsia" w:ascii="宋体" w:hAnsi="宋体" w:cs="宋体"/>
                <w:color w:val="auto"/>
                <w:highlight w:val="none"/>
              </w:rPr>
              <w:t>数量：</w:t>
            </w:r>
          </w:p>
          <w:p w14:paraId="28674D31">
            <w:pPr>
              <w:spacing w:line="360" w:lineRule="auto"/>
              <w:rPr>
                <w:rFonts w:ascii="宋体" w:hAnsi="宋体" w:cs="宋体"/>
                <w:color w:val="auto"/>
                <w:highlight w:val="none"/>
              </w:rPr>
            </w:pPr>
            <w:r>
              <w:rPr>
                <w:rFonts w:hint="eastAsia" w:ascii="宋体" w:hAnsi="宋体" w:cs="宋体"/>
                <w:color w:val="auto"/>
                <w:highlight w:val="none"/>
              </w:rPr>
              <w:t>单价：</w:t>
            </w:r>
          </w:p>
        </w:tc>
        <w:tc>
          <w:tcPr>
            <w:tcW w:w="3780" w:type="dxa"/>
          </w:tcPr>
          <w:p w14:paraId="2711AB71">
            <w:pPr>
              <w:spacing w:line="360" w:lineRule="auto"/>
              <w:rPr>
                <w:rFonts w:ascii="宋体" w:hAnsi="宋体" w:cs="宋体"/>
                <w:color w:val="auto"/>
                <w:highlight w:val="none"/>
              </w:rPr>
            </w:pPr>
            <w:r>
              <w:rPr>
                <w:rFonts w:hint="eastAsia" w:ascii="宋体" w:hAnsi="宋体" w:cs="宋体"/>
                <w:color w:val="auto"/>
                <w:highlight w:val="none"/>
              </w:rPr>
              <w:t>名称：</w:t>
            </w:r>
          </w:p>
          <w:p w14:paraId="7D231735">
            <w:pPr>
              <w:spacing w:line="360" w:lineRule="auto"/>
              <w:rPr>
                <w:rFonts w:ascii="宋体" w:hAnsi="宋体" w:cs="宋体"/>
                <w:color w:val="auto"/>
                <w:highlight w:val="none"/>
              </w:rPr>
            </w:pPr>
            <w:r>
              <w:rPr>
                <w:rFonts w:hint="eastAsia" w:ascii="宋体" w:hAnsi="宋体" w:cs="宋体"/>
                <w:color w:val="auto"/>
                <w:highlight w:val="none"/>
              </w:rPr>
              <w:t>服务范围：</w:t>
            </w:r>
          </w:p>
          <w:p w14:paraId="5A603D2C">
            <w:pPr>
              <w:spacing w:line="360" w:lineRule="auto"/>
              <w:rPr>
                <w:rFonts w:ascii="宋体" w:hAnsi="宋体" w:cs="宋体"/>
                <w:color w:val="auto"/>
                <w:highlight w:val="none"/>
                <w:u w:val="single"/>
              </w:rPr>
            </w:pPr>
            <w:r>
              <w:rPr>
                <w:rFonts w:hint="eastAsia" w:ascii="宋体" w:hAnsi="宋体" w:cs="宋体"/>
                <w:color w:val="auto"/>
                <w:highlight w:val="none"/>
              </w:rPr>
              <w:t>服务要求：</w:t>
            </w:r>
          </w:p>
          <w:p w14:paraId="5DB9F6EB">
            <w:pPr>
              <w:spacing w:line="360" w:lineRule="auto"/>
              <w:rPr>
                <w:rFonts w:ascii="宋体" w:hAnsi="宋体" w:cs="宋体"/>
                <w:color w:val="auto"/>
                <w:highlight w:val="none"/>
                <w:u w:val="single"/>
              </w:rPr>
            </w:pPr>
            <w:r>
              <w:rPr>
                <w:rFonts w:hint="eastAsia" w:ascii="宋体" w:hAnsi="宋体" w:cs="宋体"/>
                <w:color w:val="auto"/>
                <w:highlight w:val="none"/>
              </w:rPr>
              <w:t>服务时间：</w:t>
            </w:r>
          </w:p>
          <w:p w14:paraId="09423706">
            <w:pPr>
              <w:spacing w:line="360" w:lineRule="auto"/>
              <w:rPr>
                <w:rFonts w:ascii="宋体" w:hAnsi="宋体" w:cs="宋体"/>
                <w:color w:val="auto"/>
                <w:highlight w:val="none"/>
              </w:rPr>
            </w:pPr>
            <w:r>
              <w:rPr>
                <w:rFonts w:hint="eastAsia" w:ascii="宋体" w:hAnsi="宋体" w:cs="宋体"/>
                <w:color w:val="auto"/>
                <w:highlight w:val="none"/>
              </w:rPr>
              <w:t>服务标准：</w:t>
            </w:r>
          </w:p>
        </w:tc>
      </w:tr>
    </w:tbl>
    <w:p w14:paraId="0EBF42C7">
      <w:pPr>
        <w:widowControl/>
        <w:spacing w:line="360" w:lineRule="auto"/>
        <w:jc w:val="left"/>
        <w:rPr>
          <w:rFonts w:ascii="宋体" w:hAnsi="宋体" w:cs="宋体"/>
          <w:color w:val="auto"/>
          <w:sz w:val="24"/>
          <w:szCs w:val="24"/>
          <w:highlight w:val="none"/>
        </w:rPr>
      </w:pPr>
      <w:r>
        <w:rPr>
          <w:rFonts w:ascii="宋体" w:hAnsi="宋体" w:cs="宋体"/>
          <w:color w:val="auto"/>
          <w:sz w:val="24"/>
          <w:szCs w:val="24"/>
          <w:highlight w:val="none"/>
        </w:rPr>
        <w:br w:type="page" w:clear="all"/>
      </w:r>
    </w:p>
    <w:p w14:paraId="7EC1104F">
      <w:pPr>
        <w:spacing w:line="360" w:lineRule="auto"/>
        <w:ind w:firstLine="211"/>
        <w:jc w:val="center"/>
        <w:rPr>
          <w:rFonts w:ascii="宋体" w:hAnsi="宋体"/>
          <w:b/>
          <w:color w:val="auto"/>
          <w:highlight w:val="none"/>
        </w:rPr>
      </w:pPr>
      <w:r>
        <w:rPr>
          <w:rFonts w:hint="eastAsia" w:ascii="宋体" w:hAnsi="宋体"/>
          <w:b/>
          <w:color w:val="auto"/>
          <w:highlight w:val="none"/>
        </w:rPr>
        <w:t>联合体协议（如有）</w:t>
      </w:r>
    </w:p>
    <w:p w14:paraId="49DF47DE">
      <w:pPr>
        <w:spacing w:line="360" w:lineRule="auto"/>
        <w:ind w:firstLine="211"/>
        <w:jc w:val="center"/>
        <w:rPr>
          <w:rFonts w:ascii="宋体" w:hAnsi="宋体"/>
          <w:b/>
          <w:color w:val="auto"/>
          <w:highlight w:val="none"/>
        </w:rPr>
      </w:pPr>
    </w:p>
    <w:p w14:paraId="16FA0CD6">
      <w:pPr>
        <w:spacing w:line="360" w:lineRule="auto"/>
        <w:rPr>
          <w:rFonts w:ascii="宋体" w:hAnsi="宋体"/>
          <w:color w:val="auto"/>
          <w:highlight w:val="none"/>
        </w:rPr>
      </w:pPr>
      <w:r>
        <w:rPr>
          <w:rFonts w:hint="eastAsia" w:ascii="宋体" w:hAnsi="宋体"/>
          <w:color w:val="auto"/>
          <w:highlight w:val="none"/>
        </w:rPr>
        <w:t>（联合体中各供应商全称）在此达成以下协议：</w:t>
      </w:r>
    </w:p>
    <w:p w14:paraId="52645ACF">
      <w:pPr>
        <w:spacing w:line="360" w:lineRule="auto"/>
        <w:ind w:firstLine="645"/>
        <w:rPr>
          <w:rFonts w:ascii="宋体" w:hAnsi="宋体"/>
          <w:color w:val="auto"/>
          <w:highlight w:val="none"/>
        </w:rPr>
      </w:pPr>
      <w:r>
        <w:rPr>
          <w:rFonts w:hint="eastAsia" w:ascii="宋体" w:hAnsi="宋体"/>
          <w:color w:val="auto"/>
          <w:highlight w:val="none"/>
        </w:rPr>
        <w:t>1、我们自愿组成联合体，参加（代理公司）组织的采购编号为（项目编号）（项目全称）的政府采购活动。</w:t>
      </w:r>
    </w:p>
    <w:p w14:paraId="51E94B56">
      <w:pPr>
        <w:spacing w:line="360" w:lineRule="auto"/>
        <w:ind w:firstLine="645"/>
        <w:rPr>
          <w:rFonts w:ascii="宋体" w:hAnsi="宋体"/>
          <w:color w:val="auto"/>
          <w:highlight w:val="none"/>
        </w:rPr>
      </w:pPr>
      <w:r>
        <w:rPr>
          <w:rFonts w:hint="eastAsia" w:ascii="宋体" w:hAnsi="宋体"/>
          <w:color w:val="auto"/>
          <w:highlight w:val="none"/>
        </w:rPr>
        <w:t>2、若我们联合中标、成交，（供应商单位1全称）实施项目中（工作内容）部分工作，并承担相应的责任。（供应商单位2全称）实施项目中（工作内容）部分工作，并承担相应的责任……。（注：联合体中各供应商都应明示所承担的工作和相应的责任）。</w:t>
      </w:r>
    </w:p>
    <w:p w14:paraId="5AB134DA">
      <w:pPr>
        <w:spacing w:line="360" w:lineRule="auto"/>
        <w:ind w:firstLine="645"/>
        <w:rPr>
          <w:rFonts w:ascii="宋体" w:hAnsi="宋体"/>
          <w:color w:val="auto"/>
          <w:highlight w:val="none"/>
        </w:rPr>
      </w:pPr>
      <w:r>
        <w:rPr>
          <w:rFonts w:hint="eastAsia" w:ascii="宋体" w:hAnsi="宋体"/>
          <w:color w:val="auto"/>
          <w:sz w:val="24"/>
          <w:highlight w:val="none"/>
        </w:rPr>
        <w:t xml:space="preserve">                                       </w:t>
      </w:r>
      <w:r>
        <w:rPr>
          <w:rFonts w:hint="eastAsia" w:ascii="宋体" w:hAnsi="宋体"/>
          <w:color w:val="auto"/>
          <w:highlight w:val="none"/>
        </w:rPr>
        <w:t xml:space="preserve"> </w:t>
      </w:r>
    </w:p>
    <w:p w14:paraId="6C71CC84">
      <w:pPr>
        <w:spacing w:line="360" w:lineRule="auto"/>
        <w:ind w:firstLine="4620"/>
        <w:rPr>
          <w:rFonts w:ascii="宋体" w:hAnsi="宋体"/>
          <w:color w:val="auto"/>
          <w:highlight w:val="none"/>
        </w:rPr>
      </w:pPr>
      <w:r>
        <w:rPr>
          <w:rFonts w:hint="eastAsia" w:ascii="宋体" w:hAnsi="宋体"/>
          <w:color w:val="auto"/>
          <w:highlight w:val="none"/>
        </w:rPr>
        <w:t>所有供应商全称：</w:t>
      </w:r>
    </w:p>
    <w:p w14:paraId="5E5A9CD4">
      <w:pPr>
        <w:spacing w:line="360" w:lineRule="auto"/>
        <w:ind w:firstLine="645"/>
        <w:rPr>
          <w:rFonts w:ascii="宋体" w:hAnsi="宋体"/>
          <w:color w:val="auto"/>
          <w:highlight w:val="none"/>
        </w:rPr>
      </w:pPr>
      <w:r>
        <w:rPr>
          <w:rFonts w:hint="eastAsia" w:ascii="宋体" w:hAnsi="宋体"/>
          <w:color w:val="auto"/>
          <w:highlight w:val="none"/>
        </w:rPr>
        <w:t xml:space="preserve">                                      法定代表人：  </w:t>
      </w:r>
    </w:p>
    <w:p w14:paraId="28F19DDE">
      <w:pPr>
        <w:ind w:firstLine="4620" w:firstLineChars="2200"/>
        <w:rPr>
          <w:color w:val="auto"/>
          <w:highlight w:val="none"/>
        </w:rPr>
      </w:pPr>
      <w:r>
        <w:rPr>
          <w:rFonts w:hint="eastAsia" w:ascii="宋体" w:hAnsi="宋体"/>
          <w:color w:val="auto"/>
          <w:highlight w:val="none"/>
        </w:rPr>
        <w:t>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614C428-E44E-4D21-B11B-BF26D840D857}"/>
  </w:font>
  <w:font w:name="黑体">
    <w:panose1 w:val="02010609060101010101"/>
    <w:charset w:val="86"/>
    <w:family w:val="auto"/>
    <w:pitch w:val="default"/>
    <w:sig w:usb0="800002BF" w:usb1="38CF7CFA" w:usb2="00000016" w:usb3="00000000" w:csb0="00040001" w:csb1="00000000"/>
    <w:embedRegular r:id="rId2" w:fontKey="{418E6375-C61F-4F80-8FEC-95657B34C1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embedRegular r:id="rId3" w:fontKey="{30A957D8-67D0-4E54-842E-24387FFC03A2}"/>
  </w:font>
  <w:font w:name="仿宋">
    <w:panose1 w:val="02010609060101010101"/>
    <w:charset w:val="86"/>
    <w:family w:val="modern"/>
    <w:pitch w:val="default"/>
    <w:sig w:usb0="800002BF" w:usb1="38CF7CFA" w:usb2="00000016" w:usb3="00000000" w:csb0="00040001" w:csb1="00000000"/>
    <w:embedRegular r:id="rId4" w:fontKey="{227CB4D6-AFA7-4DE0-9C02-CF86AF183DB6}"/>
  </w:font>
  <w:font w:name="仿宋_GB2312">
    <w:altName w:val="仿宋"/>
    <w:panose1 w:val="00000000000000000000"/>
    <w:charset w:val="86"/>
    <w:family w:val="modern"/>
    <w:pitch w:val="default"/>
    <w:sig w:usb0="00000000" w:usb1="00000000" w:usb2="00000000" w:usb3="00000000" w:csb0="00040000" w:csb1="00000000"/>
    <w:embedRegular r:id="rId5" w:fontKey="{A5CC522C-27CF-49B4-84D8-76DCDFCABB95}"/>
  </w:font>
  <w:font w:name="Microsoft JhengHei Light">
    <w:panose1 w:val="020B0304030504040204"/>
    <w:charset w:val="88"/>
    <w:family w:val="auto"/>
    <w:pitch w:val="default"/>
    <w:sig w:usb0="800002A7" w:usb1="28CF4400" w:usb2="00000016" w:usb3="00000000" w:csb0="00100009" w:csb1="00000000"/>
    <w:embedRegular r:id="rId6" w:fontKey="{7B529D37-41C3-424B-A8FA-68909547EE27}"/>
  </w:font>
  <w:font w:name="幼圆">
    <w:panose1 w:val="02010509060101010101"/>
    <w:charset w:val="86"/>
    <w:family w:val="modern"/>
    <w:pitch w:val="default"/>
    <w:sig w:usb0="00000001" w:usb1="080E0000" w:usb2="00000000" w:usb3="00000000" w:csb0="00040000" w:csb1="00000000"/>
    <w:embedRegular r:id="rId7" w:fontKey="{6E0ED7BA-431A-457A-B272-DB38F35832CE}"/>
  </w:font>
  <w:font w:name="方正仿宋_GBK">
    <w:panose1 w:val="02000000000000000000"/>
    <w:charset w:val="86"/>
    <w:family w:val="script"/>
    <w:pitch w:val="default"/>
    <w:sig w:usb0="A00002BF" w:usb1="38CF7CFA" w:usb2="00082016" w:usb3="00000000" w:csb0="00040001" w:csb1="00000000"/>
    <w:embedRegular r:id="rId8" w:fontKey="{1AD795E5-73E2-4FC3-99B4-B4A3CA68F59D}"/>
  </w:font>
  <w:font w:name="微软雅黑">
    <w:panose1 w:val="020B0503020204020204"/>
    <w:charset w:val="86"/>
    <w:family w:val="swiss"/>
    <w:pitch w:val="default"/>
    <w:sig w:usb0="80000287" w:usb1="2ACF3C50" w:usb2="00000016" w:usb3="00000000" w:csb0="0004001F" w:csb1="00000000"/>
    <w:embedRegular r:id="rId9" w:fontKey="{D65F03AB-9C5C-4255-A37E-921F67A81E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C7BB2">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1368C7">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p w14:paraId="4C1368C7">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B6440">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EC3250">
                          <w:pPr>
                            <w:pStyle w:val="12"/>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2EC3250">
                    <w:pPr>
                      <w:pStyle w:val="12"/>
                    </w:pPr>
                    <w:r>
                      <w:fldChar w:fldCharType="begin"/>
                    </w:r>
                    <w:r>
                      <w:instrText xml:space="preserve"> PAGE  \* MERGEFORMAT </w:instrText>
                    </w:r>
                    <w:r>
                      <w:fldChar w:fldCharType="separate"/>
                    </w:r>
                    <w:r>
                      <w:t>67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463238"/>
    <w:multiLevelType w:val="singleLevel"/>
    <w:tmpl w:val="A3463238"/>
    <w:lvl w:ilvl="0" w:tentative="0">
      <w:start w:val="6"/>
      <w:numFmt w:val="chineseCounting"/>
      <w:suff w:val="nothing"/>
      <w:lvlText w:val="%1、"/>
      <w:lvlJc w:val="left"/>
      <w:rPr>
        <w:rFonts w:hint="eastAsia"/>
      </w:rPr>
    </w:lvl>
  </w:abstractNum>
  <w:abstractNum w:abstractNumId="1">
    <w:nsid w:val="C244F140"/>
    <w:multiLevelType w:val="singleLevel"/>
    <w:tmpl w:val="C244F140"/>
    <w:lvl w:ilvl="0" w:tentative="0">
      <w:start w:val="1"/>
      <w:numFmt w:val="chineseCounting"/>
      <w:suff w:val="space"/>
      <w:lvlText w:val="第%1章"/>
      <w:lvlJc w:val="left"/>
      <w:rPr>
        <w:rFonts w:hint="eastAsia"/>
      </w:rPr>
    </w:lvl>
  </w:abstractNum>
  <w:abstractNum w:abstractNumId="2">
    <w:nsid w:val="2A8F537B"/>
    <w:multiLevelType w:val="multilevel"/>
    <w:tmpl w:val="2A8F537B"/>
    <w:lvl w:ilvl="0" w:tentative="0">
      <w:start w:val="2"/>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4D528279"/>
    <w:multiLevelType w:val="singleLevel"/>
    <w:tmpl w:val="4D528279"/>
    <w:lvl w:ilvl="0" w:tentative="0">
      <w:start w:val="1"/>
      <w:numFmt w:val="decimal"/>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mM2U1ODFlYzRmMWU3NzMyMGY2MWQyNmVkMjkyY2EifQ=="/>
  </w:docVars>
  <w:rsids>
    <w:rsidRoot w:val="000D0666"/>
    <w:rsid w:val="00095B09"/>
    <w:rsid w:val="000D0666"/>
    <w:rsid w:val="000D3412"/>
    <w:rsid w:val="000F5A45"/>
    <w:rsid w:val="00166A53"/>
    <w:rsid w:val="001E387A"/>
    <w:rsid w:val="002627EE"/>
    <w:rsid w:val="00281D04"/>
    <w:rsid w:val="0044671E"/>
    <w:rsid w:val="00494A09"/>
    <w:rsid w:val="004C39E7"/>
    <w:rsid w:val="004D0163"/>
    <w:rsid w:val="00572B91"/>
    <w:rsid w:val="005C487F"/>
    <w:rsid w:val="006C7227"/>
    <w:rsid w:val="006E0ED6"/>
    <w:rsid w:val="00727204"/>
    <w:rsid w:val="007F034B"/>
    <w:rsid w:val="0083751E"/>
    <w:rsid w:val="00860E10"/>
    <w:rsid w:val="00A20865"/>
    <w:rsid w:val="00BC600B"/>
    <w:rsid w:val="00C75036"/>
    <w:rsid w:val="00CA16AB"/>
    <w:rsid w:val="00D0752C"/>
    <w:rsid w:val="00D806A2"/>
    <w:rsid w:val="00DA79FC"/>
    <w:rsid w:val="00DD2119"/>
    <w:rsid w:val="00DE6F59"/>
    <w:rsid w:val="00F41D4E"/>
    <w:rsid w:val="015E1164"/>
    <w:rsid w:val="02FB1082"/>
    <w:rsid w:val="034C72DC"/>
    <w:rsid w:val="035A3524"/>
    <w:rsid w:val="03601987"/>
    <w:rsid w:val="03906A9D"/>
    <w:rsid w:val="03D57DDB"/>
    <w:rsid w:val="03F12EEC"/>
    <w:rsid w:val="0408654C"/>
    <w:rsid w:val="052028C1"/>
    <w:rsid w:val="063D115E"/>
    <w:rsid w:val="06FD1611"/>
    <w:rsid w:val="07026C51"/>
    <w:rsid w:val="071B685E"/>
    <w:rsid w:val="07AD21E1"/>
    <w:rsid w:val="08CF1E16"/>
    <w:rsid w:val="097B1D5F"/>
    <w:rsid w:val="09A53504"/>
    <w:rsid w:val="0B501388"/>
    <w:rsid w:val="0BA63302"/>
    <w:rsid w:val="0BC814CA"/>
    <w:rsid w:val="0CBD4EF7"/>
    <w:rsid w:val="0CD0390A"/>
    <w:rsid w:val="0D2564A8"/>
    <w:rsid w:val="0DE325EB"/>
    <w:rsid w:val="0E291368"/>
    <w:rsid w:val="0F3327B7"/>
    <w:rsid w:val="0F860AA1"/>
    <w:rsid w:val="0FCD3765"/>
    <w:rsid w:val="1021520A"/>
    <w:rsid w:val="11696324"/>
    <w:rsid w:val="12A015CB"/>
    <w:rsid w:val="12D744F9"/>
    <w:rsid w:val="13B50586"/>
    <w:rsid w:val="159B394C"/>
    <w:rsid w:val="15F279ED"/>
    <w:rsid w:val="1692422D"/>
    <w:rsid w:val="17F13B56"/>
    <w:rsid w:val="18226406"/>
    <w:rsid w:val="19DE22C0"/>
    <w:rsid w:val="1B0142B7"/>
    <w:rsid w:val="1B315417"/>
    <w:rsid w:val="1B540544"/>
    <w:rsid w:val="1B857D38"/>
    <w:rsid w:val="1BAC3D29"/>
    <w:rsid w:val="1BF17A5F"/>
    <w:rsid w:val="1C0B5757"/>
    <w:rsid w:val="1C492C37"/>
    <w:rsid w:val="1C533032"/>
    <w:rsid w:val="1C736DEC"/>
    <w:rsid w:val="1CB96D54"/>
    <w:rsid w:val="1CEE02C1"/>
    <w:rsid w:val="1D717880"/>
    <w:rsid w:val="1D776E98"/>
    <w:rsid w:val="1E3E5320"/>
    <w:rsid w:val="1E474A9C"/>
    <w:rsid w:val="1E9D39E6"/>
    <w:rsid w:val="1EEB656D"/>
    <w:rsid w:val="1EF27DCE"/>
    <w:rsid w:val="1F26058A"/>
    <w:rsid w:val="1F26281C"/>
    <w:rsid w:val="1F363EB0"/>
    <w:rsid w:val="1F646F49"/>
    <w:rsid w:val="203E5DA7"/>
    <w:rsid w:val="211D1087"/>
    <w:rsid w:val="2143057C"/>
    <w:rsid w:val="21A8172A"/>
    <w:rsid w:val="230D77BD"/>
    <w:rsid w:val="23137077"/>
    <w:rsid w:val="236A7B7C"/>
    <w:rsid w:val="24875A24"/>
    <w:rsid w:val="24C9548A"/>
    <w:rsid w:val="25AA43E2"/>
    <w:rsid w:val="25B111B0"/>
    <w:rsid w:val="25EC182E"/>
    <w:rsid w:val="25F74A2E"/>
    <w:rsid w:val="264D464E"/>
    <w:rsid w:val="27B506FD"/>
    <w:rsid w:val="28966C2E"/>
    <w:rsid w:val="2909079F"/>
    <w:rsid w:val="29C44AF6"/>
    <w:rsid w:val="2A900FAD"/>
    <w:rsid w:val="2B25203D"/>
    <w:rsid w:val="2BBF74EF"/>
    <w:rsid w:val="2CBF1D70"/>
    <w:rsid w:val="2CFA3055"/>
    <w:rsid w:val="2D7B41F9"/>
    <w:rsid w:val="2E7A5494"/>
    <w:rsid w:val="2EE1217E"/>
    <w:rsid w:val="2F752309"/>
    <w:rsid w:val="2F91273B"/>
    <w:rsid w:val="2F960A25"/>
    <w:rsid w:val="308C0468"/>
    <w:rsid w:val="30B05F05"/>
    <w:rsid w:val="30B9756B"/>
    <w:rsid w:val="325D20BC"/>
    <w:rsid w:val="335C60BC"/>
    <w:rsid w:val="342A13D9"/>
    <w:rsid w:val="342E5B34"/>
    <w:rsid w:val="34F71396"/>
    <w:rsid w:val="3511230E"/>
    <w:rsid w:val="354A0AC8"/>
    <w:rsid w:val="35F920FC"/>
    <w:rsid w:val="36390113"/>
    <w:rsid w:val="367E2601"/>
    <w:rsid w:val="3738039E"/>
    <w:rsid w:val="37446E50"/>
    <w:rsid w:val="39365415"/>
    <w:rsid w:val="399D5C92"/>
    <w:rsid w:val="399E5DA7"/>
    <w:rsid w:val="3B3479AB"/>
    <w:rsid w:val="3B84690C"/>
    <w:rsid w:val="3BF515B8"/>
    <w:rsid w:val="3CD31364"/>
    <w:rsid w:val="3D7E1B4A"/>
    <w:rsid w:val="3DE82397"/>
    <w:rsid w:val="3E425FE8"/>
    <w:rsid w:val="3E6B790F"/>
    <w:rsid w:val="3EB14041"/>
    <w:rsid w:val="3FB34DDE"/>
    <w:rsid w:val="40B84D47"/>
    <w:rsid w:val="40C10539"/>
    <w:rsid w:val="42A93E23"/>
    <w:rsid w:val="42F94866"/>
    <w:rsid w:val="42FE2F82"/>
    <w:rsid w:val="4306645E"/>
    <w:rsid w:val="43544C4F"/>
    <w:rsid w:val="43CD408B"/>
    <w:rsid w:val="441F3676"/>
    <w:rsid w:val="44437AD5"/>
    <w:rsid w:val="454E129B"/>
    <w:rsid w:val="466D7715"/>
    <w:rsid w:val="46845124"/>
    <w:rsid w:val="469B2D5C"/>
    <w:rsid w:val="46AE3A20"/>
    <w:rsid w:val="47855EE6"/>
    <w:rsid w:val="48D367DD"/>
    <w:rsid w:val="48FC5761"/>
    <w:rsid w:val="49BB5BEF"/>
    <w:rsid w:val="4A1044DC"/>
    <w:rsid w:val="4A7143F2"/>
    <w:rsid w:val="4A7D2EA4"/>
    <w:rsid w:val="4BEB6533"/>
    <w:rsid w:val="4C44238D"/>
    <w:rsid w:val="4EF52207"/>
    <w:rsid w:val="4F3F4BCC"/>
    <w:rsid w:val="500763F0"/>
    <w:rsid w:val="50487B3A"/>
    <w:rsid w:val="512E314A"/>
    <w:rsid w:val="5154707E"/>
    <w:rsid w:val="51632AC1"/>
    <w:rsid w:val="516D7BB3"/>
    <w:rsid w:val="51A87F75"/>
    <w:rsid w:val="51EE317D"/>
    <w:rsid w:val="52862B12"/>
    <w:rsid w:val="52DD4E28"/>
    <w:rsid w:val="534E298B"/>
    <w:rsid w:val="54AA618C"/>
    <w:rsid w:val="54EB6B58"/>
    <w:rsid w:val="54F2448F"/>
    <w:rsid w:val="55933792"/>
    <w:rsid w:val="566B5FA1"/>
    <w:rsid w:val="56914D9E"/>
    <w:rsid w:val="57012104"/>
    <w:rsid w:val="57407733"/>
    <w:rsid w:val="576C0882"/>
    <w:rsid w:val="58315248"/>
    <w:rsid w:val="58DC7930"/>
    <w:rsid w:val="591A3FB4"/>
    <w:rsid w:val="5A0E0CF9"/>
    <w:rsid w:val="5A7860C7"/>
    <w:rsid w:val="5AFF3461"/>
    <w:rsid w:val="5B6162CE"/>
    <w:rsid w:val="5C4E46A0"/>
    <w:rsid w:val="5C6A2596"/>
    <w:rsid w:val="5C7943DC"/>
    <w:rsid w:val="5D255929"/>
    <w:rsid w:val="5E1C432A"/>
    <w:rsid w:val="5F3F4122"/>
    <w:rsid w:val="61F30E4B"/>
    <w:rsid w:val="623F6839"/>
    <w:rsid w:val="625F167E"/>
    <w:rsid w:val="626157DF"/>
    <w:rsid w:val="627E7362"/>
    <w:rsid w:val="637D16E6"/>
    <w:rsid w:val="63E9669C"/>
    <w:rsid w:val="64781AA0"/>
    <w:rsid w:val="654F3237"/>
    <w:rsid w:val="65D32D39"/>
    <w:rsid w:val="683E2DB3"/>
    <w:rsid w:val="687E00BB"/>
    <w:rsid w:val="68964CB0"/>
    <w:rsid w:val="68C500D4"/>
    <w:rsid w:val="69711FAE"/>
    <w:rsid w:val="69F756F6"/>
    <w:rsid w:val="6B4628D2"/>
    <w:rsid w:val="6BD05A69"/>
    <w:rsid w:val="6BFB6EF0"/>
    <w:rsid w:val="6C8512FB"/>
    <w:rsid w:val="6CBF0CA2"/>
    <w:rsid w:val="6D0D3432"/>
    <w:rsid w:val="6F165C23"/>
    <w:rsid w:val="6FF944CB"/>
    <w:rsid w:val="702F613F"/>
    <w:rsid w:val="70C40F7D"/>
    <w:rsid w:val="70F626E3"/>
    <w:rsid w:val="71724535"/>
    <w:rsid w:val="720F6228"/>
    <w:rsid w:val="72401A80"/>
    <w:rsid w:val="72D66D46"/>
    <w:rsid w:val="748A7DE8"/>
    <w:rsid w:val="76214F03"/>
    <w:rsid w:val="76820A43"/>
    <w:rsid w:val="775E4875"/>
    <w:rsid w:val="78915BE9"/>
    <w:rsid w:val="78A01195"/>
    <w:rsid w:val="79506D2F"/>
    <w:rsid w:val="7A1E34AC"/>
    <w:rsid w:val="7A6973F7"/>
    <w:rsid w:val="7A784F7E"/>
    <w:rsid w:val="7A80265A"/>
    <w:rsid w:val="7A813A3B"/>
    <w:rsid w:val="7AF51C68"/>
    <w:rsid w:val="7B3C5EF4"/>
    <w:rsid w:val="7C2B492D"/>
    <w:rsid w:val="7CE07890"/>
    <w:rsid w:val="7D0C47CF"/>
    <w:rsid w:val="7D2A0156"/>
    <w:rsid w:val="7DAB5FD5"/>
    <w:rsid w:val="7DB66434"/>
    <w:rsid w:val="7DFC3B04"/>
    <w:rsid w:val="7E953F59"/>
    <w:rsid w:val="7EA67F6F"/>
    <w:rsid w:val="7F1B5744"/>
    <w:rsid w:val="7FA83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4"/>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0"/>
    <w:pPr>
      <w:ind w:firstLine="420" w:firstLineChars="200"/>
    </w:pPr>
    <w:rPr>
      <w:rFonts w:ascii="Calibri" w:hAnsi="Calibri"/>
    </w:rPr>
  </w:style>
  <w:style w:type="paragraph" w:styleId="6">
    <w:name w:val="table of authorities"/>
    <w:basedOn w:val="1"/>
    <w:next w:val="1"/>
    <w:qFormat/>
    <w:uiPriority w:val="0"/>
    <w:pPr>
      <w:ind w:left="420" w:leftChars="200"/>
    </w:pPr>
  </w:style>
  <w:style w:type="paragraph" w:styleId="7">
    <w:name w:val="annotation text"/>
    <w:basedOn w:val="1"/>
    <w:qFormat/>
    <w:uiPriority w:val="0"/>
    <w:pPr>
      <w:jc w:val="left"/>
    </w:pPr>
  </w:style>
  <w:style w:type="paragraph" w:styleId="8">
    <w:name w:val="Body Text"/>
    <w:basedOn w:val="1"/>
    <w:qFormat/>
    <w:uiPriority w:val="0"/>
    <w:rPr>
      <w:rFonts w:ascii="楷体_GB2312" w:hAnsi="Arial" w:eastAsia="楷体_GB2312"/>
      <w:sz w:val="28"/>
      <w:szCs w:val="28"/>
    </w:rPr>
  </w:style>
  <w:style w:type="paragraph" w:styleId="9">
    <w:name w:val="Body Text Indent"/>
    <w:basedOn w:val="1"/>
    <w:next w:val="1"/>
    <w:qFormat/>
    <w:uiPriority w:val="0"/>
    <w:pPr>
      <w:spacing w:after="120"/>
      <w:ind w:left="420" w:leftChars="200"/>
    </w:pPr>
  </w:style>
  <w:style w:type="paragraph" w:styleId="10">
    <w:name w:val="Plain Text"/>
    <w:basedOn w:val="1"/>
    <w:qFormat/>
    <w:uiPriority w:val="0"/>
    <w:rPr>
      <w:rFonts w:ascii="宋体" w:hAnsi="Courier New"/>
      <w:szCs w:val="21"/>
    </w:rPr>
  </w:style>
  <w:style w:type="paragraph" w:styleId="11">
    <w:name w:val="Date"/>
    <w:basedOn w:val="1"/>
    <w:next w:val="1"/>
    <w:qFormat/>
    <w:uiPriority w:val="0"/>
    <w:rPr>
      <w:sz w:val="24"/>
      <w:szCs w:val="20"/>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oc 1"/>
    <w:basedOn w:val="1"/>
    <w:next w:val="1"/>
    <w:unhideWhenUsed/>
    <w:qFormat/>
    <w:uiPriority w:val="39"/>
  </w:style>
  <w:style w:type="paragraph" w:styleId="15">
    <w:name w:val="toc 9"/>
    <w:basedOn w:val="1"/>
    <w:next w:val="1"/>
    <w:semiHidden/>
    <w:qFormat/>
    <w:uiPriority w:val="0"/>
    <w:pPr>
      <w:ind w:left="3360" w:leftChars="1600"/>
    </w:pPr>
  </w:style>
  <w:style w:type="paragraph" w:styleId="16">
    <w:name w:val="Normal (Web)"/>
    <w:basedOn w:val="1"/>
    <w:qFormat/>
    <w:uiPriority w:val="0"/>
    <w:rPr>
      <w:sz w:val="24"/>
    </w:rPr>
  </w:style>
  <w:style w:type="paragraph" w:styleId="17">
    <w:name w:val="Body Text First Indent 2"/>
    <w:basedOn w:val="9"/>
    <w:semiHidden/>
    <w:unhideWhenUsed/>
    <w:qFormat/>
    <w:uiPriority w:val="99"/>
    <w:pPr>
      <w:ind w:firstLine="420" w:firstLineChars="200"/>
    </w:pPr>
  </w:style>
  <w:style w:type="character" w:styleId="20">
    <w:name w:val="Strong"/>
    <w:qFormat/>
    <w:uiPriority w:val="0"/>
    <w:rPr>
      <w:b/>
    </w:rPr>
  </w:style>
  <w:style w:type="character" w:styleId="21">
    <w:name w:val="Emphasis"/>
    <w:basedOn w:val="19"/>
    <w:qFormat/>
    <w:uiPriority w:val="20"/>
    <w:rPr>
      <w:b/>
    </w:rPr>
  </w:style>
  <w:style w:type="paragraph" w:customStyle="1" w:styleId="22">
    <w:name w:val="正文（缩进）"/>
    <w:basedOn w:val="1"/>
    <w:next w:val="23"/>
    <w:qFormat/>
    <w:uiPriority w:val="0"/>
    <w:pPr>
      <w:ind w:firstLine="480" w:firstLineChars="200"/>
    </w:pPr>
  </w:style>
  <w:style w:type="paragraph" w:customStyle="1" w:styleId="23">
    <w:name w:val="Char Char Char Char Char Char Char Char Char"/>
    <w:basedOn w:val="1"/>
    <w:next w:val="24"/>
    <w:qFormat/>
    <w:uiPriority w:val="99"/>
    <w:pPr>
      <w:ind w:left="360" w:firstLine="5784"/>
    </w:pPr>
  </w:style>
  <w:style w:type="paragraph" w:customStyle="1" w:styleId="24">
    <w:name w:val="正文文本 21"/>
    <w:basedOn w:val="1"/>
    <w:next w:val="25"/>
    <w:qFormat/>
    <w:uiPriority w:val="99"/>
    <w:pPr>
      <w:widowControl/>
      <w:autoSpaceDE w:val="0"/>
      <w:autoSpaceDN w:val="0"/>
      <w:ind w:left="720" w:firstLine="5680"/>
    </w:pPr>
  </w:style>
  <w:style w:type="paragraph" w:customStyle="1" w:styleId="25">
    <w:name w:val="默认段落字体 Para Char Char Char Char Char Char Char"/>
    <w:basedOn w:val="1"/>
    <w:next w:val="26"/>
    <w:qFormat/>
    <w:uiPriority w:val="99"/>
    <w:pPr>
      <w:ind w:firstLine="200" w:firstLineChars="200"/>
    </w:pPr>
    <w:rPr>
      <w:rFonts w:cs="Arial"/>
    </w:rPr>
  </w:style>
  <w:style w:type="paragraph" w:customStyle="1" w:styleId="26">
    <w:name w:val="样式 首行缩进:  2 字符"/>
    <w:basedOn w:val="1"/>
    <w:next w:val="27"/>
    <w:qFormat/>
    <w:uiPriority w:val="99"/>
    <w:pPr>
      <w:spacing w:line="360" w:lineRule="auto"/>
      <w:ind w:left="480" w:firstLine="5856"/>
    </w:pPr>
  </w:style>
  <w:style w:type="paragraph" w:customStyle="1" w:styleId="27">
    <w:name w:val="样式 段后: 0.25 行"/>
    <w:basedOn w:val="1"/>
    <w:next w:val="28"/>
    <w:qFormat/>
    <w:uiPriority w:val="99"/>
    <w:pPr>
      <w:widowControl/>
      <w:spacing w:line="300" w:lineRule="auto"/>
      <w:ind w:left="420" w:firstLine="5796"/>
    </w:pPr>
  </w:style>
  <w:style w:type="paragraph" w:customStyle="1" w:styleId="28">
    <w:name w:val="正文 New New New New New New New New New New New New New New"/>
    <w:next w:val="15"/>
    <w:qFormat/>
    <w:uiPriority w:val="99"/>
    <w:pPr>
      <w:widowControl w:val="0"/>
      <w:ind w:firstLine="2048"/>
      <w:jc w:val="both"/>
    </w:pPr>
    <w:rPr>
      <w:rFonts w:ascii="Calibri" w:hAnsi="Calibri" w:eastAsia="宋体" w:cs="Times New Roman"/>
      <w:lang w:val="en-US" w:eastAsia="zh-CN" w:bidi="ar-SA"/>
    </w:rPr>
  </w:style>
  <w:style w:type="paragraph" w:customStyle="1" w:styleId="29">
    <w:name w:val="正文1"/>
    <w:basedOn w:val="1"/>
    <w:next w:val="30"/>
    <w:qFormat/>
    <w:uiPriority w:val="0"/>
    <w:pPr>
      <w:spacing w:line="360" w:lineRule="atLeast"/>
      <w:jc w:val="left"/>
    </w:pPr>
    <w:rPr>
      <w:rFonts w:ascii="宋体" w:hAnsi="Calibri"/>
      <w:sz w:val="24"/>
      <w:szCs w:val="20"/>
    </w:rPr>
  </w:style>
  <w:style w:type="paragraph" w:customStyle="1" w:styleId="30">
    <w:name w:val="正文文本1"/>
    <w:basedOn w:val="29"/>
    <w:next w:val="31"/>
    <w:qFormat/>
    <w:uiPriority w:val="0"/>
    <w:pPr>
      <w:spacing w:after="120"/>
    </w:pPr>
    <w:rPr>
      <w:lang w:eastAsia="en-US"/>
    </w:rPr>
  </w:style>
  <w:style w:type="paragraph" w:customStyle="1" w:styleId="31">
    <w:name w:val="一级条标题"/>
    <w:basedOn w:val="32"/>
    <w:next w:val="33"/>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32">
    <w:name w:val="章标题"/>
    <w:next w:val="1"/>
    <w:qFormat/>
    <w:uiPriority w:val="0"/>
    <w:pPr>
      <w:tabs>
        <w:tab w:val="left" w:pos="810"/>
        <w:tab w:val="left" w:pos="1265"/>
      </w:tabs>
      <w:spacing w:before="50" w:after="50"/>
      <w:ind w:left="810" w:hanging="810"/>
      <w:jc w:val="both"/>
      <w:outlineLvl w:val="1"/>
    </w:pPr>
    <w:rPr>
      <w:rFonts w:ascii="黑体" w:hAnsi="Calibri" w:eastAsia="黑体" w:cs="Times New Roman"/>
      <w:sz w:val="21"/>
      <w:szCs w:val="22"/>
      <w:lang w:val="en-US" w:eastAsia="zh-CN" w:bidi="ar-SA"/>
    </w:rPr>
  </w:style>
  <w:style w:type="paragraph" w:customStyle="1" w:styleId="33">
    <w:name w:val="段"/>
    <w:basedOn w:val="29"/>
    <w:next w:val="1"/>
    <w:qFormat/>
    <w:uiPriority w:val="0"/>
    <w:pPr>
      <w:widowControl/>
      <w:ind w:firstLine="200"/>
    </w:pPr>
    <w:rPr>
      <w:sz w:val="20"/>
    </w:rPr>
  </w:style>
  <w:style w:type="paragraph" w:customStyle="1" w:styleId="34">
    <w:name w:val="标题 21"/>
    <w:basedOn w:val="1"/>
    <w:next w:val="35"/>
    <w:qFormat/>
    <w:uiPriority w:val="9"/>
    <w:pPr>
      <w:keepNext/>
      <w:keepLines/>
      <w:spacing w:before="260" w:after="260" w:line="416" w:lineRule="auto"/>
      <w:outlineLvl w:val="1"/>
    </w:pPr>
    <w:rPr>
      <w:rFonts w:ascii="Cambria" w:hAnsi="Cambria"/>
      <w:b/>
      <w:bCs/>
      <w:sz w:val="32"/>
      <w:szCs w:val="32"/>
      <w:lang w:eastAsia="en-US"/>
    </w:rPr>
  </w:style>
  <w:style w:type="paragraph" w:customStyle="1" w:styleId="35">
    <w:name w:val="正文缩进1"/>
    <w:basedOn w:val="1"/>
    <w:unhideWhenUsed/>
    <w:qFormat/>
    <w:uiPriority w:val="0"/>
    <w:pPr>
      <w:ind w:firstLine="420"/>
    </w:pPr>
    <w:rPr>
      <w:rFonts w:ascii="Calibri" w:hAnsi="Calibri"/>
    </w:rPr>
  </w:style>
  <w:style w:type="paragraph" w:customStyle="1" w:styleId="36">
    <w:name w:val="纯文本1"/>
    <w:basedOn w:val="1"/>
    <w:unhideWhenUsed/>
    <w:qFormat/>
    <w:uiPriority w:val="99"/>
    <w:rPr>
      <w:rFonts w:ascii="宋体" w:hAnsi="Courier New"/>
      <w:sz w:val="20"/>
      <w:szCs w:val="20"/>
      <w:lang w:eastAsia="en-US"/>
    </w:rPr>
  </w:style>
  <w:style w:type="paragraph" w:customStyle="1" w:styleId="37">
    <w:name w:val="纯文本11"/>
    <w:basedOn w:val="29"/>
    <w:qFormat/>
    <w:uiPriority w:val="0"/>
    <w:rPr>
      <w:rFonts w:hAnsi="Courier New"/>
      <w:sz w:val="20"/>
      <w:szCs w:val="21"/>
    </w:rPr>
  </w:style>
  <w:style w:type="paragraph" w:customStyle="1" w:styleId="38">
    <w:name w:val="普通正文"/>
    <w:basedOn w:val="1"/>
    <w:qFormat/>
    <w:uiPriority w:val="0"/>
    <w:pPr>
      <w:spacing w:before="120" w:after="120" w:line="360" w:lineRule="auto"/>
      <w:ind w:firstLine="480"/>
      <w:jc w:val="left"/>
    </w:pPr>
    <w:rPr>
      <w:rFonts w:ascii="Arial" w:hAnsi="Arial"/>
      <w:sz w:val="24"/>
      <w:szCs w:val="24"/>
    </w:rPr>
  </w:style>
  <w:style w:type="paragraph" w:customStyle="1" w:styleId="39">
    <w:name w:val="Char"/>
    <w:basedOn w:val="1"/>
    <w:qFormat/>
    <w:uiPriority w:val="0"/>
    <w:pPr>
      <w:tabs>
        <w:tab w:val="left" w:pos="360"/>
      </w:tabs>
      <w:ind w:firstLine="200"/>
    </w:pPr>
    <w:rPr>
      <w:sz w:val="28"/>
      <w:szCs w:val="30"/>
    </w:rPr>
  </w:style>
  <w:style w:type="paragraph" w:customStyle="1" w:styleId="40">
    <w:name w:val="普通(网站)1"/>
    <w:basedOn w:val="1"/>
    <w:unhideWhenUsed/>
    <w:qFormat/>
    <w:uiPriority w:val="0"/>
    <w:pPr>
      <w:jc w:val="left"/>
    </w:pPr>
    <w:rPr>
      <w:rFonts w:ascii="Calibri" w:hAnsi="Calibri"/>
      <w:sz w:val="24"/>
      <w:szCs w:val="24"/>
    </w:rPr>
  </w:style>
  <w:style w:type="character" w:customStyle="1" w:styleId="41">
    <w:name w:val="要点1"/>
    <w:qFormat/>
    <w:uiPriority w:val="0"/>
    <w:rPr>
      <w:rFonts w:hint="default" w:ascii="Times New Roman" w:hAnsi="Times New Roman" w:eastAsia="宋体" w:cs="Times New Roman"/>
      <w:sz w:val="21"/>
      <w:szCs w:val="22"/>
      <w:lang w:val="en-US" w:eastAsia="zh-CN" w:bidi="ar-SA"/>
    </w:rPr>
  </w:style>
  <w:style w:type="paragraph" w:customStyle="1" w:styleId="42">
    <w:name w:val="页脚1"/>
    <w:basedOn w:val="1"/>
    <w:unhideWhenUsed/>
    <w:qFormat/>
    <w:uiPriority w:val="99"/>
    <w:pPr>
      <w:tabs>
        <w:tab w:val="center" w:pos="4153"/>
        <w:tab w:val="right" w:pos="8306"/>
      </w:tabs>
      <w:jc w:val="left"/>
    </w:pPr>
    <w:rPr>
      <w:sz w:val="18"/>
      <w:szCs w:val="18"/>
      <w:lang w:eastAsia="en-US"/>
    </w:rPr>
  </w:style>
  <w:style w:type="paragraph" w:customStyle="1" w:styleId="43">
    <w:name w:val="国空标书二级标题"/>
    <w:basedOn w:val="1"/>
    <w:qFormat/>
    <w:uiPriority w:val="0"/>
    <w:pPr>
      <w:adjustRightInd w:val="0"/>
      <w:snapToGrid w:val="0"/>
      <w:spacing w:line="360" w:lineRule="auto"/>
      <w:ind w:firstLine="422" w:firstLineChars="200"/>
      <w:outlineLvl w:val="0"/>
    </w:pPr>
    <w:rPr>
      <w:rFonts w:ascii="宋体" w:hAnsi="宋体" w:cs="黑体"/>
      <w:b/>
      <w:szCs w:val="21"/>
    </w:rPr>
  </w:style>
  <w:style w:type="paragraph" w:customStyle="1" w:styleId="44">
    <w:name w:val="正文首行缩进1"/>
    <w:basedOn w:val="30"/>
    <w:unhideWhenUsed/>
    <w:qFormat/>
    <w:uiPriority w:val="99"/>
    <w:pPr>
      <w:ind w:firstLine="420"/>
    </w:pPr>
  </w:style>
  <w:style w:type="paragraph" w:customStyle="1" w:styleId="45">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4E84B4-C4B9-4A84-AD8B-7CF869636A3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47</Pages>
  <Words>23398</Words>
  <Characters>25418</Characters>
  <Lines>505</Lines>
  <Paragraphs>142</Paragraphs>
  <TotalTime>400</TotalTime>
  <ScaleCrop>false</ScaleCrop>
  <LinksUpToDate>false</LinksUpToDate>
  <CharactersWithSpaces>26493</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2021-12-31T08:04:00Z</dcterms:created>
  <dc:creator>Administrator</dc:creator>
  <cp:lastModifiedBy>qzuser</cp:lastModifiedBy>
  <cp:lastPrinted>2023-06-08T08:30:00Z</cp:lastPrinted>
  <dcterms:modified xsi:type="dcterms:W3CDTF">2026-09-16T00:57:05Z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84982711127B4FE9B3241A3949888A33_13</vt:lpwstr>
  </property>
  <property fmtid="{D5CDD505-2E9C-101B-9397-08002B2CF9AE}" pid="4" name="KSOTemplateDocerSaveRecord">
    <vt:lpwstr>eyJoZGlkIjoiMDE5OTUyOTc0OWQ4ODdiMjliNTAyNWU0Y2M0YjBjNGEiLCJ1c2VySWQiOiIzMTAyNzU4NDAifQ==</vt:lpwstr>
  </property>
</Properties>
</file>