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hint="eastAsia" w:eastAsia="黑体"/>
          <w:b/>
          <w:bCs/>
          <w:sz w:val="84"/>
          <w:shd w:val="clear" w:color="ffffff" w:fill="d9d9d9"/>
        </w:rPr>
      </w:pPr>
      <w:r>
        <w:rPr>
          <w:rFonts w:hint="eastAsia" w:eastAsia="黑体"/>
          <w:b/>
          <w:bCs/>
          <w:sz w:val="84"/>
          <w:shd w:val="clear" w:color="ffffff" w:fill="d9d9d9"/>
        </w:rPr>
      </w:r>
      <w:r/>
    </w:p>
    <w:p>
      <w:pPr>
        <w:pStyle w:val="76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JSZC-320214-JZCG-G2026-0080</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鸿欣苑安居房物业管理外包项目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无锡市新吴区人民政府鸿山街道办事处</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76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w:t>
      </w:r>
      <w:bookmarkStart w:id="203" w:name="_GoBack"/>
      <w:r/>
      <w:bookmarkEnd w:id="203"/>
      <w:r>
        <w:rPr>
          <w:rFonts w:hint="eastAsia" w:ascii="宋体" w:hAnsi="宋体"/>
          <w:color w:val="auto"/>
          <w:sz w:val="30"/>
          <w:szCs w:val="30"/>
        </w:rPr>
        <w:t xml:space="preserve">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51</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60</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无锡市新吴区人民政府鸿山街道办事处</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鸿欣苑安居房物业管理外包项目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JSZC-320214-JZCG-G2026-0080</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鸿欣苑安居房物业管理外包项目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JSZC-320214-JZCG-G2026-0080</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鸿欣苑安居房物业管理外包项目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3.项目预算金额：647.01549万元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4.项目最高限价：647.01549万元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28359080"/>
      <w:r/>
      <w:bookmarkStart w:id="13" w:name="_Toc35393791"/>
      <w:r/>
      <w:bookmarkStart w:id="14" w:name="_Toc38985264"/>
      <w:r/>
      <w:bookmarkStart w:id="15" w:name="_Toc28359003"/>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623"/>
      <w:r/>
      <w:bookmarkStart w:id="19" w:name="_Toc35393792"/>
      <w:r/>
      <w:bookmarkStart w:id="20" w:name="_Toc38985265"/>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8985267"/>
      <w:r/>
      <w:bookmarkStart w:id="28" w:name="_Toc28359007"/>
      <w:r/>
      <w:bookmarkStart w:id="29" w:name="_Toc35393625"/>
      <w:r/>
      <w:bookmarkStart w:id="30" w:name="_Toc35393794"/>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28359085"/>
      <w:r/>
      <w:bookmarkStart w:id="36" w:name="_Toc35393796"/>
      <w:r/>
      <w:bookmarkStart w:id="37" w:name="_Toc38985269"/>
      <w:r/>
      <w:bookmarkStart w:id="38" w:name="_Toc35393627"/>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无锡市新吴区人民政府鸿山街道办事处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址：无锡市新吴区鸿山街道锦鸿路1号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采购人项目咨询联系人：朱鑫；电话：0510-88999718</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采购人质疑受理联系人：朱鑫；电话：0510-88999718</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120614214"/>
      <w:r/>
      <w:bookmarkStart w:id="50" w:name="_Toc513029203"/>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20614215"/>
      <w:r/>
      <w:bookmarkStart w:id="68" w:name="_Toc16938525"/>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color w:val="auto"/>
        </w:rPr>
      </w:pPr>
      <w:r/>
      <w:bookmarkStart w:id="76" w:name="_Toc16938528"/>
      <w:r/>
      <w:bookmarkStart w:id="77" w:name="_Toc20823284"/>
      <w:r/>
      <w:bookmarkStart w:id="78" w:name="_Toc462564071"/>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16938529"/>
      <w:r/>
      <w:bookmarkStart w:id="81" w:name="_Toc513029213"/>
      <w:r/>
      <w:bookmarkStart w:id="82" w:name="_Toc462564072"/>
      <w:r/>
      <w:bookmarkStart w:id="83" w:name="_Toc120614216"/>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954844"/>
      <w:r/>
      <w:bookmarkEnd w:id="109"/>
      <w:r/>
      <w:bookmarkStart w:id="110" w:name="_Hlt26670425"/>
      <w:r/>
      <w:bookmarkEnd w:id="110"/>
      <w:r/>
      <w:bookmarkStart w:id="111" w:name="_Hlt26670482"/>
      <w:r/>
      <w:bookmarkEnd w:id="111"/>
      <w:r/>
      <w:bookmarkStart w:id="112" w:name="_Hlt26670403"/>
      <w:r/>
      <w:bookmarkEnd w:id="112"/>
      <w:r/>
      <w:bookmarkStart w:id="113" w:name="_Hlt26668983"/>
      <w:r/>
      <w:bookmarkEnd w:id="113"/>
      <w:r/>
      <w:bookmarkStart w:id="114" w:name="_Hlt26954842"/>
      <w:r/>
      <w:bookmarkEnd w:id="114"/>
      <w:r/>
      <w:bookmarkStart w:id="115" w:name="_Hlt26670486"/>
      <w:r/>
      <w:bookmarkEnd w:id="115"/>
      <w:r/>
      <w:bookmarkStart w:id="116" w:name="_Hlt26954848"/>
      <w:r/>
      <w:bookmarkEnd w:id="116"/>
      <w:r/>
      <w:bookmarkStart w:id="117" w:name="_Hlt26954731"/>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120614221"/>
      <w:r/>
      <w:bookmarkStart w:id="178" w:name="_Toc20823314"/>
      <w:r/>
      <w:bookmarkStart w:id="179" w:name="_Toc479757207"/>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w:t>
      </w:r>
      <w:r>
        <w:rPr>
          <w:rFonts w:hint="eastAsia" w:ascii="宋体" w:hAnsi="宋体"/>
          <w:bCs/>
          <w:color w:val="auto"/>
          <w:sz w:val="24"/>
          <w:highlight w:val="none"/>
        </w:rPr>
        <w:t xml:space="preserve">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0"/>
        <w:spacing w:line="400" w:lineRule="exact"/>
        <w:rPr>
          <w:rFonts w:hAnsi="宋体"/>
          <w:sz w:val="24"/>
          <w:szCs w:val="24"/>
        </w:rPr>
      </w:pPr>
      <w:r>
        <w:rPr>
          <w:rFonts w:hAnsi="宋体"/>
          <w:color w:val="auto"/>
          <w:sz w:val="24"/>
          <w:szCs w:val="24"/>
          <w:highlight w:val="none"/>
        </w:rPr>
        <w:t xml:space="preserve">项目名称：  </w:t>
      </w:r>
      <w:r>
        <w:rPr>
          <w:rFonts w:hAnsi="宋体"/>
          <w:sz w:val="24"/>
          <w:szCs w:val="24"/>
        </w:rPr>
        <w:t xml:space="preserve">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int="eastAsia"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i/>
          <w:color w:val="auto"/>
          <w:sz w:val="24"/>
          <w:szCs w:val="24"/>
        </w:rPr>
      </w:pPr>
      <w:r>
        <w:rPr>
          <w:rFonts w:hint="eastAsia" w:ascii="宋体" w:hAnsi="宋体"/>
          <w:bCs/>
          <w:color w:val="auto"/>
          <w:sz w:val="24"/>
          <w:szCs w:val="24"/>
        </w:rPr>
        <w:t xml:space="preserve">本项目标的物所属行业：物业管理</w:t>
      </w:r>
      <w:r/>
    </w:p>
    <w:p>
      <w:pPr>
        <w:ind w:firstLine="482"/>
        <w:spacing w:line="360" w:lineRule="auto"/>
        <w:rPr>
          <w:rFonts w:hint="eastAsia" w:asciiTheme="minorEastAsia" w:hAnsiTheme="minorEastAsia" w:eastAsiaTheme="minorEastAsia" w:cstheme="minorEastAsia"/>
          <w:b/>
          <w:color w:val="000000"/>
          <w:sz w:val="24"/>
          <w:szCs w:val="24"/>
          <w:u w:val="none"/>
        </w:rPr>
      </w:pPr>
      <w:r>
        <w:rPr>
          <w:rFonts w:hint="eastAsia" w:asciiTheme="minorEastAsia" w:hAnsiTheme="minorEastAsia" w:eastAsiaTheme="minorEastAsia" w:cstheme="minorEastAsia"/>
          <w:b/>
          <w:color w:val="000000"/>
          <w:sz w:val="24"/>
          <w:szCs w:val="24"/>
          <w:u w:val="none"/>
        </w:rPr>
        <w:t xml:space="preserve">第一部分  项目技术要求</w:t>
      </w:r>
      <w:r/>
    </w:p>
    <w:p>
      <w:pPr>
        <w:ind w:firstLine="480"/>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履约验收主体：无锡市新吴区人民政府鸿山街道办事处</w:t>
      </w:r>
      <w:r/>
    </w:p>
    <w:p>
      <w:pPr>
        <w:ind w:firstLine="480"/>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履约验收时间：</w:t>
      </w:r>
      <w:r>
        <w:rPr>
          <w:rFonts w:hint="eastAsia" w:asciiTheme="minorEastAsia" w:hAnsiTheme="minorEastAsia" w:eastAsiaTheme="minorEastAsia" w:cstheme="minorEastAsia"/>
          <w:bCs/>
          <w:sz w:val="24"/>
          <w:szCs w:val="24"/>
          <w:highlight w:val="none"/>
          <w:lang w:val="en-US" w:eastAsia="zh-CN"/>
        </w:rPr>
        <w:t xml:space="preserve">每季度</w:t>
      </w:r>
      <w:r/>
    </w:p>
    <w:p>
      <w:pPr>
        <w:ind w:firstLine="480"/>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履约验收方式：</w:t>
      </w:r>
      <w:r>
        <w:rPr>
          <w:rFonts w:hint="eastAsia" w:asciiTheme="minorEastAsia" w:hAnsiTheme="minorEastAsia" w:eastAsiaTheme="minorEastAsia" w:cstheme="minorEastAsia"/>
          <w:bCs/>
          <w:sz w:val="24"/>
          <w:szCs w:val="24"/>
          <w:highlight w:val="none"/>
          <w:lang w:val="en-US" w:eastAsia="zh-CN"/>
        </w:rPr>
        <w:t xml:space="preserve">考核表</w:t>
      </w:r>
      <w:r/>
    </w:p>
    <w:p>
      <w:pPr>
        <w:ind w:firstLine="480"/>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履约验收程序：</w:t>
      </w:r>
      <w:r>
        <w:rPr>
          <w:rFonts w:hint="eastAsia" w:asciiTheme="minorEastAsia" w:hAnsiTheme="minorEastAsia" w:eastAsiaTheme="minorEastAsia" w:cstheme="minorEastAsia"/>
          <w:bCs/>
          <w:sz w:val="24"/>
          <w:szCs w:val="24"/>
          <w:highlight w:val="none"/>
          <w:lang w:val="en-US" w:eastAsia="zh-CN"/>
        </w:rPr>
        <w:t xml:space="preserve">物业服务项目考核打分</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履约验收内容：</w:t>
      </w:r>
      <w:r>
        <w:rPr>
          <w:rFonts w:hint="eastAsia" w:asciiTheme="minorEastAsia" w:hAnsiTheme="minorEastAsia" w:eastAsiaTheme="minorEastAsia" w:cstheme="minorEastAsia"/>
          <w:bCs/>
          <w:sz w:val="24"/>
          <w:szCs w:val="24"/>
          <w:highlight w:val="none"/>
          <w:lang w:val="en-US" w:eastAsia="zh-CN"/>
        </w:rPr>
        <w:t xml:space="preserve">鸿欣苑小区内</w:t>
      </w:r>
      <w:r>
        <w:rPr>
          <w:rFonts w:hint="eastAsia" w:asciiTheme="minorEastAsia" w:hAnsiTheme="minorEastAsia" w:eastAsiaTheme="minorEastAsia" w:cstheme="minorEastAsia"/>
          <w:bCs/>
          <w:sz w:val="24"/>
          <w:szCs w:val="24"/>
          <w:highlight w:val="none"/>
        </w:rPr>
        <w:t xml:space="preserve">（包括商铺）及小区各出入口至主干道两侧50米距离范围内</w:t>
      </w:r>
      <w:r>
        <w:rPr>
          <w:rFonts w:hint="eastAsia" w:asciiTheme="minorEastAsia" w:hAnsiTheme="minorEastAsia" w:eastAsiaTheme="minorEastAsia" w:cstheme="minorEastAsia"/>
          <w:bCs/>
          <w:sz w:val="24"/>
          <w:szCs w:val="24"/>
          <w:highlight w:val="none"/>
          <w:lang w:val="en-US" w:eastAsia="zh-CN"/>
        </w:rPr>
        <w:t xml:space="preserve">室外</w:t>
      </w:r>
      <w:r>
        <w:rPr>
          <w:rFonts w:hint="eastAsia" w:asciiTheme="minorEastAsia" w:hAnsiTheme="minorEastAsia" w:eastAsiaTheme="minorEastAsia" w:cstheme="minorEastAsia"/>
          <w:bCs/>
          <w:sz w:val="24"/>
          <w:szCs w:val="24"/>
          <w:highlight w:val="none"/>
        </w:rPr>
        <w:t xml:space="preserve">的所有和物业有关的工作，包括但不仅限于保安、保洁、绿化养护与管理、房屋和共用设施设备的维修保养等工作</w:t>
      </w:r>
      <w:r/>
    </w:p>
    <w:p>
      <w:pPr>
        <w:ind w:firstLine="480"/>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履约验收标准：</w:t>
      </w:r>
      <w:r>
        <w:rPr>
          <w:rFonts w:hint="eastAsia" w:asciiTheme="minorEastAsia" w:hAnsiTheme="minorEastAsia" w:eastAsiaTheme="minorEastAsia" w:cstheme="minorEastAsia"/>
          <w:bCs/>
          <w:sz w:val="24"/>
          <w:szCs w:val="24"/>
          <w:highlight w:val="none"/>
          <w:lang w:val="en-US" w:eastAsia="zh-CN"/>
        </w:rPr>
        <w:t xml:space="preserve">详见物业服务范围清单</w:t>
      </w:r>
      <w:r/>
    </w:p>
    <w:p>
      <w:pPr>
        <w:ind w:firstLine="482"/>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履约验收其他事项：</w:t>
      </w:r>
      <w:r>
        <w:rPr>
          <w:rFonts w:hint="eastAsia" w:asciiTheme="minorEastAsia" w:hAnsiTheme="minorEastAsia" w:eastAsiaTheme="minorEastAsia" w:cstheme="minorEastAsia"/>
          <w:bCs/>
          <w:sz w:val="24"/>
          <w:szCs w:val="24"/>
          <w:highlight w:val="none"/>
          <w:lang w:val="en-US" w:eastAsia="zh-CN"/>
        </w:rPr>
        <w:t xml:space="preserve">根据具体实际服务情况</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auto"/>
          <w:sz w:val="24"/>
          <w:szCs w:val="24"/>
          <w:highlight w:val="none"/>
        </w:rPr>
        <w:t xml:space="preserve">1.项目基本情况</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1.1物业情况</w:t>
      </w:r>
      <w:r/>
    </w:p>
    <w:p>
      <w:pPr>
        <w:ind w:firstLine="480"/>
        <w:jc w:val="left"/>
        <w:spacing w:line="440" w:lineRule="exac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鸿欣苑</w:t>
      </w:r>
      <w:r>
        <w:rPr>
          <w:rFonts w:hint="eastAsia" w:asciiTheme="minorEastAsia" w:hAnsiTheme="minorEastAsia" w:eastAsiaTheme="minorEastAsia" w:cstheme="minorEastAsia"/>
          <w:b w:val="0"/>
          <w:bCs w:val="0"/>
          <w:color w:val="auto"/>
          <w:sz w:val="24"/>
          <w:szCs w:val="24"/>
          <w:highlight w:val="none"/>
          <w:lang w:val="en-US" w:eastAsia="zh-CN"/>
        </w:rPr>
        <w:t xml:space="preserve">小区</w:t>
      </w:r>
      <w:r>
        <w:rPr>
          <w:rFonts w:hint="eastAsia" w:asciiTheme="minorEastAsia" w:hAnsiTheme="minorEastAsia" w:eastAsiaTheme="minorEastAsia" w:cstheme="minorEastAsia"/>
          <w:b w:val="0"/>
          <w:bCs w:val="0"/>
          <w:color w:val="auto"/>
          <w:sz w:val="24"/>
          <w:szCs w:val="24"/>
          <w:highlight w:val="none"/>
          <w:lang w:eastAsia="zh-CN"/>
        </w:rPr>
        <w:t xml:space="preserve">总建筑面积共计约16</w:t>
      </w:r>
      <w:r>
        <w:rPr>
          <w:rFonts w:hint="eastAsia" w:asciiTheme="minorEastAsia" w:hAnsiTheme="minorEastAsia" w:eastAsiaTheme="minorEastAsia" w:cstheme="minorEastAsia"/>
          <w:b w:val="0"/>
          <w:bCs w:val="0"/>
          <w:color w:val="auto"/>
          <w:sz w:val="24"/>
          <w:szCs w:val="24"/>
          <w:highlight w:val="none"/>
          <w:lang w:val="en-US" w:eastAsia="zh-CN"/>
        </w:rPr>
        <w:t xml:space="preserve">7838</w:t>
      </w:r>
      <w:r>
        <w:rPr>
          <w:rFonts w:hint="eastAsia" w:asciiTheme="minorEastAsia" w:hAnsiTheme="minorEastAsia" w:eastAsiaTheme="minorEastAsia" w:cstheme="minorEastAsia"/>
          <w:b w:val="0"/>
          <w:bCs w:val="0"/>
          <w:color w:val="auto"/>
          <w:sz w:val="24"/>
          <w:szCs w:val="24"/>
          <w:highlight w:val="none"/>
          <w:lang w:eastAsia="zh-CN"/>
        </w:rPr>
        <w:t xml:space="preserve">平方米（包含商铺面积4585㎡），户数1160户，物业用房面积678平方米，绿化面积3757平方米，电梯数量37部，门卫室数量2个，监控室1间。</w:t>
      </w:r>
      <w:r/>
    </w:p>
    <w:tbl>
      <w:tblPr>
        <w:tblStyle w:val="687"/>
        <w:tblW w:w="9364" w:type="dxa"/>
        <w:jc w:val="center"/>
        <w:tblLayout w:type="fixed"/>
        <w:tblCellMar>
          <w:left w:w="15" w:type="dxa"/>
          <w:top w:w="15" w:type="dxa"/>
          <w:right w:w="15" w:type="dxa"/>
          <w:bottom w:w="15" w:type="dxa"/>
        </w:tblCellMar>
        <w:tblLook w:val="04A0" w:firstRow="1" w:lastRow="0" w:firstColumn="1" w:lastColumn="0" w:noHBand="0" w:noVBand="1"/>
      </w:tblPr>
      <w:tblGrid>
        <w:gridCol w:w="3616"/>
        <w:gridCol w:w="5748"/>
      </w:tblGrid>
      <w:tr>
        <w:trPr>
          <w:jc w:val="center"/>
          <w:trHeight w:val="411"/>
        </w:trPr>
        <w:tc>
          <w:tcPr>
            <w:gridSpan w:val="2"/>
            <w:tcBorders>
              <w:top w:val="single" w:color="000000" w:sz="4" w:space="0"/>
              <w:left w:val="single" w:color="000000" w:sz="4" w:space="0"/>
              <w:bottom w:val="single" w:color="000000" w:sz="4" w:space="0"/>
              <w:right w:val="single" w:color="000000" w:sz="4" w:space="0"/>
            </w:tcBorders>
            <w:tcW w:w="936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鸿欣苑</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color w:val="auto"/>
                <w:sz w:val="24"/>
                <w:highlight w:val="none"/>
                <w:lang w:val="en-US" w:eastAsia="zh-CN"/>
              </w:rPr>
              <w:t xml:space="preserve">7838</w:t>
            </w:r>
            <w:r>
              <w:rPr>
                <w:rFonts w:hint="eastAsia" w:ascii="宋体" w:hAnsi="宋体" w:cs="宋体"/>
                <w:color w:val="auto"/>
                <w:sz w:val="24"/>
                <w:highlight w:val="none"/>
              </w:rPr>
              <w:t xml:space="preserve">㎡</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单元</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幢数</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户数（套）</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1160</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物业用房（㎡）</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678</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门卫室（个）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监控室（间）</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地面车位（</w:t>
            </w:r>
            <w:r>
              <w:rPr>
                <w:rFonts w:hint="eastAsia" w:ascii="宋体" w:hAnsi="宋体" w:cs="宋体"/>
                <w:color w:val="auto"/>
                <w:sz w:val="24"/>
                <w:highlight w:val="none"/>
                <w:lang w:val="en-US" w:eastAsia="zh-CN"/>
              </w:rPr>
              <w:t xml:space="preserve">个</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242</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地下停车位（</w:t>
            </w:r>
            <w:r>
              <w:rPr>
                <w:rFonts w:hint="eastAsia" w:ascii="宋体" w:hAnsi="宋体" w:cs="宋体"/>
                <w:color w:val="auto"/>
                <w:sz w:val="24"/>
                <w:highlight w:val="none"/>
                <w:lang w:val="en-US" w:eastAsia="zh-CN"/>
              </w:rPr>
              <w:t xml:space="preserve">个</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1015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电动车库</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130</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消防箱（只)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932</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地面消防栓（只)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147</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配电间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间</w:t>
            </w:r>
            <w:r>
              <w:rPr>
                <w:rFonts w:hint="eastAsia" w:ascii="宋体"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绿化（㎡）</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3757</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化粪池（组）</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污水井（只）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160</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雨水井（只）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188</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电梯</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部</w:t>
            </w:r>
            <w:r>
              <w:rPr>
                <w:rFonts w:hint="eastAsia" w:ascii="宋体"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37</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消防泵（只）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喷淋泵（只）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污水泵（只）</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174</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消防水箱（高层）</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生活水箱（高层）</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地下停车库面积</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34000㎡</w:t>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425" w:type="dxa"/>
            <w:vAlign w:val="top"/>
            <w:textDirection w:val="lrTb"/>
            <w:noWrap w:val="false"/>
          </w:tcPr>
          <w:p>
            <w:pPr>
              <w:jc w:val="center"/>
              <w:rPr>
                <w:rFonts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 w:val="21"/>
                <w:szCs w:val="21"/>
                <w:highlight w:val="none"/>
                <w:lang w:val="en-US" w:eastAsia="zh-CN" w:bidi="ar-SA"/>
              </w:rPr>
            </w:pPr>
            <w:r>
              <w:rPr>
                <w:rFonts w:hint="eastAsia" w:ascii="微软雅黑" w:hAnsi="微软雅黑" w:eastAsia="微软雅黑" w:cs="微软雅黑"/>
                <w:b w:val="0"/>
                <w:bCs w:val="0"/>
                <w:color w:val="auto"/>
                <w:spacing w:val="-1"/>
                <w:szCs w:val="21"/>
                <w:highlight w:val="none"/>
                <w:lang w:val="en-US" w:eastAsia="zh-CN"/>
              </w:rPr>
              <w:t xml:space="preserve">本项目的</w:t>
            </w:r>
            <w:r>
              <w:rPr>
                <w:rFonts w:hint="eastAsia" w:ascii="微软雅黑" w:hAnsi="微软雅黑" w:eastAsia="微软雅黑" w:cs="微软雅黑"/>
                <w:b w:val="0"/>
                <w:bCs w:val="0"/>
                <w:color w:val="auto"/>
                <w:spacing w:val="-1"/>
                <w:szCs w:val="21"/>
                <w:highlight w:val="none"/>
                <w:lang w:eastAsia="en-US"/>
              </w:rPr>
              <w:t xml:space="preserve">门卫室</w:t>
            </w:r>
            <w:r>
              <w:rPr>
                <w:rFonts w:hint="eastAsia" w:ascii="微软雅黑" w:hAnsi="微软雅黑" w:eastAsia="微软雅黑" w:cs="微软雅黑"/>
                <w:b w:val="0"/>
                <w:bCs w:val="0"/>
                <w:color w:val="auto"/>
                <w:spacing w:val="-1"/>
                <w:szCs w:val="21"/>
                <w:highlight w:val="none"/>
                <w:lang w:val="en-US" w:eastAsia="zh-CN"/>
              </w:rPr>
              <w:t xml:space="preserve">由采购人提供</w:t>
            </w:r>
            <w:r/>
          </w:p>
        </w:tc>
      </w:tr>
      <w:tr>
        <w:trPr>
          <w:jc w:val="center"/>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本项目的消、监控室由采购人提供</w:t>
            </w:r>
            <w:r/>
          </w:p>
        </w:tc>
      </w:tr>
      <w:tr>
        <w:trPr>
          <w:jc w:val="center"/>
        </w:trPr>
        <w:tc>
          <w:tcPr>
            <w:tcW w:w="948"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678</w:t>
            </w:r>
            <w:r/>
          </w:p>
        </w:tc>
        <w:tc>
          <w:tcPr>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本项目的物业管理用房及办公室由采购人提供</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eastAsia="zh-CN"/>
              </w:rPr>
              <w:t xml:space="preserve">鸿欣苑</w:t>
            </w:r>
            <w:r>
              <w:rPr>
                <w:rFonts w:hint="eastAsia" w:ascii="宋体" w:hAnsi="宋体" w:cs="宋体"/>
                <w:sz w:val="21"/>
                <w:szCs w:val="21"/>
                <w:highlight w:val="none"/>
                <w:lang w:val="en-US" w:eastAsia="zh-CN"/>
              </w:rPr>
              <w:t xml:space="preserve">小区</w:t>
            </w:r>
            <w:r>
              <w:rPr>
                <w:rFonts w:hint="eastAsia" w:ascii="宋体" w:hAnsi="宋体" w:cs="宋体"/>
                <w:color w:val="auto"/>
                <w:sz w:val="21"/>
                <w:szCs w:val="21"/>
                <w:highlight w:val="none"/>
                <w:lang w:val="en-US" w:eastAsia="zh-CN"/>
              </w:rPr>
              <w:t xml:space="preserve">建筑物部分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eastAsia="zh-CN"/>
              </w:rPr>
              <w:t xml:space="preserve">鸿欣苑</w:t>
            </w:r>
            <w:r>
              <w:rPr>
                <w:rFonts w:hint="eastAsia" w:ascii="宋体" w:hAnsi="宋体" w:eastAsia="宋体" w:cs="宋体"/>
                <w:sz w:val="21"/>
                <w:szCs w:val="21"/>
                <w:highlight w:val="none"/>
                <w:lang w:val="en-US" w:eastAsia="zh-CN"/>
              </w:rPr>
              <w:t xml:space="preserve">小区总建筑面积共计约167838平方米（包含商铺面积4585㎡），</w:t>
            </w:r>
            <w:r>
              <w:rPr>
                <w:rFonts w:hint="eastAsia" w:ascii="宋体" w:hAnsi="宋体" w:eastAsia="宋体" w:cs="宋体"/>
                <w:color w:val="auto"/>
                <w:sz w:val="21"/>
                <w:szCs w:val="21"/>
                <w:highlight w:val="none"/>
                <w:lang w:eastAsia="zh-CN"/>
              </w:rPr>
              <w:t xml:space="preserve">地下停车库面积34000㎡</w:t>
            </w:r>
            <w:r>
              <w:rPr>
                <w:rFonts w:hint="eastAsia" w:ascii="宋体" w:hAnsi="宋体" w:eastAsia="宋体" w:cs="宋体"/>
                <w:sz w:val="21"/>
                <w:szCs w:val="21"/>
                <w:highlight w:val="none"/>
                <w:lang w:val="en-US" w:eastAsia="zh-CN"/>
              </w:rPr>
              <w:t xml:space="preserve">，物业用房面积678平方米，电梯数量37部，户数1160户，门卫室数量2个，监控室1间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的建筑物部分</w:t>
            </w:r>
            <w:r>
              <w:rPr>
                <w:rFonts w:hint="eastAsia" w:ascii="宋体" w:hAnsi="宋体" w:eastAsia="宋体" w:cs="宋体"/>
                <w:color w:val="auto"/>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参照</w:t>
            </w:r>
            <w:r>
              <w:rPr>
                <w:rFonts w:hint="eastAsia" w:ascii="宋体" w:hAnsi="宋体" w:eastAsia="宋体" w:cs="宋体"/>
                <w:b/>
                <w:bCs/>
                <w:color w:val="auto"/>
                <w:sz w:val="21"/>
                <w:szCs w:val="21"/>
                <w:highlight w:val="none"/>
              </w:rPr>
              <w:t xml:space="preserve">无锡市普通住宅物业服务等级三级标准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主要包括</w:t>
            </w:r>
            <w:r>
              <w:rPr>
                <w:rFonts w:hint="eastAsia" w:ascii="宋体" w:hAnsi="宋体" w:cs="宋体"/>
                <w:b/>
                <w:bCs/>
                <w:color w:val="auto"/>
                <w:sz w:val="21"/>
                <w:szCs w:val="21"/>
                <w:highlight w:val="none"/>
                <w:lang w:eastAsia="zh-CN"/>
              </w:rPr>
              <w:t xml:space="preserve">鸿欣苑</w:t>
            </w:r>
            <w:r>
              <w:rPr>
                <w:rFonts w:hint="eastAsia" w:ascii="宋体" w:hAnsi="宋体" w:eastAsia="宋体" w:cs="宋体"/>
                <w:b/>
                <w:bCs/>
                <w:color w:val="auto"/>
                <w:sz w:val="21"/>
                <w:szCs w:val="21"/>
                <w:highlight w:val="none"/>
              </w:rPr>
              <w:t xml:space="preserve">小区</w:t>
            </w:r>
            <w:r>
              <w:rPr>
                <w:rFonts w:hint="eastAsia" w:ascii="宋体" w:hAnsi="宋体" w:cs="宋体"/>
                <w:b/>
                <w:bCs/>
                <w:color w:val="auto"/>
                <w:sz w:val="21"/>
                <w:szCs w:val="21"/>
                <w:highlight w:val="none"/>
                <w:lang w:val="en-US" w:eastAsia="zh-CN"/>
              </w:rPr>
              <w:t xml:space="preserve">内建筑物的保安、保洁工作，以及</w:t>
            </w:r>
            <w:r>
              <w:rPr>
                <w:rFonts w:hint="eastAsia" w:ascii="宋体" w:hAnsi="宋体" w:eastAsia="宋体" w:cs="宋体"/>
                <w:b/>
                <w:bCs/>
                <w:color w:val="auto"/>
                <w:sz w:val="21"/>
                <w:szCs w:val="21"/>
                <w:highlight w:val="none"/>
              </w:rPr>
              <w:t xml:space="preserve">房屋和</w:t>
            </w:r>
            <w:r>
              <w:rPr>
                <w:rFonts w:hint="eastAsia" w:ascii="宋体" w:hAnsi="宋体" w:cs="宋体"/>
                <w:b/>
                <w:bCs/>
                <w:color w:val="auto"/>
                <w:sz w:val="21"/>
                <w:szCs w:val="21"/>
                <w:highlight w:val="none"/>
                <w:lang w:eastAsia="zh-CN"/>
              </w:rPr>
              <w:t xml:space="preserve">公用设施</w:t>
            </w:r>
            <w:r>
              <w:rPr>
                <w:rFonts w:hint="eastAsia" w:ascii="宋体" w:hAnsi="宋体" w:eastAsia="宋体" w:cs="宋体"/>
                <w:b/>
                <w:bCs/>
                <w:color w:val="auto"/>
                <w:sz w:val="21"/>
                <w:szCs w:val="21"/>
                <w:highlight w:val="none"/>
              </w:rPr>
              <w:t xml:space="preserve">设备的维修保养等工作</w:t>
            </w:r>
            <w:r>
              <w:rPr>
                <w:rFonts w:hint="eastAsia" w:ascii="宋体" w:hAnsi="宋体" w:cs="宋体"/>
                <w:b/>
                <w:bCs/>
                <w:color w:val="auto"/>
                <w:sz w:val="21"/>
                <w:szCs w:val="21"/>
                <w:highlight w:val="none"/>
                <w:lang w:eastAsia="zh-CN"/>
              </w:rPr>
              <w:t xml:space="preserve">。</w:t>
            </w:r>
            <w:r/>
          </w:p>
          <w:p>
            <w:pPr>
              <w:keepLines w:val="0"/>
              <w:keepNext w:val="0"/>
              <w:pageBreakBefore w:val="0"/>
              <w:spacing w:line="240" w:lineRule="auto"/>
              <w:widowControl w:val="off"/>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具体如下：</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p>
          <w:p>
            <w:p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保洁工作包括但不限于：</w:t>
            </w:r>
            <w:r>
              <w:rPr>
                <w:rFonts w:hint="eastAsia" w:ascii="宋体" w:hAnsi="宋体" w:cs="宋体"/>
                <w:color w:val="auto"/>
                <w:sz w:val="21"/>
                <w:szCs w:val="21"/>
                <w:highlight w:val="none"/>
                <w:lang w:val="en-US" w:eastAsia="zh-CN"/>
              </w:rPr>
              <w:t xml:space="preserve">建筑物范围内的</w:t>
            </w:r>
            <w:r>
              <w:rPr>
                <w:rFonts w:hint="eastAsia" w:ascii="宋体" w:hAnsi="宋体" w:eastAsia="宋体" w:cs="宋体"/>
                <w:color w:val="auto"/>
                <w:sz w:val="21"/>
                <w:szCs w:val="21"/>
                <w:highlight w:val="none"/>
              </w:rPr>
              <w:t xml:space="preserve">道路、场地的清洁；化粪池疏通；公共楼道、走廊、物业管理用房等室内门窗、地板、墙面、天棚等其他室内设施的保洁；屋面、露台（含沿街商铺露台）、地下室等公共场所的保洁；电梯、栏杆、扶手、消防栓箱、灯具等公共设施的保洁；公共部位玻璃及门窗的清洁。</w:t>
            </w:r>
            <w:r/>
          </w:p>
          <w:p>
            <w:pPr>
              <w:pStyle w:val="759"/>
              <w:numPr>
                <w:ilvl w:val="0"/>
                <w:numId w:val="0"/>
              </w:num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房屋和共用设施设备的</w:t>
            </w:r>
            <w:r>
              <w:rPr>
                <w:rFonts w:hint="eastAsia" w:ascii="宋体" w:hAnsi="宋体" w:cs="宋体"/>
                <w:color w:val="auto"/>
                <w:sz w:val="21"/>
                <w:szCs w:val="21"/>
                <w:highlight w:val="none"/>
                <w:lang w:val="en-US" w:eastAsia="zh-CN"/>
              </w:rPr>
              <w:t xml:space="preserve">维护保养</w:t>
            </w:r>
            <w:r>
              <w:rPr>
                <w:rFonts w:hint="eastAsia" w:ascii="宋体" w:hAnsi="宋体" w:eastAsia="宋体" w:cs="宋体"/>
                <w:color w:val="auto"/>
                <w:sz w:val="21"/>
                <w:szCs w:val="21"/>
                <w:highlight w:val="none"/>
              </w:rPr>
              <w:t xml:space="preserve">包括但不限于：</w:t>
            </w:r>
            <w:r>
              <w:rPr>
                <w:rFonts w:hint="eastAsia" w:ascii="宋体" w:hAnsi="宋体" w:cs="宋体"/>
                <w:color w:val="auto"/>
                <w:sz w:val="21"/>
                <w:szCs w:val="21"/>
                <w:highlight w:val="none"/>
                <w:lang w:val="en-US" w:eastAsia="zh-CN"/>
              </w:rPr>
              <w:t xml:space="preserve">建筑物内</w:t>
            </w:r>
            <w:r>
              <w:rPr>
                <w:rFonts w:hint="eastAsia" w:ascii="宋体" w:hAnsi="宋体" w:eastAsia="宋体" w:cs="宋体"/>
                <w:color w:val="auto"/>
                <w:sz w:val="21"/>
                <w:szCs w:val="21"/>
                <w:highlight w:val="none"/>
              </w:rPr>
              <w:t xml:space="preserve">公共部位</w:t>
            </w:r>
            <w:r>
              <w:rPr>
                <w:rFonts w:hint="eastAsia" w:ascii="宋体" w:hAnsi="宋体" w:cs="宋体"/>
                <w:color w:val="auto"/>
                <w:sz w:val="21"/>
                <w:szCs w:val="21"/>
                <w:highlight w:val="none"/>
                <w:lang w:val="en-US" w:eastAsia="zh-CN"/>
              </w:rPr>
              <w:t xml:space="preserve">的维护保养（如</w:t>
            </w:r>
            <w:r>
              <w:rPr>
                <w:rFonts w:hint="eastAsia" w:ascii="宋体" w:hAnsi="宋体" w:eastAsia="宋体" w:cs="宋体"/>
                <w:color w:val="auto"/>
                <w:sz w:val="21"/>
                <w:szCs w:val="21"/>
                <w:highlight w:val="none"/>
              </w:rPr>
              <w:t xml:space="preserve">门窗、场地、给排水设施、照明灯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景观等）</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建筑物内</w:t>
            </w:r>
            <w:r>
              <w:rPr>
                <w:rFonts w:hint="eastAsia" w:ascii="宋体" w:hAnsi="宋体" w:eastAsia="宋体" w:cs="宋体"/>
                <w:color w:val="auto"/>
                <w:sz w:val="21"/>
                <w:szCs w:val="21"/>
                <w:highlight w:val="none"/>
              </w:rPr>
              <w:t xml:space="preserve">共用设施设备</w:t>
            </w:r>
            <w:r>
              <w:rPr>
                <w:rFonts w:hint="eastAsia" w:ascii="宋体" w:hAnsi="宋体" w:cs="宋体"/>
                <w:color w:val="auto"/>
                <w:sz w:val="21"/>
                <w:szCs w:val="21"/>
                <w:highlight w:val="none"/>
                <w:lang w:val="en-US" w:eastAsia="zh-CN"/>
              </w:rPr>
              <w:t xml:space="preserve">的维护保养、年检（如</w:t>
            </w:r>
            <w:r>
              <w:rPr>
                <w:rFonts w:hint="eastAsia" w:ascii="宋体" w:hAnsi="宋体" w:eastAsia="宋体" w:cs="宋体"/>
                <w:color w:val="auto"/>
                <w:sz w:val="21"/>
                <w:szCs w:val="21"/>
                <w:highlight w:val="none"/>
              </w:rPr>
              <w:t xml:space="preserve">电梯、消防、电力设施、</w:t>
            </w:r>
            <w:r>
              <w:rPr>
                <w:rFonts w:hint="eastAsia" w:ascii="宋体" w:hAnsi="宋体" w:cs="宋体"/>
                <w:color w:val="auto"/>
                <w:sz w:val="21"/>
                <w:szCs w:val="21"/>
                <w:highlight w:val="none"/>
                <w:lang w:val="en-US" w:eastAsia="zh-CN"/>
              </w:rPr>
              <w:t xml:space="preserve">弱电系统</w:t>
            </w:r>
            <w:r>
              <w:rPr>
                <w:rFonts w:hint="eastAsia" w:ascii="宋体" w:hAnsi="宋体" w:eastAsia="宋体" w:cs="宋体"/>
                <w:color w:val="auto"/>
                <w:sz w:val="21"/>
                <w:szCs w:val="21"/>
                <w:highlight w:val="none"/>
              </w:rPr>
              <w:t xml:space="preserve">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配套设施设备的零星维修和应急维修</w:t>
            </w:r>
            <w:r>
              <w:rPr>
                <w:rFonts w:hint="eastAsia" w:ascii="宋体" w:hAnsi="宋体" w:eastAsia="宋体" w:cs="宋体"/>
                <w:color w:val="auto"/>
                <w:sz w:val="21"/>
                <w:szCs w:val="21"/>
                <w:highlight w:val="none"/>
              </w:rPr>
              <w:t xml:space="preserve">。</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eastAsia="zh-CN"/>
              </w:rPr>
              <w:t xml:space="preserve">鸿欣苑</w:t>
            </w:r>
            <w:r>
              <w:rPr>
                <w:rFonts w:hint="eastAsia" w:ascii="宋体" w:hAnsi="宋体" w:cs="宋体"/>
                <w:sz w:val="21"/>
                <w:szCs w:val="21"/>
                <w:highlight w:val="none"/>
                <w:lang w:val="en-US" w:eastAsia="zh-CN"/>
              </w:rPr>
              <w:t xml:space="preserve">小区</w:t>
            </w:r>
            <w:r>
              <w:rPr>
                <w:rFonts w:hint="eastAsia" w:ascii="宋体" w:hAnsi="宋体" w:cs="宋体"/>
                <w:color w:val="auto"/>
                <w:sz w:val="21"/>
                <w:szCs w:val="21"/>
                <w:highlight w:val="none"/>
                <w:lang w:val="en-US" w:eastAsia="zh-CN"/>
              </w:rPr>
              <w:t xml:space="preserve">室外部分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eastAsia="zh-CN"/>
              </w:rPr>
              <w:t xml:space="preserve">鸿欣苑</w:t>
            </w:r>
            <w:r>
              <w:rPr>
                <w:rFonts w:hint="eastAsia" w:ascii="宋体" w:hAnsi="宋体" w:eastAsia="宋体" w:cs="宋体"/>
                <w:sz w:val="21"/>
                <w:szCs w:val="21"/>
                <w:highlight w:val="none"/>
                <w:lang w:val="en-US" w:eastAsia="zh-CN"/>
              </w:rPr>
              <w:t xml:space="preserve">小区总建筑面积共计约167838平方米（包含商铺面积4585㎡）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绿化面积3757平方米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地面车位</w:t>
            </w:r>
            <w:r>
              <w:rPr>
                <w:rFonts w:hint="eastAsia" w:ascii="宋体" w:hAnsi="宋体" w:cs="宋体"/>
                <w:sz w:val="21"/>
                <w:szCs w:val="21"/>
                <w:highlight w:val="none"/>
                <w:lang w:val="en-US" w:eastAsia="zh-CN"/>
              </w:rPr>
              <w:t xml:space="preserve">242</w:t>
            </w:r>
            <w:r>
              <w:rPr>
                <w:rFonts w:hint="eastAsia" w:ascii="宋体" w:hAnsi="宋体" w:eastAsia="宋体" w:cs="宋体"/>
                <w:sz w:val="21"/>
                <w:szCs w:val="21"/>
                <w:highlight w:val="none"/>
                <w:lang w:val="en-US" w:eastAsia="zh-CN"/>
              </w:rPr>
              <w:t xml:space="preserve">个</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其他具体明细详见“1.1物业情况”</w:t>
            </w:r>
            <w:r>
              <w:rPr>
                <w:rFonts w:hint="eastAsia" w:ascii="宋体" w:hAnsi="宋体" w:cs="宋体"/>
                <w:color w:val="auto"/>
                <w:sz w:val="21"/>
                <w:szCs w:val="21"/>
                <w:highlight w:val="none"/>
                <w:lang w:val="en-US" w:eastAsia="zh-CN"/>
              </w:rPr>
              <w:t xml:space="preserve">的室外部分</w:t>
            </w:r>
            <w:r>
              <w:rPr>
                <w:rFonts w:hint="eastAsia" w:ascii="宋体" w:hAnsi="宋体" w:eastAsia="宋体" w:cs="宋体"/>
                <w:color w:val="auto"/>
                <w:sz w:val="21"/>
                <w:szCs w:val="21"/>
                <w:highlight w:val="none"/>
                <w:lang w:val="en-US" w:eastAsia="zh-CN"/>
              </w:rPr>
              <w:t xml:space="preserve">。</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参照无锡市普通住宅物业服务等级三级标准。主要包括鸿欣苑</w:t>
            </w:r>
            <w:r>
              <w:rPr>
                <w:rFonts w:hint="eastAsia" w:ascii="宋体" w:hAnsi="宋体" w:eastAsia="宋体" w:cs="宋体"/>
                <w:b/>
                <w:bCs/>
                <w:color w:val="auto"/>
                <w:sz w:val="21"/>
                <w:szCs w:val="21"/>
                <w:highlight w:val="none"/>
                <w:lang w:val="en-US" w:eastAsia="zh-CN"/>
              </w:rPr>
              <w:t xml:space="preserve">小区</w:t>
            </w:r>
            <w:r>
              <w:rPr>
                <w:rFonts w:hint="eastAsia" w:ascii="宋体" w:hAnsi="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（包括商铺）及小区各出入口至主干道两侧50米距离范围内</w:t>
            </w:r>
            <w:r>
              <w:rPr>
                <w:rFonts w:hint="eastAsia" w:ascii="宋体" w:hAnsi="宋体" w:cs="宋体"/>
                <w:b/>
                <w:bCs/>
                <w:color w:val="auto"/>
                <w:sz w:val="21"/>
                <w:szCs w:val="21"/>
                <w:highlight w:val="none"/>
                <w:lang w:val="en-US" w:eastAsia="zh-CN"/>
              </w:rPr>
              <w:t xml:space="preserve">室外</w:t>
            </w:r>
            <w:r>
              <w:rPr>
                <w:rFonts w:hint="eastAsia" w:ascii="宋体" w:hAnsi="宋体" w:eastAsia="宋体" w:cs="宋体"/>
                <w:b/>
                <w:bCs/>
                <w:color w:val="auto"/>
                <w:sz w:val="21"/>
                <w:szCs w:val="21"/>
                <w:highlight w:val="none"/>
              </w:rPr>
              <w:t xml:space="preserve">的所有和物业有关的工作，包括但不仅限于保安、保洁、绿化养护与管理、房屋和共用设施设备的维修保养等工作。</w:t>
            </w:r>
            <w:r/>
          </w:p>
          <w:p>
            <w:pPr>
              <w:pStyle w:val="759"/>
              <w:ind w:left="0" w:firstLine="0"/>
              <w:rPr>
                <w:rFonts w:hint="eastAsia"/>
                <w:highlight w:val="none"/>
              </w:rPr>
            </w:pPr>
            <w:r>
              <w:rPr>
                <w:rFonts w:hint="eastAsia"/>
                <w:highlight w:val="none"/>
              </w:rPr>
              <w:t xml:space="preserve">具体如下：</w:t>
            </w:r>
            <w:r/>
          </w:p>
          <w:p>
            <w:pPr>
              <w:pStyle w:val="759"/>
              <w:ind w:left="0" w:firstLine="0"/>
              <w:rPr>
                <w:rFonts w:hint="eastAsia"/>
                <w:highlight w:val="none"/>
              </w:rPr>
            </w:pPr>
            <w:r>
              <w:rPr>
                <w:rFonts w:hint="eastAsia"/>
                <w:highlight w:val="none"/>
              </w:rPr>
              <w:t xml:space="preserve">1、保安工作包括但不限于：公共秩序维护、公共安全管理；门岗值守、秩序管理及巡查；车辆进出管理与疏导；机动车、非机动车的出入停放管理；日常安防监控管理、突发应急管理；协助相关部门做好紧急情况处置工作。</w:t>
            </w:r>
            <w:r/>
          </w:p>
          <w:p>
            <w:pPr>
              <w:pStyle w:val="759"/>
              <w:ind w:left="0" w:firstLine="0"/>
              <w:rPr>
                <w:rFonts w:hint="eastAsia"/>
                <w:highlight w:val="none"/>
              </w:rPr>
            </w:pPr>
            <w:r>
              <w:rPr>
                <w:rFonts w:hint="eastAsia"/>
                <w:highlight w:val="none"/>
              </w:rPr>
              <w:t xml:space="preserve">2、保洁工作包括但不限于：服务范围内的室外道路、场地、雨水明沟、水池、灯具等其他室外设施的保洁；化粪池疏通；室外停车场等公共场地的保洁；垃圾清运（建筑垃圾由中标供应商收集到采购人指定地点，生活垃圾由中标供应商收集后自行处理出小区）；协助社区做好垃圾分类工作。</w:t>
            </w:r>
            <w:r/>
          </w:p>
          <w:p>
            <w:pPr>
              <w:pStyle w:val="759"/>
              <w:ind w:left="0" w:firstLine="0"/>
              <w:rPr>
                <w:rFonts w:hint="eastAsia"/>
                <w:highlight w:val="none"/>
              </w:rPr>
            </w:pPr>
            <w:r>
              <w:rPr>
                <w:rFonts w:hint="eastAsia"/>
                <w:highlight w:val="none"/>
              </w:rPr>
              <w:t xml:space="preserve">3、绿化养护与管理包括但不限于：乔木、灌木、绿篱、花坛、垂直绿化、草坪及绿地附属设施的保洁、淋水、除草、修剪、施肥、除虫害、植保等工作，要求按照无锡市市政园林局绿化管理的要求和标准进行三级管理。</w:t>
            </w:r>
            <w:r/>
          </w:p>
          <w:p>
            <w:pPr>
              <w:pStyle w:val="759"/>
              <w:ind w:left="0" w:firstLine="0"/>
              <w:rPr>
                <w:rFonts w:hint="eastAsia"/>
                <w:highlight w:val="none"/>
              </w:rPr>
            </w:pPr>
            <w:r>
              <w:rPr>
                <w:rFonts w:hint="eastAsia"/>
                <w:highlight w:val="none"/>
              </w:rPr>
              <w:t xml:space="preserve">4、房屋和共用设施设备的维护保养包括但不限于：室外公共部位的维护保养（如道路、场地、给排水设施、照明灯、景观等）；室外共用设施设备的维护保养、年检（如消防、电力设施、弱电系统等）；配套设施设备的零星维修和应急维修。</w:t>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  基本服务</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管理处设置</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1、小区内设置管理处。</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2、配置办公家具、接待前台、电话、电脑等办公设施及办公用品。</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人员要求</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1、小区经理有相关物业管理工作经验。</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2、所有工作人员服装统一，挂牌上岗，仪表整洁规范。</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服务时间</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管理处周一至周五每天8小时业务接待。</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日常服务</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1、24小时受理业主或使用人报修。急修1小时内到现场处理，一般修理三天内完成（预约除外）。</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2、对业主或使用人的投诉在四天内答复处理。</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3、公示服务标准和收费标准，每年向业主公布财务状况一次，公共水电费能耗分摊每半年向业主公布一次。</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4、制定小区房屋装修申请、验收等装修管理制度，对不符合规定的行为、现象及时劝阻、制止或报告。</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5、建立业主档案、收费管理、设备管理等记录。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6、能提供一种以上特约服务（有偿）和一种以上便民（无偿）服务；每年组织一次以上的社区活动。</w:t>
            </w:r>
            <w:r/>
          </w:p>
        </w:tc>
      </w:tr>
    </w:tbl>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  清洁管理服务</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63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共用楼道保洁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每周打扫1次各楼层通道和楼梯台阶、清洁1次楼梯扶手；楼梯间墙面、顶面每季度除尘1次。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电梯及电梯厅保洁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每日清扫1次电梯轿厢，每周擦拭1次电梯门壁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每月对轿厢顶部清洁1次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共用卫生间保洁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每日清洁2次，每周消杀1次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停车场、共用车库或车棚保洁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每半月清扫1次车库，每半年进行1次地下室消杀工作</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绿化带、道路保洁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每日清扫1次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6</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标识、宣传牌、信报箱保洁</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标识、宣传牌每周擦拭1次，雕塑、信报箱每季度擦拭1次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7</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休闲、娱乐、健身设施</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每周清洁1次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8</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垃圾桶、果皮箱</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垃圾每日收集1次，垃圾桶、果皮箱每月</w:t>
            </w:r>
            <w:r>
              <w:rPr>
                <w:rFonts w:hint="eastAsia" w:ascii="宋体" w:hAnsi="宋体" w:eastAsia="宋体" w:cs="宋体"/>
                <w:color w:val="auto"/>
                <w:szCs w:val="21"/>
                <w:highlight w:val="none"/>
                <w:lang w:eastAsia="zh-CN"/>
              </w:rPr>
              <w:t xml:space="preserve">擦拭</w:t>
            </w:r>
            <w:r>
              <w:rPr>
                <w:rFonts w:hint="eastAsia" w:ascii="宋体" w:hAnsi="宋体" w:eastAsia="宋体" w:cs="宋体"/>
                <w:color w:val="auto"/>
                <w:szCs w:val="21"/>
                <w:highlight w:val="none"/>
              </w:rPr>
              <w:t xml:space="preserve">2次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9</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垃圾收集与处理</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小区内定点设置垃圾收集箱或点，每日定时清理1次；垃圾收集箱或点周围地面无散落垃圾、无异味，每月清洗1次。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10</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卫生消杀</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灭鼠、灭蚊等每年至少进行2次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11</w:t>
            </w:r>
            <w:r/>
          </w:p>
        </w:tc>
        <w:tc>
          <w:tcPr>
            <w:tcW w:w="263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公共天台、屋顶</w:t>
            </w:r>
            <w:r/>
          </w:p>
        </w:tc>
        <w:tc>
          <w:tcPr>
            <w:tcW w:w="4709"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每季清理1次，保持清洁、无垃圾</w:t>
            </w:r>
            <w:r/>
          </w:p>
        </w:tc>
      </w:tr>
    </w:tbl>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  房屋、共用设施、设备维护与管理</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jc w:val="cente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1901"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8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jc w:val="cente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公共部位门窗</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每月巡视楼内公共部位门窗，保持玻璃、门窗配件完好，门、窗开闭灵活并无异常声响。</w:t>
            </w:r>
            <w:r/>
          </w:p>
        </w:tc>
      </w:tr>
      <w:tr>
        <w:trPr>
          <w:jc w:val="center"/>
        </w:trPr>
        <w:tc>
          <w:tcPr>
            <w:tcW w:w="73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围墙</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每季一次巡查围墙，发现损坏立即修复，保持围墙完好</w:t>
            </w:r>
            <w:r/>
          </w:p>
        </w:tc>
      </w:tr>
      <w:tr>
        <w:trPr>
          <w:jc w:val="center"/>
        </w:trPr>
        <w:tc>
          <w:tcPr>
            <w:tcW w:w="733"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道路、场地等</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每季一次巡查道路、路面、侧石、井盖等，发现损坏及时修复，保持路面无破损。</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排水设施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每季清扫1次排水明沟，每年对地下管井清理1次</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给水设施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饮用水水池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箱</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每年清洗消毒1次、水质化验达标</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6</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公共部位照明灯、景观灯等</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保持灯具完好。</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7</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消防设施设备</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1、消防设施设备可随时启用，消防通道畅通</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2、每半年检查一次消防水带、阀杆处加注润滑油并</w:t>
            </w:r>
            <w:r>
              <w:rPr>
                <w:rFonts w:hint="eastAsia" w:ascii="宋体" w:hAnsi="宋体" w:eastAsia="宋体" w:cs="宋体"/>
                <w:color w:val="auto"/>
                <w:szCs w:val="21"/>
                <w:highlight w:val="none"/>
                <w:lang w:eastAsia="zh-CN"/>
              </w:rPr>
              <w:t xml:space="preserve">做</w:t>
            </w:r>
            <w:r>
              <w:rPr>
                <w:rFonts w:hint="eastAsia" w:ascii="宋体" w:hAnsi="宋体" w:eastAsia="宋体" w:cs="宋体"/>
                <w:color w:val="auto"/>
                <w:szCs w:val="21"/>
                <w:highlight w:val="none"/>
              </w:rPr>
              <w:t xml:space="preserve">一次放水检查。</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3、每月检查一次灭火器，临近失效立即更新或充压。</w:t>
            </w:r>
            <w:r/>
          </w:p>
        </w:tc>
      </w:tr>
      <w:tr>
        <w:trPr>
          <w:jc w:val="center"/>
        </w:trPr>
        <w:tc>
          <w:tcPr>
            <w:tcW w:w="1175"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8</w:t>
            </w:r>
            <w:r/>
          </w:p>
        </w:tc>
        <w:tc>
          <w:tcPr>
            <w:tcW w:w="1901"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其他设施</w:t>
            </w:r>
            <w:r/>
          </w:p>
        </w:tc>
        <w:tc>
          <w:tcPr>
            <w:tcW w:w="588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每月巡查1次小区房屋单元门、楼道、管线井道、机房以及</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共用设施设备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并及时维护保养，保证正常运行；小区主要道路及停车场交通标志齐全</w:t>
            </w:r>
            <w:r/>
          </w:p>
        </w:tc>
      </w:tr>
    </w:tbl>
    <w:p>
      <w:pPr>
        <w:ind w:firstLine="480"/>
        <w:spacing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3.4 园林绿化养护与管理</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jc w:val="cente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196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58"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jc w:val="cente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基本条件</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乔灌木生长健壮，树冠完整；花灌木按时开花结果；球、篱、地被生长无缺枝、空挡。</w:t>
            </w:r>
            <w:r/>
          </w:p>
        </w:tc>
      </w:tr>
      <w:tr>
        <w:trPr>
          <w:jc w:val="center"/>
        </w:trPr>
        <w:tc>
          <w:tcPr>
            <w:tcW w:w="69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草坪、灌木类、花坛</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成活率80%以上，每年修剪3次，除虫施肥每年1次</w:t>
            </w:r>
            <w:r/>
          </w:p>
        </w:tc>
      </w:tr>
      <w:tr>
        <w:trPr>
          <w:jc w:val="cente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乔木类</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成活率80%以上，每年修剪1次，除虫施肥每年1次</w:t>
            </w:r>
            <w:r/>
          </w:p>
        </w:tc>
      </w:tr>
      <w:tr>
        <w:trPr>
          <w:jc w:val="cente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人工湖、喷水池</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每季水面清捞1次</w:t>
            </w:r>
            <w:r/>
          </w:p>
        </w:tc>
      </w:tr>
      <w:tr>
        <w:trPr>
          <w:jc w:val="center"/>
        </w:trPr>
        <w:tc>
          <w:tcPr>
            <w:tcW w:w="699"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196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景观小品</w:t>
            </w:r>
            <w:r/>
          </w:p>
        </w:tc>
        <w:tc>
          <w:tcPr>
            <w:tcW w:w="5858"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每半年清洁、整修1次</w:t>
            </w:r>
            <w:r/>
          </w:p>
        </w:tc>
      </w:tr>
    </w:tbl>
    <w:p>
      <w:pPr>
        <w:ind w:firstLine="480"/>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3.5  安全防范</w:t>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序号</w:t>
            </w:r>
            <w:r/>
          </w:p>
        </w:tc>
        <w:tc>
          <w:tcPr>
            <w:tcW w:w="203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服务内容</w:t>
            </w:r>
            <w:r/>
          </w:p>
        </w:tc>
        <w:tc>
          <w:tcPr>
            <w:tcW w:w="584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服务标准</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1</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人员要求</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1、专职保安人员，身体健康，工作认真负责并定期接受培训。</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2、能处理和应对小区公共秩序维护工作，能够熟悉、掌握各类刑事、治安案件和各类灾害事故的应急预案。</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3、上岗时</w:t>
            </w:r>
            <w:r>
              <w:rPr>
                <w:rFonts w:hint="eastAsia" w:ascii="宋体" w:hAnsi="宋体" w:eastAsia="宋体" w:cs="宋体"/>
                <w:color w:val="auto"/>
                <w:szCs w:val="21"/>
                <w:highlight w:val="none"/>
                <w:lang w:eastAsia="zh-CN"/>
              </w:rPr>
              <w:t xml:space="preserve">佩戴统一标志</w:t>
            </w:r>
            <w:r>
              <w:rPr>
                <w:rFonts w:hint="eastAsia" w:ascii="宋体" w:hAnsi="宋体" w:eastAsia="宋体" w:cs="宋体"/>
                <w:color w:val="auto"/>
                <w:szCs w:val="21"/>
                <w:highlight w:val="none"/>
              </w:rPr>
              <w:t xml:space="preserve">，穿戴统一制服，仪容仪表规范整齐。</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4、配备对讲装置。</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auto"/>
                <w:spacing w:val="-1"/>
                <w:szCs w:val="21"/>
                <w:highlight w:val="none"/>
                <w:lang w:eastAsia="en-US"/>
              </w:rPr>
            </w:pPr>
            <w:r>
              <w:rPr>
                <w:rFonts w:hint="eastAsia" w:ascii="微软雅黑" w:hAnsi="微软雅黑" w:eastAsia="微软雅黑" w:cs="微软雅黑"/>
                <w:b w:val="0"/>
                <w:bCs w:val="0"/>
                <w:color w:val="auto"/>
                <w:spacing w:val="-1"/>
                <w:szCs w:val="21"/>
                <w:highlight w:val="none"/>
                <w:lang w:eastAsia="en-US"/>
              </w:rPr>
              <w:t xml:space="preserve">2</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门岗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1、主出入口24 小时值班看守，并有详细交接班记录。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2、对进出小区的车辆进行管理和疏导，保持出入口环境整洁、有序、道路畅通。</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val="en-US" w:eastAsia="zh-CN"/>
              </w:rPr>
              <w:t xml:space="preserve">3</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巡逻岗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1、白天巡逻次数不少于四次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夜间重点部位巡逻二次，并有巡逻记录。</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2、在遇到突发事件时，采取必要措施并及时报告管理处和相关部门。</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4</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技防设施和救助</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（监控岗）</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1、小区主出入口、主干道应具备录像监控。</w:t>
            </w:r>
            <w:r/>
          </w:p>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2、监控中心接到报警信号后，保安人员应立即赶到现场进行处理。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3、小区应有火警、水警、警情应急预案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并在监控中心控制室内悬挂。</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5</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车辆管理</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1、地面、墙面有简易标志。</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Cs w:val="21"/>
                <w:highlight w:val="none"/>
              </w:rPr>
              <w:t xml:space="preserve">2、收费管理的车库内地面、墙面按车辆道路行驶要求设立标志牌，照明、</w:t>
            </w:r>
            <w:r>
              <w:rPr>
                <w:rFonts w:hint="eastAsia" w:ascii="宋体" w:hAnsi="宋体" w:eastAsia="宋体" w:cs="宋体"/>
                <w:color w:val="auto"/>
                <w:szCs w:val="21"/>
                <w:highlight w:val="none"/>
                <w:lang w:eastAsia="zh-CN"/>
              </w:rPr>
              <w:t xml:space="preserve">消防器材</w:t>
            </w:r>
            <w:r>
              <w:rPr>
                <w:rFonts w:hint="eastAsia" w:ascii="宋体" w:hAnsi="宋体" w:eastAsia="宋体" w:cs="宋体"/>
                <w:color w:val="auto"/>
                <w:szCs w:val="21"/>
                <w:highlight w:val="none"/>
              </w:rPr>
              <w:t xml:space="preserve">配置齐全。</w:t>
            </w:r>
            <w:r/>
          </w:p>
        </w:tc>
      </w:tr>
    </w:tbl>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796"/>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1</w:t>
            </w:r>
            <w:r/>
          </w:p>
        </w:tc>
        <w:tc>
          <w:tcPr>
            <w:tcW w:w="2552" w:type="dxa"/>
            <w:vAlign w:val="top"/>
            <w:textDirection w:val="lrTb"/>
            <w:noWrap w:val="false"/>
          </w:tcPr>
          <w:p>
            <w:pPr>
              <w:pStyle w:val="793"/>
              <w:jc w:val="center"/>
              <w:rPr>
                <w:color w:val="auto"/>
                <w:highlight w:val="none"/>
              </w:rPr>
            </w:pPr>
            <w:r>
              <w:rPr>
                <w:color w:val="auto"/>
                <w:spacing w:val="-2"/>
                <w:highlight w:val="none"/>
              </w:rPr>
              <w:t xml:space="preserve">基本服务</w:t>
            </w:r>
            <w:r/>
          </w:p>
        </w:tc>
        <w:tc>
          <w:tcPr>
            <w:tcW w:w="3848" w:type="dxa"/>
            <w:vAlign w:val="top"/>
            <w:textDirection w:val="lrTb"/>
            <w:noWrap w:val="false"/>
          </w:tcPr>
          <w:p>
            <w:pPr>
              <w:pStyle w:val="793"/>
              <w:rPr>
                <w:rFonts w:hint="eastAsia" w:ascii="Calibri" w:hAnsi="Calibri" w:eastAsia="宋体" w:cs="Calibri"/>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2</w:t>
            </w:r>
            <w:r/>
          </w:p>
        </w:tc>
        <w:tc>
          <w:tcPr>
            <w:tcW w:w="2552" w:type="dxa"/>
            <w:vAlign w:val="top"/>
            <w:textDirection w:val="lrTb"/>
            <w:noWrap w:val="false"/>
          </w:tcPr>
          <w:p>
            <w:pPr>
              <w:pStyle w:val="793"/>
              <w:jc w:val="center"/>
              <w:rPr>
                <w:color w:val="auto"/>
                <w:highlight w:val="none"/>
              </w:rPr>
            </w:pPr>
            <w:r>
              <w:rPr>
                <w:color w:val="auto"/>
                <w:spacing w:val="-1"/>
                <w:highlight w:val="none"/>
              </w:rPr>
              <w:t xml:space="preserve">房屋维修服务</w:t>
            </w:r>
            <w:r/>
          </w:p>
        </w:tc>
        <w:tc>
          <w:tcPr>
            <w:tcW w:w="3848"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3</w:t>
            </w:r>
            <w:r/>
          </w:p>
        </w:tc>
        <w:tc>
          <w:tcPr>
            <w:tcW w:w="2552" w:type="dxa"/>
            <w:vAlign w:val="top"/>
            <w:textDirection w:val="lrTb"/>
            <w:noWrap w:val="false"/>
          </w:tcPr>
          <w:p>
            <w:pPr>
              <w:pStyle w:val="793"/>
              <w:jc w:val="center"/>
              <w:rPr>
                <w:color w:val="auto"/>
                <w:highlight w:val="none"/>
                <w:lang w:eastAsia="zh-CN"/>
              </w:rPr>
            </w:pPr>
            <w:r>
              <w:rPr>
                <w:color w:val="auto"/>
                <w:spacing w:val="-2"/>
                <w:highlight w:val="none"/>
                <w:lang w:eastAsia="zh-CN"/>
              </w:rPr>
              <w:t xml:space="preserve">公用设施设备维护服务</w:t>
            </w:r>
            <w:r/>
          </w:p>
        </w:tc>
        <w:tc>
          <w:tcPr>
            <w:tcW w:w="3848"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4</w:t>
            </w:r>
            <w:r/>
          </w:p>
        </w:tc>
        <w:tc>
          <w:tcPr>
            <w:tcW w:w="2552" w:type="dxa"/>
            <w:vAlign w:val="top"/>
            <w:textDirection w:val="lrTb"/>
            <w:noWrap w:val="false"/>
          </w:tcPr>
          <w:p>
            <w:pPr>
              <w:pStyle w:val="793"/>
              <w:jc w:val="center"/>
              <w:rPr>
                <w:color w:val="auto"/>
                <w:highlight w:val="none"/>
              </w:rPr>
            </w:pPr>
            <w:r>
              <w:rPr>
                <w:color w:val="auto"/>
                <w:spacing w:val="-2"/>
                <w:highlight w:val="none"/>
              </w:rPr>
              <w:t xml:space="preserve">保洁服务</w:t>
            </w:r>
            <w:r/>
          </w:p>
        </w:tc>
        <w:tc>
          <w:tcPr>
            <w:tcW w:w="3848"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5</w:t>
            </w:r>
            <w:r/>
          </w:p>
        </w:tc>
        <w:tc>
          <w:tcPr>
            <w:tcW w:w="2552" w:type="dxa"/>
            <w:vAlign w:val="top"/>
            <w:textDirection w:val="lrTb"/>
            <w:noWrap w:val="false"/>
          </w:tcPr>
          <w:p>
            <w:pPr>
              <w:pStyle w:val="793"/>
              <w:jc w:val="center"/>
              <w:rPr>
                <w:color w:val="auto"/>
                <w:highlight w:val="none"/>
              </w:rPr>
            </w:pPr>
            <w:r>
              <w:rPr>
                <w:color w:val="auto"/>
                <w:spacing w:val="-2"/>
                <w:highlight w:val="none"/>
              </w:rPr>
              <w:t xml:space="preserve">绿化服务</w:t>
            </w:r>
            <w:r/>
          </w:p>
        </w:tc>
        <w:tc>
          <w:tcPr>
            <w:tcW w:w="3848"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6</w:t>
            </w:r>
            <w:r/>
          </w:p>
        </w:tc>
        <w:tc>
          <w:tcPr>
            <w:tcW w:w="2552" w:type="dxa"/>
            <w:vAlign w:val="top"/>
            <w:textDirection w:val="lrTb"/>
            <w:noWrap w:val="false"/>
          </w:tcPr>
          <w:p>
            <w:pPr>
              <w:pStyle w:val="793"/>
              <w:jc w:val="center"/>
              <w:rPr>
                <w:color w:val="auto"/>
                <w:highlight w:val="none"/>
              </w:rPr>
            </w:pPr>
            <w:r>
              <w:rPr>
                <w:color w:val="auto"/>
                <w:spacing w:val="-2"/>
                <w:highlight w:val="none"/>
              </w:rPr>
              <w:t xml:space="preserve">保安服务</w:t>
            </w:r>
            <w:r/>
          </w:p>
        </w:tc>
        <w:tc>
          <w:tcPr>
            <w:tcW w:w="3848" w:type="dxa"/>
            <w:vAlign w:val="top"/>
            <w:textDirection w:val="lrTb"/>
            <w:noWrap w:val="false"/>
          </w:tcPr>
          <w:p>
            <w:pPr>
              <w:pStyle w:val="793"/>
              <w:rPr>
                <w:color w:val="auto"/>
                <w:highlight w:val="none"/>
              </w:rPr>
            </w:pPr>
            <w:r>
              <w:rPr>
                <w:rFonts w:hint="eastAsia"/>
                <w:color w:val="auto"/>
                <w:spacing w:val="-3"/>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3"/>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3"/>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7</w:t>
            </w:r>
            <w:r/>
          </w:p>
        </w:tc>
        <w:tc>
          <w:tcPr>
            <w:tcW w:w="2552" w:type="dxa"/>
            <w:vAlign w:val="top"/>
            <w:textDirection w:val="lrTb"/>
            <w:noWrap w:val="false"/>
          </w:tcPr>
          <w:p>
            <w:pPr>
              <w:pStyle w:val="793"/>
              <w:jc w:val="center"/>
              <w:rPr>
                <w:color w:val="auto"/>
                <w:highlight w:val="none"/>
              </w:rPr>
            </w:pPr>
            <w:r>
              <w:rPr>
                <w:color w:val="auto"/>
                <w:spacing w:val="-1"/>
                <w:highlight w:val="none"/>
              </w:rPr>
              <w:t xml:space="preserve">会议服务</w:t>
            </w:r>
            <w:r/>
          </w:p>
        </w:tc>
        <w:tc>
          <w:tcPr>
            <w:tcW w:w="3848"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c>
          <w:tcPr>
            <w:tcW w:w="992" w:type="dxa"/>
            <w:vAlign w:val="top"/>
            <w:textDirection w:val="lrTb"/>
            <w:noWrap w:val="false"/>
          </w:tcPr>
          <w:p>
            <w:pPr>
              <w:pStyle w:val="793"/>
              <w:rPr>
                <w:rFonts w:ascii="Calibri" w:hAnsi="Calibri" w:eastAsia="Calibri" w:cs="Calibri"/>
                <w:color w:val="auto"/>
                <w:szCs w:val="21"/>
                <w:highlight w:val="none"/>
                <w:lang w:eastAsia="en-US"/>
              </w:rPr>
            </w:pPr>
            <w:r>
              <w:rPr>
                <w:rFonts w:hint="eastAsia"/>
                <w:color w:val="auto"/>
                <w:spacing w:val="-2"/>
                <w:highlight w:val="none"/>
                <w:lang w:val="en-US" w:eastAsia="zh-CN"/>
              </w:rPr>
              <w:t xml:space="preserve">/</w:t>
            </w:r>
            <w:r/>
          </w:p>
        </w:tc>
        <w:tc>
          <w:tcPr>
            <w:tcW w:w="993" w:type="dxa"/>
            <w:vAlign w:val="top"/>
            <w:textDirection w:val="lrTb"/>
            <w:noWrap w:val="false"/>
          </w:tcPr>
          <w:p>
            <w:pPr>
              <w:pStyle w:val="793"/>
              <w:rPr>
                <w:color w:val="auto"/>
                <w:highlight w:val="none"/>
              </w:rPr>
            </w:pPr>
            <w:r>
              <w:rPr>
                <w:rFonts w:hint="eastAsia"/>
                <w:color w:val="auto"/>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3"/>
              <w:jc w:val="center"/>
              <w:rPr>
                <w:rFonts w:hint="eastAsia" w:eastAsia="宋体"/>
                <w:color w:val="auto"/>
                <w:spacing w:val="-1"/>
                <w:highlight w:val="none"/>
                <w:lang w:eastAsia="zh-CN"/>
              </w:rPr>
            </w:pPr>
            <w:r>
              <w:rPr>
                <w:rFonts w:hint="eastAsia" w:eastAsia="宋体"/>
                <w:color w:val="auto"/>
                <w:spacing w:val="-1"/>
                <w:highlight w:val="none"/>
                <w:lang w:eastAsia="zh-CN"/>
              </w:rPr>
              <w:t xml:space="preserve">……</w:t>
            </w:r>
            <w:r/>
          </w:p>
        </w:tc>
        <w:tc>
          <w:tcPr>
            <w:tcW w:w="3848" w:type="dxa"/>
            <w:vAlign w:val="top"/>
            <w:textDirection w:val="lrTb"/>
            <w:noWrap w:val="false"/>
          </w:tcPr>
          <w:p>
            <w:pPr>
              <w:pStyle w:val="793"/>
              <w:rPr>
                <w:rFonts w:hint="eastAsia" w:eastAsia="宋体"/>
                <w:color w:val="auto"/>
                <w:spacing w:val="-2"/>
                <w:highlight w:val="none"/>
                <w:lang w:eastAsia="zh-CN"/>
              </w:rPr>
            </w:pPr>
            <w:r>
              <w:rPr>
                <w:rFonts w:hint="eastAsia" w:eastAsia="宋体"/>
                <w:color w:val="auto"/>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3"/>
              <w:jc w:val="center"/>
              <w:rPr>
                <w:color w:val="auto"/>
                <w:highlight w:val="none"/>
              </w:rPr>
            </w:pPr>
            <w:r>
              <w:rPr>
                <w:color w:val="auto"/>
                <w:highlight w:val="none"/>
              </w:rPr>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3"/>
              <w:jc w:val="center"/>
              <w:rPr>
                <w:rFonts w:hint="eastAsia" w:eastAsia="宋体"/>
                <w:color w:val="auto"/>
                <w:spacing w:val="-1"/>
                <w:highlight w:val="none"/>
                <w:lang w:eastAsia="zh-CN"/>
              </w:rPr>
            </w:pPr>
            <w:r>
              <w:rPr>
                <w:rFonts w:hint="eastAsia" w:eastAsia="宋体"/>
                <w:color w:val="auto"/>
                <w:spacing w:val="-1"/>
                <w:highlight w:val="none"/>
                <w:lang w:eastAsia="zh-CN"/>
              </w:rPr>
            </w:r>
            <w:r/>
          </w:p>
        </w:tc>
        <w:tc>
          <w:tcPr>
            <w:tcW w:w="3848" w:type="dxa"/>
            <w:vAlign w:val="top"/>
            <w:textDirection w:val="lrTb"/>
            <w:noWrap w:val="false"/>
          </w:tcPr>
          <w:p>
            <w:pPr>
              <w:pStyle w:val="793"/>
              <w:rPr>
                <w:rFonts w:hint="eastAsia" w:eastAsia="宋体"/>
                <w:color w:val="auto"/>
                <w:spacing w:val="-2"/>
                <w:highlight w:val="none"/>
                <w:lang w:eastAsia="zh-CN"/>
              </w:rPr>
            </w:pPr>
            <w:r>
              <w:rPr>
                <w:rFonts w:hint="eastAsia" w:eastAsia="宋体"/>
                <w:color w:val="auto"/>
                <w:spacing w:val="-2"/>
                <w:highlight w:val="none"/>
                <w:lang w:eastAsia="zh-CN"/>
              </w:rPr>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3"/>
              <w:jc w:val="center"/>
              <w:rPr>
                <w:color w:val="auto"/>
                <w:highlight w:val="none"/>
              </w:rPr>
            </w:pPr>
            <w:r>
              <w:rPr>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numPr>
          <w:ilvl w:val="0"/>
          <w:numId w:val="7"/>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numPr>
          <w:ilvl w:val="0"/>
          <w:numId w:val="0"/>
        </w:numPr>
        <w:ind w:firstLine="480"/>
        <w:spacing w:line="360" w:lineRule="auto"/>
        <w:rPr>
          <w:rFonts w:hint="eastAsia" w:ascii="宋体" w:hAnsi="宋体" w:eastAsia="宋体"/>
          <w:color w:val="ff0000"/>
          <w:sz w:val="24"/>
          <w:szCs w:val="24"/>
          <w:highlight w:val="none"/>
          <w:lang w:val="en-US" w:eastAsia="zh-CN"/>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人员配置总数不少于</w:t>
      </w:r>
      <w:r>
        <w:rPr>
          <w:rFonts w:hint="eastAsia" w:ascii="宋体" w:hAnsi="宋体"/>
          <w:color w:val="auto"/>
          <w:sz w:val="24"/>
          <w:szCs w:val="24"/>
          <w:highlight w:val="none"/>
          <w:lang w:val="en-US" w:eastAsia="zh-CN"/>
        </w:rPr>
        <w:t xml:space="preserve">35</w:t>
      </w:r>
      <w:r>
        <w:rPr>
          <w:rFonts w:hint="eastAsia" w:ascii="宋体" w:hAnsi="宋体" w:eastAsia="宋体"/>
          <w:color w:val="auto"/>
          <w:sz w:val="24"/>
          <w:szCs w:val="24"/>
          <w:highlight w:val="none"/>
        </w:rPr>
        <w:t xml:space="preserve">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本项目允许配置按国家规定可不缴纳社保的人员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该类人员最高不超过项目总配置人数的</w:t>
      </w:r>
      <w:r>
        <w:rPr>
          <w:rFonts w:hint="eastAsia" w:ascii="宋体" w:hAnsi="宋体"/>
          <w:color w:val="auto"/>
          <w:sz w:val="24"/>
          <w:szCs w:val="24"/>
          <w:highlight w:val="none"/>
          <w:u w:val="single"/>
          <w:lang w:val="en-US" w:eastAsia="zh-CN"/>
        </w:rPr>
        <w:t xml:space="preserve">30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none"/>
          <w:lang w:val="en-US" w:eastAsia="zh-CN"/>
        </w:rPr>
        <w:t xml:space="preserve">。</w:t>
      </w:r>
      <w:r>
        <w:rPr>
          <w:rFonts w:hint="eastAsia" w:ascii="宋体" w:hAnsi="宋体" w:eastAsia="宋体"/>
          <w:b/>
          <w:bCs/>
          <w:color w:val="ff0000"/>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796"/>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jc w:val="center"/>
          <w:trHeight w:val="889"/>
        </w:trPr>
        <w:tc>
          <w:tcPr>
            <w:tcW w:w="870"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类别</w:t>
            </w:r>
            <w:r/>
          </w:p>
        </w:tc>
        <w:tc>
          <w:tcPr>
            <w:tcW w:w="975"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岗位</w:t>
            </w:r>
            <w:r/>
          </w:p>
        </w:tc>
        <w:tc>
          <w:tcPr>
            <w:tcW w:w="780"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zCs w:val="21"/>
                <w:highlight w:val="none"/>
                <w:lang w:eastAsia="zh-CN"/>
              </w:rPr>
              <w:t xml:space="preserve">人数</w:t>
            </w:r>
            <w:r/>
          </w:p>
        </w:tc>
        <w:tc>
          <w:tcPr>
            <w:tcW w:w="6809" w:type="dxa"/>
            <w:vAlign w:val="center"/>
            <w:textDirection w:val="lrTb"/>
            <w:noWrap w:val="false"/>
          </w:tcPr>
          <w:p>
            <w:pPr>
              <w:jc w:val="center"/>
              <w:rPr>
                <w:rFonts w:ascii="微软雅黑" w:hAnsi="微软雅黑" w:eastAsia="微软雅黑" w:cs="微软雅黑"/>
                <w:color w:val="auto"/>
                <w:szCs w:val="21"/>
                <w:highlight w:val="none"/>
                <w:lang w:eastAsia="en-US"/>
              </w:rPr>
            </w:pPr>
            <w:r>
              <w:rPr>
                <w:rFonts w:hint="eastAsia" w:ascii="宋体" w:hAnsi="宋体" w:cs="微软雅黑"/>
                <w:b/>
                <w:bCs/>
                <w:color w:val="auto"/>
                <w:spacing w:val="-1"/>
                <w:szCs w:val="21"/>
                <w:highlight w:val="none"/>
                <w:lang w:eastAsia="zh-CN"/>
              </w:rPr>
              <w:t xml:space="preserve">备注</w:t>
            </w:r>
            <w:r/>
          </w:p>
        </w:tc>
      </w:tr>
      <w:tr>
        <w:trPr>
          <w:jc w:val="center"/>
          <w:trHeight w:val="90"/>
        </w:trPr>
        <w:tc>
          <w:tcPr>
            <w:tcW w:w="870" w:type="dxa"/>
            <w:vAlign w:val="center"/>
            <w:vMerge w:val="restart"/>
            <w:textDirection w:val="lrTb"/>
            <w:noWrap w:val="false"/>
          </w:tcPr>
          <w:p>
            <w:pPr>
              <w:pStyle w:val="793"/>
              <w:jc w:val="center"/>
              <w:rPr>
                <w:b/>
                <w:bCs/>
                <w:color w:val="auto"/>
                <w:highlight w:val="none"/>
              </w:rPr>
            </w:pPr>
            <w:r>
              <w:rPr>
                <w:b/>
                <w:bCs/>
                <w:color w:val="auto"/>
                <w:highlight w:val="none"/>
              </w:rPr>
              <w:t xml:space="preserve">管理</w:t>
            </w:r>
            <w:r/>
          </w:p>
        </w:tc>
        <w:tc>
          <w:tcPr>
            <w:tcW w:w="975" w:type="dxa"/>
            <w:vAlign w:val="center"/>
            <w:textDirection w:val="lrTb"/>
            <w:noWrap w:val="false"/>
          </w:tcPr>
          <w:p>
            <w:pPr>
              <w:pStyle w:val="793"/>
              <w:jc w:val="center"/>
              <w:rPr>
                <w:rFonts w:ascii="Calibri" w:hAnsi="Calibri" w:eastAsia="Calibri" w:cs="Calibri"/>
                <w:b/>
                <w:bCs/>
                <w:color w:val="auto"/>
                <w:highlight w:val="none"/>
              </w:rPr>
            </w:pPr>
            <w:r>
              <w:rPr>
                <w:rFonts w:hint="eastAsia" w:ascii="Calibri" w:hAnsi="Calibri" w:eastAsia="Calibri" w:cs="Calibri"/>
                <w:b/>
                <w:bCs/>
                <w:color w:val="auto"/>
                <w:highlight w:val="none"/>
              </w:rPr>
              <w:t xml:space="preserve">物业经理</w:t>
            </w:r>
            <w:r/>
          </w:p>
        </w:tc>
        <w:tc>
          <w:tcPr>
            <w:tcW w:w="780" w:type="dxa"/>
            <w:vAlign w:val="center"/>
            <w:textDirection w:val="lrTb"/>
            <w:noWrap w:val="false"/>
          </w:tcPr>
          <w:p>
            <w:pPr>
              <w:jc w:val="center"/>
              <w:rPr>
                <w:rFonts w:ascii="Calibri" w:hAnsi="Calibri" w:cs="Calibri"/>
                <w:b/>
                <w:bCs/>
                <w:color w:val="auto"/>
                <w:szCs w:val="21"/>
                <w:highlight w:val="none"/>
                <w:lang w:eastAsia="zh-CN"/>
              </w:rPr>
            </w:pPr>
            <w:r>
              <w:rPr>
                <w:rFonts w:hint="eastAsia" w:ascii="Calibri" w:hAnsi="Calibri" w:cs="Calibri"/>
                <w:b/>
                <w:bCs/>
                <w:color w:val="auto"/>
                <w:szCs w:val="21"/>
                <w:highlight w:val="none"/>
                <w:lang w:eastAsia="zh-CN"/>
              </w:rPr>
              <w:t xml:space="preserve">1</w:t>
            </w:r>
            <w:r/>
          </w:p>
        </w:tc>
        <w:tc>
          <w:tcPr>
            <w:tcW w:w="6809" w:type="dxa"/>
            <w:vAlign w:val="center"/>
            <w:textDirection w:val="lrTb"/>
            <w:noWrap w:val="false"/>
          </w:tcPr>
          <w:p>
            <w:pPr>
              <w:pStyle w:val="793"/>
              <w:jc w:val="both"/>
              <w:rPr>
                <w:rFonts w:hint="eastAsia"/>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w:t>
            </w:r>
            <w:r>
              <w:rPr>
                <w:rFonts w:hint="eastAsia"/>
                <w:b/>
                <w:bCs/>
                <w:color w:val="auto"/>
                <w:highlight w:val="none"/>
                <w:lang w:eastAsia="zh-CN"/>
              </w:rPr>
              <w:t xml:space="preserve">-</w:t>
            </w:r>
            <w:r>
              <w:rPr>
                <w:rFonts w:hint="eastAsia"/>
                <w:b/>
                <w:bCs/>
                <w:color w:val="auto"/>
                <w:highlight w:val="none"/>
                <w:lang w:val="en-US" w:eastAsia="zh-CN"/>
              </w:rPr>
              <w:t xml:space="preserve">55</w:t>
            </w:r>
            <w:r>
              <w:rPr>
                <w:rFonts w:hint="eastAsia"/>
                <w:b/>
                <w:bCs/>
                <w:color w:val="auto"/>
                <w:highlight w:val="none"/>
                <w:lang w:eastAsia="zh-CN"/>
              </w:rPr>
              <w:t xml:space="preserve">周岁</w:t>
            </w:r>
            <w:r>
              <w:rPr>
                <w:rFonts w:hint="eastAsia"/>
                <w:color w:val="auto"/>
                <w:highlight w:val="none"/>
                <w:lang w:eastAsia="zh-CN"/>
              </w:rPr>
              <w:t xml:space="preserve">。本项目的物业负责人不能任意更换，如确需更换，应取得甲方书面认可，并且更换的新的物业经理的要求不低于原负责人。</w:t>
            </w:r>
            <w:r/>
          </w:p>
          <w:p>
            <w:pPr>
              <w:pStyle w:val="793"/>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）主持物业管理人员的招聘、面试工作，具备相当的组织管理能力；</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）领导项目物业管理团队做好物业竣工前施工现场及租售处的物业管理，能够为物业管理人员提供日常培训；</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）定期与委托方代表展开前期物业工作会议；主持制订、完善物业管理规章制度及流程；</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）协助选择合适的物业保险及其他需要外包的物业管理服务供应商；协助物业管理费标准的确定；</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）主持做好物业单元验收、交接工作及主持做好单元交付使用工作；</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）领导项目物业管理团队做好物业的二次装修、保安、清洁、工程设施维护保养等日常管理服务；</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）定期主持业主对物业服务之满意度调查，并能够根据反馈，在提供给业主的服务项目及质量上，不断提高；</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lang w:eastAsia="zh-CN"/>
              </w:rPr>
              <w:t xml:space="preserve">）具备良好的沟通协调能力，能够与委托方、业主保持良好的关系；</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9</w:t>
            </w:r>
            <w:r>
              <w:rPr>
                <w:rFonts w:hint="eastAsia"/>
                <w:color w:val="auto"/>
                <w:highlight w:val="none"/>
                <w:lang w:eastAsia="zh-CN"/>
              </w:rPr>
              <w:t xml:space="preserve">）协助统筹物管的人事及财务管理，能够良好执行年度财务预算计划；</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10</w:t>
            </w:r>
            <w:r>
              <w:rPr>
                <w:rFonts w:hint="eastAsia"/>
                <w:color w:val="auto"/>
                <w:highlight w:val="none"/>
                <w:lang w:eastAsia="zh-CN"/>
              </w:rPr>
              <w:t xml:space="preserve">）对外推广物业的优质服务和管理形象；能够不断完善物管制度及管理体系，并对物业管理人员提供定期培训。</w:t>
            </w:r>
            <w:r/>
          </w:p>
          <w:p>
            <w:pPr>
              <w:pStyle w:val="793"/>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）全面参与安置房小区客户服务工作，解决安置房小区企业投诉，协调企业客服工作，成为安置房小区客服工作第一责任人，工作电话为客服第一热线；</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）建立并监督执行适合安置房小区、物业管理、物业使用人的操作流程；</w:t>
            </w:r>
            <w:r/>
          </w:p>
          <w:p>
            <w:pPr>
              <w:pStyle w:val="793"/>
              <w:jc w:val="both"/>
              <w:rPr>
                <w:rFonts w:hint="eastAsia" w:eastAsia="宋体"/>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）每周或每月提出一项安置房小区物业不完善的事项，进行重点解决，需在事项解决前详细列出具体工作计划、方案、措施、完成时间、落实责任人；</w:t>
            </w:r>
            <w:r/>
          </w:p>
        </w:tc>
      </w:tr>
      <w:tr>
        <w:trPr>
          <w:jc w:val="center"/>
          <w:trHeight w:val="888"/>
        </w:trPr>
        <w:tc>
          <w:tcPr>
            <w:tcW w:w="870" w:type="dxa"/>
            <w:vAlign w:val="top"/>
            <w:vMerge w:val="continue"/>
            <w:textDirection w:val="lrTb"/>
            <w:noWrap w:val="false"/>
          </w:tcPr>
          <w:p>
            <w:pPr>
              <w:pStyle w:val="793"/>
              <w:jc w:val="center"/>
              <w:rPr>
                <w:color w:val="auto"/>
                <w:highlight w:val="none"/>
              </w:rPr>
            </w:pPr>
            <w:r>
              <w:rPr>
                <w:color w:val="auto"/>
                <w:highlight w:val="none"/>
              </w:rPr>
            </w:r>
            <w:r/>
          </w:p>
        </w:tc>
        <w:tc>
          <w:tcPr>
            <w:tcW w:w="975" w:type="dxa"/>
            <w:vAlign w:val="center"/>
            <w:textDirection w:val="lrTb"/>
            <w:noWrap w:val="false"/>
          </w:tcPr>
          <w:p>
            <w:pPr>
              <w:pStyle w:val="793"/>
              <w:jc w:val="center"/>
              <w:rPr>
                <w:rFonts w:hint="eastAsia" w:ascii="Calibri" w:hAnsi="Calibri" w:eastAsia="宋体" w:cs="Calibri"/>
                <w:b/>
                <w:bCs/>
                <w:color w:val="auto"/>
                <w:highlight w:val="none"/>
                <w:lang w:val="en-US" w:eastAsia="zh-CN"/>
              </w:rPr>
            </w:pPr>
            <w:r>
              <w:rPr>
                <w:rFonts w:hint="eastAsia" w:ascii="Calibri" w:hAnsi="Calibri" w:cs="Calibri"/>
                <w:b/>
                <w:bCs/>
                <w:color w:val="auto"/>
                <w:highlight w:val="none"/>
                <w:lang w:val="en-US" w:eastAsia="zh-CN"/>
              </w:rPr>
              <w:t xml:space="preserve">副经理</w:t>
            </w:r>
            <w:r/>
          </w:p>
        </w:tc>
        <w:tc>
          <w:tcPr>
            <w:tcW w:w="780" w:type="dxa"/>
            <w:vAlign w:val="center"/>
            <w:textDirection w:val="lrTb"/>
            <w:noWrap w:val="false"/>
          </w:tcPr>
          <w:p>
            <w:pPr>
              <w:jc w:val="center"/>
              <w:rPr>
                <w:rFonts w:hint="default" w:cs="Calibri"/>
                <w:b/>
                <w:bCs/>
                <w:color w:val="auto"/>
                <w:szCs w:val="21"/>
                <w:highlight w:val="none"/>
                <w:lang w:val="en-US" w:eastAsia="zh-CN"/>
              </w:rPr>
            </w:pPr>
            <w:r>
              <w:rPr>
                <w:rFonts w:hint="eastAsia" w:cs="Calibri"/>
                <w:b/>
                <w:bCs/>
                <w:color w:val="auto"/>
                <w:szCs w:val="21"/>
                <w:highlight w:val="none"/>
                <w:lang w:val="en-US" w:eastAsia="zh-CN"/>
              </w:rPr>
              <w:t xml:space="preserve">1</w:t>
            </w:r>
            <w:r/>
          </w:p>
        </w:tc>
        <w:tc>
          <w:tcPr>
            <w:tcW w:w="6809" w:type="dxa"/>
            <w:vAlign w:val="center"/>
            <w:textDirection w:val="lrTb"/>
            <w:noWrap w:val="false"/>
          </w:tcPr>
          <w:p>
            <w:pPr>
              <w:jc w:val="both"/>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1、基本要求：</w:t>
            </w:r>
            <w:r>
              <w:rPr>
                <w:rFonts w:hint="eastAsia" w:ascii="宋体" w:hAnsi="宋体" w:eastAsia="宋体" w:cs="宋体"/>
                <w:b/>
                <w:bCs/>
                <w:color w:val="auto"/>
                <w:sz w:val="21"/>
                <w:szCs w:val="21"/>
                <w:highlight w:val="none"/>
                <w:lang w:val="en-US" w:eastAsia="en-US" w:bidi="ar-SA"/>
              </w:rPr>
              <w:t xml:space="preserve">男女不限</w:t>
            </w:r>
            <w:r>
              <w:rPr>
                <w:rFonts w:hint="eastAsia" w:ascii="宋体" w:hAnsi="宋体" w:eastAsia="宋体" w:cs="宋体"/>
                <w:b/>
                <w:bCs/>
                <w:color w:val="auto"/>
                <w:sz w:val="21"/>
                <w:szCs w:val="21"/>
                <w:highlight w:val="none"/>
                <w:lang w:val="en-US" w:eastAsia="zh-CN" w:bidi="ar-SA"/>
              </w:rPr>
              <w:t xml:space="preserve">，年龄要求25-</w:t>
            </w:r>
            <w:r>
              <w:rPr>
                <w:rFonts w:hint="eastAsia" w:ascii="宋体" w:hAnsi="宋体" w:cs="宋体"/>
                <w:b/>
                <w:bCs/>
                <w:color w:val="auto"/>
                <w:sz w:val="21"/>
                <w:szCs w:val="21"/>
                <w:highlight w:val="none"/>
                <w:lang w:val="en-US" w:eastAsia="zh-CN" w:bidi="ar-SA"/>
              </w:rPr>
              <w:t xml:space="preserve">55</w:t>
            </w:r>
            <w:r>
              <w:rPr>
                <w:rFonts w:hint="eastAsia" w:ascii="宋体" w:hAnsi="宋体" w:eastAsia="宋体" w:cs="宋体"/>
                <w:b/>
                <w:bCs/>
                <w:color w:val="auto"/>
                <w:sz w:val="21"/>
                <w:szCs w:val="21"/>
                <w:highlight w:val="none"/>
                <w:lang w:val="en-US" w:eastAsia="zh-CN" w:bidi="ar-SA"/>
              </w:rPr>
              <w:t xml:space="preserve">周岁</w:t>
            </w:r>
            <w:r/>
          </w:p>
          <w:p>
            <w:pPr>
              <w:pStyle w:val="793"/>
              <w:numPr>
                <w:ilvl w:val="0"/>
                <w:numId w:val="0"/>
              </w:numPr>
              <w:jc w:val="both"/>
              <w:rPr>
                <w:rFonts w:hint="eastAsia"/>
                <w:b w:val="0"/>
                <w:bCs w:val="0"/>
                <w:color w:val="auto"/>
                <w:highlight w:val="none"/>
                <w:lang w:val="en-US" w:eastAsia="zh-CN"/>
              </w:rPr>
            </w:pPr>
            <w:r>
              <w:rPr>
                <w:rFonts w:hint="eastAsia" w:ascii="宋体" w:hAnsi="宋体" w:eastAsia="宋体" w:cs="宋体"/>
                <w:b/>
                <w:bCs/>
                <w:color w:val="auto"/>
                <w:sz w:val="21"/>
                <w:szCs w:val="21"/>
                <w:highlight w:val="none"/>
                <w:lang w:val="en-US" w:eastAsia="zh-CN" w:bidi="ar-SA"/>
              </w:rPr>
              <w:t xml:space="preserve">2、岗位职责与要求：</w:t>
            </w:r>
            <w:r>
              <w:rPr>
                <w:rFonts w:hint="eastAsia" w:ascii="宋体" w:hAnsi="宋体" w:eastAsia="宋体" w:cs="宋体"/>
                <w:b w:val="0"/>
                <w:bCs w:val="0"/>
                <w:color w:val="auto"/>
                <w:sz w:val="21"/>
                <w:szCs w:val="21"/>
                <w:highlight w:val="none"/>
                <w:lang w:val="en-US" w:eastAsia="zh-CN" w:bidi="ar-SA"/>
              </w:rPr>
              <w:t xml:space="preserve">协助项目经理完成相应工作</w:t>
            </w:r>
            <w:r/>
          </w:p>
        </w:tc>
      </w:tr>
      <w:tr>
        <w:trPr>
          <w:jc w:val="center"/>
          <w:trHeight w:val="4393"/>
        </w:trPr>
        <w:tc>
          <w:tcPr>
            <w:tcW w:w="870" w:type="dxa"/>
            <w:vAlign w:val="top"/>
            <w:vMerge w:val="continue"/>
            <w:textDirection w:val="lrTb"/>
            <w:noWrap w:val="false"/>
          </w:tcPr>
          <w:p>
            <w:pPr>
              <w:pStyle w:val="793"/>
              <w:jc w:val="center"/>
              <w:rPr>
                <w:color w:val="auto"/>
                <w:highlight w:val="none"/>
              </w:rPr>
            </w:pPr>
            <w:r>
              <w:rPr>
                <w:color w:val="auto"/>
                <w:highlight w:val="none"/>
              </w:rPr>
            </w:r>
            <w:r/>
          </w:p>
        </w:tc>
        <w:tc>
          <w:tcPr>
            <w:tcW w:w="975" w:type="dxa"/>
            <w:vAlign w:val="center"/>
            <w:textDirection w:val="lrTb"/>
            <w:noWrap w:val="false"/>
          </w:tcPr>
          <w:p>
            <w:pPr>
              <w:pStyle w:val="793"/>
              <w:jc w:val="center"/>
              <w:rPr>
                <w:rFonts w:hint="default" w:ascii="Calibri" w:hAnsi="Calibri" w:cs="Calibri"/>
                <w:b/>
                <w:bCs/>
                <w:color w:val="auto"/>
                <w:highlight w:val="none"/>
                <w:lang w:val="en-US" w:eastAsia="zh-CN"/>
              </w:rPr>
            </w:pPr>
            <w:r>
              <w:rPr>
                <w:rFonts w:hint="eastAsia" w:ascii="Calibri" w:hAnsi="Calibri" w:cs="Calibri"/>
                <w:b/>
                <w:bCs/>
                <w:color w:val="auto"/>
                <w:highlight w:val="none"/>
                <w:lang w:val="en-US" w:eastAsia="zh-CN"/>
              </w:rPr>
              <w:t xml:space="preserve">客服/</w:t>
            </w:r>
            <w:r/>
          </w:p>
          <w:p>
            <w:pPr>
              <w:jc w:val="center"/>
              <w:rPr>
                <w:rFonts w:hint="eastAsia" w:ascii="Calibri" w:hAnsi="Calibri" w:cs="Calibri"/>
                <w:b/>
                <w:bCs/>
                <w:color w:val="auto"/>
                <w:highlight w:val="none"/>
                <w:lang w:val="en-US" w:eastAsia="zh-CN"/>
              </w:rPr>
            </w:pPr>
            <w:r>
              <w:rPr>
                <w:rFonts w:hint="eastAsia" w:ascii="Calibri" w:hAnsi="Calibri" w:cs="Calibri"/>
                <w:b/>
                <w:bCs/>
                <w:color w:val="auto"/>
                <w:highlight w:val="none"/>
                <w:lang w:val="en-US" w:eastAsia="zh-CN"/>
              </w:rPr>
              <w:t xml:space="preserve">管家</w:t>
            </w:r>
            <w:r/>
          </w:p>
        </w:tc>
        <w:tc>
          <w:tcPr>
            <w:tcW w:w="780" w:type="dxa"/>
            <w:vAlign w:val="center"/>
            <w:textDirection w:val="lrTb"/>
            <w:noWrap w:val="false"/>
          </w:tcPr>
          <w:p>
            <w:pPr>
              <w:jc w:val="center"/>
              <w:rPr>
                <w:rFonts w:hint="default" w:cs="Calibri"/>
                <w:b/>
                <w:bCs/>
                <w:color w:val="auto"/>
                <w:highlight w:val="none"/>
                <w:lang w:val="en-US" w:eastAsia="zh-CN"/>
              </w:rPr>
            </w:pPr>
            <w:r>
              <w:rPr>
                <w:rFonts w:hint="eastAsia" w:cs="Calibri"/>
                <w:b/>
                <w:bCs/>
                <w:color w:val="auto"/>
                <w:highlight w:val="none"/>
                <w:lang w:val="en-US" w:eastAsia="zh-CN"/>
              </w:rPr>
              <w:t xml:space="preserve">1</w:t>
            </w:r>
            <w:r/>
          </w:p>
        </w:tc>
        <w:tc>
          <w:tcPr>
            <w:tcW w:w="6809" w:type="dxa"/>
            <w:vAlign w:val="center"/>
            <w:textDirection w:val="lrTb"/>
            <w:noWrap w:val="false"/>
          </w:tcPr>
          <w:p>
            <w:pPr>
              <w:pStyle w:val="793"/>
              <w:jc w:val="both"/>
              <w:rPr>
                <w:rFonts w:hint="eastAsia"/>
                <w:b/>
                <w:bCs/>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w:t>
            </w:r>
            <w:r>
              <w:rPr>
                <w:rFonts w:hint="eastAsia" w:ascii="宋体" w:hAnsi="宋体" w:eastAsia="宋体" w:cs="宋体"/>
                <w:b/>
                <w:bCs/>
                <w:color w:val="auto"/>
                <w:sz w:val="21"/>
                <w:szCs w:val="21"/>
                <w:highlight w:val="none"/>
                <w:lang w:val="en-US" w:eastAsia="zh-CN" w:bidi="ar-SA"/>
              </w:rPr>
              <w:t xml:space="preserve">25-</w:t>
            </w:r>
            <w:r>
              <w:rPr>
                <w:rFonts w:hint="eastAsia" w:ascii="宋体" w:hAnsi="宋体" w:cs="宋体"/>
                <w:b/>
                <w:bCs/>
                <w:color w:val="auto"/>
                <w:sz w:val="21"/>
                <w:szCs w:val="21"/>
                <w:highlight w:val="none"/>
                <w:lang w:val="en-US" w:eastAsia="zh-CN" w:bidi="ar-SA"/>
              </w:rPr>
              <w:t xml:space="preserve">55</w:t>
            </w:r>
            <w:r>
              <w:rPr>
                <w:rFonts w:hint="eastAsia"/>
                <w:b/>
                <w:bCs/>
                <w:color w:val="auto"/>
                <w:highlight w:val="none"/>
                <w:lang w:eastAsia="zh-CN"/>
              </w:rPr>
              <w:t xml:space="preserve">周岁</w:t>
            </w:r>
            <w:r/>
          </w:p>
          <w:p>
            <w:pPr>
              <w:pStyle w:val="793"/>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（1）熟悉物业公司各项管理制度、收费标准及其他部门的工作职能，工作范围。</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（2）熟悉小区环境及各种配套设施的公共设施的位置，各楼宇的外观结构、单元户数、入住率等楼宇的综合情况。</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3）与住户保持良好的关系，定期开展回访工作，向住户解释说明物业公司的有关管理工作细则、管理公约、住户手册等，能灵活正确运用国家有关的法律法规和公司的有关规定，巧妙地处理好每件事情维护公司的利益和声誉。</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（4）全面负责收楼及收楼后的遗留工程以及日常维护保养工程的跟进完成，受理业主在保修期内的房屋维保修事项，及时联系相关主管部门处理。</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（5）受理前台传达的工作信息，接受住户提出的投诉或服务要求及时到现场实地了解，经有效分析后转交相关主管部门跟进处理。</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（6）起草对住户发出的温馨提示、通知、通告等文件，督促各部门通告按序张告及归档，包括文本格式、定期拆撕等，</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（7）全面负责各区车位管理工作。更新各区车位表及变更资料催缴车位费。现场了解各区车位租赁情况，跟踪喷牌、擦牌等工作情况，处理有关漏费、欠费逃费等问题。</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（8）负责协助保安部、工程部处理突发事件，并及时上报上级领导。</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（9）协助组织、开展社区文化活动和宣传工作</w:t>
            </w:r>
            <w:r/>
          </w:p>
          <w:p>
            <w:pPr>
              <w:pStyle w:val="793"/>
              <w:jc w:val="both"/>
              <w:rPr>
                <w:color w:val="auto"/>
                <w:highlight w:val="none"/>
                <w:lang w:val="en-US"/>
              </w:rPr>
            </w:pPr>
            <w:r>
              <w:rPr>
                <w:rFonts w:hint="eastAsia"/>
                <w:b w:val="0"/>
                <w:bCs w:val="0"/>
                <w:color w:val="auto"/>
                <w:highlight w:val="none"/>
                <w:lang w:val="en-US" w:eastAsia="zh-CN"/>
              </w:rPr>
              <w:t xml:space="preserve">（10）执行上级所指派的其他工作。</w:t>
            </w:r>
            <w:r/>
          </w:p>
        </w:tc>
      </w:tr>
      <w:tr>
        <w:trPr>
          <w:jc w:val="center"/>
          <w:trHeight w:val="3133"/>
        </w:trPr>
        <w:tc>
          <w:tcPr>
            <w:tcW w:w="870" w:type="dxa"/>
            <w:vAlign w:val="center"/>
            <w:vMerge w:val="restart"/>
            <w:textDirection w:val="lrTb"/>
            <w:noWrap w:val="false"/>
          </w:tcPr>
          <w:p>
            <w:pPr>
              <w:pStyle w:val="793"/>
              <w:jc w:val="center"/>
              <w:rPr>
                <w:rFonts w:eastAsia="宋体"/>
                <w:b/>
                <w:bCs/>
                <w:color w:val="auto"/>
                <w:highlight w:val="none"/>
                <w:lang w:val="en-US" w:eastAsia="zh-CN"/>
              </w:rPr>
            </w:pPr>
            <w:r>
              <w:rPr>
                <w:rFonts w:hint="eastAsia"/>
                <w:b/>
                <w:bCs/>
                <w:color w:val="auto"/>
                <w:highlight w:val="none"/>
                <w:lang w:val="en-US" w:eastAsia="zh-CN"/>
              </w:rPr>
              <w:t xml:space="preserve">秩序维护</w:t>
            </w:r>
            <w:r/>
          </w:p>
        </w:tc>
        <w:tc>
          <w:tcPr>
            <w:tcW w:w="975" w:type="dxa"/>
            <w:vAlign w:val="center"/>
            <w:textDirection w:val="lrTb"/>
            <w:noWrap w:val="false"/>
          </w:tcPr>
          <w:p>
            <w:pPr>
              <w:pStyle w:val="793"/>
              <w:jc w:val="center"/>
              <w:rPr>
                <w:rFonts w:eastAsia="宋体"/>
                <w:b/>
                <w:bCs/>
                <w:color w:val="auto"/>
                <w:highlight w:val="none"/>
                <w:lang w:val="en-US" w:eastAsia="zh-CN"/>
              </w:rPr>
            </w:pPr>
            <w:r>
              <w:rPr>
                <w:rFonts w:hint="eastAsia"/>
                <w:b/>
                <w:bCs/>
                <w:color w:val="auto"/>
                <w:highlight w:val="none"/>
                <w:lang w:val="en-US" w:eastAsia="zh-CN"/>
              </w:rPr>
              <w:t xml:space="preserve">保安队长</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eastAsia="宋体" w:cs="Calibri"/>
                <w:b/>
                <w:bCs/>
                <w:color w:val="auto"/>
                <w:szCs w:val="21"/>
                <w:highlight w:val="none"/>
                <w:lang w:val="en-US" w:eastAsia="zh-CN"/>
              </w:rPr>
              <w:t xml:space="preserve">1</w:t>
            </w:r>
            <w:r/>
          </w:p>
        </w:tc>
        <w:tc>
          <w:tcPr>
            <w:tcW w:w="6809" w:type="dxa"/>
            <w:vAlign w:val="center"/>
            <w:vMerge w:val="restart"/>
            <w:textDirection w:val="lrTb"/>
            <w:noWrap w:val="false"/>
          </w:tcPr>
          <w:p>
            <w:pPr>
              <w:pStyle w:val="793"/>
              <w:jc w:val="both"/>
              <w:rPr>
                <w:rFonts w:hint="eastAsia"/>
                <w:b/>
                <w:bCs/>
                <w:color w:val="auto"/>
                <w:highlight w:val="none"/>
                <w:lang w:val="en-US" w:eastAsia="zh-CN"/>
              </w:rPr>
            </w:pPr>
            <w:r>
              <w:rPr>
                <w:rFonts w:hint="eastAsia"/>
                <w:b/>
                <w:bCs/>
                <w:color w:val="auto"/>
                <w:highlight w:val="none"/>
                <w:lang w:val="en-US" w:eastAsia="zh-CN"/>
              </w:rPr>
              <w:t xml:space="preserve">1、基本要求：</w:t>
            </w:r>
            <w:r/>
          </w:p>
          <w:p>
            <w:pPr>
              <w:pStyle w:val="793"/>
              <w:jc w:val="both"/>
              <w:rPr>
                <w:rFonts w:hint="eastAsia"/>
                <w:b/>
                <w:bCs/>
                <w:color w:val="auto"/>
                <w:highlight w:val="none"/>
                <w:lang w:val="en-US" w:eastAsia="zh-CN"/>
              </w:rPr>
            </w:pPr>
            <w:r>
              <w:rPr>
                <w:rFonts w:hint="eastAsia"/>
                <w:b/>
                <w:bCs/>
                <w:color w:val="auto"/>
                <w:highlight w:val="none"/>
                <w:lang w:val="en-US" w:eastAsia="zh-CN"/>
              </w:rPr>
              <w:t xml:space="preserve">保安队长、秩序维护人员：</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男性年龄要求25-65</w:t>
            </w:r>
            <w:r>
              <w:rPr>
                <w:rFonts w:hint="eastAsia"/>
                <w:b/>
                <w:bCs/>
                <w:color w:val="auto"/>
                <w:highlight w:val="none"/>
                <w:lang w:eastAsia="zh-CN"/>
              </w:rPr>
              <w:t xml:space="preserve">周岁</w:t>
            </w:r>
            <w:r>
              <w:rPr>
                <w:rFonts w:hint="eastAsia"/>
                <w:b/>
                <w:bCs/>
                <w:color w:val="auto"/>
                <w:highlight w:val="none"/>
                <w:lang w:val="en-US" w:eastAsia="zh-CN"/>
              </w:rPr>
              <w:t xml:space="preserve">，女性年龄要求25-60</w:t>
            </w:r>
            <w:r>
              <w:rPr>
                <w:rFonts w:hint="eastAsia"/>
                <w:b/>
                <w:bCs/>
                <w:color w:val="auto"/>
                <w:highlight w:val="none"/>
                <w:lang w:eastAsia="zh-CN"/>
              </w:rPr>
              <w:t xml:space="preserve">周岁；</w:t>
            </w:r>
            <w:r/>
          </w:p>
          <w:p>
            <w:pPr>
              <w:pStyle w:val="793"/>
              <w:jc w:val="both"/>
              <w:rPr>
                <w:rFonts w:hint="eastAsia"/>
                <w:b/>
                <w:bCs/>
                <w:color w:val="auto"/>
                <w:highlight w:val="none"/>
                <w:lang w:eastAsia="zh-CN"/>
              </w:rPr>
            </w:pPr>
            <w:r>
              <w:rPr>
                <w:rFonts w:hint="eastAsia"/>
                <w:b/>
                <w:bCs/>
                <w:color w:val="auto"/>
                <w:highlight w:val="none"/>
                <w:lang w:val="en-US" w:eastAsia="zh-CN"/>
              </w:rPr>
              <w:t xml:space="preserve">消、监控人员：男女不限，年龄要求25-60周岁</w:t>
            </w:r>
            <w:r>
              <w:rPr>
                <w:rFonts w:hint="eastAsia"/>
                <w:b/>
                <w:bCs/>
                <w:color w:val="auto"/>
                <w:highlight w:val="none"/>
                <w:lang w:eastAsia="zh-CN"/>
              </w:rPr>
              <w:t xml:space="preserve">；</w:t>
            </w:r>
            <w:r/>
          </w:p>
          <w:p>
            <w:pPr>
              <w:pStyle w:val="793"/>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）负责治安防范、安全保卫和消防管理工作；</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）负责把守大门，礼貌接待问询。主动热情为各类业主提供便利服务，诸如提携物品、备好打气筒、代招出租车等；</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）严格核对外来人员务工者，遇访客登记或征得业主的同意后方能进入；大宗物品搬运出，须办理物品出门手续，经业主认可方能放行；</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5</w:t>
            </w:r>
            <w:r>
              <w:rPr>
                <w:rFonts w:hint="eastAsia"/>
                <w:color w:val="auto"/>
                <w:highlight w:val="none"/>
                <w:lang w:eastAsia="zh-CN"/>
              </w:rPr>
              <w:t xml:space="preserve">）定期测试消防设施，参加消防演练；遇突发事件，须按规定的程序，负责执行本职范围内的工作；</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6</w:t>
            </w:r>
            <w:r>
              <w:rPr>
                <w:rFonts w:hint="eastAsia"/>
                <w:color w:val="auto"/>
                <w:highlight w:val="none"/>
                <w:lang w:eastAsia="zh-CN"/>
              </w:rPr>
              <w:t xml:space="preserve">）熟悉业主情况，与业主建立友好关系，及时反馈业主的意见和要求；</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）对改进管理处工作提出建议；监督检查二次装修有无违规行为，施工人员是否有证；</w:t>
            </w:r>
            <w:r/>
          </w:p>
          <w:p>
            <w:pPr>
              <w:pStyle w:val="793"/>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）门岗保安岗位要求：</w:t>
            </w:r>
            <w:r/>
          </w:p>
          <w:p>
            <w:pPr>
              <w:pStyle w:val="793"/>
              <w:jc w:val="both"/>
              <w:rPr>
                <w:rFonts w:hint="eastAsia"/>
                <w:color w:val="auto"/>
                <w:highlight w:val="none"/>
                <w:lang w:eastAsia="zh-CN"/>
              </w:rPr>
            </w:pPr>
            <w:r>
              <w:rPr>
                <w:rFonts w:hint="eastAsia"/>
                <w:color w:val="auto"/>
                <w:highlight w:val="none"/>
                <w:lang w:eastAsia="zh-CN"/>
              </w:rPr>
              <w:t xml:space="preserve">①自身条件：性别：男，视力良好、外表端正，初中以上文化，普通话良好，沟通良好；</w:t>
            </w:r>
            <w:r/>
          </w:p>
          <w:p>
            <w:pPr>
              <w:pStyle w:val="793"/>
              <w:jc w:val="both"/>
              <w:rPr>
                <w:rFonts w:hint="eastAsia"/>
                <w:color w:val="auto"/>
                <w:highlight w:val="none"/>
                <w:lang w:eastAsia="zh-CN"/>
              </w:rPr>
            </w:pPr>
            <w:r>
              <w:rPr>
                <w:rFonts w:hint="eastAsia"/>
                <w:color w:val="auto"/>
                <w:highlight w:val="none"/>
                <w:lang w:eastAsia="zh-CN"/>
              </w:rPr>
              <w:t xml:space="preserve">②主动热情帮助安置房小区及安置房小区企业做好协助工作：比如小件物品的搬运工作等；</w:t>
            </w:r>
            <w:r/>
          </w:p>
          <w:p>
            <w:pPr>
              <w:pStyle w:val="793"/>
              <w:jc w:val="both"/>
              <w:rPr>
                <w:rFonts w:hint="eastAsia"/>
                <w:color w:val="auto"/>
                <w:highlight w:val="none"/>
                <w:lang w:eastAsia="zh-CN"/>
              </w:rPr>
            </w:pPr>
            <w:r>
              <w:rPr>
                <w:rFonts w:hint="eastAsia"/>
                <w:color w:val="auto"/>
                <w:highlight w:val="none"/>
                <w:lang w:eastAsia="zh-CN"/>
              </w:rPr>
              <w:t xml:space="preserve">③熟悉安置房小区领导、安置房小区工作人员、企业领导以及他们的日常工作方式；</w:t>
            </w:r>
            <w:r/>
          </w:p>
          <w:p>
            <w:pPr>
              <w:pStyle w:val="793"/>
              <w:jc w:val="both"/>
              <w:rPr>
                <w:rFonts w:hint="eastAsia"/>
                <w:color w:val="auto"/>
                <w:highlight w:val="none"/>
                <w:lang w:eastAsia="zh-CN"/>
              </w:rPr>
            </w:pPr>
            <w:r>
              <w:rPr>
                <w:rFonts w:hint="eastAsia"/>
                <w:color w:val="auto"/>
                <w:highlight w:val="none"/>
                <w:lang w:eastAsia="zh-CN"/>
              </w:rPr>
              <w:t xml:space="preserve">④按标准着装、仪表整洁端正；</w:t>
            </w:r>
            <w:r/>
          </w:p>
          <w:p>
            <w:pPr>
              <w:pStyle w:val="793"/>
              <w:jc w:val="both"/>
              <w:rPr>
                <w:rFonts w:hint="eastAsia"/>
                <w:color w:val="auto"/>
                <w:highlight w:val="none"/>
                <w:lang w:eastAsia="zh-CN"/>
              </w:rPr>
            </w:pPr>
            <w:r>
              <w:rPr>
                <w:rFonts w:hint="eastAsia"/>
                <w:color w:val="auto"/>
                <w:highlight w:val="none"/>
                <w:lang w:eastAsia="zh-CN"/>
              </w:rPr>
              <w:t xml:space="preserve">⑤上下班、开门敬礼，用文明礼貌语言。大门开关准确及时、灵活操作。</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）巡逻保安岗位要求：</w:t>
            </w:r>
            <w:r/>
          </w:p>
          <w:p>
            <w:pPr>
              <w:pStyle w:val="793"/>
              <w:jc w:val="both"/>
              <w:rPr>
                <w:rFonts w:hint="eastAsia"/>
                <w:color w:val="auto"/>
                <w:highlight w:val="none"/>
                <w:lang w:eastAsia="zh-CN"/>
              </w:rPr>
            </w:pPr>
            <w:r>
              <w:rPr>
                <w:rFonts w:hint="eastAsia"/>
                <w:color w:val="auto"/>
                <w:highlight w:val="none"/>
                <w:lang w:eastAsia="zh-CN"/>
              </w:rPr>
              <w:t xml:space="preserve">①按标准着装、仪表整洁端正；</w:t>
            </w:r>
            <w:r/>
          </w:p>
          <w:p>
            <w:pPr>
              <w:pStyle w:val="793"/>
              <w:jc w:val="both"/>
              <w:rPr>
                <w:rFonts w:hint="eastAsia"/>
                <w:color w:val="auto"/>
                <w:highlight w:val="none"/>
                <w:lang w:eastAsia="zh-CN"/>
              </w:rPr>
            </w:pPr>
            <w:r>
              <w:rPr>
                <w:rFonts w:hint="eastAsia"/>
                <w:color w:val="auto"/>
                <w:highlight w:val="none"/>
                <w:lang w:eastAsia="zh-CN"/>
              </w:rPr>
              <w:t xml:space="preserve">②具备独立公共秩序维护工作能力，能掌握发生事件，事故等应急预案的基本要求和处理方法；</w:t>
            </w:r>
            <w:r/>
          </w:p>
          <w:p>
            <w:pPr>
              <w:pStyle w:val="793"/>
              <w:jc w:val="both"/>
              <w:rPr>
                <w:rFonts w:hint="eastAsia"/>
                <w:color w:val="auto"/>
                <w:highlight w:val="none"/>
                <w:lang w:eastAsia="zh-CN"/>
              </w:rPr>
            </w:pPr>
            <w:r>
              <w:rPr>
                <w:rFonts w:hint="eastAsia"/>
                <w:color w:val="auto"/>
                <w:highlight w:val="none"/>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p>
          <w:p>
            <w:pPr>
              <w:pStyle w:val="793"/>
              <w:jc w:val="both"/>
              <w:rPr>
                <w:rFonts w:hint="eastAsia" w:eastAsia="宋体"/>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）消、监控人员</w:t>
            </w:r>
            <w:r>
              <w:rPr>
                <w:rFonts w:hint="eastAsia" w:eastAsia="宋体"/>
                <w:color w:val="auto"/>
                <w:highlight w:val="none"/>
                <w:lang w:eastAsia="zh-CN"/>
              </w:rPr>
              <w:t xml:space="preserve">岗位要求：</w:t>
            </w:r>
            <w:r/>
          </w:p>
          <w:p>
            <w:pPr>
              <w:pStyle w:val="793"/>
              <w:jc w:val="both"/>
              <w:rPr>
                <w:color w:val="auto"/>
                <w:highlight w:val="none"/>
              </w:rPr>
            </w:pPr>
            <w:r>
              <w:rPr>
                <w:rFonts w:hint="eastAsia" w:ascii="Calibri" w:eastAsia="宋体"/>
                <w:b w:val="0"/>
                <w:bCs w:val="0"/>
                <w:color w:val="000000"/>
                <w:highlight w:val="none"/>
                <w:lang w:val="en-US" w:eastAsia="zh-CN"/>
              </w:rPr>
              <w:t xml:space="preserve">对主监控室实行值班，</w:t>
            </w:r>
            <w:r>
              <w:rPr>
                <w:rFonts w:hint="eastAsia" w:eastAsia="宋体"/>
                <w:color w:val="000000"/>
                <w:highlight w:val="none"/>
                <w:lang w:eastAsia="zh-CN"/>
              </w:rPr>
              <w:t xml:space="preserve">负责治安防范、安全保卫和消防管理工作，定期测试消防设施，参加消防演练；遇突发事件，须按规定的程序，负责执行本职范围内的工作</w:t>
            </w:r>
            <w:r/>
          </w:p>
        </w:tc>
      </w:tr>
      <w:tr>
        <w:trPr>
          <w:jc w:val="center"/>
          <w:trHeight w:val="3364"/>
        </w:trPr>
        <w:tc>
          <w:tcPr>
            <w:tcW w:w="870" w:type="dxa"/>
            <w:vAlign w:val="center"/>
            <w:vMerge w:val="continue"/>
            <w:textDirection w:val="lrTb"/>
            <w:noWrap w:val="false"/>
          </w:tcPr>
          <w:p>
            <w:pPr>
              <w:pStyle w:val="793"/>
              <w:jc w:val="center"/>
              <w:rPr>
                <w:b/>
                <w:bCs/>
                <w:color w:val="auto"/>
                <w:highlight w:val="none"/>
              </w:rPr>
            </w:pPr>
            <w:r>
              <w:rPr>
                <w:b/>
                <w:bCs/>
                <w:color w:val="auto"/>
                <w:highlight w:val="none"/>
              </w:rPr>
            </w:r>
            <w:r/>
          </w:p>
        </w:tc>
        <w:tc>
          <w:tcPr>
            <w:tcW w:w="975" w:type="dxa"/>
            <w:vAlign w:val="center"/>
            <w:textDirection w:val="lrTb"/>
            <w:noWrap w:val="false"/>
          </w:tcPr>
          <w:p>
            <w:pPr>
              <w:pStyle w:val="793"/>
              <w:jc w:val="center"/>
              <w:rPr>
                <w:rFonts w:hint="default" w:eastAsia="宋体"/>
                <w:b/>
                <w:bCs/>
                <w:color w:val="auto"/>
                <w:highlight w:val="none"/>
                <w:lang w:val="en-US" w:eastAsia="zh-CN"/>
              </w:rPr>
            </w:pPr>
            <w:r>
              <w:rPr>
                <w:rFonts w:hint="eastAsia"/>
                <w:b/>
                <w:bCs/>
                <w:color w:val="auto"/>
                <w:highlight w:val="none"/>
                <w:lang w:val="en-US" w:eastAsia="zh-CN"/>
              </w:rPr>
              <w:t xml:space="preserve">秩序维护人员</w:t>
            </w:r>
            <w:r/>
          </w:p>
        </w:tc>
        <w:tc>
          <w:tcPr>
            <w:tcW w:w="780" w:type="dxa"/>
            <w:vAlign w:val="center"/>
            <w:textDirection w:val="lrTb"/>
            <w:noWrap w:val="false"/>
          </w:tcPr>
          <w:p>
            <w:pPr>
              <w:jc w:val="center"/>
              <w:rPr>
                <w:rFonts w:hint="default" w:eastAsia="宋体" w:cs="Calibri"/>
                <w:b/>
                <w:bCs/>
                <w:color w:val="auto"/>
                <w:szCs w:val="21"/>
                <w:highlight w:val="none"/>
                <w:lang w:val="en-US" w:eastAsia="zh-CN"/>
              </w:rPr>
            </w:pPr>
            <w:r>
              <w:rPr>
                <w:rFonts w:hint="eastAsia" w:cs="Calibri"/>
                <w:b/>
                <w:bCs/>
                <w:color w:val="auto"/>
                <w:szCs w:val="21"/>
                <w:highlight w:val="none"/>
                <w:lang w:val="en-US" w:eastAsia="zh-CN"/>
              </w:rPr>
              <w:t xml:space="preserve">12</w:t>
            </w:r>
            <w:r/>
          </w:p>
        </w:tc>
        <w:tc>
          <w:tcPr>
            <w:tcW w:w="6809" w:type="dxa"/>
            <w:vAlign w:val="center"/>
            <w:vMerge w:val="continue"/>
            <w:textDirection w:val="lrTb"/>
            <w:noWrap w:val="false"/>
          </w:tcPr>
          <w:p>
            <w:pPr>
              <w:pStyle w:val="793"/>
              <w:jc w:val="both"/>
              <w:rPr>
                <w:color w:val="auto"/>
                <w:highlight w:val="none"/>
              </w:rPr>
            </w:pPr>
            <w:r>
              <w:rPr>
                <w:color w:val="auto"/>
                <w:highlight w:val="none"/>
              </w:rPr>
            </w:r>
            <w:r/>
          </w:p>
        </w:tc>
      </w:tr>
      <w:tr>
        <w:trPr>
          <w:jc w:val="center"/>
          <w:trHeight w:val="346"/>
        </w:trPr>
        <w:tc>
          <w:tcPr>
            <w:tcW w:w="870" w:type="dxa"/>
            <w:vAlign w:val="center"/>
            <w:vMerge w:val="continue"/>
            <w:textDirection w:val="lrTb"/>
            <w:noWrap w:val="false"/>
          </w:tcPr>
          <w:p>
            <w:pPr>
              <w:jc w:val="center"/>
              <w:rPr>
                <w:color w:val="auto"/>
                <w:highlight w:val="none"/>
              </w:rPr>
            </w:pPr>
            <w:r>
              <w:rPr>
                <w:color w:val="auto"/>
                <w:highlight w:val="none"/>
              </w:rPr>
            </w:r>
            <w:r/>
          </w:p>
        </w:tc>
        <w:tc>
          <w:tcPr>
            <w:tcW w:w="975" w:type="dxa"/>
            <w:vAlign w:val="center"/>
            <w:textDirection w:val="lrTb"/>
            <w:noWrap w:val="false"/>
          </w:tcPr>
          <w:p>
            <w:pPr>
              <w:jc w:val="center"/>
              <w:rPr>
                <w:rFonts w:hint="eastAsia"/>
                <w:b/>
                <w:bCs/>
                <w:color w:val="auto"/>
                <w:highlight w:val="none"/>
              </w:rPr>
            </w:pPr>
            <w:r>
              <w:rPr>
                <w:rFonts w:hint="eastAsia"/>
                <w:b/>
                <w:bCs/>
                <w:color w:val="auto"/>
                <w:highlight w:val="none"/>
                <w:lang w:val="en-US" w:eastAsia="zh-CN"/>
              </w:rPr>
              <w:t xml:space="preserve">消、监控人员</w:t>
            </w:r>
            <w:r/>
          </w:p>
        </w:tc>
        <w:tc>
          <w:tcPr>
            <w:tcW w:w="780" w:type="dxa"/>
            <w:vAlign w:val="center"/>
            <w:textDirection w:val="lrTb"/>
            <w:noWrap w:val="false"/>
          </w:tcPr>
          <w:p>
            <w:pPr>
              <w:jc w:val="center"/>
              <w:rPr>
                <w:rFonts w:hint="eastAsia" w:eastAsia="宋体"/>
                <w:b/>
                <w:bCs/>
                <w:color w:val="auto"/>
                <w:highlight w:val="none"/>
                <w:lang w:eastAsia="zh-CN"/>
              </w:rPr>
            </w:pPr>
            <w:r>
              <w:rPr>
                <w:rFonts w:hint="eastAsia"/>
                <w:b/>
                <w:bCs/>
                <w:color w:val="auto"/>
                <w:highlight w:val="none"/>
                <w:lang w:val="en-US" w:eastAsia="zh-CN"/>
              </w:rPr>
              <w:t xml:space="preserve">3</w:t>
            </w:r>
            <w:r/>
          </w:p>
        </w:tc>
        <w:tc>
          <w:tcPr>
            <w:tcW w:w="6809" w:type="dxa"/>
            <w:vAlign w:val="center"/>
            <w:vMerge w:val="continue"/>
            <w:textDirection w:val="lrTb"/>
            <w:noWrap w:val="false"/>
          </w:tcPr>
          <w:p>
            <w:pPr>
              <w:jc w:val="center"/>
              <w:rPr>
                <w:rFonts w:hint="eastAsia"/>
                <w:b/>
                <w:bCs/>
                <w:color w:val="auto"/>
                <w:highlight w:val="none"/>
              </w:rPr>
            </w:pPr>
            <w:r>
              <w:rPr>
                <w:rFonts w:hint="eastAsia"/>
                <w:b/>
                <w:bCs/>
                <w:color w:val="auto"/>
                <w:highlight w:val="none"/>
              </w:rPr>
            </w:r>
            <w:r/>
          </w:p>
        </w:tc>
      </w:tr>
      <w:tr>
        <w:trPr>
          <w:jc w:val="center"/>
          <w:trHeight w:val="1362"/>
        </w:trPr>
        <w:tc>
          <w:tcPr>
            <w:tcW w:w="870" w:type="dxa"/>
            <w:vAlign w:val="center"/>
            <w:vMerge w:val="restart"/>
            <w:textDirection w:val="lrTb"/>
            <w:noWrap w:val="false"/>
          </w:tcPr>
          <w:p>
            <w:pPr>
              <w:pStyle w:val="793"/>
              <w:jc w:val="center"/>
              <w:rPr>
                <w:rFonts w:eastAsia="宋体"/>
                <w:b/>
                <w:bCs/>
                <w:color w:val="auto"/>
                <w:highlight w:val="none"/>
                <w:lang w:val="en-US" w:eastAsia="zh-CN"/>
              </w:rPr>
            </w:pPr>
            <w:r>
              <w:rPr>
                <w:rFonts w:hint="eastAsia"/>
                <w:b/>
                <w:bCs/>
                <w:color w:val="auto"/>
                <w:highlight w:val="none"/>
                <w:lang w:val="en-US" w:eastAsia="zh-CN"/>
              </w:rPr>
              <w:t xml:space="preserve">保洁服务</w:t>
            </w:r>
            <w:r/>
          </w:p>
        </w:tc>
        <w:tc>
          <w:tcPr>
            <w:tcW w:w="975" w:type="dxa"/>
            <w:vAlign w:val="center"/>
            <w:textDirection w:val="lrTb"/>
            <w:noWrap w:val="false"/>
          </w:tcPr>
          <w:p>
            <w:pPr>
              <w:pStyle w:val="793"/>
              <w:jc w:val="center"/>
              <w:rPr>
                <w:b/>
                <w:bCs/>
                <w:color w:val="auto"/>
                <w:highlight w:val="none"/>
              </w:rPr>
            </w:pPr>
            <w:r>
              <w:rPr>
                <w:rFonts w:hint="eastAsia"/>
                <w:b/>
                <w:bCs/>
                <w:color w:val="auto"/>
                <w:highlight w:val="none"/>
              </w:rPr>
              <w:t xml:space="preserve">保洁班长</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cs="Calibri"/>
                <w:b/>
                <w:bCs/>
                <w:color w:val="auto"/>
                <w:szCs w:val="21"/>
                <w:highlight w:val="none"/>
                <w:lang w:val="en-US" w:eastAsia="zh-CN"/>
              </w:rPr>
              <w:t xml:space="preserve">1</w:t>
            </w:r>
            <w:r/>
          </w:p>
        </w:tc>
        <w:tc>
          <w:tcPr>
            <w:tcW w:w="6809" w:type="dxa"/>
            <w:vAlign w:val="center"/>
            <w:vMerge w:val="restart"/>
            <w:textDirection w:val="lrTb"/>
            <w:noWrap w:val="false"/>
          </w:tcPr>
          <w:p>
            <w:pPr>
              <w:pStyle w:val="793"/>
              <w:numPr>
                <w:ilvl w:val="0"/>
                <w:numId w:val="8"/>
              </w:numPr>
              <w:jc w:val="both"/>
              <w:rPr>
                <w:rFonts w:hint="eastAsia"/>
                <w:b/>
                <w:bCs/>
                <w:color w:val="auto"/>
                <w:highlight w:val="none"/>
                <w:lang w:eastAsia="zh-CN"/>
              </w:rPr>
            </w:pPr>
            <w:r>
              <w:rPr>
                <w:rFonts w:hint="eastAsia"/>
                <w:b/>
                <w:bCs/>
                <w:color w:val="auto"/>
                <w:highlight w:val="none"/>
                <w:lang w:val="en-US" w:eastAsia="zh-CN"/>
              </w:rPr>
              <w:t xml:space="preserve">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男性年龄要求25-65</w:t>
            </w:r>
            <w:r>
              <w:rPr>
                <w:rFonts w:hint="eastAsia"/>
                <w:b/>
                <w:bCs/>
                <w:color w:val="auto"/>
                <w:highlight w:val="none"/>
                <w:lang w:eastAsia="zh-CN"/>
              </w:rPr>
              <w:t xml:space="preserve">周岁</w:t>
            </w:r>
            <w:r>
              <w:rPr>
                <w:rFonts w:hint="eastAsia"/>
                <w:b/>
                <w:bCs/>
                <w:color w:val="auto"/>
                <w:highlight w:val="none"/>
                <w:lang w:val="en-US" w:eastAsia="zh-CN"/>
              </w:rPr>
              <w:t xml:space="preserve">，女性年龄要求25-60</w:t>
            </w:r>
            <w:r>
              <w:rPr>
                <w:rFonts w:hint="eastAsia"/>
                <w:b/>
                <w:bCs/>
                <w:color w:val="auto"/>
                <w:highlight w:val="none"/>
                <w:lang w:eastAsia="zh-CN"/>
              </w:rPr>
              <w:t xml:space="preserve">周岁。</w:t>
            </w:r>
            <w:r/>
          </w:p>
          <w:p>
            <w:pPr>
              <w:pStyle w:val="793"/>
              <w:numPr>
                <w:ilvl w:val="0"/>
                <w:numId w:val="0"/>
              </w:numPr>
              <w:jc w:val="both"/>
              <w:rPr>
                <w:rFonts w:hint="eastAsia"/>
                <w:b/>
                <w:bCs/>
                <w:color w:val="auto"/>
                <w:highlight w:val="none"/>
                <w:lang w:eastAsia="zh-CN"/>
              </w:rPr>
            </w:pPr>
            <w:r>
              <w:rPr>
                <w:rFonts w:hint="eastAsia"/>
                <w:b/>
                <w:bCs/>
                <w:color w:val="auto"/>
                <w:highlight w:val="none"/>
                <w:lang w:val="en-US" w:eastAsia="zh-CN"/>
              </w:rPr>
              <w:t xml:space="preserve">2、</w:t>
            </w:r>
            <w:r>
              <w:rPr>
                <w:rFonts w:hint="eastAsia"/>
                <w:b/>
                <w:bCs/>
                <w:color w:val="auto"/>
                <w:highlight w:val="none"/>
                <w:lang w:eastAsia="zh-CN"/>
              </w:rPr>
              <w:t xml:space="preserve">岗位职责：</w:t>
            </w:r>
            <w:r/>
          </w:p>
          <w:p>
            <w:pPr>
              <w:pStyle w:val="793"/>
              <w:jc w:val="both"/>
              <w:rPr>
                <w:rFonts w:hint="eastAsia"/>
                <w:color w:val="auto"/>
                <w:highlight w:val="none"/>
                <w:lang w:eastAsia="zh-CN"/>
              </w:rPr>
            </w:pPr>
            <w:r>
              <w:rPr>
                <w:rFonts w:hint="eastAsia"/>
                <w:color w:val="auto"/>
                <w:highlight w:val="none"/>
                <w:lang w:eastAsia="zh-CN"/>
              </w:rPr>
              <w:t xml:space="preserve">负责物业管理范围内公共部位和公共设施的保洁；负责物业管理范围内装饰材料的定期专业养护；负责物业管理范围内垃圾的收集，</w:t>
            </w:r>
            <w:r>
              <w:rPr>
                <w:rFonts w:hint="eastAsia"/>
                <w:color w:val="auto"/>
                <w:highlight w:val="none"/>
                <w:lang w:val="en-US" w:eastAsia="zh-CN"/>
              </w:rPr>
              <w:t xml:space="preserve">协助社区做好垃圾分类</w:t>
            </w:r>
            <w:r>
              <w:rPr>
                <w:rFonts w:hint="eastAsia"/>
                <w:color w:val="auto"/>
                <w:highlight w:val="none"/>
                <w:lang w:eastAsia="zh-CN"/>
              </w:rPr>
              <w:t xml:space="preserve">；负责洗手间的保洁和物品的更换；负责洗手间内装饰材料的专业养护；负责物业管理范围内每日的环境消毒、病虫害防治。</w:t>
            </w:r>
            <w:r/>
          </w:p>
          <w:p>
            <w:pPr>
              <w:pStyle w:val="793"/>
              <w:jc w:val="both"/>
              <w:rPr>
                <w:rFonts w:hint="eastAsia"/>
                <w:b/>
                <w:bCs/>
                <w:color w:val="auto"/>
                <w:highlight w:val="none"/>
                <w:lang w:eastAsia="zh-CN"/>
              </w:rPr>
            </w:pPr>
            <w:r>
              <w:rPr>
                <w:rFonts w:hint="eastAsia"/>
                <w:b/>
                <w:bCs/>
                <w:color w:val="auto"/>
                <w:highlight w:val="none"/>
                <w:lang w:val="en-US" w:eastAsia="zh-CN"/>
              </w:rPr>
              <w:t xml:space="preserve">3、</w:t>
            </w:r>
            <w:r>
              <w:rPr>
                <w:rFonts w:hint="eastAsia"/>
                <w:b/>
                <w:bCs/>
                <w:color w:val="auto"/>
                <w:highlight w:val="none"/>
                <w:lang w:eastAsia="zh-CN"/>
              </w:rPr>
              <w:t xml:space="preserve">岗位要求：</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）着装仪表：上岗时按规定的方式和位置佩戴工作牌，制服穿着统一整齐，工作鞋要洗刷干净；</w:t>
            </w:r>
            <w:r/>
          </w:p>
          <w:p>
            <w:pPr>
              <w:pStyle w:val="793"/>
              <w:jc w:val="both"/>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）保洁工作时间安排，尽量做到不影响安置房小区工作人员工作；</w:t>
            </w:r>
            <w:r/>
          </w:p>
          <w:p>
            <w:pPr>
              <w:pStyle w:val="793"/>
              <w:jc w:val="both"/>
              <w:rPr>
                <w:color w:val="auto"/>
                <w:highlight w:val="none"/>
                <w:lang w:val="en-US"/>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）重点区域重点对待。</w:t>
            </w:r>
            <w:r/>
          </w:p>
        </w:tc>
      </w:tr>
      <w:tr>
        <w:trPr>
          <w:jc w:val="center"/>
          <w:trHeight w:val="1829"/>
        </w:trPr>
        <w:tc>
          <w:tcPr>
            <w:tcW w:w="870" w:type="dxa"/>
            <w:vAlign w:val="center"/>
            <w:vMerge w:val="continue"/>
            <w:textDirection w:val="lrTb"/>
            <w:noWrap w:val="false"/>
          </w:tcPr>
          <w:p>
            <w:pPr>
              <w:pStyle w:val="793"/>
              <w:jc w:val="center"/>
              <w:rPr>
                <w:b/>
                <w:bCs/>
                <w:color w:val="auto"/>
                <w:highlight w:val="none"/>
              </w:rPr>
            </w:pPr>
            <w:r>
              <w:rPr>
                <w:b/>
                <w:bCs/>
                <w:color w:val="auto"/>
                <w:highlight w:val="none"/>
              </w:rPr>
            </w:r>
            <w:r/>
          </w:p>
        </w:tc>
        <w:tc>
          <w:tcPr>
            <w:tcW w:w="975" w:type="dxa"/>
            <w:vAlign w:val="center"/>
            <w:textDirection w:val="lrTb"/>
            <w:noWrap w:val="false"/>
          </w:tcPr>
          <w:p>
            <w:pPr>
              <w:pStyle w:val="793"/>
              <w:jc w:val="center"/>
              <w:rPr>
                <w:rFonts w:hint="eastAsia" w:eastAsia="宋体"/>
                <w:b/>
                <w:bCs/>
                <w:color w:val="auto"/>
                <w:highlight w:val="none"/>
                <w:lang w:val="en-US" w:eastAsia="zh-CN"/>
              </w:rPr>
            </w:pPr>
            <w:r>
              <w:rPr>
                <w:rFonts w:hint="eastAsia" w:eastAsia="宋体"/>
                <w:b/>
                <w:bCs/>
                <w:color w:val="auto"/>
                <w:highlight w:val="none"/>
                <w:lang w:val="en-US" w:eastAsia="zh-CN"/>
              </w:rPr>
              <w:t xml:space="preserve">保洁员</w:t>
            </w:r>
            <w:r/>
          </w:p>
        </w:tc>
        <w:tc>
          <w:tcPr>
            <w:tcW w:w="780" w:type="dxa"/>
            <w:vAlign w:val="center"/>
            <w:textDirection w:val="lrTb"/>
            <w:noWrap w:val="false"/>
          </w:tcPr>
          <w:p>
            <w:pPr>
              <w:jc w:val="center"/>
              <w:rPr>
                <w:rFonts w:hint="default" w:cs="Calibri"/>
                <w:b/>
                <w:bCs/>
                <w:color w:val="auto"/>
                <w:szCs w:val="21"/>
                <w:highlight w:val="none"/>
                <w:lang w:val="en-US" w:eastAsia="zh-CN"/>
              </w:rPr>
            </w:pPr>
            <w:r>
              <w:rPr>
                <w:rFonts w:hint="eastAsia" w:cs="Calibri"/>
                <w:b/>
                <w:bCs/>
                <w:color w:val="auto"/>
                <w:szCs w:val="21"/>
                <w:highlight w:val="none"/>
                <w:lang w:val="en-US" w:eastAsia="zh-CN"/>
              </w:rPr>
              <w:t xml:space="preserve">11</w:t>
            </w:r>
            <w:r/>
          </w:p>
        </w:tc>
        <w:tc>
          <w:tcPr>
            <w:tcW w:w="6809" w:type="dxa"/>
            <w:vAlign w:val="center"/>
            <w:vMerge w:val="continue"/>
            <w:textDirection w:val="lrTb"/>
            <w:noWrap w:val="false"/>
          </w:tcPr>
          <w:p>
            <w:pPr>
              <w:pStyle w:val="793"/>
              <w:jc w:val="both"/>
              <w:rPr>
                <w:color w:val="auto"/>
                <w:highlight w:val="none"/>
              </w:rPr>
            </w:pPr>
            <w:r>
              <w:rPr>
                <w:color w:val="auto"/>
                <w:highlight w:val="none"/>
              </w:rPr>
            </w:r>
            <w:r/>
          </w:p>
        </w:tc>
      </w:tr>
      <w:tr>
        <w:trPr>
          <w:jc w:val="center"/>
          <w:trHeight w:val="90"/>
        </w:trPr>
        <w:tc>
          <w:tcPr>
            <w:tcW w:w="870" w:type="dxa"/>
            <w:vAlign w:val="center"/>
            <w:textDirection w:val="lrTb"/>
            <w:noWrap w:val="false"/>
          </w:tcPr>
          <w:p>
            <w:pPr>
              <w:pStyle w:val="793"/>
              <w:jc w:val="center"/>
              <w:rPr>
                <w:rFonts w:eastAsia="宋体"/>
                <w:b/>
                <w:bCs/>
                <w:color w:val="auto"/>
                <w:highlight w:val="none"/>
                <w:lang w:val="en-US" w:eastAsia="zh-CN"/>
              </w:rPr>
            </w:pPr>
            <w:r>
              <w:rPr>
                <w:rFonts w:hint="eastAsia"/>
                <w:b/>
                <w:bCs/>
                <w:color w:val="auto"/>
                <w:highlight w:val="none"/>
                <w:lang w:val="en-US" w:eastAsia="zh-CN"/>
              </w:rPr>
              <w:t xml:space="preserve">绿化养护服务</w:t>
            </w:r>
            <w:r/>
          </w:p>
        </w:tc>
        <w:tc>
          <w:tcPr>
            <w:tcW w:w="975" w:type="dxa"/>
            <w:vAlign w:val="center"/>
            <w:textDirection w:val="lrTb"/>
            <w:noWrap w:val="false"/>
          </w:tcPr>
          <w:p>
            <w:pPr>
              <w:pStyle w:val="793"/>
              <w:jc w:val="center"/>
              <w:rPr>
                <w:rFonts w:eastAsia="宋体"/>
                <w:b/>
                <w:bCs/>
                <w:color w:val="auto"/>
                <w:highlight w:val="none"/>
                <w:lang w:val="en-US" w:eastAsia="zh-CN"/>
              </w:rPr>
            </w:pPr>
            <w:r>
              <w:rPr>
                <w:rFonts w:hint="eastAsia"/>
                <w:b/>
                <w:bCs/>
                <w:color w:val="auto"/>
                <w:highlight w:val="none"/>
                <w:lang w:val="en-US" w:eastAsia="zh-CN"/>
              </w:rPr>
              <w:t xml:space="preserve">绿化人员</w:t>
            </w:r>
            <w:r/>
          </w:p>
        </w:tc>
        <w:tc>
          <w:tcPr>
            <w:tcW w:w="780" w:type="dxa"/>
            <w:vAlign w:val="center"/>
            <w:textDirection w:val="lrTb"/>
            <w:noWrap w:val="false"/>
          </w:tcPr>
          <w:p>
            <w:pPr>
              <w:jc w:val="center"/>
              <w:rPr>
                <w:rFonts w:hint="eastAsia" w:ascii="Calibri" w:hAnsi="Calibri" w:eastAsia="宋体" w:cs="Calibri"/>
                <w:b/>
                <w:bCs/>
                <w:color w:val="auto"/>
                <w:szCs w:val="21"/>
                <w:highlight w:val="none"/>
                <w:lang w:val="en-US" w:eastAsia="zh-CN"/>
              </w:rPr>
            </w:pPr>
            <w:r>
              <w:rPr>
                <w:rFonts w:hint="eastAsia" w:cs="Calibri"/>
                <w:b/>
                <w:bCs/>
                <w:color w:val="auto"/>
                <w:szCs w:val="21"/>
                <w:highlight w:val="none"/>
                <w:lang w:val="en-US" w:eastAsia="zh-CN"/>
              </w:rPr>
              <w:t xml:space="preserve">2</w:t>
            </w:r>
            <w:r/>
          </w:p>
        </w:tc>
        <w:tc>
          <w:tcPr>
            <w:tcW w:w="6809" w:type="dxa"/>
            <w:vAlign w:val="center"/>
            <w:textDirection w:val="lrTb"/>
            <w:noWrap w:val="false"/>
          </w:tcPr>
          <w:p>
            <w:pPr>
              <w:pStyle w:val="793"/>
              <w:jc w:val="both"/>
              <w:rPr>
                <w:rFonts w:hint="eastAsia"/>
                <w:b/>
                <w:bCs/>
                <w:color w:val="auto"/>
                <w:highlight w:val="none"/>
                <w:lang w:eastAsia="zh-CN"/>
              </w:rPr>
            </w:pPr>
            <w:r>
              <w:rPr>
                <w:rFonts w:hint="eastAsia"/>
                <w:b/>
                <w:bCs/>
                <w:color w:val="auto"/>
                <w:highlight w:val="none"/>
                <w:lang w:val="en-US" w:eastAsia="zh-CN"/>
              </w:rPr>
              <w:t xml:space="preserve">1、基本要求：</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年龄要求25-60</w:t>
            </w:r>
            <w:r>
              <w:rPr>
                <w:rFonts w:hint="eastAsia"/>
                <w:b/>
                <w:bCs/>
                <w:color w:val="auto"/>
                <w:highlight w:val="none"/>
                <w:lang w:eastAsia="zh-CN"/>
              </w:rPr>
              <w:t xml:space="preserve">周岁</w:t>
            </w:r>
            <w:r/>
          </w:p>
          <w:p>
            <w:pPr>
              <w:pStyle w:val="793"/>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（2）定期对植物进行修剪、除杂草、浇水、施肥、病虫害防治等工作。</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（3）负责维护和修理绿化区域内的草坪、花坛、喷泉、灯光等园林设施设备，确保其正常运行‌。</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（4）负责绿化工具和材料的发放、保管，合理控制消耗，确保工具和材料的合理使用‌。</w:t>
            </w:r>
            <w:r/>
          </w:p>
          <w:p>
            <w:pPr>
              <w:pStyle w:val="793"/>
              <w:jc w:val="both"/>
              <w:rPr>
                <w:rFonts w:hint="eastAsia"/>
                <w:b w:val="0"/>
                <w:bCs w:val="0"/>
                <w:color w:val="auto"/>
                <w:highlight w:val="none"/>
                <w:lang w:val="en-US" w:eastAsia="zh-CN"/>
              </w:rPr>
            </w:pPr>
            <w:r>
              <w:rPr>
                <w:rFonts w:hint="eastAsia"/>
                <w:b w:val="0"/>
                <w:bCs w:val="0"/>
                <w:color w:val="auto"/>
                <w:highlight w:val="none"/>
                <w:lang w:val="en-US" w:eastAsia="zh-CN"/>
              </w:rPr>
              <w:t xml:space="preserve">（5）在大风大雨时期，做好劳力组织、物资材料准备等工作，及时发现并处理树木倒伏、树枝折断等险情‌。</w:t>
            </w:r>
            <w:r/>
          </w:p>
          <w:p>
            <w:pPr>
              <w:pStyle w:val="793"/>
              <w:jc w:val="both"/>
              <w:rPr>
                <w:b w:val="0"/>
                <w:bCs w:val="0"/>
                <w:color w:val="auto"/>
                <w:highlight w:val="none"/>
                <w:lang w:val="en-US"/>
              </w:rPr>
            </w:pPr>
            <w:r>
              <w:rPr>
                <w:rFonts w:hint="eastAsia"/>
                <w:b w:val="0"/>
                <w:bCs w:val="0"/>
                <w:color w:val="auto"/>
                <w:highlight w:val="none"/>
                <w:lang w:val="en-US" w:eastAsia="zh-CN"/>
              </w:rPr>
              <w:t xml:space="preserve">（6）执行上级所指派的其他工作。‌</w:t>
            </w:r>
            <w:r/>
          </w:p>
        </w:tc>
      </w:tr>
      <w:tr>
        <w:trPr>
          <w:jc w:val="center"/>
          <w:trHeight w:val="907"/>
        </w:trPr>
        <w:tc>
          <w:tcPr>
            <w:tcW w:w="870" w:type="dxa"/>
            <w:vAlign w:val="center"/>
            <w:textDirection w:val="lrTb"/>
            <w:noWrap w:val="false"/>
          </w:tcPr>
          <w:p>
            <w:pPr>
              <w:pStyle w:val="793"/>
              <w:jc w:val="center"/>
              <w:rPr>
                <w:rFonts w:eastAsia="宋体"/>
                <w:b/>
                <w:bCs/>
                <w:color w:val="auto"/>
                <w:spacing w:val="-1"/>
                <w:highlight w:val="none"/>
                <w:lang w:val="en-US" w:eastAsia="zh-CN"/>
              </w:rPr>
            </w:pPr>
            <w:r>
              <w:rPr>
                <w:rFonts w:hint="eastAsia"/>
                <w:b/>
                <w:bCs/>
                <w:color w:val="auto"/>
                <w:spacing w:val="-1"/>
                <w:highlight w:val="none"/>
                <w:lang w:val="en-US" w:eastAsia="zh-CN"/>
              </w:rPr>
              <w:t xml:space="preserve">工程（水电）</w:t>
            </w:r>
            <w:r/>
          </w:p>
        </w:tc>
        <w:tc>
          <w:tcPr>
            <w:tcW w:w="975" w:type="dxa"/>
            <w:vAlign w:val="center"/>
            <w:textDirection w:val="lrTb"/>
            <w:noWrap w:val="false"/>
          </w:tcPr>
          <w:p>
            <w:pPr>
              <w:jc w:val="center"/>
              <w:rPr>
                <w:rFonts w:hint="eastAsia" w:eastAsia="宋体"/>
                <w:b/>
                <w:bCs/>
                <w:color w:val="auto"/>
                <w:spacing w:val="-2"/>
                <w:highlight w:val="none"/>
                <w:lang w:eastAsia="zh-CN"/>
              </w:rPr>
            </w:pPr>
            <w:r>
              <w:rPr>
                <w:rFonts w:hint="eastAsia" w:eastAsia="宋体"/>
                <w:b/>
                <w:bCs/>
                <w:color w:val="auto"/>
                <w:spacing w:val="-2"/>
                <w:highlight w:val="none"/>
                <w:lang w:eastAsia="zh-CN"/>
              </w:rPr>
              <w:t xml:space="preserve">工程</w:t>
            </w:r>
            <w:r>
              <w:rPr>
                <w:rFonts w:hint="eastAsia"/>
                <w:b/>
                <w:bCs/>
                <w:color w:val="auto"/>
                <w:spacing w:val="-2"/>
                <w:highlight w:val="none"/>
                <w:lang w:val="en-US" w:eastAsia="zh-CN"/>
              </w:rPr>
              <w:t xml:space="preserve">人员</w:t>
            </w:r>
            <w:r/>
          </w:p>
        </w:tc>
        <w:tc>
          <w:tcPr>
            <w:tcW w:w="780" w:type="dxa"/>
            <w:vAlign w:val="center"/>
            <w:textDirection w:val="lrTb"/>
            <w:noWrap w:val="false"/>
          </w:tcPr>
          <w:p>
            <w:pPr>
              <w:jc w:val="center"/>
              <w:rPr>
                <w:rFonts w:hint="eastAsia" w:eastAsia="宋体"/>
                <w:b/>
                <w:bCs/>
                <w:color w:val="auto"/>
                <w:spacing w:val="-2"/>
                <w:highlight w:val="none"/>
                <w:lang w:eastAsia="zh-CN"/>
              </w:rPr>
            </w:pPr>
            <w:r>
              <w:rPr>
                <w:rFonts w:hint="eastAsia"/>
                <w:b/>
                <w:bCs/>
                <w:color w:val="auto"/>
                <w:spacing w:val="-2"/>
                <w:highlight w:val="none"/>
                <w:lang w:val="en-US" w:eastAsia="zh-CN"/>
              </w:rPr>
              <w:t xml:space="preserve">2</w:t>
            </w:r>
            <w:r/>
          </w:p>
        </w:tc>
        <w:tc>
          <w:tcPr>
            <w:tcW w:w="6809" w:type="dxa"/>
            <w:vAlign w:val="center"/>
            <w:textDirection w:val="lrTb"/>
            <w:noWrap w:val="false"/>
          </w:tcPr>
          <w:p>
            <w:pPr>
              <w:pStyle w:val="793"/>
              <w:jc w:val="both"/>
              <w:rPr>
                <w:rFonts w:hint="eastAsia"/>
                <w:color w:val="auto"/>
                <w:highlight w:val="none"/>
                <w:lang w:val="en-US" w:eastAsia="zh-CN"/>
              </w:rPr>
            </w:pPr>
            <w:r>
              <w:rPr>
                <w:rFonts w:hint="eastAsia"/>
                <w:b/>
                <w:bCs/>
                <w:color w:val="auto"/>
                <w:highlight w:val="none"/>
                <w:lang w:val="en-US" w:eastAsia="zh-CN"/>
              </w:rPr>
              <w:t xml:space="preserve">1、基本要求：含1名工程主管。</w:t>
            </w:r>
            <w:r>
              <w:rPr>
                <w:rFonts w:hint="eastAsia"/>
                <w:b/>
                <w:bCs/>
                <w:color w:val="auto"/>
                <w:highlight w:val="none"/>
              </w:rPr>
              <w:t xml:space="preserve">男女不限</w:t>
            </w:r>
            <w:r>
              <w:rPr>
                <w:rFonts w:hint="eastAsia"/>
                <w:b/>
                <w:bCs/>
                <w:color w:val="auto"/>
                <w:highlight w:val="none"/>
                <w:lang w:eastAsia="zh-CN"/>
              </w:rPr>
              <w:t xml:space="preserve">，</w:t>
            </w:r>
            <w:r>
              <w:rPr>
                <w:rFonts w:hint="eastAsia"/>
                <w:b/>
                <w:bCs/>
                <w:color w:val="auto"/>
                <w:highlight w:val="none"/>
                <w:lang w:val="en-US" w:eastAsia="zh-CN"/>
              </w:rPr>
              <w:t xml:space="preserve">年龄要求25-60</w:t>
            </w:r>
            <w:r>
              <w:rPr>
                <w:rFonts w:hint="eastAsia"/>
                <w:b/>
                <w:bCs/>
                <w:color w:val="auto"/>
                <w:highlight w:val="none"/>
                <w:lang w:eastAsia="zh-CN"/>
              </w:rPr>
              <w:t xml:space="preserve">周岁</w:t>
            </w:r>
            <w:r/>
          </w:p>
          <w:p>
            <w:pPr>
              <w:pStyle w:val="793"/>
              <w:jc w:val="both"/>
              <w:rPr>
                <w:rFonts w:hint="eastAsia"/>
                <w:b/>
                <w:bCs/>
                <w:color w:val="auto"/>
                <w:highlight w:val="none"/>
                <w:lang w:val="en-US" w:eastAsia="zh-CN"/>
              </w:rPr>
            </w:pPr>
            <w:r>
              <w:rPr>
                <w:rFonts w:hint="eastAsia"/>
                <w:b/>
                <w:bCs/>
                <w:color w:val="auto"/>
                <w:highlight w:val="none"/>
                <w:lang w:val="en-US" w:eastAsia="zh-CN"/>
              </w:rPr>
              <w:t xml:space="preserve">2、岗位职责与要求：</w:t>
            </w:r>
            <w:r/>
          </w:p>
          <w:p>
            <w:pPr>
              <w:pStyle w:val="793"/>
              <w:jc w:val="both"/>
              <w:rPr>
                <w:rFonts w:hint="eastAsia"/>
                <w:color w:val="auto"/>
                <w:highlight w:val="none"/>
                <w:lang w:val="en-US" w:eastAsia="zh-CN"/>
              </w:rPr>
            </w:pPr>
            <w:r>
              <w:rPr>
                <w:rFonts w:hint="eastAsia"/>
                <w:color w:val="auto"/>
                <w:highlight w:val="none"/>
                <w:lang w:val="en-US" w:eastAsia="zh-CN"/>
              </w:rPr>
              <w:t xml:space="preserve">（1）负责对设施及设备的接收工作，熟悉各项设备、设施。</w:t>
            </w:r>
            <w:r/>
          </w:p>
          <w:p>
            <w:pPr>
              <w:pStyle w:val="793"/>
              <w:jc w:val="both"/>
              <w:rPr>
                <w:rFonts w:hint="eastAsia"/>
                <w:color w:val="auto"/>
                <w:highlight w:val="none"/>
                <w:lang w:val="en-US" w:eastAsia="zh-CN"/>
              </w:rPr>
            </w:pPr>
            <w:r>
              <w:rPr>
                <w:rFonts w:hint="eastAsia"/>
                <w:color w:val="auto"/>
                <w:highlight w:val="none"/>
                <w:lang w:val="en-US" w:eastAsia="zh-CN"/>
              </w:rPr>
              <w:t xml:space="preserve">（2）负责工程部人员的选配和管理；负责工程部员工的专业技术培训工作，提高工程部人员的职业道德，专业技能和服务意识；</w:t>
            </w:r>
            <w:r/>
          </w:p>
          <w:p>
            <w:pPr>
              <w:pStyle w:val="793"/>
              <w:jc w:val="both"/>
              <w:rPr>
                <w:rFonts w:hint="eastAsia"/>
                <w:color w:val="auto"/>
                <w:highlight w:val="none"/>
                <w:lang w:val="en-US" w:eastAsia="zh-CN"/>
              </w:rPr>
            </w:pPr>
            <w:r>
              <w:rPr>
                <w:rFonts w:hint="eastAsia"/>
                <w:color w:val="auto"/>
                <w:highlight w:val="none"/>
                <w:lang w:val="en-US" w:eastAsia="zh-CN"/>
              </w:rPr>
              <w:t xml:space="preserve">（3）负责监督公用设施、设备的正常运行工作，并负责计划的审定；负责监督公用设施设备的维护保养、安全检查的计划的审定；</w:t>
            </w:r>
            <w:r/>
          </w:p>
          <w:p>
            <w:pPr>
              <w:pStyle w:val="793"/>
              <w:jc w:val="both"/>
              <w:rPr>
                <w:rFonts w:hint="eastAsia"/>
                <w:color w:val="auto"/>
                <w:highlight w:val="none"/>
                <w:lang w:val="en-US" w:eastAsia="zh-CN"/>
              </w:rPr>
            </w:pPr>
            <w:r>
              <w:rPr>
                <w:rFonts w:hint="eastAsia"/>
                <w:color w:val="auto"/>
                <w:highlight w:val="none"/>
                <w:lang w:val="en-US" w:eastAsia="zh-CN"/>
              </w:rPr>
              <w:t xml:space="preserve">（4）完善工程部的各项规章制度，并报上级批准实施；负责制定工程部的低值易耗品、物料、固定资产的每月采购计划，并报管理处审批，协同采购；</w:t>
            </w:r>
            <w:r/>
          </w:p>
          <w:p>
            <w:pPr>
              <w:pStyle w:val="793"/>
              <w:jc w:val="both"/>
              <w:rPr>
                <w:rFonts w:hint="eastAsia"/>
                <w:color w:val="auto"/>
                <w:highlight w:val="none"/>
                <w:lang w:val="en-US" w:eastAsia="zh-CN"/>
              </w:rPr>
            </w:pPr>
            <w:r>
              <w:rPr>
                <w:rFonts w:hint="eastAsia"/>
                <w:color w:val="auto"/>
                <w:highlight w:val="none"/>
                <w:lang w:val="en-US" w:eastAsia="zh-CN"/>
              </w:rPr>
              <w:t xml:space="preserve">（5）组织并参与设备的大检修，负责制定设备大检修计划并监督实施；定期召开工程部例会，布置、协调工程部内部各项事务；</w:t>
            </w:r>
            <w:r/>
          </w:p>
          <w:p>
            <w:pPr>
              <w:pStyle w:val="793"/>
              <w:jc w:val="both"/>
              <w:rPr>
                <w:color w:val="auto"/>
                <w:highlight w:val="none"/>
                <w:lang w:val="en-US"/>
              </w:rPr>
            </w:pPr>
            <w:r>
              <w:rPr>
                <w:rFonts w:hint="eastAsia"/>
                <w:color w:val="auto"/>
                <w:highlight w:val="none"/>
                <w:lang w:val="en-US" w:eastAsia="zh-CN"/>
              </w:rPr>
              <w:t xml:space="preserve">（6）负责外包服务合同的接洽，并报管理处审批；负责物业使用人对工程部工作的投诉处理，回访；负责工程部不合格服务的处理、纠正和预防措施的实施，跟踪检查等。</w:t>
            </w:r>
            <w:r/>
          </w:p>
        </w:tc>
      </w:tr>
      <w:tr>
        <w:trPr>
          <w:jc w:val="center"/>
          <w:trHeight w:val="527"/>
        </w:trPr>
        <w:tc>
          <w:tcPr>
            <w:gridSpan w:val="2"/>
            <w:tcW w:w="1845" w:type="dxa"/>
            <w:vAlign w:val="center"/>
            <w:textDirection w:val="lrTb"/>
            <w:noWrap w:val="false"/>
          </w:tcPr>
          <w:p>
            <w:pPr>
              <w:pStyle w:val="793"/>
              <w:jc w:val="center"/>
              <w:rPr>
                <w:rFonts w:hint="eastAsia" w:eastAsia="宋体"/>
                <w:b/>
                <w:bCs w:val="0"/>
                <w:color w:val="auto"/>
                <w:spacing w:val="-2"/>
                <w:highlight w:val="none"/>
                <w:lang w:eastAsia="zh-CN"/>
              </w:rPr>
            </w:pPr>
            <w:r>
              <w:rPr>
                <w:rFonts w:hint="eastAsia" w:eastAsia="宋体"/>
                <w:b/>
                <w:bCs w:val="0"/>
                <w:color w:val="auto"/>
                <w:spacing w:val="-2"/>
                <w:highlight w:val="none"/>
                <w:lang w:eastAsia="zh-CN"/>
              </w:rPr>
              <w:t xml:space="preserve">人员总数</w:t>
            </w:r>
            <w:r/>
          </w:p>
        </w:tc>
        <w:tc>
          <w:tcPr>
            <w:tcW w:w="780" w:type="dxa"/>
            <w:vAlign w:val="center"/>
            <w:textDirection w:val="lrTb"/>
            <w:noWrap w:val="false"/>
          </w:tcPr>
          <w:p>
            <w:pPr>
              <w:jc w:val="center"/>
              <w:rPr>
                <w:rFonts w:hint="default" w:ascii="Calibri" w:hAnsi="Calibri" w:eastAsia="宋体" w:cs="Calibri"/>
                <w:b/>
                <w:bCs w:val="0"/>
                <w:color w:val="auto"/>
                <w:szCs w:val="21"/>
                <w:highlight w:val="none"/>
                <w:lang w:val="en-US" w:eastAsia="zh-CN"/>
              </w:rPr>
            </w:pPr>
            <w:r>
              <w:rPr>
                <w:rFonts w:hint="eastAsia" w:cs="Calibri"/>
                <w:b/>
                <w:bCs w:val="0"/>
                <w:color w:val="auto"/>
                <w:szCs w:val="21"/>
                <w:highlight w:val="none"/>
                <w:lang w:val="en-US" w:eastAsia="zh-CN"/>
              </w:rPr>
              <w:t xml:space="preserve">35</w:t>
            </w:r>
            <w:r/>
          </w:p>
        </w:tc>
        <w:tc>
          <w:tcPr>
            <w:tcW w:w="6809" w:type="dxa"/>
            <w:vAlign w:val="center"/>
            <w:textDirection w:val="lrTb"/>
            <w:noWrap w:val="false"/>
          </w:tcPr>
          <w:p>
            <w:pPr>
              <w:pStyle w:val="793"/>
              <w:jc w:val="center"/>
              <w:rPr>
                <w:color w:val="auto"/>
                <w:highlight w:val="none"/>
              </w:rPr>
            </w:pPr>
            <w:r>
              <w:rPr>
                <w:color w:val="auto"/>
                <w:highlight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ff0000"/>
          <w:sz w:val="24"/>
          <w:szCs w:val="24"/>
          <w:highlight w:val="none"/>
        </w:rPr>
        <w:t xml:space="preserve">备注：人员由中标人统一管理，依法签订劳动合同，工资</w:t>
      </w:r>
      <w:r>
        <w:rPr>
          <w:rFonts w:hint="eastAsia" w:ascii="宋体" w:hAnsi="宋体" w:eastAsia="宋体" w:cs="宋体"/>
          <w:b/>
          <w:bCs/>
          <w:color w:val="ff0000"/>
          <w:sz w:val="24"/>
          <w:szCs w:val="24"/>
          <w:highlight w:val="none"/>
          <w:lang w:val="en-US" w:eastAsia="zh-CN"/>
        </w:rPr>
        <w:t xml:space="preserve">及</w:t>
      </w:r>
      <w:r>
        <w:rPr>
          <w:rFonts w:hint="eastAsia" w:ascii="宋体" w:hAnsi="宋体" w:eastAsia="宋体" w:cs="宋体"/>
          <w:b/>
          <w:bCs/>
          <w:color w:val="ff0000"/>
          <w:sz w:val="24"/>
          <w:szCs w:val="24"/>
          <w:highlight w:val="none"/>
        </w:rPr>
        <w:t xml:space="preserve">社会保险费须按国家、省、市的相关规定发放</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val="en-US" w:eastAsia="zh-CN"/>
        </w:rPr>
        <w:t xml:space="preserve">缴纳，</w:t>
      </w:r>
      <w:r>
        <w:rPr>
          <w:rFonts w:hint="eastAsia" w:ascii="宋体" w:hAnsi="宋体" w:eastAsia="宋体" w:cs="宋体"/>
          <w:b/>
          <w:bCs/>
          <w:color w:val="ff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ff0000"/>
          <w:sz w:val="24"/>
          <w:szCs w:val="24"/>
          <w:highlight w:val="none"/>
          <w:lang w:eastAsia="zh-CN"/>
        </w:rPr>
        <w:t xml:space="preserve">效投</w:t>
      </w:r>
      <w:r>
        <w:rPr>
          <w:rFonts w:hint="eastAsia" w:ascii="宋体" w:hAnsi="宋体" w:eastAsia="宋体" w:cs="宋体"/>
          <w:b/>
          <w:bCs/>
          <w:color w:val="ff0000"/>
          <w:sz w:val="24"/>
          <w:szCs w:val="24"/>
          <w:highlight w:val="none"/>
        </w:rPr>
        <w:t xml:space="preserve">标处理。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Theme="minorEastAsia" w:hAnsiTheme="minorEastAsia" w:eastAsiaTheme="minorEastAsia" w:cstheme="minorEastAsia"/>
          <w:color w:val="auto"/>
          <w:sz w:val="24"/>
          <w:szCs w:val="24"/>
          <w:highlight w:val="none"/>
          <w:lang w:eastAsia="zh-CN"/>
        </w:rPr>
        <w:t xml:space="preserve">按照</w:t>
      </w:r>
      <w:r>
        <w:rPr>
          <w:rFonts w:hint="eastAsia" w:asciiTheme="minorEastAsia" w:hAnsiTheme="minorEastAsia" w:eastAsiaTheme="minorEastAsia" w:cstheme="minorEastAsia"/>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keepLines w:val="0"/>
        <w:keepNext w:val="0"/>
        <w:pageBreakBefore w:val="0"/>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6.验收标准与要求</w:t>
      </w:r>
      <w:r/>
    </w:p>
    <w:p>
      <w:pPr>
        <w:ind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keepLines w:val="0"/>
        <w:keepNext w:val="0"/>
        <w:pageBreakBefore w:val="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要求如下（具体考核内容以所在社区实施为准）：</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w:t>
      </w:r>
      <w:r>
        <w:rPr>
          <w:rFonts w:hint="eastAsia" w:asciiTheme="minorEastAsia" w:hAnsiTheme="minorEastAsia" w:eastAsiaTheme="minorEastAsia" w:cstheme="minorEastAsia"/>
          <w:color w:val="auto"/>
          <w:sz w:val="24"/>
          <w:szCs w:val="24"/>
          <w:highlight w:val="none"/>
        </w:rPr>
        <w:t xml:space="preserve">考核方式</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按照季度考核的方式进行，季度考核实行分项打分确定成绩。</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6.2</w:t>
      </w:r>
      <w:r>
        <w:rPr>
          <w:rFonts w:hint="eastAsia" w:asciiTheme="minorEastAsia" w:hAnsiTheme="minorEastAsia" w:eastAsiaTheme="minorEastAsia" w:cstheme="minorEastAsia"/>
          <w:color w:val="auto"/>
          <w:sz w:val="24"/>
          <w:szCs w:val="24"/>
          <w:highlight w:val="none"/>
        </w:rPr>
        <w:t xml:space="preserve">考核内容  </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社区考核（100分）。由所在社区按照《鸿山街道物业服务企业物业管理工作考评表》，结合平时工作配合开展情况进行考核打分。</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）具体考核工作由社区按月按照物管办制定的考核标准《鸿山街道物业服务企业物业管理工作考评表》对中标单位进行考核，季度考核综合得分按照月度考核（社区牵头）的平均分计算</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6.3考核加减分原则</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街道物管办根据小区管理情况对季度考核实行加、减分项。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加分项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获区级书面通报表扬奖励的加2分，市级加3分，省级加5分，获得市优小区加5分，省优小区加10分，省宜居小区加15分。</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其他应加分项由社区和街道物管办核准并报相关领导确定</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）减分项</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①被区级及以上书面通报或检查曝光的小区减5分，市级减8分，省级减15分</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②当月因物业原因有效投诉满八条且整改不到位的双倍进行减分。</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④由物业公司管理不善，发生重大安全事故的减20分</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其他应减分项由社区和街道物管办核准并报相关领导确定</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6.4</w:t>
      </w:r>
      <w:r>
        <w:rPr>
          <w:rFonts w:hint="eastAsia" w:asciiTheme="minorEastAsia" w:hAnsiTheme="minorEastAsia" w:eastAsiaTheme="minorEastAsia" w:cstheme="minorEastAsia"/>
          <w:color w:val="auto"/>
          <w:sz w:val="24"/>
          <w:szCs w:val="24"/>
          <w:highlight w:val="none"/>
        </w:rPr>
        <w:t xml:space="preserve">考核结果运用</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季度考核分数90以上不减免服务费（含90分）；90分以下（不含90分），每分减免0.04元/㎡·季度；70分以下，第一次减免相应服务费并约谈法人，第二次减免相应服务费并终止合同。</w:t>
      </w:r>
      <w:r/>
    </w:p>
    <w:p>
      <w:pPr>
        <w:ind w:firstLine="482"/>
        <w:keepLines w:val="0"/>
        <w:keepNext w:val="0"/>
        <w:pageBreakBefore w:val="0"/>
        <w:spacing w:line="360" w:lineRule="auto"/>
        <w:rPr>
          <w:rFonts w:ascii="方正仿宋_GBK" w:eastAsia="方正仿宋_GBK" w:cs="Times New Roman"/>
          <w:b/>
          <w:bCs/>
          <w:color w:val="auto"/>
          <w:sz w:val="36"/>
          <w:szCs w:val="36"/>
          <w:highlight w:val="none"/>
        </w:rPr>
      </w:pPr>
      <w:r>
        <w:rPr>
          <w:rFonts w:hint="eastAsia" w:asciiTheme="minorEastAsia" w:hAnsiTheme="minorEastAsia" w:eastAsiaTheme="minorEastAsia" w:cstheme="minorEastAsia"/>
          <w:color w:val="auto"/>
          <w:sz w:val="24"/>
          <w:szCs w:val="24"/>
          <w:highlight w:val="none"/>
        </w:rPr>
        <w:t xml:space="preserve">每季度结算外包物业费，对服务费用进行减免，并附考核分数及奖扣金额明细。</w:t>
      </w:r>
      <w:r/>
    </w:p>
    <w:p>
      <w:pPr>
        <w:pStyle w:val="797"/>
        <w:jc w:val="center"/>
        <w:spacing w:line="560" w:lineRule="exact"/>
        <w:rPr>
          <w:rFonts w:ascii="方正仿宋_GBK" w:eastAsia="方正仿宋_GBK" w:cs="Times New Roman"/>
          <w:b/>
          <w:bCs/>
          <w:color w:val="auto"/>
          <w:sz w:val="36"/>
          <w:szCs w:val="36"/>
          <w:highlight w:val="none"/>
        </w:rPr>
      </w:pPr>
      <w:r>
        <w:rPr>
          <w:rFonts w:ascii="方正仿宋_GBK" w:eastAsia="方正仿宋_GBK" w:cs="Times New Roman"/>
          <w:b/>
          <w:bCs/>
          <w:color w:val="auto"/>
          <w:sz w:val="36"/>
          <w:szCs w:val="36"/>
          <w:highlight w:val="none"/>
        </w:rPr>
        <w:t xml:space="preserve">《鸿山街道物业服务企业物业管理工作考评表》</w:t>
      </w:r>
      <w:r/>
    </w:p>
    <w:p>
      <w:pPr>
        <w:ind w:firstLine="240"/>
        <w:jc w:val="lef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 </w:t>
      </w:r>
      <w:r>
        <w:rPr>
          <w:rFonts w:ascii="仿宋_GB2312" w:hAnsi="仿宋_GB2312" w:eastAsia="仿宋_GB2312" w:cs="仿宋_GB2312"/>
          <w:color w:val="auto"/>
          <w:sz w:val="24"/>
          <w:highlight w:val="none"/>
          <w:shd w:val="clear" w:color="auto" w:fill="ffffff"/>
        </w:rPr>
        <w:t xml:space="preserve">   小区名称：</w:t>
      </w:r>
      <w:r>
        <w:rPr>
          <w:rFonts w:hint="eastAsia" w:ascii="仿宋_GB2312" w:hAnsi="仿宋_GB2312" w:eastAsia="仿宋_GB2312" w:cs="仿宋_GB2312"/>
          <w:color w:val="auto"/>
          <w:sz w:val="24"/>
          <w:highlight w:val="none"/>
          <w:shd w:val="clear" w:color="auto" w:fill="ffffff"/>
        </w:rPr>
        <w:t xml:space="preserve"> </w:t>
      </w:r>
      <w:r>
        <w:rPr>
          <w:rFonts w:ascii="仿宋_GB2312" w:hAnsi="仿宋_GB2312" w:eastAsia="仿宋_GB2312" w:cs="仿宋_GB2312"/>
          <w:color w:val="auto"/>
          <w:sz w:val="24"/>
          <w:highlight w:val="none"/>
          <w:shd w:val="clear" w:color="auto" w:fill="ffffff"/>
        </w:rPr>
        <w:t xml:space="preserve">                                 考核季度：</w:t>
      </w:r>
      <w:r/>
    </w:p>
    <w:p>
      <w:pPr>
        <w:ind w:firstLine="720"/>
        <w:jc w:val="lef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物业服务企业名称：                          考评得分：</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jc w:val="center"/>
          <w:trHeight w:val="322"/>
        </w:trPr>
        <w:tc>
          <w:tcPr>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类别</w:t>
            </w:r>
            <w:r/>
          </w:p>
        </w:tc>
        <w:tc>
          <w:tcPr>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备注</w:t>
            </w:r>
            <w:r/>
          </w:p>
        </w:tc>
      </w:tr>
      <w:tr>
        <w:trPr>
          <w:jc w:val="center"/>
          <w:trHeight w:val="90"/>
        </w:trPr>
        <w:tc>
          <w:tcPr>
            <w:tcW w:w="774" w:type="dxa"/>
            <w:vMerge w:val="restart"/>
            <w:textDirection w:val="tbRlV"/>
            <w:noWrap w:val="false"/>
          </w:tcPr>
          <w:p>
            <w:pPr>
              <w:ind w:left="113" w:right="113"/>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20"/>
                <w:szCs w:val="21"/>
                <w:highlight w:val="none"/>
              </w:rPr>
              <w:t xml:space="preserve">物  业  管  理  住  宅  小  区  现  场  管  理</w:t>
            </w:r>
            <w:r/>
          </w:p>
        </w:tc>
        <w:tc>
          <w:tcPr>
            <w:tcW w:w="781"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公  共  环  境  管  理（50 分）</w:t>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10</w:t>
            </w:r>
            <w:r/>
          </w:p>
        </w:tc>
        <w:tc>
          <w:tcPr>
            <w:tcW w:w="2340" w:type="dxa"/>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(1)小区内垃圾成堆、杂物堆放、建筑垃圾无管控，堆放严重的。（发现一处扣1分）</w:t>
            </w:r>
            <w:r/>
          </w:p>
          <w:p>
            <w:pP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(2)有零星垃圾、落地包（地面或绿地）。（发现一处扣1分）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(3)小区内有乱牵挂、乱晾晒的。（发现一处扣1分)</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900"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1510"/>
        </w:trPr>
        <w:tc>
          <w:tcPr>
            <w:tcW w:w="774" w:type="dxa"/>
            <w:vMerge w:val="continue"/>
            <w:textDirection w:val="tbRlV"/>
            <w:noWrap w:val="false"/>
          </w:tcPr>
          <w:p>
            <w:pPr>
              <w:ind w:left="113" w:right="113"/>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781" w:type="dxa"/>
            <w:vAlign w:val="center"/>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设置合理合规的垃圾收集房和协助社区做好垃圾分类工作。垃圾分类房内外整洁。</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5</w:t>
            </w:r>
            <w:r/>
          </w:p>
        </w:tc>
        <w:tc>
          <w:tcPr>
            <w:tcW w:w="2340" w:type="dxa"/>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垃圾分类房内外不整洁，发现一处扣1分。</w:t>
            </w:r>
            <w:r/>
          </w:p>
        </w:tc>
        <w:tc>
          <w:tcPr>
            <w:tcW w:w="900"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1991"/>
        </w:trPr>
        <w:tc>
          <w:tcPr>
            <w:tcW w:w="774" w:type="dxa"/>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781" w:type="dxa"/>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道路、管线等公共设施完好；建筑物外立面完好整洁；电线电缆等设施安装管理规范，各类线缆排列不凌乱。</w:t>
            </w:r>
            <w:r/>
          </w:p>
        </w:tc>
        <w:tc>
          <w:tcPr>
            <w:tcMar>
              <w:left w:w="0" w:type="dxa"/>
              <w:top w:w="0" w:type="dxa"/>
              <w:right w:w="0" w:type="dxa"/>
              <w:bottom w:w="0" w:type="dxa"/>
            </w:tcMa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(1)道路破损，未及时修复。（发现一处扣0.5分）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(2)建筑外立面及公共设施有“三乱”小广告、飞线充电、线缆凌乱情形。（发现一处扣1分）</w:t>
            </w:r>
            <w:r/>
          </w:p>
        </w:tc>
        <w:tc>
          <w:tcPr>
            <w:tcW w:w="900"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1468"/>
        </w:trPr>
        <w:tc>
          <w:tcPr>
            <w:tcW w:w="774" w:type="dxa"/>
            <w:vAlign w:val="center"/>
            <w:vMerge w:val="continue"/>
            <w:textDirection w:val="tbRlV"/>
            <w:noWrap w:val="false"/>
          </w:tcPr>
          <w:p>
            <w:pPr>
              <w:ind w:left="113" w:right="113"/>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781"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小区内绿化定期养护，树木无死株和严重病害；草坪无大面积空秃。</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10</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(1)小区内绿化有枯死现象。(发现一处扣1分)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(2)小区绿地被破坏占绿毁绿种菜现象。(发现一处扣1分)</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549"/>
        </w:trPr>
        <w:tc>
          <w:tcPr>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781"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楼道定期清理保洁，无废沙发、垃圾、三乱和乱堆放杂物、车辆乱停放。地下车库、架空层干净整洁，无堆放、无积水、无车辆乱停放。</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20</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楼道内、架空层、地下车库垃圾未清理、乱堆放、车辆乱停放。（发现一处扣1分）</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481"/>
        </w:trPr>
        <w:tc>
          <w:tcPr>
            <w:tcW w:w="774"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物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业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管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理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住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宅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区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现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场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管</w:t>
            </w:r>
            <w:r/>
          </w:p>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20"/>
                <w:szCs w:val="21"/>
                <w:highlight w:val="none"/>
              </w:rPr>
              <w:t xml:space="preserve">      理  </w:t>
            </w:r>
            <w:r/>
          </w:p>
        </w:tc>
        <w:tc>
          <w:tcPr>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备注</w:t>
            </w:r>
            <w:r/>
          </w:p>
        </w:tc>
      </w:tr>
      <w:tr>
        <w:trPr>
          <w:jc w:val="center"/>
          <w:trHeight w:val="1865"/>
        </w:trPr>
        <w:tc>
          <w:tcPr>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781"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  区  秩  序  和  防  范（15分）</w:t>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小区内消防通道畅通，门岗、车库正常使用。监控室有专人24小时值班，人证合一，值班记录完整，视频监控设备完好。督促第三方电梯维保单位，对电梯维修、维保及保持电梯正常使用。</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(1)视频监控设施损坏。没有整改或者整改计划的。(发现一处扣0.5分)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(2)门岗无专人值班，脱岗、离岗、睡觉。(发现一处扣2分)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 (3)监控室无人值班，无值班记录，人证不合。(发现一处扣1分)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（4）电梯未及时维修、维保，影响正常使用的。（发现一次扣1分）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90"/>
        </w:trPr>
        <w:tc>
          <w:tcPr>
            <w:tcBorders>
              <w:bottom w:val="single" w:color="auto" w:sz="4" w:space="0"/>
            </w:tcBorders>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小区内无违法违章搭建、秩序良好，无车辆乱停乱放，无飞线充电，无占道经营等现象。严禁破坏原有房屋结构的群组现象，有专人巡查巡视。</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10</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（1）小区内新增违建现象未及时制止并上报。（发现一处扣1分）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（2）小区内停车秩序混乱，车辆乱停乱放。（发现一处扣1分）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（3）小区内有占道经营等现象堵塞消防通道。（发现一处扣1分）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（4）发现有破坏原有房屋结构的群租房。</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（发现一处扣1分）</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432"/>
        </w:trPr>
        <w:tc>
          <w:tcPr>
            <w:tcBorders>
              <w:bottom w:val="none" w:color="000000"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备注</w:t>
            </w:r>
            <w:r/>
          </w:p>
        </w:tc>
      </w:tr>
      <w:tr>
        <w:trPr>
          <w:jc w:val="center"/>
          <w:trHeight w:val="2152"/>
        </w:trPr>
        <w:tc>
          <w:tcPr>
            <w:tcBorders>
              <w:top w:val="none" w:color="000000" w:sz="4" w:space="0"/>
            </w:tcBorders>
            <w:tcW w:w="774"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物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业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管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理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住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宅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区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现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场  </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管</w:t>
            </w:r>
            <w:r/>
          </w:p>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20"/>
                <w:szCs w:val="21"/>
                <w:highlight w:val="none"/>
              </w:rPr>
              <w:t xml:space="preserve">      理</w:t>
            </w:r>
            <w:r/>
          </w:p>
        </w:tc>
        <w:tc>
          <w:tcPr>
            <w:tcW w:w="781"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管  理  服  务</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w:t>
            </w:r>
            <w:r>
              <w:rPr>
                <w:rFonts w:hint="eastAsia" w:asciiTheme="minorEastAsia" w:hAnsiTheme="minorEastAsia" w:eastAsiaTheme="minorEastAsia" w:cstheme="minorEastAsia"/>
                <w:color w:val="auto"/>
                <w:sz w:val="20"/>
                <w:szCs w:val="21"/>
                <w:highlight w:val="none"/>
                <w:lang w:val="en-US" w:eastAsia="zh-CN"/>
              </w:rPr>
              <w:t xml:space="preserve">9</w:t>
            </w:r>
            <w:r>
              <w:rPr>
                <w:rFonts w:hint="eastAsia" w:asciiTheme="minorEastAsia" w:hAnsiTheme="minorEastAsia" w:eastAsiaTheme="minorEastAsia" w:cstheme="minorEastAsia"/>
                <w:color w:val="auto"/>
                <w:sz w:val="20"/>
                <w:szCs w:val="21"/>
                <w:highlight w:val="none"/>
              </w:rPr>
              <w:t xml:space="preserve">分）</w:t>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小区服务人员队伍配备到位。项目经理有两年以上物业管理经验并持证上岗。物业人必须服装统一，挂牌上岗，仪表整洁规范，服务热情。</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5</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(1)服务人员配备不到位扣1分。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（2）无物业经理上岗证扣5分。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（3）服装不统一、未挂牌上岗扣0.5分</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2836"/>
        </w:trPr>
        <w:tc>
          <w:tcPr>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781" w:type="dxa"/>
            <w:vAlign w:val="center"/>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小区内公示物业服务内容，收费标准及物业服务收费收支情况，服务承诺和服务电话。每半年公示一次物业服务收支情况。各项管理制度</w:t>
            </w:r>
            <w:r>
              <w:rPr>
                <w:rFonts w:hint="eastAsia" w:asciiTheme="minorEastAsia" w:hAnsiTheme="minorEastAsia" w:eastAsiaTheme="minorEastAsia" w:cstheme="minorEastAsia"/>
                <w:color w:val="auto"/>
                <w:sz w:val="20"/>
                <w:szCs w:val="21"/>
                <w:highlight w:val="none"/>
                <w:lang w:eastAsia="zh-CN"/>
              </w:rPr>
              <w:t xml:space="preserve">台账健全</w:t>
            </w:r>
            <w:r>
              <w:rPr>
                <w:rFonts w:hint="eastAsia" w:asciiTheme="minorEastAsia" w:hAnsiTheme="minorEastAsia" w:eastAsiaTheme="minorEastAsia" w:cstheme="minorEastAsia"/>
                <w:color w:val="auto"/>
                <w:sz w:val="20"/>
                <w:szCs w:val="21"/>
                <w:highlight w:val="none"/>
              </w:rPr>
              <w:t xml:space="preserve">，并上墙公布，建立健全一户一档资料。有突发事件应急处理预案。</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（1）公示内容少1项扣0.5分。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(2)制度</w:t>
            </w:r>
            <w:r>
              <w:rPr>
                <w:rFonts w:hint="eastAsia" w:asciiTheme="minorEastAsia" w:hAnsiTheme="minorEastAsia" w:eastAsiaTheme="minorEastAsia" w:cstheme="minorEastAsia"/>
                <w:color w:val="auto"/>
                <w:sz w:val="20"/>
                <w:szCs w:val="21"/>
                <w:highlight w:val="none"/>
                <w:lang w:eastAsia="zh-CN"/>
              </w:rPr>
              <w:t xml:space="preserve">台账不健全</w:t>
            </w:r>
            <w:r>
              <w:rPr>
                <w:rFonts w:hint="eastAsia" w:asciiTheme="minorEastAsia" w:hAnsiTheme="minorEastAsia" w:eastAsiaTheme="minorEastAsia" w:cstheme="minorEastAsia"/>
                <w:color w:val="auto"/>
                <w:sz w:val="20"/>
                <w:szCs w:val="21"/>
                <w:highlight w:val="none"/>
              </w:rPr>
              <w:t xml:space="preserve">一项扣0.5分。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 </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1470"/>
        </w:trPr>
        <w:tc>
          <w:tcPr>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完成街道、社区安排、交办工作（创文、创卫、防疫、防汛、垃圾分类、小区市容环境卫生整治行动、消防安全整改、按时参加</w:t>
            </w:r>
            <w:r>
              <w:rPr>
                <w:rFonts w:hint="eastAsia" w:asciiTheme="minorEastAsia" w:hAnsiTheme="minorEastAsia" w:eastAsiaTheme="minorEastAsia" w:cstheme="minorEastAsia"/>
                <w:color w:val="auto"/>
                <w:sz w:val="20"/>
                <w:szCs w:val="21"/>
                <w:highlight w:val="none"/>
                <w:lang w:eastAsia="zh-CN"/>
              </w:rPr>
              <w:t xml:space="preserve">会议</w:t>
            </w:r>
            <w:r>
              <w:rPr>
                <w:rFonts w:hint="eastAsia" w:asciiTheme="minorEastAsia" w:hAnsiTheme="minorEastAsia" w:eastAsiaTheme="minorEastAsia" w:cstheme="minorEastAsia"/>
                <w:color w:val="auto"/>
                <w:sz w:val="20"/>
                <w:szCs w:val="21"/>
                <w:highlight w:val="none"/>
              </w:rPr>
              <w:t xml:space="preserve">、按照要求及时报送数据等）；及时整改媒体曝光问题、居民投诉等。</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5</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（1）未按时完成街道及社区安排、交办的相关工作一次扣2分；</w:t>
            </w:r>
            <w:r/>
          </w:p>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（2）被媒体曝光、居民投诉等未整改一次扣1分。</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2487"/>
        </w:trPr>
        <w:tc>
          <w:tcPr>
            <w:tcBorders>
              <w:bottom w:val="single" w:color="auto" w:sz="4" w:space="0"/>
            </w:tcBorders>
            <w:tcW w:w="774"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781" w:type="dxa"/>
            <w:vAlign w:val="center"/>
            <w:vMerge w:val="continue"/>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小区设置物业管理站，周一至周五8小时业务</w:t>
            </w:r>
            <w:r>
              <w:rPr>
                <w:rFonts w:hint="eastAsia" w:asciiTheme="minorEastAsia" w:hAnsiTheme="minorEastAsia" w:eastAsiaTheme="minorEastAsia" w:cstheme="minorEastAsia"/>
                <w:color w:val="auto"/>
                <w:sz w:val="20"/>
                <w:szCs w:val="21"/>
                <w:highlight w:val="none"/>
                <w:lang w:eastAsia="zh-CN"/>
              </w:rPr>
              <w:t xml:space="preserve">接待</w:t>
            </w:r>
            <w:r>
              <w:rPr>
                <w:rFonts w:hint="eastAsia" w:asciiTheme="minorEastAsia" w:hAnsiTheme="minorEastAsia" w:eastAsiaTheme="minorEastAsia" w:cstheme="minorEastAsia"/>
                <w:color w:val="auto"/>
                <w:sz w:val="20"/>
                <w:szCs w:val="21"/>
                <w:highlight w:val="none"/>
              </w:rPr>
              <w:t xml:space="preserve">，设立24小时值班服务电话，有完整的保修维修和回访记录。及时处理业主的合理诉求，无打骂业主等恶劣行为，小区无因物业管理而引起的群体性事件发生。</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7</w:t>
            </w:r>
            <w:r/>
          </w:p>
        </w:tc>
        <w:tc>
          <w:tcPr>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（1）无维修、维修回访记录扣1分。</w:t>
            </w:r>
            <w:r/>
          </w:p>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（2）未及时处理投诉、发生物业管理而引起群体性事件一次扣1分。</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630"/>
        </w:trPr>
        <w:tc>
          <w:tcPr>
            <w:tcBorders>
              <w:bottom w:val="none" w:color="000000"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小类</w:t>
            </w:r>
            <w:r/>
          </w:p>
        </w:tc>
        <w:tc>
          <w:tcPr>
            <w:tcW w:w="2096"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考核内容</w:t>
            </w:r>
            <w:r/>
          </w:p>
        </w:tc>
        <w:tc>
          <w:tcPr>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分值</w:t>
            </w:r>
            <w:r/>
          </w:p>
        </w:tc>
        <w:tc>
          <w:tcPr>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扣分内容</w:t>
            </w:r>
            <w:r/>
          </w:p>
        </w:tc>
        <w:tc>
          <w:tcPr>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得分</w:t>
            </w:r>
            <w:r/>
          </w:p>
        </w:tc>
        <w:tc>
          <w:tcPr>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备注</w:t>
            </w:r>
            <w:r/>
          </w:p>
        </w:tc>
      </w:tr>
      <w:tr>
        <w:trPr>
          <w:jc w:val="center"/>
          <w:trHeight w:val="1562"/>
        </w:trPr>
        <w:tc>
          <w:tcPr>
            <w:tcBorders>
              <w:top w:val="none" w:color="000000" w:sz="4" w:space="0"/>
              <w:bottom w:val="single" w:color="auto"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精细化</w:t>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投诉处理（8分）</w:t>
            </w:r>
            <w:r/>
          </w:p>
        </w:tc>
        <w:tc>
          <w:tcPr>
            <w:tcBorders>
              <w:bottom w:val="single" w:color="auto" w:sz="4" w:space="0"/>
            </w:tcBorders>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投诉处理</w:t>
            </w:r>
            <w:r/>
          </w:p>
        </w:tc>
        <w:tc>
          <w:tcPr>
            <w:tcBorders>
              <w:bottom w:val="single" w:color="auto" w:sz="4" w:space="0"/>
            </w:tcBorders>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8</w:t>
            </w:r>
            <w:r/>
          </w:p>
        </w:tc>
        <w:tc>
          <w:tcPr>
            <w:tcBorders>
              <w:bottom w:val="single" w:color="auto" w:sz="4" w:space="0"/>
            </w:tcBorders>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因物业公司原因导致12345有效投诉或者其他方式投诉的，有一次扣1分</w:t>
            </w:r>
            <w:r/>
          </w:p>
        </w:tc>
        <w:tc>
          <w:tcPr>
            <w:tcBorders>
              <w:bottom w:val="single" w:color="auto" w:sz="4" w:space="0"/>
            </w:tcBorders>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bottom w:val="single" w:color="auto" w:sz="4" w:space="0"/>
            </w:tcBorders>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1979"/>
        </w:trPr>
        <w:tc>
          <w:tcPr>
            <w:tcBorders>
              <w:bottom w:val="single" w:color="auto"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bottom w:val="single" w:color="auto" w:sz="4" w:space="0"/>
            </w:tcBorders>
            <w:tcW w:w="781"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满意度测评（8分）</w:t>
            </w:r>
            <w:r/>
          </w:p>
        </w:tc>
        <w:tc>
          <w:tcPr>
            <w:tcBorders>
              <w:bottom w:val="single" w:color="auto" w:sz="4" w:space="0"/>
            </w:tcBorders>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随机抽取小区居民进行测评，各小区不少于20人，居民满意度90%以上。</w:t>
            </w:r>
            <w:r/>
          </w:p>
        </w:tc>
        <w:tc>
          <w:tcPr>
            <w:tcBorders>
              <w:bottom w:val="single" w:color="auto" w:sz="4" w:space="0"/>
            </w:tcBorders>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8</w:t>
            </w:r>
            <w:r/>
          </w:p>
        </w:tc>
        <w:tc>
          <w:tcPr>
            <w:tcBorders>
              <w:bottom w:val="single" w:color="auto" w:sz="4" w:space="0"/>
            </w:tcBorders>
            <w:tcW w:w="234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每下降5%，扣0.5分，低于60%，不得分。</w:t>
            </w:r>
            <w:r/>
          </w:p>
        </w:tc>
        <w:tc>
          <w:tcPr>
            <w:tcBorders>
              <w:bottom w:val="single" w:color="auto" w:sz="4" w:space="0"/>
            </w:tcBorders>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bottom w:val="single" w:color="auto" w:sz="4" w:space="0"/>
            </w:tcBorders>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691"/>
        </w:trPr>
        <w:tc>
          <w:tcPr>
            <w:tcBorders>
              <w:right w:val="none" w:color="000000"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right w:val="none" w:color="000000" w:sz="4" w:space="0"/>
            </w:tcBorders>
            <w:tcW w:w="781" w:type="dxa"/>
            <w:vAlign w:val="center"/>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right w:val="none" w:color="000000" w:sz="4" w:space="0"/>
            </w:tcBorders>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加分项：</w:t>
            </w:r>
            <w:r>
              <w:rPr>
                <w:rFonts w:hint="eastAsia" w:asciiTheme="minorEastAsia" w:hAnsiTheme="minorEastAsia" w:eastAsiaTheme="minorEastAsia" w:cstheme="minorEastAsia"/>
                <w:color w:val="auto"/>
                <w:sz w:val="20"/>
                <w:szCs w:val="21"/>
                <w:highlight w:val="none"/>
                <w:u w:val="single"/>
              </w:rPr>
              <w:t xml:space="preserve">     </w:t>
            </w:r>
            <w:r>
              <w:rPr>
                <w:rFonts w:hint="eastAsia" w:asciiTheme="minorEastAsia" w:hAnsiTheme="minorEastAsia" w:eastAsiaTheme="minorEastAsia" w:cstheme="minorEastAsia"/>
                <w:color w:val="auto"/>
                <w:sz w:val="20"/>
                <w:szCs w:val="21"/>
                <w:highlight w:val="none"/>
              </w:rPr>
              <w:t xml:space="preserve">分</w:t>
            </w:r>
            <w:r/>
          </w:p>
        </w:tc>
        <w:tc>
          <w:tcPr>
            <w:tcBorders>
              <w:left w:val="none" w:color="000000" w:sz="4" w:space="0"/>
            </w:tcBorders>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right w:val="none" w:color="000000" w:sz="4" w:space="0"/>
            </w:tcBorders>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加分理由：</w:t>
            </w:r>
            <w:r/>
          </w:p>
        </w:tc>
        <w:tc>
          <w:tcPr>
            <w:tcBorders>
              <w:left w:val="none" w:color="000000" w:sz="4" w:space="0"/>
              <w:right w:val="none" w:color="000000" w:sz="4" w:space="0"/>
            </w:tcBorders>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tcBorders>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691"/>
        </w:trPr>
        <w:tc>
          <w:tcPr>
            <w:tcBorders>
              <w:bottom w:val="single" w:color="auto" w:sz="4" w:space="0"/>
              <w:right w:val="none" w:color="000000" w:sz="4" w:space="0"/>
            </w:tcBorders>
            <w:tcW w:w="774"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bottom w:val="single" w:color="auto" w:sz="4" w:space="0"/>
              <w:right w:val="none" w:color="000000" w:sz="4" w:space="0"/>
            </w:tcBorders>
            <w:tcW w:w="781" w:type="dxa"/>
            <w:vAlign w:val="center"/>
            <w:textDirection w:val="tbRlV"/>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bottom w:val="single" w:color="auto" w:sz="4" w:space="0"/>
              <w:right w:val="none" w:color="000000" w:sz="4" w:space="0"/>
            </w:tcBorders>
            <w:tcW w:w="2096"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减分项：</w:t>
            </w:r>
            <w:r>
              <w:rPr>
                <w:rFonts w:hint="eastAsia" w:asciiTheme="minorEastAsia" w:hAnsiTheme="minorEastAsia" w:eastAsiaTheme="minorEastAsia" w:cstheme="minorEastAsia"/>
                <w:color w:val="auto"/>
                <w:sz w:val="20"/>
                <w:szCs w:val="21"/>
                <w:highlight w:val="none"/>
                <w:u w:val="single"/>
              </w:rPr>
              <w:t xml:space="preserve">     </w:t>
            </w:r>
            <w:r>
              <w:rPr>
                <w:rFonts w:hint="eastAsia" w:asciiTheme="minorEastAsia" w:hAnsiTheme="minorEastAsia" w:eastAsiaTheme="minorEastAsia" w:cstheme="minorEastAsia"/>
                <w:color w:val="auto"/>
                <w:sz w:val="20"/>
                <w:szCs w:val="21"/>
                <w:highlight w:val="none"/>
              </w:rPr>
              <w:t xml:space="preserve">分</w:t>
            </w:r>
            <w:r/>
          </w:p>
        </w:tc>
        <w:tc>
          <w:tcPr>
            <w:tcBorders>
              <w:left w:val="none" w:color="000000" w:sz="4" w:space="0"/>
              <w:bottom w:val="single" w:color="auto" w:sz="4" w:space="0"/>
            </w:tcBorders>
            <w:tcW w:w="753"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bottom w:val="single" w:color="auto" w:sz="4" w:space="0"/>
              <w:right w:val="none" w:color="000000" w:sz="4" w:space="0"/>
            </w:tcBorders>
            <w:tcW w:w="2340"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减分理由：</w:t>
            </w:r>
            <w:r/>
          </w:p>
        </w:tc>
        <w:tc>
          <w:tcPr>
            <w:tcBorders>
              <w:left w:val="none" w:color="000000" w:sz="4" w:space="0"/>
              <w:bottom w:val="single" w:color="auto" w:sz="4" w:space="0"/>
              <w:right w:val="none" w:color="000000" w:sz="4" w:space="0"/>
            </w:tcBorders>
            <w:tcW w:w="900"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c>
          <w:tcPr>
            <w:tcBorders>
              <w:left w:val="none" w:color="000000" w:sz="4" w:space="0"/>
              <w:bottom w:val="single" w:color="auto" w:sz="4" w:space="0"/>
            </w:tcBorders>
            <w:tcW w:w="878"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tc>
      </w:tr>
      <w:tr>
        <w:trPr>
          <w:jc w:val="center"/>
          <w:trHeight w:val="691"/>
        </w:trPr>
        <w:tc>
          <w:tcPr>
            <w:gridSpan w:val="7"/>
            <w:tcBorders>
              <w:bottom w:val="single" w:color="auto" w:sz="4" w:space="0"/>
            </w:tcBorders>
            <w:tcW w:w="8522"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t xml:space="preserve">项目总得分：</w:t>
            </w:r>
            <w:r>
              <w:rPr>
                <w:rFonts w:hint="eastAsia" w:asciiTheme="minorEastAsia" w:hAnsiTheme="minorEastAsia" w:eastAsiaTheme="minorEastAsia" w:cstheme="minorEastAsia"/>
                <w:color w:val="auto"/>
                <w:sz w:val="20"/>
                <w:szCs w:val="21"/>
                <w:highlight w:val="none"/>
                <w:u w:val="single"/>
              </w:rPr>
              <w:t xml:space="preserve">     </w:t>
            </w:r>
            <w:r>
              <w:rPr>
                <w:rFonts w:hint="eastAsia" w:asciiTheme="minorEastAsia" w:hAnsiTheme="minorEastAsia" w:eastAsiaTheme="minorEastAsia" w:cstheme="minorEastAsia"/>
                <w:color w:val="auto"/>
                <w:sz w:val="20"/>
                <w:szCs w:val="21"/>
                <w:highlight w:val="none"/>
              </w:rPr>
              <w:t xml:space="preserve">分</w:t>
            </w:r>
            <w:r/>
          </w:p>
        </w:tc>
      </w:tr>
      <w:tr>
        <w:trPr>
          <w:jc w:val="center"/>
          <w:trHeight w:val="691"/>
        </w:trPr>
        <w:tc>
          <w:tcPr>
            <w:gridSpan w:val="7"/>
            <w:tcBorders>
              <w:top w:val="single" w:color="auto" w:sz="4" w:space="0"/>
              <w:left w:val="none" w:color="000000" w:sz="4" w:space="0"/>
              <w:bottom w:val="none" w:color="000000" w:sz="4" w:space="0"/>
              <w:right w:val="none" w:color="000000" w:sz="4" w:space="0"/>
            </w:tcBorders>
            <w:tcW w:w="8522" w:type="dxa"/>
            <w:vAlign w:val="center"/>
            <w:textDirection w:val="lrTb"/>
            <w:noWrap w:val="false"/>
          </w:tcPr>
          <w:p>
            <w:pP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spacing w:after="0" w:line="240" w:lineRule="auto"/>
              <w:widowControl/>
              <w:rPr>
                <w:rFonts w:hint="eastAsia" w:asciiTheme="minorEastAsia" w:hAnsiTheme="minorEastAsia" w:eastAsiaTheme="minorEastAsia" w:cstheme="minorEastAsia"/>
                <w:color w:val="auto"/>
                <w:sz w:val="20"/>
                <w:szCs w:val="21"/>
                <w:highlight w:val="none"/>
              </w:rPr>
            </w:pPr>
            <w:r>
              <w:rPr>
                <w:rFonts w:hint="eastAsia" w:asciiTheme="minorEastAsia" w:hAnsiTheme="minorEastAsia" w:eastAsiaTheme="minorEastAsia" w:cstheme="minorEastAsia"/>
                <w:color w:val="auto"/>
                <w:sz w:val="20"/>
                <w:szCs w:val="21"/>
                <w:highlight w:val="none"/>
              </w:rPr>
            </w:r>
            <w:r/>
          </w:p>
          <w:p>
            <w:pPr>
              <w:spacing w:after="0" w:line="240" w:lineRule="auto"/>
              <w:widowControl/>
              <w:rPr>
                <w:rFonts w:hint="eastAsia" w:asciiTheme="minorEastAsia" w:hAnsiTheme="minorEastAsia" w:eastAsiaTheme="minorEastAsia" w:cstheme="minorEastAsia"/>
                <w:b/>
                <w:color w:val="auto"/>
                <w:sz w:val="20"/>
                <w:szCs w:val="21"/>
                <w:highlight w:val="none"/>
              </w:rPr>
            </w:pPr>
            <w:r>
              <w:rPr>
                <w:rFonts w:hint="eastAsia" w:asciiTheme="minorEastAsia" w:hAnsiTheme="minorEastAsia" w:eastAsiaTheme="minorEastAsia" w:cstheme="minorEastAsia"/>
                <w:b/>
                <w:color w:val="auto"/>
                <w:sz w:val="20"/>
                <w:szCs w:val="21"/>
                <w:highlight w:val="none"/>
              </w:rPr>
              <w:t xml:space="preserve">考核人员：                                                 日期：</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物业管理人员考核标准及要求：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物业经理要求：拟派物业经理中标后须常驻本项目现场，不得兼任</w:t>
      </w:r>
      <w:r>
        <w:rPr>
          <w:rFonts w:hint="eastAsia" w:ascii="宋体" w:hAnsi="宋体" w:eastAsia="宋体" w:cs="宋体"/>
          <w:color w:val="auto"/>
          <w:sz w:val="24"/>
          <w:szCs w:val="24"/>
          <w:highlight w:val="none"/>
          <w:lang w:eastAsia="zh-CN"/>
        </w:rPr>
        <w:t xml:space="preserve">其他物业</w:t>
      </w:r>
      <w:r>
        <w:rPr>
          <w:rFonts w:hint="eastAsia" w:ascii="宋体" w:hAnsi="宋体" w:eastAsia="宋体" w:cs="宋体"/>
          <w:color w:val="auto"/>
          <w:sz w:val="24"/>
          <w:szCs w:val="24"/>
          <w:highlight w:val="none"/>
        </w:rPr>
        <w:t xml:space="preserve">经理。如果乙方未经甲方同意，更换已选定的物业经理，须向甲方支付违约金人民币壹拾万元/人次（￥100，000）。</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中标方所派驻所有人员不得缺岗，缺编一人罚款按照五人工资标准进行核算，并扣10分处理。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业主违反合同的约定，使中标人未完成规定管理目标，中标人有权要求业主在一定期限内解决，逾期未解决的，中标人有权终止合同，造成中标人经济损失的，业主给予中标人经济赔偿。</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中标人违反合同的约定，未能达到约定的管理目标，业主有权要求中标人限期整改，逾期未整改的，业主有权终止合同，造成业主经济损失的，中标人应给予业主赔偿。</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现场物管人员迟到、早退的，责令当事人限期改正：中标人应承担50-200元／人／次违约金。</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现场物管人员睡岗的，中标人应承担50-200元／人／次违约金。现场物管人员脱岗的，中标人应承担100-300元／人／次违约金。</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做好宣传警示工作，安排固定劝导员劝导居民有序定时定点投放，如遇区级主管部门考核不通过，中标人应承担1000-3000元／次违约金处罚。</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管理小区获得省优的，一次性奖励20万元，获得市优的，一次性奖励10万元。管理小区一年内获得一次区级书面通报表扬奖励</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一次性奖励2万元，二次获得的一次性奖励5万元，三次获得的一次性奖励10万元。获得市级书面通报表扬奖励的一次奖励5万元，二次获得的一次性奖励10万元。管理小区一年内一次</w:t>
      </w:r>
      <w:r>
        <w:rPr>
          <w:rFonts w:hint="eastAsia" w:ascii="宋体" w:hAnsi="宋体" w:eastAsia="宋体" w:cs="宋体"/>
          <w:color w:val="auto"/>
          <w:sz w:val="24"/>
          <w:szCs w:val="24"/>
          <w:highlight w:val="none"/>
          <w:lang w:val="en-US" w:eastAsia="zh-CN"/>
        </w:rPr>
        <w:t xml:space="preserve">获得</w:t>
      </w:r>
      <w:r>
        <w:rPr>
          <w:rFonts w:hint="eastAsia" w:ascii="宋体" w:hAnsi="宋体" w:eastAsia="宋体" w:cs="宋体"/>
          <w:color w:val="auto"/>
          <w:sz w:val="24"/>
          <w:szCs w:val="24"/>
          <w:highlight w:val="none"/>
        </w:rPr>
        <w:t xml:space="preserve">区级及以上书面通报或检查曝光的扣款5万元，二次获得的扣款20万元，三次获得的直接解除合同。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如果发现有违法搭建，中标的物业公司要及时制止并在第一时间告知所属社区，并采取一定的措施。并在甲方规定的时间内拆除，如不及时拆除，有一处违法搭建扣除物业费5000元</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注：以上罚款皆从当季的物业费中直接扣除。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6.7合同解除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如有下列情形之一，采购人将按法律程序进行处理：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（1）因管理服务不到位，出现较大安全事故，造成社会影响的；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（2）住户对物业服务出现群体性投诉、上访，而得不到有效解决，造成社区不稳定因素的；</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（3）年终业主满意度低于60%的。</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.1以下相关费用由供应商承担：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（1）物业管理的维护和保养：</w:t>
      </w:r>
      <w:r>
        <w:rPr>
          <w:rFonts w:hint="default" w:ascii="宋体" w:hAnsi="宋体" w:eastAsia="宋体"/>
          <w:color w:val="auto"/>
          <w:sz w:val="24"/>
          <w:szCs w:val="24"/>
          <w:highlight w:val="none"/>
          <w:lang w:val="en-US" w:eastAsia="zh-CN"/>
        </w:rPr>
        <w:t xml:space="preserve">按照无锡市行业修理规范标准，凡属房屋基础性、结构性的维修外，维修费用由承包方承担（中标单位入驻前存在的原有问题除外）。对已维修、维保的项目内容（质量）必须符合规范要求，费用由中标方承担。（具体以街道实施办法为准）：</w:t>
      </w:r>
      <w:r/>
    </w:p>
    <w:p>
      <w:pPr>
        <w:ind w:firstLine="48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（2）物业费用有关说明：</w:t>
      </w:r>
      <w:r>
        <w:rPr>
          <w:rFonts w:hint="default" w:ascii="宋体" w:hAnsi="宋体" w:eastAsia="宋体"/>
          <w:color w:val="auto"/>
          <w:sz w:val="24"/>
          <w:szCs w:val="24"/>
          <w:highlight w:val="none"/>
          <w:lang w:val="en-US" w:eastAsia="zh-CN"/>
        </w:rPr>
        <w:t xml:space="preserve">物业费包括但不限于安置小区公共服务费；绿化养护费；卫生保洁所需的工具、耗材（包括保洁车）；秩序维护人员所需的统一着装（着保安服、系武装带，戴保安帽）及安全护卫工具和警用器材；房屋和共用设施设备的维护保养费用；公共电能耗及公共水能耗费；垃圾分类（政策）服务；国家法定节假日（元旦、春节、 清明、“五一”、端午、“十一”、中秋）加班费及高温期间高温岗位高温费；工具和各类</w:t>
      </w:r>
      <w:r>
        <w:rPr>
          <w:rFonts w:hint="default" w:ascii="宋体" w:hAnsi="宋体" w:eastAsia="宋体"/>
          <w:color w:val="auto"/>
          <w:sz w:val="24"/>
          <w:szCs w:val="24"/>
          <w:highlight w:val="none"/>
          <w:lang w:val="en-US" w:eastAsia="zh-CN"/>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p>
    <w:p>
      <w:pPr>
        <w:ind w:firstLine="480"/>
        <w:keepLines w:val="0"/>
        <w:keepNext w:val="0"/>
        <w:pageBreakBefore w:val="0"/>
        <w:spacing w:line="360" w:lineRule="auto"/>
        <w:widowControl w:val="off"/>
        <w:rPr>
          <w:rFonts w:hint="default" w:ascii="宋体" w:hAnsi="宋体" w:eastAsia="宋体"/>
          <w:b/>
          <w:bCs/>
          <w:color w:val="auto"/>
          <w:sz w:val="24"/>
          <w:szCs w:val="24"/>
          <w:highlight w:val="none"/>
          <w:lang w:val="en-US" w:eastAsia="zh-CN"/>
        </w:rPr>
      </w:pPr>
      <w:r>
        <w:rPr>
          <w:rFonts w:hint="default" w:ascii="宋体" w:hAnsi="宋体" w:eastAsia="宋体"/>
          <w:b/>
          <w:bCs/>
          <w:color w:val="auto"/>
          <w:sz w:val="24"/>
          <w:szCs w:val="24"/>
          <w:highlight w:val="none"/>
          <w:lang w:val="en-US" w:eastAsia="zh-CN"/>
        </w:rPr>
        <w:t xml:space="preserve">以上费用须严格按国家、省、市相关最新政策规定和本项目招标的要求计算并报出，否则作无效投标处理。</w:t>
      </w:r>
      <w:r/>
    </w:p>
    <w:p>
      <w:pPr>
        <w:ind w:firstLine="48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p>
    <w:p>
      <w:pPr>
        <w:ind w:firstLine="48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7.3物业服务费由中标人每月出具当地税务正规发票按实结算。经区相关部门审核批准后，对已经上市交易的房屋的物业费收缴工作由中标单位负责。</w:t>
      </w:r>
      <w:r/>
    </w:p>
    <w:p>
      <w:pPr>
        <w:ind w:firstLine="480"/>
        <w:keepLines w:val="0"/>
        <w:keepNext w:val="0"/>
        <w:pageBreakBefore w:val="0"/>
        <w:spacing w:line="360" w:lineRule="auto"/>
        <w:widowControl w:val="off"/>
        <w:rPr>
          <w:rFonts w:ascii="宋体" w:hAnsi="宋体" w:eastAsia="宋体" w:cs="宋体"/>
          <w:sz w:val="24"/>
          <w:szCs w:val="24"/>
          <w:highlight w:val="none"/>
        </w:rPr>
      </w:pPr>
      <w:r>
        <w:rPr>
          <w:rFonts w:hint="default" w:ascii="宋体" w:hAnsi="宋体" w:eastAsia="宋体"/>
          <w:color w:val="auto"/>
          <w:sz w:val="24"/>
          <w:szCs w:val="24"/>
          <w:highlight w:val="none"/>
          <w:lang w:val="en-US" w:eastAsia="zh-CN"/>
        </w:rPr>
        <w:t xml:space="preserve">7.4配合社区做好所管区域内城市精细化长效管理、外来人员管理、房屋租赁管理、汛期防汛、小区各类创建、文体活动秩序维护等工作。充分利用互联网＋，打造物业维修、呼叫物业、便民服务、智能门禁、智能楼宇管理等智慧物业运</w:t>
      </w:r>
      <w:r>
        <w:rPr>
          <w:rFonts w:hint="eastAsia" w:ascii="宋体" w:hAnsi="宋体" w:eastAsia="宋体" w:cs="宋体"/>
          <w:sz w:val="24"/>
          <w:szCs w:val="24"/>
          <w:highlight w:val="none"/>
        </w:rPr>
        <w:t xml:space="preserve">社区活动接待等费用等均由中标人负责提供，所需费用包含在投标报价中。</w:t>
      </w:r>
      <w:r/>
    </w:p>
    <w:p>
      <w:pPr>
        <w:ind w:firstLine="48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8.关于中标后项目进行分包的情况</w:t>
      </w:r>
      <w:r/>
    </w:p>
    <w:p>
      <w:pPr>
        <w:ind w:firstLine="480"/>
        <w:spacing w:line="360" w:lineRule="auto"/>
        <w:rPr>
          <w:rFonts w:ascii="宋体" w:hAnsi="宋体"/>
          <w:bCs/>
          <w:color w:val="auto"/>
          <w:sz w:val="24"/>
          <w:szCs w:val="24"/>
        </w:rPr>
      </w:pPr>
      <w:r>
        <w:rPr>
          <w:rFonts w:hint="eastAsia" w:ascii="宋体" w:hAnsi="宋体"/>
          <w:bCs/>
          <w:sz w:val="24"/>
          <w:szCs w:val="24"/>
        </w:rPr>
        <w:t xml:space="preserve">（1）分包</w:t>
      </w:r>
      <w:r>
        <w:rPr>
          <w:rFonts w:hint="eastAsia" w:ascii="宋体" w:hAnsi="宋体"/>
          <w:bCs/>
          <w:color w:val="auto"/>
          <w:sz w:val="24"/>
          <w:szCs w:val="24"/>
        </w:rPr>
        <w:t xml:space="preserve">内容及要求</w:t>
      </w:r>
      <w:r/>
    </w:p>
    <w:p>
      <w:pPr>
        <w:ind w:firstLine="480"/>
        <w:spacing w:line="360" w:lineRule="auto"/>
        <w:rPr>
          <w:rFonts w:ascii="宋体" w:hAnsi="宋体"/>
          <w:bCs/>
          <w:sz w:val="24"/>
          <w:szCs w:val="24"/>
        </w:rPr>
      </w:pPr>
      <w:r>
        <w:rPr>
          <w:rFonts w:hint="eastAsia" w:ascii="宋体" w:hAnsi="宋体"/>
          <w:bCs/>
          <w:color w:val="auto"/>
          <w:sz w:val="24"/>
          <w:szCs w:val="24"/>
        </w:rPr>
        <w:t xml:space="preserve">本项目中的电梯系统维保（年检费用不含在内），</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【分包事项1】</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分包具体内容：电梯系统维保</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分包金额或比例：不超过预算金额6%</w:t>
      </w:r>
      <w:r/>
    </w:p>
    <w:p>
      <w:pPr>
        <w:ind w:firstLine="480"/>
        <w:keepLines w:val="0"/>
        <w:keepNext w:val="0"/>
        <w:pageBreakBefore w:val="0"/>
        <w:spacing w:line="360" w:lineRule="auto"/>
        <w:widowControl w:val="off"/>
        <w:rPr>
          <w:rFonts w:hint="eastAsia" w:eastAsia="宋体"/>
          <w:lang w:val="en-US" w:eastAsia="zh-CN"/>
        </w:rPr>
      </w:pPr>
      <w:r>
        <w:rPr>
          <w:rFonts w:hint="eastAsia" w:ascii="宋体" w:hAnsi="宋体"/>
          <w:bCs/>
          <w:color w:val="auto"/>
          <w:sz w:val="24"/>
          <w:szCs w:val="24"/>
          <w:highlight w:val="none"/>
        </w:rPr>
        <w:t xml:space="preserve">投标人或分包供应商资质条件：</w:t>
      </w:r>
      <w:r>
        <w:rPr>
          <w:rFonts w:hint="eastAsia" w:asciiTheme="minorEastAsia" w:hAnsiTheme="minorEastAsia" w:eastAsiaTheme="minorEastAsia" w:cstheme="minorEastAsia"/>
          <w:bCs/>
          <w:color w:val="000000"/>
          <w:sz w:val="24"/>
          <w:szCs w:val="24"/>
          <w:highlight w:val="none"/>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525" w:leader="none"/>
          <w:tab w:val="clear" w:pos="780"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p>
    <w:p>
      <w:pPr>
        <w:numPr>
          <w:ilvl w:val="1"/>
          <w:numId w:val="10"/>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10"/>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服务期限：三年（具体起始日期以合同签订日期为准）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付款方式：物业服务费按季度支付，第二季度次月中旬根据《小区物业管理考核标准》，结合小区物业服务考核结果，支付第一季度费用，以此类推。</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本项目合同履行地点：鸿欣苑。中标方必须按采购人要求将本项目中货物送到指定地点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w:t>
      </w:r>
      <w:r>
        <w:rPr>
          <w:rFonts w:hint="eastAsia" w:ascii="宋体" w:hAnsi="宋体"/>
          <w:bCs/>
          <w:color w:val="000000"/>
          <w:sz w:val="24"/>
          <w:highlight w:val="none"/>
        </w:rPr>
        <w:t xml:space="preserve">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5"/>
        <w:spacing w:before="0" w:after="0" w:line="500" w:lineRule="exact"/>
        <w:rPr>
          <w:rFonts w:hint="eastAsia" w:cs="Arial"/>
        </w:rPr>
      </w:pPr>
      <w:r>
        <w:rPr>
          <w:rFonts w:hint="eastAsia" w:cs="Arial"/>
        </w:rPr>
        <w:t xml:space="preserve">投标人通过初审的，方可进入比较与评价程序。</w:t>
      </w:r>
      <w:r/>
    </w:p>
    <w:p>
      <w:pPr>
        <w:pStyle w:val="765"/>
        <w:spacing w:before="0" w:after="0" w:line="500" w:lineRule="exact"/>
        <w:rPr>
          <w:rFonts w:hint="eastAsia" w:cs="Arial"/>
        </w:rPr>
      </w:pPr>
      <w:r>
        <w:rPr>
          <w:rFonts w:hint="eastAsia" w:cs="Arial"/>
        </w:rPr>
        <w:t xml:space="preserve">比较与评价采用综合评分法。</w:t>
      </w:r>
      <w:r/>
    </w:p>
    <w:p>
      <w:pPr>
        <w:pStyle w:val="765"/>
        <w:spacing w:before="0" w:after="0" w:line="500" w:lineRule="exact"/>
        <w:rPr>
          <w:rStyle w:val="72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w:t>
      </w:r>
      <w:r>
        <w:rPr>
          <w:rFonts w:hint="eastAsia" w:ascii="宋体" w:hAnsi="宋体"/>
          <w:bCs/>
          <w:sz w:val="24"/>
          <w:szCs w:val="24"/>
        </w:rPr>
        <w:t xml:space="preserve">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5"/>
        <w:ind w:left="0" w:firstLine="0"/>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p>
    <w:p>
      <w:pPr>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5"/>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18</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（1）拟配物业经理（3分）：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①具有</w:t>
      </w:r>
      <w:r>
        <w:rPr>
          <w:rFonts w:hint="eastAsia" w:asciiTheme="minorEastAsia" w:hAnsiTheme="minorEastAsia" w:eastAsiaTheme="minorEastAsia" w:cstheme="minorEastAsia"/>
          <w:sz w:val="24"/>
          <w:highlight w:val="none"/>
          <w:lang w:val="en-US" w:eastAsia="zh-CN"/>
        </w:rPr>
        <w:t xml:space="preserve">大专</w:t>
      </w:r>
      <w:r>
        <w:rPr>
          <w:rFonts w:hint="eastAsia" w:asciiTheme="minorEastAsia" w:hAnsiTheme="minorEastAsia" w:eastAsiaTheme="minorEastAsia" w:cstheme="minorEastAsia"/>
          <w:sz w:val="24"/>
          <w:highlight w:val="none"/>
        </w:rPr>
        <w:t xml:space="preserve">及以上学历的，</w:t>
      </w:r>
      <w:r>
        <w:rPr>
          <w:rFonts w:hint="eastAsia" w:asciiTheme="minorEastAsia" w:hAnsiTheme="minorEastAsia" w:eastAsiaTheme="minorEastAsia" w:cstheme="minorEastAsia"/>
          <w:sz w:val="24"/>
          <w:highlight w:val="none"/>
          <w:lang w:val="en-US" w:eastAsia="zh-CN"/>
        </w:rPr>
        <w:t xml:space="preserve">持有</w:t>
      </w:r>
      <w:r>
        <w:rPr>
          <w:rFonts w:hint="eastAsia" w:asciiTheme="minorEastAsia" w:hAnsiTheme="minorEastAsia" w:eastAsiaTheme="minorEastAsia" w:cstheme="minorEastAsia"/>
          <w:color w:val="auto"/>
          <w:sz w:val="24"/>
          <w:szCs w:val="24"/>
          <w:highlight w:val="none"/>
        </w:rPr>
        <w:t xml:space="preserve">具备</w:t>
      </w:r>
      <w:r>
        <w:rPr>
          <w:rFonts w:hint="eastAsia" w:asciiTheme="minorEastAsia" w:hAnsiTheme="minorEastAsia" w:eastAsiaTheme="minorEastAsia" w:cstheme="minorEastAsia"/>
          <w:color w:val="auto"/>
          <w:sz w:val="24"/>
          <w:szCs w:val="24"/>
          <w:highlight w:val="none"/>
          <w:lang w:val="en-US" w:eastAsia="zh-CN"/>
        </w:rPr>
        <w:t xml:space="preserve">物业管理师职业资格证书（技能等级证书）</w:t>
      </w:r>
      <w:r>
        <w:rPr>
          <w:rFonts w:hint="eastAsia" w:asciiTheme="minorEastAsia" w:hAnsiTheme="minorEastAsia" w:eastAsiaTheme="minorEastAsia" w:cstheme="minorEastAsia"/>
          <w:sz w:val="24"/>
          <w:highlight w:val="none"/>
        </w:rPr>
        <w:t xml:space="preserve">的</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得1分；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②具有</w:t>
      </w:r>
      <w:r>
        <w:rPr>
          <w:rFonts w:hint="eastAsia" w:asciiTheme="minorEastAsia" w:hAnsiTheme="minorEastAsia" w:eastAsiaTheme="minorEastAsia" w:cstheme="minorEastAsia"/>
          <w:sz w:val="24"/>
          <w:highlight w:val="none"/>
          <w:lang w:val="en-US" w:eastAsia="zh-CN"/>
        </w:rPr>
        <w:t xml:space="preserve">行政主管部门颁发的</w:t>
      </w:r>
      <w:r>
        <w:rPr>
          <w:rFonts w:hint="eastAsia" w:asciiTheme="minorEastAsia" w:hAnsiTheme="minorEastAsia" w:eastAsiaTheme="minorEastAsia" w:cstheme="minorEastAsia"/>
          <w:sz w:val="24"/>
          <w:highlight w:val="none"/>
        </w:rPr>
        <w:t xml:space="preserve">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sz w:val="24"/>
          <w:highlight w:val="none"/>
        </w:rPr>
        <w:t xml:space="preserve">消防设施操作员</w:t>
      </w:r>
      <w:r>
        <w:rPr>
          <w:rFonts w:hint="eastAsia" w:asciiTheme="minorEastAsia" w:hAnsiTheme="minorEastAsia" w:eastAsiaTheme="minorEastAsia" w:cstheme="minorEastAsia"/>
          <w:sz w:val="24"/>
          <w:highlight w:val="none"/>
          <w:lang w:val="en-US" w:eastAsia="zh-CN"/>
        </w:rPr>
        <w:t xml:space="preserve">或</w:t>
      </w:r>
      <w:r>
        <w:rPr>
          <w:rFonts w:hint="eastAsia" w:asciiTheme="minorEastAsia" w:hAnsiTheme="minorEastAsia" w:eastAsiaTheme="minorEastAsia" w:cstheme="minorEastAsia"/>
          <w:sz w:val="24"/>
          <w:highlight w:val="none"/>
        </w:rPr>
        <w:t xml:space="preserve">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bCs/>
          <w:color w:val="auto"/>
          <w:sz w:val="24"/>
          <w:highlight w:val="none"/>
        </w:rPr>
        <w:t xml:space="preserve">建（构）筑物消防员</w:t>
      </w:r>
      <w:r>
        <w:rPr>
          <w:rFonts w:hint="eastAsia" w:asciiTheme="minorEastAsia" w:hAnsiTheme="minorEastAsia" w:eastAsiaTheme="minorEastAsia" w:cstheme="minorEastAsia"/>
          <w:bCs/>
          <w:color w:val="auto"/>
          <w:sz w:val="24"/>
          <w:highlight w:val="none"/>
          <w:lang w:val="en-US" w:eastAsia="zh-CN"/>
        </w:rPr>
        <w:t xml:space="preserve">证书</w:t>
      </w:r>
      <w:r>
        <w:rPr>
          <w:rFonts w:hint="eastAsia" w:asciiTheme="minorEastAsia" w:hAnsiTheme="minorEastAsia" w:eastAsiaTheme="minorEastAsia" w:cstheme="minorEastAsia"/>
          <w:sz w:val="24"/>
          <w:highlight w:val="none"/>
          <w:lang w:val="en-US" w:eastAsia="zh-CN"/>
        </w:rPr>
        <w:t xml:space="preserve">的</w:t>
      </w:r>
      <w:r>
        <w:rPr>
          <w:rFonts w:hint="eastAsia" w:asciiTheme="minorEastAsia" w:hAnsiTheme="minorEastAsia" w:eastAsiaTheme="minorEastAsia" w:cstheme="minorEastAsia"/>
          <w:sz w:val="24"/>
          <w:highlight w:val="none"/>
        </w:rPr>
        <w:t xml:space="preserve">，得1分；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w:t>
      </w:r>
      <w:r>
        <w:rPr>
          <w:rFonts w:hint="eastAsia" w:asciiTheme="minorEastAsia" w:hAnsiTheme="minorEastAsia" w:eastAsiaTheme="minorEastAsia" w:cstheme="minorEastAsia"/>
          <w:sz w:val="24"/>
          <w:highlight w:val="none"/>
          <w:lang w:val="zh-CN"/>
        </w:rPr>
        <w:t xml:space="preserve">具有</w:t>
      </w:r>
      <w:r>
        <w:rPr>
          <w:rFonts w:hint="eastAsia" w:asciiTheme="minorEastAsia" w:hAnsiTheme="minorEastAsia" w:eastAsiaTheme="minorEastAsia" w:cstheme="minorEastAsia"/>
          <w:sz w:val="24"/>
          <w:highlight w:val="none"/>
        </w:rPr>
        <w:t xml:space="preserve">特种设备安全管理和作业人员证（A）</w:t>
      </w:r>
      <w:r>
        <w:rPr>
          <w:rFonts w:hint="eastAsia" w:asciiTheme="minorEastAsia" w:hAnsiTheme="minorEastAsia" w:eastAsiaTheme="minorEastAsia" w:cstheme="minorEastAsia"/>
          <w:sz w:val="24"/>
          <w:highlight w:val="none"/>
          <w:lang w:val="zh-CN"/>
        </w:rPr>
        <w:t xml:space="preserve">证书的</w:t>
      </w:r>
      <w:r>
        <w:rPr>
          <w:rFonts w:hint="eastAsia" w:asciiTheme="minorEastAsia" w:hAnsiTheme="minorEastAsia" w:eastAsiaTheme="minorEastAsia" w:cstheme="minorEastAsia"/>
          <w:sz w:val="24"/>
          <w:highlight w:val="none"/>
        </w:rPr>
        <w:t xml:space="preserve">，得1分；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本项最高得3分。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【提供物业经理相关证明材料扫描件（加盖投标人公章）及投标人近一年中任意一个月份（不含投标当月）经社保部门确认的社保缴纳证明扫描件（加盖投标人公章）上传系统，未按要求提供不得分】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（2）保安队长（2分）：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具有</w:t>
      </w:r>
      <w:r>
        <w:rPr>
          <w:rFonts w:hint="eastAsia" w:asciiTheme="minorEastAsia" w:hAnsiTheme="minorEastAsia" w:eastAsiaTheme="minorEastAsia" w:cstheme="minorEastAsia"/>
          <w:sz w:val="24"/>
          <w:highlight w:val="none"/>
          <w:lang w:val="en-US" w:eastAsia="zh-CN"/>
        </w:rPr>
        <w:t xml:space="preserve">大专</w:t>
      </w:r>
      <w:r>
        <w:rPr>
          <w:rFonts w:hint="eastAsia" w:asciiTheme="minorEastAsia" w:hAnsiTheme="minorEastAsia" w:eastAsiaTheme="minorEastAsia" w:cstheme="minorEastAsia"/>
          <w:sz w:val="24"/>
          <w:highlight w:val="none"/>
        </w:rPr>
        <w:t xml:space="preserve">及以上学历的</w:t>
      </w:r>
      <w:r>
        <w:rPr>
          <w:rFonts w:hint="eastAsia" w:asciiTheme="minorEastAsia" w:hAnsiTheme="minorEastAsia" w:eastAsiaTheme="minorEastAsia" w:cstheme="minorEastAsia"/>
          <w:sz w:val="24"/>
          <w:highlight w:val="none"/>
          <w:lang w:val="en-US" w:eastAsia="zh-CN"/>
        </w:rPr>
        <w:t xml:space="preserve">得1分，</w:t>
      </w:r>
      <w:r>
        <w:rPr>
          <w:rFonts w:hint="eastAsia" w:asciiTheme="minorEastAsia" w:hAnsiTheme="minorEastAsia" w:eastAsiaTheme="minorEastAsia" w:cstheme="minorEastAsia"/>
          <w:sz w:val="24"/>
          <w:highlight w:val="none"/>
        </w:rPr>
        <w:t xml:space="preserve">具有行政主管部门颁发的中级（四级）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sz w:val="24"/>
          <w:highlight w:val="none"/>
        </w:rPr>
        <w:t xml:space="preserve">消防设施操作员</w:t>
      </w:r>
      <w:r>
        <w:rPr>
          <w:rFonts w:hint="eastAsia" w:asciiTheme="minorEastAsia" w:hAnsiTheme="minorEastAsia" w:eastAsiaTheme="minorEastAsia" w:cstheme="minorEastAsia"/>
          <w:sz w:val="24"/>
          <w:highlight w:val="none"/>
          <w:lang w:val="en-US" w:eastAsia="zh-CN"/>
        </w:rPr>
        <w:t xml:space="preserve">或</w:t>
      </w:r>
      <w:r>
        <w:rPr>
          <w:rFonts w:hint="eastAsia" w:asciiTheme="minorEastAsia" w:hAnsiTheme="minorEastAsia" w:eastAsiaTheme="minorEastAsia" w:cstheme="minorEastAsia"/>
          <w:sz w:val="24"/>
          <w:highlight w:val="none"/>
        </w:rPr>
        <w:t xml:space="preserve">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bCs/>
          <w:color w:val="auto"/>
          <w:sz w:val="24"/>
          <w:highlight w:val="none"/>
        </w:rPr>
        <w:t xml:space="preserve">建（构）筑物消防员</w:t>
      </w:r>
      <w:r>
        <w:rPr>
          <w:rFonts w:hint="eastAsia" w:asciiTheme="minorEastAsia" w:hAnsiTheme="minorEastAsia" w:eastAsiaTheme="minorEastAsia" w:cstheme="minorEastAsia"/>
          <w:bCs/>
          <w:color w:val="auto"/>
          <w:sz w:val="24"/>
          <w:highlight w:val="none"/>
          <w:lang w:val="en-US" w:eastAsia="zh-CN"/>
        </w:rPr>
        <w:t xml:space="preserve">证书</w:t>
      </w:r>
      <w:r>
        <w:rPr>
          <w:rFonts w:hint="eastAsia" w:asciiTheme="minorEastAsia" w:hAnsiTheme="minorEastAsia" w:eastAsiaTheme="minorEastAsia" w:cstheme="minorEastAsia"/>
          <w:sz w:val="24"/>
          <w:highlight w:val="none"/>
        </w:rPr>
        <w:t xml:space="preserve">得1分；本项最高得2分。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【提供保安队长相关证明材料扫描件（加盖投标人公章）及投标人近一年中任意一个月份（不含投标当月）经社保部门确认的社保缴纳证明扫描件（加盖投标人公章）上传系统，未按要求提供不得分】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（3）其他人员（除物业经理、保安队长）（13分）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①具有行政主管部门颁发的中级（四级）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sz w:val="24"/>
          <w:highlight w:val="none"/>
        </w:rPr>
        <w:t xml:space="preserve">消防设施操作员</w:t>
      </w:r>
      <w:r>
        <w:rPr>
          <w:rFonts w:hint="eastAsia" w:asciiTheme="minorEastAsia" w:hAnsiTheme="minorEastAsia" w:eastAsiaTheme="minorEastAsia" w:cstheme="minorEastAsia"/>
          <w:sz w:val="24"/>
          <w:highlight w:val="none"/>
          <w:lang w:val="en-US" w:eastAsia="zh-CN"/>
        </w:rPr>
        <w:t xml:space="preserve">或</w:t>
      </w:r>
      <w:r>
        <w:rPr>
          <w:rFonts w:hint="eastAsia" w:asciiTheme="minorEastAsia" w:hAnsiTheme="minorEastAsia" w:eastAsiaTheme="minorEastAsia" w:cstheme="minorEastAsia"/>
          <w:sz w:val="24"/>
          <w:highlight w:val="none"/>
        </w:rPr>
        <w:t xml:space="preserve">中级（四级）</w:t>
      </w:r>
      <w:r>
        <w:rPr>
          <w:rFonts w:hint="eastAsia" w:asciiTheme="minorEastAsia" w:hAnsiTheme="minorEastAsia" w:eastAsiaTheme="minorEastAsia" w:cstheme="minorEastAsia"/>
          <w:sz w:val="24"/>
          <w:highlight w:val="none"/>
          <w:lang w:val="en-US" w:eastAsia="zh-CN"/>
        </w:rPr>
        <w:t xml:space="preserve">及以上</w:t>
      </w:r>
      <w:r>
        <w:rPr>
          <w:rFonts w:hint="eastAsia" w:asciiTheme="minorEastAsia" w:hAnsiTheme="minorEastAsia" w:eastAsiaTheme="minorEastAsia" w:cstheme="minorEastAsia"/>
          <w:bCs/>
          <w:color w:val="auto"/>
          <w:sz w:val="24"/>
          <w:highlight w:val="none"/>
        </w:rPr>
        <w:t xml:space="preserve">建（构）筑物消防员</w:t>
      </w:r>
      <w:r>
        <w:rPr>
          <w:rFonts w:hint="eastAsia" w:asciiTheme="minorEastAsia" w:hAnsiTheme="minorEastAsia" w:eastAsiaTheme="minorEastAsia" w:cstheme="minorEastAsia"/>
          <w:bCs/>
          <w:color w:val="auto"/>
          <w:sz w:val="24"/>
          <w:highlight w:val="none"/>
          <w:lang w:val="en-US" w:eastAsia="zh-CN"/>
        </w:rPr>
        <w:t xml:space="preserve">证书</w:t>
      </w:r>
      <w:r>
        <w:rPr>
          <w:rFonts w:hint="eastAsia" w:asciiTheme="minorEastAsia" w:hAnsiTheme="minorEastAsia" w:eastAsiaTheme="minorEastAsia" w:cstheme="minorEastAsia"/>
          <w:sz w:val="24"/>
          <w:highlight w:val="none"/>
        </w:rPr>
        <w:t xml:space="preserve">的，每张1分，最多得</w:t>
      </w: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②具有行政主管部门颁发的</w:t>
      </w:r>
      <w:r>
        <w:rPr>
          <w:rFonts w:hint="eastAsia" w:asciiTheme="minorEastAsia" w:hAnsiTheme="minorEastAsia" w:eastAsiaTheme="minorEastAsia" w:cstheme="minorEastAsia"/>
          <w:sz w:val="24"/>
          <w:highlight w:val="none"/>
          <w:lang w:val="zh-CN"/>
        </w:rPr>
        <w:t xml:space="preserve">特种设备作业人员证（</w:t>
      </w:r>
      <w:r>
        <w:rPr>
          <w:rFonts w:hint="eastAsia" w:asciiTheme="minorEastAsia" w:hAnsiTheme="minorEastAsia" w:eastAsiaTheme="minorEastAsia" w:cstheme="minorEastAsia"/>
          <w:sz w:val="24"/>
          <w:highlight w:val="none"/>
        </w:rPr>
        <w:t xml:space="preserve">A证）的，有一个得2分，最多得4分；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③具有高压或低压电工证的，有一个得1分，最多得4分；</w:t>
      </w:r>
      <w:r/>
    </w:p>
    <w:p>
      <w:pPr>
        <w:ind w:firstLine="482"/>
        <w:jc w:val="left"/>
        <w:keepLines w:val="0"/>
        <w:keepNext w:val="0"/>
        <w:pageBreakBefore w:val="0"/>
        <w:spacing w:line="360" w:lineRule="auto"/>
        <w:widowControl w:val="off"/>
        <w:tabs>
          <w:tab w:val="left" w:pos="9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【以上人员</w:t>
      </w:r>
      <w:r>
        <w:rPr>
          <w:rFonts w:hint="eastAsia" w:asciiTheme="minorEastAsia" w:hAnsiTheme="minorEastAsia" w:eastAsiaTheme="minorEastAsia" w:cstheme="minorEastAsia"/>
          <w:sz w:val="24"/>
          <w:highlight w:val="none"/>
          <w:lang w:val="zh-CN"/>
        </w:rPr>
        <w:t xml:space="preserve">一人多证不重复得分，</w:t>
      </w:r>
      <w:r>
        <w:rPr>
          <w:rFonts w:hint="eastAsia" w:asciiTheme="minorEastAsia" w:hAnsiTheme="minorEastAsia" w:eastAsiaTheme="minorEastAsia" w:cstheme="minorEastAsia"/>
          <w:sz w:val="24"/>
          <w:highlight w:val="none"/>
        </w:rPr>
        <w:t xml:space="preserve">按最高分计。投标时须提供上述人员证书原件扫描件加盖公章上传系统，同时提供投标人为以上人员缴纳的近一年中任意一个月份（不含投标当月）社保证明资料扫描件或带有清晰二维码的官网扫描件加盖公章上传系统，否则不得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p>
    <w:p>
      <w:pPr>
        <w:ind w:firstLine="482"/>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（1）业绩（</w:t>
      </w:r>
      <w:r>
        <w:rPr>
          <w:rFonts w:hint="eastAsia" w:asciiTheme="minorEastAsia" w:hAnsiTheme="minorEastAsia" w:eastAsiaTheme="minorEastAsia" w:cstheme="minorEastAsia"/>
          <w:bCs/>
          <w:sz w:val="24"/>
          <w:szCs w:val="24"/>
          <w:highlight w:val="none"/>
          <w:lang w:val="en-US" w:eastAsia="zh-CN"/>
        </w:rPr>
        <w:t xml:space="preserve">1.5</w:t>
      </w:r>
      <w:r>
        <w:rPr>
          <w:rFonts w:hint="eastAsia" w:asciiTheme="minorEastAsia" w:hAnsiTheme="minorEastAsia" w:eastAsiaTheme="minorEastAsia" w:cstheme="minorEastAsia"/>
          <w:bCs/>
          <w:sz w:val="24"/>
          <w:szCs w:val="24"/>
          <w:highlight w:val="none"/>
        </w:rPr>
        <w:t xml:space="preserve">分）：投标人自2021年1月1日以来承接过与本项目类似的物业管理服务项目的，有1个得</w:t>
      </w:r>
      <w:r>
        <w:rPr>
          <w:rFonts w:hint="eastAsia" w:asciiTheme="minorEastAsia" w:hAnsiTheme="minorEastAsia" w:eastAsiaTheme="minorEastAsia" w:cstheme="minorEastAsia"/>
          <w:bCs/>
          <w:sz w:val="24"/>
          <w:szCs w:val="24"/>
          <w:highlight w:val="none"/>
          <w:lang w:val="en-US" w:eastAsia="zh-CN"/>
        </w:rPr>
        <w:t xml:space="preserve">0.5</w:t>
      </w:r>
      <w:r>
        <w:rPr>
          <w:rFonts w:hint="eastAsia" w:asciiTheme="minorEastAsia" w:hAnsiTheme="minorEastAsia" w:eastAsiaTheme="minorEastAsia" w:cstheme="minorEastAsia"/>
          <w:bCs/>
          <w:sz w:val="24"/>
          <w:szCs w:val="24"/>
          <w:highlight w:val="none"/>
        </w:rPr>
        <w:t xml:space="preserve">分，最多得</w:t>
      </w:r>
      <w:r>
        <w:rPr>
          <w:rFonts w:hint="eastAsia" w:asciiTheme="minorEastAsia" w:hAnsiTheme="minorEastAsia" w:eastAsiaTheme="minorEastAsia" w:cstheme="minorEastAsia"/>
          <w:bCs/>
          <w:sz w:val="24"/>
          <w:szCs w:val="24"/>
          <w:highlight w:val="none"/>
          <w:lang w:val="en-US" w:eastAsia="zh-CN"/>
        </w:rPr>
        <w:t xml:space="preserve">1</w:t>
      </w:r>
      <w:r>
        <w:rPr>
          <w:rFonts w:hint="eastAsia" w:asciiTheme="minorEastAsia" w:hAnsiTheme="minorEastAsia" w:eastAsiaTheme="minorEastAsia" w:cstheme="minorEastAsia"/>
          <w:bCs/>
          <w:sz w:val="24"/>
          <w:szCs w:val="24"/>
          <w:highlight w:val="none"/>
        </w:rPr>
        <w:t xml:space="preserve">.5分。【业绩提供合同(协议)原件的扫描件加盖公章</w:t>
      </w:r>
      <w:r>
        <w:rPr>
          <w:rFonts w:hint="eastAsia" w:asciiTheme="minorEastAsia" w:hAnsiTheme="minorEastAsia" w:eastAsiaTheme="minorEastAsia" w:cstheme="minorEastAsia"/>
          <w:bCs/>
          <w:sz w:val="24"/>
          <w:highlight w:val="none"/>
        </w:rPr>
        <w:t xml:space="preserve">上传系统</w:t>
      </w:r>
      <w:r>
        <w:rPr>
          <w:rFonts w:hint="eastAsia" w:asciiTheme="minorEastAsia" w:hAnsiTheme="minorEastAsia" w:eastAsiaTheme="minorEastAsia" w:cstheme="minorEastAsia"/>
          <w:bCs/>
          <w:sz w:val="24"/>
          <w:szCs w:val="24"/>
          <w:highlight w:val="none"/>
        </w:rPr>
        <w:t xml:space="preserve">，时间以合同签订时间为准，否则不得分】</w:t>
      </w:r>
      <w:r/>
    </w:p>
    <w:p>
      <w:pPr>
        <w:ind w:firstLine="482"/>
        <w:jc w:val="left"/>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（2）荣誉（</w:t>
      </w: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rPr>
        <w:t xml:space="preserve">分）：投标人自2021年1月1日以来(以获奖日期为准)，获得过政府部门颁发的与物业管理有关的荣誉或奖励的，有一个得1分，本项最高得</w:t>
      </w: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rPr>
        <w:t xml:space="preserve">分。【须提供相应有效获奖证明扫描件加盖公章上传系统，未按要求提供不得分】</w:t>
      </w:r>
      <w:r/>
    </w:p>
    <w:p>
      <w:pPr>
        <w:ind w:firstLine="482"/>
        <w:jc w:val="left"/>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3）认证体系（1.5分）：投标人具备有效的质量管理体系认证证书、环境管理体系认证证书、职业安全健康管理体系认证证书的，有一个得0.5分，本项最多得1.5分。【提供证书扫描件上传系统，未按要求提供不得分】</w:t>
      </w:r>
      <w:r/>
    </w:p>
    <w:p>
      <w:pPr>
        <w:ind w:firstLine="482"/>
        <w:jc w:val="left"/>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bCs/>
          <w:sz w:val="24"/>
          <w:szCs w:val="24"/>
          <w:highlight w:val="none"/>
        </w:rPr>
        <w:t xml:space="preserve">信息化系统管理（1分）：投标人使用物业管理信息化系统管理的得1分。【须提供所用物业管理信息化系统软件的采购合同或发票原件扫描件加盖公章上传系统，如是自主开发软件的则提供软件著作权登记证书原件扫描件加盖公章上传系统，否则不得分。】</w:t>
      </w:r>
      <w:r/>
    </w:p>
    <w:p>
      <w:pPr>
        <w:pStyle w:val="765"/>
        <w:ind w:left="0" w:firstLine="0"/>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50</w:t>
      </w:r>
      <w:r>
        <w:rPr>
          <w:rFonts w:hint="eastAsia" w:ascii="宋体" w:hAnsi="宋体"/>
          <w:b/>
          <w:color w:val="auto"/>
          <w:sz w:val="28"/>
          <w:szCs w:val="28"/>
        </w:rPr>
        <w:t xml:space="preserve">分）</w:t>
      </w:r>
      <w:r/>
    </w:p>
    <w:p>
      <w:pPr>
        <w:pStyle w:val="765"/>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rPr>
      </w:pPr>
      <w:r>
        <w:rPr>
          <w:rFonts w:hint="eastAsia" w:ascii="宋体" w:hAnsi="宋体"/>
          <w:b/>
          <w:bCs/>
          <w:color w:val="auto"/>
          <w:sz w:val="24"/>
          <w:szCs w:val="24"/>
        </w:rPr>
        <w:t xml:space="preserve">项目方案（</w:t>
      </w:r>
      <w:r>
        <w:rPr>
          <w:rFonts w:hint="eastAsia" w:ascii="宋体" w:hAnsi="宋体"/>
          <w:b/>
          <w:bCs/>
          <w:color w:val="auto"/>
          <w:sz w:val="24"/>
          <w:szCs w:val="24"/>
          <w:lang w:val="en-US" w:eastAsia="zh-CN"/>
        </w:rPr>
        <w:t xml:space="preserve">50</w:t>
      </w:r>
      <w:r>
        <w:rPr>
          <w:rFonts w:hint="eastAsia" w:ascii="宋体" w:hAnsi="宋体"/>
          <w:b/>
          <w:bCs/>
          <w:color w:val="auto"/>
          <w:sz w:val="24"/>
          <w:szCs w:val="24"/>
        </w:rPr>
        <w:t xml:space="preserve">分）：</w:t>
      </w:r>
      <w:r>
        <w:rPr>
          <w:rFonts w:hint="eastAsia" w:ascii="宋体" w:hAnsi="宋体"/>
          <w:bCs/>
          <w:color w:val="auto"/>
          <w:sz w:val="24"/>
          <w:szCs w:val="24"/>
        </w:rPr>
        <w:t xml:space="preserve">考察投标人项目技术方案，在响应采购文件需求的基础上针对下列各部分进行评价，要求体现科学合理性、条理性、可行性、完善性、针对性，无方案不得分。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方案完整、科学合理，设计清晰详细，完全符合本项目需求，且能够提供上述5项全部方案的，得8分；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方案较完整，科学合理性较强，设计较清晰详细，能够符合本项目需求，能够提供上述4-5项方案的，得6分；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方案完整性一般，科学合理性一般，设计清晰详细程度一般，能够符合本项目需求，能够提供上述3-5项方案的，得4分；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方案完整性、科学合理性、设计的清晰详细程度等只能基本满足要求，能够提供上述2-5项方案的，得2分；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 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方案完整、科学合理，设计清晰详细，完全符合本项目需求，且能够提供上述5项全部方案的，得7分；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方案较完整，科学合理性较强，设计较清晰详细，能够符合本项目需求，能够提供上述4-5项方案的，得5分；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方案完整性一般，科学合理性一般，设计清晰详细程度一般，能够符合本项目需求，能够提供上述3-5项方案的，得3分；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方案完整性、科学合理性、设计的清晰详细程度等只能基本满足要求，能够提供上述2-5项方案的，得1分；</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left="482"/>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spacing w:line="50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5"/>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5"/>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lang w:eastAsia="zh-CN"/>
        </w:rPr>
        <w:t xml:space="preserve">JSZC-320214-JZCG-G2026-0080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鸿欣苑安居房物业管理外包项目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3"/>
        <w:ind w:firstLine="480"/>
        <w:rPr>
          <w:rFonts w:hint="eastAsia"/>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JSZC-320214-JZCG-G2026-0080</w:t>
      </w:r>
      <w:r>
        <w:rPr>
          <w:rFonts w:hint="eastAsia" w:ascii="宋体" w:hAnsi="宋体"/>
          <w:bCs/>
          <w:color w:val="auto"/>
          <w:sz w:val="24"/>
          <w:szCs w:val="24"/>
        </w:rPr>
        <w:t xml:space="preserve">项目，兹授权</w:t>
      </w:r>
      <w:r>
        <w:rPr>
          <w:rFonts w:hint="eastAsia" w:ascii="宋体" w:hAnsi="宋体"/>
          <w:bCs/>
          <w:sz w:val="24"/>
          <w:szCs w:val="24"/>
        </w:rPr>
        <w:t xml:space="preserve">：</w:t>
      </w:r>
      <w:r/>
    </w:p>
    <w:p>
      <w:pPr>
        <w:pStyle w:val="76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63"/>
        <w:ind w:firstLine="480"/>
        <w:rPr>
          <w:rFonts w:hint="eastAsia"/>
          <w:sz w:val="24"/>
          <w:szCs w:val="24"/>
        </w:rPr>
      </w:pPr>
      <w:r>
        <w:rPr>
          <w:rFonts w:hint="eastAsia"/>
          <w:sz w:val="24"/>
          <w:szCs w:val="24"/>
        </w:rPr>
        <w:t xml:space="preserve">特此授权委托。</w:t>
      </w:r>
      <w:r/>
    </w:p>
    <w:p>
      <w:pPr>
        <w:pStyle w:val="76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6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6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3"/>
        <w:ind w:firstLine="0"/>
        <w:spacing w:line="360" w:lineRule="auto"/>
        <w:rPr>
          <w:rFonts w:hint="eastAsia"/>
          <w:sz w:val="21"/>
          <w:szCs w:val="21"/>
        </w:rPr>
      </w:pPr>
      <w:r>
        <w:rPr>
          <w:rFonts w:hint="eastAsia"/>
          <w:sz w:val="21"/>
          <w:szCs w:val="21"/>
        </w:rPr>
      </w:r>
      <w:r/>
    </w:p>
    <w:p>
      <w:pPr>
        <w:pStyle w:val="763"/>
        <w:ind w:firstLine="0"/>
        <w:spacing w:line="360" w:lineRule="auto"/>
        <w:rPr>
          <w:rFonts w:hint="eastAsia"/>
          <w:sz w:val="21"/>
          <w:szCs w:val="21"/>
        </w:rPr>
      </w:pPr>
      <w:r>
        <w:rPr>
          <w:rFonts w:hint="eastAsia"/>
          <w:sz w:val="21"/>
          <w:szCs w:val="21"/>
        </w:rPr>
        <w:t xml:space="preserve">说明：</w:t>
      </w:r>
      <w:r/>
    </w:p>
    <w:p>
      <w:pPr>
        <w:pStyle w:val="763"/>
        <w:numPr>
          <w:ilvl w:val="0"/>
          <w:numId w:val="15"/>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3"/>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3"/>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3"/>
        <w:numPr>
          <w:ilvl w:val="0"/>
          <w:numId w:val="15"/>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我公司（单位、联合体）针对本次</w:t>
      </w:r>
      <w:r>
        <w:rPr>
          <w:rFonts w:hint="eastAsia" w:ascii="宋体" w:hAnsi="宋体"/>
          <w:bCs/>
          <w:color w:val="auto"/>
          <w:sz w:val="24"/>
          <w:szCs w:val="24"/>
        </w:rPr>
        <w:t xml:space="preserve">项目</w:t>
      </w:r>
      <w:r>
        <w:rPr>
          <w:rFonts w:hint="eastAsia" w:ascii="宋体" w:hAnsi="宋体"/>
          <w:bCs/>
          <w:color w:val="auto"/>
          <w:sz w:val="24"/>
          <w:szCs w:val="24"/>
          <w:lang w:eastAsia="zh-CN"/>
        </w:rPr>
        <w:t xml:space="preserve">JSZC-320214-JZCG-G2026-0080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w:t>
      </w:r>
      <w:r>
        <w:rPr>
          <w:rFonts w:ascii="宋体" w:hAnsi="宋体"/>
          <w:bCs/>
          <w:sz w:val="24"/>
          <w:szCs w:val="24"/>
          <w:u w:val="single"/>
        </w:rPr>
        <w:t xml:space="preserve">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w:t>
      </w:r>
      <w:r>
        <w:rPr>
          <w:rFonts w:hint="eastAsia"/>
          <w:b/>
          <w:color w:val="0000ff"/>
          <w:highlight w:val="none"/>
          <w:u w:val="single"/>
        </w:rPr>
        <w:t xml:space="preserve">即</w:t>
      </w:r>
      <w:r>
        <w:rPr>
          <w:rFonts w:hint="eastAsia"/>
          <w:b/>
          <w:color w:val="ff0000"/>
          <w:highlight w:val="none"/>
          <w:u w:val="single"/>
        </w:rPr>
        <w:t xml:space="preserve">电梯系统维保</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ind w:firstLine="482"/>
        <w:jc w:val="left"/>
        <w:spacing w:line="360" w:lineRule="auto"/>
        <w:shd w:val="clear" w:color="auto" w:fill="ffffff"/>
        <w:widowControl/>
        <w:rPr>
          <w:rFonts w:hint="eastAsia"/>
          <w:b/>
          <w:sz w:val="28"/>
          <w:szCs w:val="28"/>
        </w:rPr>
      </w:pPr>
      <w:r>
        <w:rPr>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auto"/>
          <w:sz w:val="24"/>
          <w:szCs w:val="24"/>
        </w:rPr>
        <w:t xml:space="preserve">方收到贵方</w:t>
      </w:r>
      <w:r>
        <w:rPr>
          <w:rFonts w:hint="eastAsia" w:ascii="宋体" w:hAnsi="宋体"/>
          <w:bCs/>
          <w:color w:val="auto"/>
          <w:sz w:val="24"/>
          <w:szCs w:val="24"/>
          <w:lang w:eastAsia="zh-CN"/>
        </w:rPr>
        <w:t xml:space="preserve">JSZC-320214-JZCG-G2026-0080</w:t>
      </w:r>
      <w:r>
        <w:rPr>
          <w:rFonts w:hint="eastAsia" w:ascii="宋体" w:hAnsi="宋体"/>
          <w:bCs/>
          <w:color w:val="auto"/>
          <w:sz w:val="24"/>
          <w:szCs w:val="24"/>
        </w:rPr>
        <w:t xml:space="preserve">招标文件，经仔细阅读和</w:t>
      </w:r>
      <w:r>
        <w:rPr>
          <w:rFonts w:hint="eastAsia" w:ascii="宋体" w:hAnsi="宋体"/>
          <w:bCs/>
          <w:color w:val="000000"/>
          <w:sz w:val="24"/>
          <w:szCs w:val="24"/>
        </w:rPr>
        <w:t xml:space="preserve">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JSZC-320214-JZCG-G2026-0080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 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JSZC-320214-JZCG-G2026-0080</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trHeight w:val="1630"/>
        </w:trPr>
        <w:tc>
          <w:tcPr>
            <w:tcW w:w="5697" w:type="dxa"/>
            <w:vAlign w:val="center"/>
            <w:textDirection w:val="lrTb"/>
            <w:noWrap w:val="false"/>
          </w:tcPr>
          <w:p>
            <w:pPr>
              <w:pStyle w:val="791"/>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鸿欣苑安居房物业管理外包项目</w:t>
            </w:r>
            <w:r/>
          </w:p>
        </w:tc>
        <w:tc>
          <w:tcPr>
            <w:tcW w:w="3188" w:type="dxa"/>
            <w:vAlign w:val="center"/>
            <w:textDirection w:val="lrTb"/>
            <w:noWrap w:val="false"/>
          </w:tcPr>
          <w:p>
            <w:pPr>
              <w:pStyle w:val="791"/>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ind w:left="9" w:right="4673" w:firstLine="4654"/>
        <w:spacing w:before="69" w:line="288" w:lineRule="auto"/>
        <w:rPr>
          <w:rFonts w:ascii="宋体" w:hAnsi="宋体" w:eastAsia="宋体" w:cs="宋体"/>
          <w:spacing w:val="18"/>
          <w:lang w:eastAsia="zh-CN"/>
        </w:rPr>
      </w:pPr>
      <w:r>
        <w:rPr>
          <w:rFonts w:ascii="宋体" w:hAnsi="宋体" w:eastAsia="宋体" w:cs="宋体"/>
          <w:spacing w:val="18"/>
          <w:lang w:eastAsia="zh-CN"/>
        </w:rPr>
      </w:r>
      <w:r/>
    </w:p>
    <w:p>
      <w:pPr>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p>
    <w:tbl>
      <w:tblPr>
        <w:tblStyle w:val="687"/>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p>
        </w:tc>
        <w:tc>
          <w:tcPr>
            <w:tcW w:w="2086" w:type="dxa"/>
            <w:vAlign w:val="top"/>
            <w:textDirection w:val="lrTb"/>
            <w:noWrap w:val="false"/>
          </w:tcPr>
          <w:p>
            <w:pPr>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p>
        </w:tc>
        <w:tc>
          <w:tcPr>
            <w:tcW w:w="2086" w:type="dxa"/>
            <w:vAlign w:val="top"/>
            <w:textDirection w:val="lrTb"/>
            <w:noWrap w:val="false"/>
          </w:tcPr>
          <w:p>
            <w:pPr>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p>
        </w:tc>
        <w:tc>
          <w:tcPr>
            <w:tcW w:w="2086" w:type="dxa"/>
            <w:vAlign w:val="top"/>
            <w:textDirection w:val="lrTb"/>
            <w:noWrap w:val="false"/>
          </w:tcPr>
          <w:p>
            <w:pPr>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p>
        </w:tc>
        <w:tc>
          <w:tcPr>
            <w:tcW w:w="2093" w:type="dxa"/>
            <w:vAlign w:val="top"/>
            <w:textDirection w:val="lrTb"/>
            <w:noWrap w:val="false"/>
          </w:tcPr>
          <w:p>
            <w:pPr>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p>
        </w:tc>
      </w:tr>
      <w:tr>
        <w:trPr>
          <w:trHeight w:val="882"/>
        </w:trPr>
        <w:tc>
          <w:tcPr>
            <w:tcW w:w="2094" w:type="dxa"/>
            <w:vAlign w:val="top"/>
            <w:textDirection w:val="lrTb"/>
            <w:noWrap w:val="false"/>
          </w:tcPr>
          <w:p>
            <w:pPr>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p>
        </w:tc>
        <w:tc>
          <w:tcPr>
            <w:tcW w:w="2086" w:type="dxa"/>
            <w:vAlign w:val="top"/>
            <w:textDirection w:val="lrTb"/>
            <w:noWrap w:val="false"/>
          </w:tcPr>
          <w:p>
            <w:pPr>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p>
        </w:tc>
        <w:tc>
          <w:tcPr>
            <w:tcW w:w="2086" w:type="dxa"/>
            <w:vAlign w:val="top"/>
            <w:textDirection w:val="lrTb"/>
            <w:noWrap w:val="false"/>
          </w:tcPr>
          <w:p>
            <w:pPr>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p>
        </w:tc>
        <w:tc>
          <w:tcPr>
            <w:tcW w:w="2086" w:type="dxa"/>
            <w:vAlign w:val="top"/>
            <w:textDirection w:val="lrTb"/>
            <w:noWrap w:val="false"/>
          </w:tcPr>
          <w:p>
            <w:pPr>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p>
        </w:tc>
        <w:tc>
          <w:tcPr>
            <w:tcW w:w="2086" w:type="dxa"/>
            <w:vAlign w:val="top"/>
            <w:textDirection w:val="lrTb"/>
            <w:noWrap w:val="false"/>
          </w:tcPr>
          <w:p>
            <w:pPr>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p>
        </w:tc>
        <w:tc>
          <w:tcPr>
            <w:tcW w:w="2086" w:type="dxa"/>
            <w:vAlign w:val="top"/>
            <w:textDirection w:val="lrTb"/>
            <w:noWrap w:val="false"/>
          </w:tcPr>
          <w:p>
            <w:pPr>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p>
        </w:tc>
        <w:tc>
          <w:tcPr>
            <w:tcW w:w="2086" w:type="dxa"/>
            <w:vAlign w:val="top"/>
            <w:textDirection w:val="lrTb"/>
            <w:noWrap w:val="false"/>
          </w:tcPr>
          <w:p>
            <w:pPr>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p>
        </w:tc>
        <w:tc>
          <w:tcPr>
            <w:tcW w:w="2086" w:type="dxa"/>
            <w:vAlign w:val="top"/>
            <w:textDirection w:val="lrTb"/>
            <w:noWrap w:val="false"/>
          </w:tcPr>
          <w:p>
            <w:pPr>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530"/>
        </w:trPr>
        <w:tc>
          <w:tcPr>
            <w:tcW w:w="2094" w:type="dxa"/>
            <w:vAlign w:val="top"/>
            <w:textDirection w:val="lrTb"/>
            <w:noWrap w:val="false"/>
          </w:tcPr>
          <w:p>
            <w:pPr>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p>
        </w:tc>
        <w:tc>
          <w:tcPr>
            <w:tcW w:w="2086" w:type="dxa"/>
            <w:vAlign w:val="top"/>
            <w:textDirection w:val="lrTb"/>
            <w:noWrap w:val="false"/>
          </w:tcPr>
          <w:p>
            <w:pPr>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882"/>
        </w:trPr>
        <w:tc>
          <w:tcPr>
            <w:tcW w:w="2094" w:type="dxa"/>
            <w:vAlign w:val="top"/>
            <w:textDirection w:val="lrTb"/>
            <w:noWrap w:val="false"/>
          </w:tcPr>
          <w:p>
            <w:pPr>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p>
        </w:tc>
        <w:tc>
          <w:tcPr>
            <w:tcW w:w="2086" w:type="dxa"/>
            <w:vAlign w:val="top"/>
            <w:textDirection w:val="lrTb"/>
            <w:noWrap w:val="false"/>
          </w:tcPr>
          <w:p>
            <w:pPr>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pPr>
              <w:pStyle w:val="793"/>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793"/>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r>
        <w:trPr>
          <w:trHeight w:val="538"/>
        </w:trPr>
        <w:tc>
          <w:tcPr>
            <w:tcW w:w="2094" w:type="dxa"/>
            <w:vAlign w:val="top"/>
            <w:textDirection w:val="lrTb"/>
            <w:noWrap w:val="false"/>
          </w:tcPr>
          <w:p>
            <w:r/>
            <w:r/>
          </w:p>
        </w:tc>
        <w:tc>
          <w:tcPr>
            <w:tcW w:w="2086" w:type="dxa"/>
            <w:vAlign w:val="top"/>
            <w:textDirection w:val="lrTb"/>
            <w:noWrap w:val="false"/>
          </w:tcPr>
          <w:p>
            <w:pPr>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p>
        </w:tc>
        <w:tc>
          <w:tcPr>
            <w:tcW w:w="2086" w:type="dxa"/>
            <w:vAlign w:val="top"/>
            <w:textDirection w:val="lrTb"/>
            <w:noWrap w:val="false"/>
          </w:tcPr>
          <w:p>
            <w:r/>
            <w:r/>
          </w:p>
        </w:tc>
        <w:tc>
          <w:tcPr>
            <w:tcW w:w="2086" w:type="dxa"/>
            <w:vAlign w:val="top"/>
            <w:textDirection w:val="lrTb"/>
            <w:noWrap w:val="false"/>
          </w:tcPr>
          <w:p>
            <w:r/>
            <w:r/>
          </w:p>
        </w:tc>
        <w:tc>
          <w:tcPr>
            <w:tcW w:w="2093" w:type="dxa"/>
            <w:vAlign w:val="top"/>
            <w:textDirection w:val="lrTb"/>
            <w:noWrap w:val="false"/>
          </w:tcPr>
          <w:p>
            <w:r/>
            <w:r/>
          </w:p>
        </w:tc>
      </w:tr>
    </w:tbl>
    <w:p>
      <w:pPr>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p>
    <w:p>
      <w:pPr>
        <w:spacing w:line="436" w:lineRule="auto"/>
      </w:pPr>
      <w:r/>
      <w:r/>
    </w:p>
    <w:p>
      <w:pPr>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p>
    <w:p>
      <w:pPr>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lang w:eastAsia="zh-CN"/>
        </w:rPr>
        <w:t xml:space="preserve">JSZC-320214-JZCG-G2026-0080</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JSZC-320214-JZCG-G2026-0080</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１５</w:t>
    </w:r>
    <w:r>
      <w:rPr>
        <w:rFonts w:ascii="宋体" w:hAnsi="宋体"/>
      </w:rPr>
      <w:fldChar w:fldCharType="end"/>
    </w:r>
    <w:r/>
  </w:p>
  <w:p>
    <w:pPr>
      <w:pStyle w:val="70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pStyle w:val="7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4"/>
  </w:num>
  <w:num w:numId="6">
    <w:abstractNumId w:val="10"/>
  </w:num>
  <w:num w:numId="7">
    <w:abstractNumId w:val="3"/>
  </w:num>
  <w:num w:numId="8">
    <w:abstractNumId w:val="2"/>
  </w:num>
  <w:num w:numId="9">
    <w:abstractNumId w:val="7"/>
  </w:num>
  <w:num w:numId="10">
    <w:abstractNumId w:val="11"/>
  </w:num>
  <w:num w:numId="11">
    <w:abstractNumId w:val="1"/>
  </w:num>
  <w:num w:numId="12">
    <w:abstractNumId w:val="8"/>
  </w:num>
  <w:num w:numId="13">
    <w:abstractNumId w:val="5"/>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8"/>
    <w:uiPriority w:val="0"/>
    <w:qFormat/>
    <w:pPr>
      <w:jc w:val="center"/>
      <w:keepNext/>
      <w:outlineLvl w:val="0"/>
    </w:pPr>
    <w:rPr>
      <w:rFonts w:ascii="楷体_GB2312" w:eastAsia="楷体_GB2312"/>
      <w:sz w:val="28"/>
      <w:szCs w:val="28"/>
    </w:rPr>
  </w:style>
  <w:style w:type="paragraph" w:styleId="678">
    <w:name w:val="Heading 2"/>
    <w:basedOn w:val="676"/>
    <w:next w:val="689"/>
    <w:link w:val="729"/>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9"/>
    <w:link w:val="731"/>
    <w:uiPriority w:val="0"/>
    <w:qFormat/>
    <w:pPr>
      <w:keepLines/>
      <w:keepNext/>
      <w:spacing w:before="260" w:after="260" w:line="416" w:lineRule="auto"/>
      <w:outlineLvl w:val="2"/>
    </w:pPr>
    <w:rPr>
      <w:b/>
      <w:bCs/>
      <w:sz w:val="32"/>
      <w:szCs w:val="32"/>
    </w:rPr>
  </w:style>
  <w:style w:type="paragraph" w:styleId="680">
    <w:name w:val="Heading 4"/>
    <w:basedOn w:val="676"/>
    <w:next w:val="689"/>
    <w:link w:val="732"/>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9"/>
    <w:link w:val="733"/>
    <w:uiPriority w:val="0"/>
    <w:qFormat/>
    <w:pPr>
      <w:keepNext/>
      <w:outlineLvl w:val="4"/>
    </w:pPr>
    <w:rPr>
      <w:rFonts w:ascii="宋体"/>
      <w:color w:val="000000"/>
      <w:sz w:val="28"/>
      <w:szCs w:val="28"/>
    </w:rPr>
  </w:style>
  <w:style w:type="paragraph" w:styleId="682">
    <w:name w:val="Heading 6"/>
    <w:basedOn w:val="676"/>
    <w:next w:val="676"/>
    <w:link w:val="7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5"/>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7"/>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qFormat/>
  </w:style>
  <w:style w:type="table" w:styleId="687" w:default="1">
    <w:name w:val="Normal Table"/>
    <w:uiPriority w:val="99"/>
    <w:unhideWhenUsed/>
    <w:qFormat/>
    <w:tblPr>
      <w:tblCellMar>
        <w:left w:w="108" w:type="dxa"/>
        <w:top w:w="0" w:type="dxa"/>
        <w:right w:w="108" w:type="dxa"/>
        <w:bottom w:w="0" w:type="dxa"/>
      </w:tblCellMar>
    </w:tblPr>
  </w:style>
  <w:style w:type="paragraph" w:styleId="688" w:customStyle="1">
    <w:name w:val="正文文本11"/>
    <w:basedOn w:val="676"/>
    <w:uiPriority w:val="0"/>
    <w:qFormat/>
    <w:rPr>
      <w:sz w:val="18"/>
      <w:szCs w:val="20"/>
    </w:rPr>
  </w:style>
  <w:style w:type="paragraph" w:styleId="689">
    <w:name w:val="Normal Indent"/>
    <w:basedOn w:val="676"/>
    <w:link w:val="730"/>
    <w:uiPriority w:val="0"/>
    <w:qFormat/>
    <w:pPr>
      <w:ind w:firstLine="420"/>
    </w:pPr>
    <w:rPr>
      <w:sz w:val="20"/>
    </w:rPr>
  </w:style>
  <w:style w:type="paragraph" w:styleId="690">
    <w:name w:val="List 3"/>
    <w:basedOn w:val="676"/>
    <w:uiPriority w:val="0"/>
    <w:qFormat/>
    <w:pPr>
      <w:ind w:left="100" w:hanging="200"/>
    </w:pPr>
  </w:style>
  <w:style w:type="paragraph" w:styleId="691">
    <w:name w:val="toc 7"/>
    <w:basedOn w:val="676"/>
    <w:next w:val="676"/>
    <w:uiPriority w:val="0"/>
    <w:semiHidden/>
    <w:qFormat/>
    <w:pPr>
      <w:ind w:left="1260"/>
      <w:jc w:val="left"/>
    </w:pPr>
  </w:style>
  <w:style w:type="paragraph" w:styleId="692">
    <w:name w:val="Document Map"/>
    <w:basedOn w:val="676"/>
    <w:link w:val="738"/>
    <w:uiPriority w:val="0"/>
    <w:semiHidden/>
    <w:qFormat/>
    <w:pPr>
      <w:shd w:val="clear" w:color="auto" w:fill="000080"/>
    </w:pPr>
    <w:rPr>
      <w:sz w:val="20"/>
    </w:rPr>
  </w:style>
  <w:style w:type="paragraph" w:styleId="693">
    <w:name w:val="annotation text"/>
    <w:basedOn w:val="676"/>
    <w:link w:val="739"/>
    <w:uiPriority w:val="0"/>
    <w:semiHidden/>
    <w:qFormat/>
    <w:pPr>
      <w:jc w:val="left"/>
    </w:pPr>
    <w:rPr>
      <w:sz w:val="20"/>
    </w:rPr>
  </w:style>
  <w:style w:type="paragraph" w:styleId="694">
    <w:name w:val="Body Text 3"/>
    <w:basedOn w:val="676"/>
    <w:link w:val="740"/>
    <w:uiPriority w:val="0"/>
    <w:qFormat/>
    <w:rPr>
      <w:rFonts w:ascii="仿宋_GB2312" w:hAnsi="Arial" w:eastAsia="仿宋_GB2312"/>
      <w:sz w:val="32"/>
      <w:szCs w:val="32"/>
    </w:rPr>
  </w:style>
  <w:style w:type="paragraph" w:styleId="695">
    <w:name w:val="Body Text"/>
    <w:basedOn w:val="676"/>
    <w:link w:val="741"/>
    <w:uiPriority w:val="0"/>
    <w:qFormat/>
    <w:rPr>
      <w:rFonts w:ascii="楷体_GB2312" w:hAnsi="Arial" w:eastAsia="楷体_GB2312"/>
      <w:sz w:val="28"/>
      <w:szCs w:val="28"/>
    </w:rPr>
  </w:style>
  <w:style w:type="paragraph" w:styleId="696">
    <w:name w:val="Body Text Indent"/>
    <w:basedOn w:val="676"/>
    <w:link w:val="742"/>
    <w:uiPriority w:val="0"/>
    <w:qFormat/>
    <w:pPr>
      <w:ind w:firstLine="645"/>
    </w:pPr>
    <w:rPr>
      <w:rFonts w:ascii="楷体_GB2312" w:eastAsia="楷体_GB2312"/>
      <w:sz w:val="32"/>
      <w:szCs w:val="32"/>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3"/>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4"/>
    <w:uiPriority w:val="0"/>
    <w:qFormat/>
    <w:rPr>
      <w:sz w:val="24"/>
      <w:szCs w:val="24"/>
    </w:rPr>
  </w:style>
  <w:style w:type="paragraph" w:styleId="703">
    <w:name w:val="Body Text Indent 2"/>
    <w:basedOn w:val="676"/>
    <w:link w:val="745"/>
    <w:uiPriority w:val="0"/>
    <w:qFormat/>
    <w:pPr>
      <w:ind w:left="630" w:firstLine="645"/>
    </w:pPr>
    <w:rPr>
      <w:rFonts w:ascii="Arial" w:hAnsi="Arial" w:eastAsia="仿宋_GB2312"/>
      <w:sz w:val="32"/>
      <w:szCs w:val="32"/>
    </w:rPr>
  </w:style>
  <w:style w:type="paragraph" w:styleId="704">
    <w:name w:val="Balloon Text"/>
    <w:basedOn w:val="676"/>
    <w:link w:val="746"/>
    <w:uiPriority w:val="0"/>
    <w:semiHidden/>
    <w:qFormat/>
    <w:rPr>
      <w:sz w:val="18"/>
      <w:szCs w:val="18"/>
    </w:rPr>
  </w:style>
  <w:style w:type="paragraph" w:styleId="705">
    <w:name w:val="Footer"/>
    <w:basedOn w:val="676"/>
    <w:link w:val="747"/>
    <w:uiPriority w:val="0"/>
    <w:qFormat/>
    <w:pPr>
      <w:jc w:val="left"/>
      <w:tabs>
        <w:tab w:val="center" w:pos="4153" w:leader="none"/>
        <w:tab w:val="right" w:pos="8306" w:leader="none"/>
      </w:tabs>
    </w:pPr>
    <w:rPr>
      <w:sz w:val="18"/>
      <w:szCs w:val="18"/>
    </w:rPr>
  </w:style>
  <w:style w:type="paragraph" w:styleId="706">
    <w:name w:val="Header"/>
    <w:basedOn w:val="676"/>
    <w:link w:val="748"/>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49"/>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0"/>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3"/>
    <w:next w:val="693"/>
    <w:link w:val="751"/>
    <w:uiPriority w:val="0"/>
    <w:semiHidden/>
    <w:qFormat/>
    <w:rPr>
      <w:b/>
      <w:bCs/>
    </w:rPr>
  </w:style>
  <w:style w:type="paragraph" w:styleId="719">
    <w:name w:val="Body Text First Indent"/>
    <w:basedOn w:val="676"/>
    <w:link w:val="752"/>
    <w:uiPriority w:val="0"/>
    <w:qFormat/>
    <w:pPr>
      <w:ind w:firstLine="200"/>
      <w:spacing w:line="360" w:lineRule="auto"/>
    </w:pPr>
    <w:rPr>
      <w:rFonts w:ascii="仿宋_GB2312" w:eastAsia="仿宋_GB2312"/>
      <w:sz w:val="30"/>
      <w:szCs w:val="30"/>
    </w:rPr>
  </w:style>
  <w:style w:type="paragraph" w:styleId="720">
    <w:name w:val="Body Text First Indent 2"/>
    <w:basedOn w:val="696"/>
    <w:link w:val="753"/>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character" w:styleId="728" w:customStyle="1">
    <w:name w:val="标题 1 Char"/>
    <w:link w:val="677"/>
    <w:uiPriority w:val="0"/>
    <w:qFormat/>
    <w:rPr>
      <w:rFonts w:ascii="楷体_GB2312" w:hAnsi="Times New Roman" w:eastAsia="楷体_GB2312" w:cs="Times New Roman"/>
      <w:sz w:val="28"/>
      <w:szCs w:val="28"/>
    </w:rPr>
  </w:style>
  <w:style w:type="character" w:styleId="729" w:customStyle="1">
    <w:name w:val="标题 2 Char"/>
    <w:link w:val="678"/>
    <w:uiPriority w:val="0"/>
    <w:qFormat/>
    <w:rPr>
      <w:rFonts w:ascii="Arial" w:hAnsi="Arial" w:eastAsia="幼圆" w:cs="Arial"/>
      <w:b/>
      <w:bCs/>
      <w:sz w:val="44"/>
      <w:szCs w:val="44"/>
    </w:rPr>
  </w:style>
  <w:style w:type="character" w:styleId="730" w:customStyle="1">
    <w:name w:val="正文缩进 Char"/>
    <w:link w:val="689"/>
    <w:uiPriority w:val="0"/>
    <w:qFormat/>
    <w:rPr>
      <w:rFonts w:ascii="Times New Roman" w:hAnsi="Times New Roman" w:eastAsia="宋体" w:cs="Times New Roman"/>
      <w:szCs w:val="21"/>
    </w:rPr>
  </w:style>
  <w:style w:type="character" w:styleId="731" w:customStyle="1">
    <w:name w:val="标题 3 Char"/>
    <w:link w:val="679"/>
    <w:uiPriority w:val="0"/>
    <w:qFormat/>
    <w:rPr>
      <w:rFonts w:ascii="Times New Roman" w:hAnsi="Times New Roman" w:eastAsia="宋体" w:cs="Times New Roman"/>
      <w:b/>
      <w:bCs/>
      <w:sz w:val="32"/>
      <w:szCs w:val="32"/>
    </w:rPr>
  </w:style>
  <w:style w:type="character" w:styleId="732" w:customStyle="1">
    <w:name w:val="标题 4 Char"/>
    <w:link w:val="680"/>
    <w:uiPriority w:val="0"/>
    <w:qFormat/>
    <w:rPr>
      <w:rFonts w:ascii="Arial" w:hAnsi="Arial" w:eastAsia="黑体" w:cs="Arial"/>
      <w:b/>
      <w:bCs/>
      <w:sz w:val="28"/>
      <w:szCs w:val="28"/>
    </w:rPr>
  </w:style>
  <w:style w:type="character" w:styleId="733" w:customStyle="1">
    <w:name w:val="标题 5 Char"/>
    <w:link w:val="681"/>
    <w:uiPriority w:val="0"/>
    <w:qFormat/>
    <w:rPr>
      <w:rFonts w:ascii="宋体" w:hAnsi="Times New Roman" w:eastAsia="宋体" w:cs="Times New Roman"/>
      <w:color w:val="000000"/>
      <w:sz w:val="28"/>
      <w:szCs w:val="28"/>
    </w:rPr>
  </w:style>
  <w:style w:type="character" w:styleId="734" w:customStyle="1">
    <w:name w:val="标题 6 Char"/>
    <w:link w:val="682"/>
    <w:uiPriority w:val="0"/>
    <w:qFormat/>
    <w:rPr>
      <w:rFonts w:ascii="Arial" w:hAnsi="Arial" w:eastAsia="黑体" w:cs="Times New Roman"/>
      <w:b/>
      <w:bCs/>
      <w:sz w:val="24"/>
      <w:szCs w:val="24"/>
    </w:rPr>
  </w:style>
  <w:style w:type="character" w:styleId="735" w:customStyle="1">
    <w:name w:val="标题 7 Char"/>
    <w:link w:val="683"/>
    <w:uiPriority w:val="0"/>
    <w:qFormat/>
    <w:rPr>
      <w:rFonts w:ascii="Times New Roman" w:hAnsi="Times New Roman" w:eastAsia="宋体" w:cs="Times New Roman"/>
      <w:b/>
      <w:bCs/>
      <w:sz w:val="24"/>
      <w:szCs w:val="24"/>
    </w:rPr>
  </w:style>
  <w:style w:type="character" w:styleId="736" w:customStyle="1">
    <w:name w:val="标题 8 Char"/>
    <w:link w:val="684"/>
    <w:uiPriority w:val="0"/>
    <w:qFormat/>
    <w:rPr>
      <w:rFonts w:ascii="Arial" w:hAnsi="Arial" w:eastAsia="黑体" w:cs="Times New Roman"/>
      <w:sz w:val="24"/>
      <w:szCs w:val="24"/>
    </w:rPr>
  </w:style>
  <w:style w:type="character" w:styleId="737" w:customStyle="1">
    <w:name w:val="标题 9 Char"/>
    <w:link w:val="685"/>
    <w:uiPriority w:val="0"/>
    <w:qFormat/>
    <w:rPr>
      <w:rFonts w:ascii="Arial" w:hAnsi="Arial" w:eastAsia="黑体" w:cs="Times New Roman"/>
      <w:szCs w:val="21"/>
    </w:rPr>
  </w:style>
  <w:style w:type="character" w:styleId="738" w:customStyle="1">
    <w:name w:val="文档结构图 Char"/>
    <w:link w:val="692"/>
    <w:uiPriority w:val="0"/>
    <w:semiHidden/>
    <w:qFormat/>
    <w:rPr>
      <w:rFonts w:ascii="Times New Roman" w:hAnsi="Times New Roman" w:eastAsia="宋体" w:cs="Times New Roman"/>
      <w:szCs w:val="21"/>
      <w:shd w:val="clear" w:color="auto" w:fill="000080"/>
    </w:rPr>
  </w:style>
  <w:style w:type="character" w:styleId="739" w:customStyle="1">
    <w:name w:val="批注文字 Char"/>
    <w:link w:val="693"/>
    <w:uiPriority w:val="0"/>
    <w:semiHidden/>
    <w:qFormat/>
    <w:rPr>
      <w:rFonts w:ascii="Times New Roman" w:hAnsi="Times New Roman" w:eastAsia="宋体" w:cs="Times New Roman"/>
      <w:szCs w:val="21"/>
    </w:rPr>
  </w:style>
  <w:style w:type="character" w:styleId="740" w:customStyle="1">
    <w:name w:val="正文文本 3 Char"/>
    <w:link w:val="694"/>
    <w:uiPriority w:val="0"/>
    <w:qFormat/>
    <w:rPr>
      <w:rFonts w:ascii="仿宋_GB2312" w:hAnsi="Arial" w:eastAsia="仿宋_GB2312" w:cs="Times New Roman"/>
      <w:sz w:val="32"/>
      <w:szCs w:val="32"/>
    </w:rPr>
  </w:style>
  <w:style w:type="character" w:styleId="741" w:customStyle="1">
    <w:name w:val="正文文本 Char"/>
    <w:link w:val="695"/>
    <w:uiPriority w:val="0"/>
    <w:qFormat/>
    <w:rPr>
      <w:rFonts w:ascii="楷体_GB2312" w:hAnsi="Arial" w:eastAsia="楷体_GB2312" w:cs="Times New Roman"/>
      <w:sz w:val="28"/>
      <w:szCs w:val="28"/>
    </w:rPr>
  </w:style>
  <w:style w:type="character" w:styleId="742" w:customStyle="1">
    <w:name w:val="正文文本缩进 Char"/>
    <w:link w:val="696"/>
    <w:uiPriority w:val="0"/>
    <w:qFormat/>
    <w:rPr>
      <w:rFonts w:ascii="楷体_GB2312" w:hAnsi="Times New Roman" w:eastAsia="楷体_GB2312" w:cs="Times New Roman"/>
      <w:sz w:val="32"/>
      <w:szCs w:val="32"/>
    </w:rPr>
  </w:style>
  <w:style w:type="character" w:styleId="743" w:customStyle="1">
    <w:name w:val="纯文本 Char"/>
    <w:link w:val="700"/>
    <w:uiPriority w:val="0"/>
    <w:qFormat/>
    <w:rPr>
      <w:rFonts w:ascii="宋体" w:hAnsi="Courier New" w:eastAsia="宋体" w:cs="Courier New"/>
      <w:szCs w:val="21"/>
    </w:rPr>
  </w:style>
  <w:style w:type="character" w:styleId="744" w:customStyle="1">
    <w:name w:val="日期 Char"/>
    <w:link w:val="702"/>
    <w:uiPriority w:val="0"/>
    <w:qFormat/>
    <w:rPr>
      <w:rFonts w:ascii="Times New Roman" w:hAnsi="Times New Roman" w:eastAsia="宋体" w:cs="Times New Roman"/>
      <w:sz w:val="24"/>
      <w:szCs w:val="24"/>
    </w:rPr>
  </w:style>
  <w:style w:type="character" w:styleId="745" w:customStyle="1">
    <w:name w:val="正文文本缩进 2 Char"/>
    <w:link w:val="703"/>
    <w:uiPriority w:val="0"/>
    <w:qFormat/>
    <w:rPr>
      <w:rFonts w:ascii="Arial" w:hAnsi="Arial" w:eastAsia="仿宋_GB2312" w:cs="Arial"/>
      <w:sz w:val="32"/>
      <w:szCs w:val="32"/>
    </w:rPr>
  </w:style>
  <w:style w:type="character" w:styleId="746" w:customStyle="1">
    <w:name w:val="批注框文本 Char"/>
    <w:link w:val="704"/>
    <w:uiPriority w:val="0"/>
    <w:semiHidden/>
    <w:qFormat/>
    <w:rPr>
      <w:rFonts w:ascii="Times New Roman" w:hAnsi="Times New Roman" w:eastAsia="宋体" w:cs="Times New Roman"/>
      <w:sz w:val="18"/>
      <w:szCs w:val="18"/>
    </w:rPr>
  </w:style>
  <w:style w:type="character" w:styleId="747" w:customStyle="1">
    <w:name w:val="页脚 Char"/>
    <w:link w:val="705"/>
    <w:uiPriority w:val="0"/>
    <w:qFormat/>
    <w:rPr>
      <w:rFonts w:ascii="Times New Roman" w:hAnsi="Times New Roman" w:eastAsia="宋体" w:cs="Times New Roman"/>
      <w:sz w:val="18"/>
      <w:szCs w:val="18"/>
    </w:rPr>
  </w:style>
  <w:style w:type="character" w:styleId="748" w:customStyle="1">
    <w:name w:val="页眉 Char"/>
    <w:link w:val="706"/>
    <w:uiPriority w:val="99"/>
    <w:qFormat/>
    <w:rPr>
      <w:rFonts w:ascii="Times New Roman" w:hAnsi="Times New Roman" w:eastAsia="宋体" w:cs="Times New Roman"/>
      <w:sz w:val="18"/>
      <w:szCs w:val="18"/>
    </w:rPr>
  </w:style>
  <w:style w:type="character" w:styleId="749" w:customStyle="1">
    <w:name w:val="正文文本缩进 3 Char"/>
    <w:link w:val="711"/>
    <w:uiPriority w:val="0"/>
    <w:qFormat/>
    <w:rPr>
      <w:rFonts w:ascii="Arial" w:hAnsi="Arial" w:eastAsia="仿宋_GB2312" w:cs="Arial"/>
      <w:color w:val="ffff00"/>
      <w:sz w:val="32"/>
      <w:szCs w:val="32"/>
    </w:rPr>
  </w:style>
  <w:style w:type="character" w:styleId="750" w:customStyle="1">
    <w:name w:val="正文文本 2 Char"/>
    <w:link w:val="715"/>
    <w:uiPriority w:val="0"/>
    <w:qFormat/>
    <w:rPr>
      <w:rFonts w:ascii="楷体_GB2312" w:hAnsi="Times New Roman" w:eastAsia="楷体_GB2312" w:cs="Times New Roman"/>
      <w:sz w:val="28"/>
      <w:szCs w:val="28"/>
    </w:rPr>
  </w:style>
  <w:style w:type="character" w:styleId="751" w:customStyle="1">
    <w:name w:val="批注主题 Char"/>
    <w:link w:val="718"/>
    <w:uiPriority w:val="0"/>
    <w:semiHidden/>
    <w:qFormat/>
    <w:rPr>
      <w:rFonts w:ascii="Times New Roman" w:hAnsi="Times New Roman" w:eastAsia="宋体" w:cs="Times New Roman"/>
      <w:b/>
      <w:bCs/>
      <w:szCs w:val="21"/>
    </w:rPr>
  </w:style>
  <w:style w:type="character" w:styleId="752" w:customStyle="1">
    <w:name w:val="正文首行缩进 Char"/>
    <w:link w:val="719"/>
    <w:uiPriority w:val="0"/>
    <w:qFormat/>
    <w:rPr>
      <w:rFonts w:ascii="仿宋_GB2312" w:hAnsi="Times New Roman" w:eastAsia="仿宋_GB2312" w:cs="Times New Roman"/>
      <w:sz w:val="30"/>
      <w:szCs w:val="30"/>
    </w:rPr>
  </w:style>
  <w:style w:type="character" w:styleId="753" w:customStyle="1">
    <w:name w:val="正文首行缩进 2 Char"/>
    <w:link w:val="720"/>
    <w:uiPriority w:val="0"/>
    <w:qFormat/>
    <w:rPr>
      <w:rFonts w:ascii="宋体" w:hAnsi="宋体" w:eastAsia="宋体" w:cs="Times New Roman"/>
      <w:sz w:val="32"/>
      <w:szCs w:val="20"/>
    </w:rPr>
  </w:style>
  <w:style w:type="paragraph" w:styleId="754" w:customStyle="1">
    <w:name w:val="正文文本1"/>
    <w:basedOn w:val="676"/>
    <w:uiPriority w:val="0"/>
    <w:qFormat/>
    <w:rPr>
      <w:rFonts w:ascii="楷体_GB2312" w:hAnsi="Arial" w:eastAsia="楷体_GB2312"/>
      <w:sz w:val="28"/>
      <w:szCs w:val="28"/>
    </w:rPr>
  </w:style>
  <w:style w:type="character" w:styleId="755" w:customStyle="1">
    <w:name w:val="font5 Char"/>
    <w:uiPriority w:val="0"/>
    <w:qFormat/>
    <w:rPr>
      <w:rFonts w:ascii="宋体" w:hAnsi="宋体" w:eastAsia="宋体"/>
      <w:sz w:val="28"/>
      <w:szCs w:val="28"/>
      <w:lang w:val="en-US" w:eastAsia="zh-CN" w:bidi="ar-SA"/>
    </w:rPr>
  </w:style>
  <w:style w:type="character" w:styleId="756" w:customStyle="1">
    <w:name w:val="二级目录 Char"/>
    <w:link w:val="757"/>
    <w:uiPriority w:val="0"/>
    <w:qFormat/>
    <w:rPr>
      <w:b/>
      <w:sz w:val="30"/>
      <w:szCs w:val="28"/>
      <w:lang w:val="en-US" w:eastAsia="zh-CN" w:bidi="ar-SA"/>
    </w:rPr>
  </w:style>
  <w:style w:type="paragraph" w:styleId="757" w:customStyle="1">
    <w:name w:val="二级目录"/>
    <w:next w:val="676"/>
    <w:link w:val="75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58" w:customStyle="1">
    <w:name w:val="列出段落 Char"/>
    <w:link w:val="759"/>
    <w:uiPriority w:val="0"/>
    <w:qFormat/>
    <w:rPr>
      <w:rFonts w:ascii="Calibri" w:hAnsi="Calibri"/>
      <w:sz w:val="24"/>
      <w:szCs w:val="24"/>
      <w:lang w:eastAsia="en-US" w:bidi="en-US"/>
    </w:rPr>
  </w:style>
  <w:style w:type="paragraph" w:styleId="759" w:customStyle="1">
    <w:name w:val="列出段落1"/>
    <w:basedOn w:val="676"/>
    <w:link w:val="758"/>
    <w:uiPriority w:val="0"/>
    <w:qFormat/>
    <w:pPr>
      <w:contextualSpacing/>
      <w:ind w:left="720"/>
      <w:jc w:val="left"/>
      <w:widowControl/>
    </w:pPr>
    <w:rPr>
      <w:rFonts w:ascii="Calibri" w:hAnsi="Calibri"/>
      <w:sz w:val="24"/>
      <w:szCs w:val="24"/>
      <w:lang w:eastAsia="en-US" w:bidi="en-US"/>
    </w:rPr>
  </w:style>
  <w:style w:type="paragraph" w:styleId="760" w:customStyle="1">
    <w:name w:val="Body Text(ch)"/>
    <w:basedOn w:val="676"/>
    <w:next w:val="695"/>
    <w:uiPriority w:val="0"/>
    <w:qFormat/>
    <w:pPr>
      <w:spacing w:after="120"/>
    </w:pPr>
    <w:rPr>
      <w:rFonts w:ascii="宋体" w:hAnsi="Arial"/>
      <w:bCs/>
      <w:iCs/>
      <w:szCs w:val="24"/>
    </w:rPr>
  </w:style>
  <w:style w:type="paragraph" w:styleId="761"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2"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3" w:customStyle="1">
    <w:name w:val="Char"/>
    <w:basedOn w:val="676"/>
    <w:uiPriority w:val="0"/>
    <w:qFormat/>
    <w:pPr>
      <w:ind w:firstLine="200"/>
      <w:tabs>
        <w:tab w:val="left" w:pos="360" w:leader="none"/>
      </w:tabs>
    </w:pPr>
    <w:rPr>
      <w:sz w:val="28"/>
      <w:szCs w:val="30"/>
    </w:rPr>
  </w:style>
  <w:style w:type="paragraph" w:styleId="764" w:customStyle="1">
    <w:name w:val=" Char"/>
    <w:basedOn w:val="692"/>
    <w:uiPriority w:val="0"/>
    <w:qFormat/>
    <w:rPr>
      <w:rFonts w:ascii="Tahoma" w:hAnsi="Tahoma"/>
      <w:sz w:val="24"/>
      <w:szCs w:val="24"/>
    </w:rPr>
  </w:style>
  <w:style w:type="paragraph" w:styleId="76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6" w:customStyle="1">
    <w:name w:val="table_lines"/>
    <w:basedOn w:val="676"/>
    <w:uiPriority w:val="0"/>
    <w:qFormat/>
    <w:pPr>
      <w:jc w:val="left"/>
      <w:widowControl/>
    </w:pPr>
    <w:rPr>
      <w:sz w:val="20"/>
      <w:szCs w:val="20"/>
      <w:lang w:val="de-DE" w:eastAsia="de-DE"/>
    </w:rPr>
  </w:style>
  <w:style w:type="paragraph" w:styleId="7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8"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9" w:customStyle="1">
    <w:name w:val=" Char Char Char Char"/>
    <w:basedOn w:val="692"/>
    <w:uiPriority w:val="0"/>
    <w:qFormat/>
    <w:pPr>
      <w:spacing w:line="360" w:lineRule="auto"/>
    </w:pPr>
    <w:rPr>
      <w:rFonts w:ascii="Tahoma" w:hAnsi="Tahoma"/>
      <w:sz w:val="24"/>
      <w:szCs w:val="24"/>
    </w:rPr>
  </w:style>
  <w:style w:type="paragraph" w:styleId="770">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1" w:customStyle="1">
    <w:name w:val="4"/>
    <w:basedOn w:val="676"/>
    <w:next w:val="711"/>
    <w:uiPriority w:val="0"/>
    <w:qFormat/>
    <w:pPr>
      <w:ind w:firstLine="420"/>
      <w:spacing w:line="360" w:lineRule="auto"/>
    </w:pPr>
    <w:rPr>
      <w:color w:val="ff0000"/>
      <w:sz w:val="24"/>
      <w:szCs w:val="24"/>
    </w:rPr>
  </w:style>
  <w:style w:type="paragraph" w:styleId="772"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3" w:customStyle="1">
    <w:name w:val=" Char Char Char Char Char Char Char Char Char Char"/>
    <w:basedOn w:val="676"/>
    <w:uiPriority w:val="0"/>
    <w:qFormat/>
    <w:pPr>
      <w:spacing w:line="360" w:lineRule="auto"/>
    </w:pPr>
    <w:rPr>
      <w:sz w:val="24"/>
      <w:szCs w:val="20"/>
    </w:rPr>
  </w:style>
  <w:style w:type="paragraph" w:styleId="774" w:customStyle="1">
    <w:name w:val="样式1"/>
    <w:basedOn w:val="676"/>
    <w:uiPriority w:val="0"/>
    <w:qFormat/>
    <w:pPr>
      <w:numPr>
        <w:ilvl w:val="0"/>
        <w:numId w:val="3"/>
      </w:numPr>
    </w:pPr>
    <w:rPr>
      <w:rFonts w:ascii="宋体" w:hAnsi="宋体"/>
    </w:rPr>
  </w:style>
  <w:style w:type="paragraph" w:styleId="775"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6"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9"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0"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1"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3"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4"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5" w:customStyle="1">
    <w:name w:val="Char Char Char Char"/>
    <w:basedOn w:val="692"/>
    <w:uiPriority w:val="0"/>
    <w:qFormat/>
    <w:pPr>
      <w:spacing w:line="360" w:lineRule="auto"/>
    </w:pPr>
    <w:rPr>
      <w:rFonts w:ascii="Tahoma" w:hAnsi="Tahoma"/>
      <w:sz w:val="24"/>
      <w:szCs w:val="24"/>
    </w:rPr>
  </w:style>
  <w:style w:type="paragraph" w:styleId="786" w:customStyle="1">
    <w:name w:val="table_1stline"/>
    <w:basedOn w:val="676"/>
    <w:uiPriority w:val="0"/>
    <w:qFormat/>
    <w:pPr>
      <w:jc w:val="left"/>
      <w:spacing w:before="120"/>
      <w:widowControl/>
    </w:pPr>
    <w:rPr>
      <w:bCs/>
      <w:sz w:val="20"/>
      <w:szCs w:val="20"/>
      <w:lang w:val="de-DE" w:eastAsia="de-DE"/>
    </w:rPr>
  </w:style>
  <w:style w:type="paragraph" w:styleId="787"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8"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customStyle="1">
    <w:name w:val="_Style 112"/>
    <w:uiPriority w:val="99"/>
    <w:semiHidden/>
    <w:qFormat/>
    <w:rPr>
      <w:rFonts w:ascii="Times New Roman" w:hAnsi="Times New Roman" w:eastAsia="宋体" w:cs="Times New Roman"/>
      <w:sz w:val="21"/>
      <w:szCs w:val="21"/>
      <w:lang w:val="en-US" w:eastAsia="zh-CN" w:bidi="ar-SA"/>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1" w:customStyle="1">
    <w:name w:val="普通文字"/>
    <w:basedOn w:val="676"/>
    <w:next w:val="676"/>
    <w:uiPriority w:val="99"/>
    <w:qFormat/>
    <w:rPr>
      <w:rFonts w:ascii="宋体" w:hAnsi="Times New Roman" w:eastAsia="宋体" w:cs="Times New Roman"/>
      <w:sz w:val="24"/>
      <w:szCs w:val="20"/>
      <w:u w:val="none"/>
    </w:rPr>
  </w:style>
  <w:style w:type="paragraph" w:styleId="792"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3" w:customStyle="1">
    <w:name w:val="Table Text"/>
    <w:basedOn w:val="676"/>
    <w:uiPriority w:val="0"/>
    <w:semiHidden/>
    <w:qFormat/>
    <w:rPr>
      <w:rFonts w:ascii="宋体" w:hAnsi="宋体" w:eastAsia="宋体" w:cs="宋体"/>
      <w:sz w:val="21"/>
      <w:szCs w:val="21"/>
      <w:lang w:val="en-US" w:eastAsia="en-US" w:bidi="ar-SA"/>
    </w:rPr>
  </w:style>
  <w:style w:type="table" w:styleId="794" w:customStyle="1">
    <w:name w:val="网格型11"/>
    <w:basedOn w:val="795"/>
    <w:uiPriority w:val="59"/>
    <w:qFormat/>
    <w:tblPr/>
  </w:style>
  <w:style w:type="table" w:styleId="795" w:customStyle="1">
    <w:name w:val="普通表格11"/>
    <w:uiPriority w:val="0"/>
    <w:semiHidden/>
    <w:qFormat/>
    <w:tblPr/>
  </w:style>
  <w:style w:type="table" w:styleId="796" w:customStyle="1">
    <w:name w:val="Table Normal"/>
    <w:uiPriority w:val="0"/>
    <w:unhideWhenUsed/>
    <w:qFormat/>
    <w:rPr>
      <w:rFonts w:ascii="Arial" w:hAnsi="Arial" w:cs="Arial"/>
      <w:color w:val="000000"/>
      <w:szCs w:val="21"/>
      <w:lang w:eastAsia="en-US"/>
    </w:rPr>
    <w:tblPr/>
  </w:style>
  <w:style w:type="paragraph" w:styleId="797" w:customStyle="1">
    <w:name w:val="Default"/>
    <w:uiPriority w:val="0"/>
    <w:qFormat/>
    <w:pPr>
      <w:widowControl w:val="off"/>
    </w:pPr>
    <w:rPr>
      <w:rFonts w:hint="default" w:ascii="Arial Unicode MS" w:hAnsi="Times New Roman" w:eastAsia="Arial Unicode MS" w:cs="Arial Unicode MS"/>
      <w:color w:val="000000"/>
      <w:sz w:val="24"/>
      <w:szCs w:val="24"/>
      <w:lang w:val="en-US" w:eastAsia="zh-CN" w:bidi="ar-SA"/>
    </w:rPr>
  </w:style>
  <w:style w:type="paragraph" w:styleId="798" w:customStyle="1">
    <w:name w:val="页脚1"/>
    <w:basedOn w:val="676"/>
    <w:uiPriority w:val="0"/>
    <w:qFormat/>
    <w:pPr>
      <w:jc w:val="left"/>
      <w:tabs>
        <w:tab w:val="center" w:pos="4153" w:leader="none"/>
        <w:tab w:val="right" w:pos="8306" w:leader="none"/>
      </w:tabs>
    </w:pPr>
    <w:rPr>
      <w:sz w:val="18"/>
      <w:szCs w:val="18"/>
    </w:rPr>
  </w:style>
  <w:style w:type="numbering" w:styleId="13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520</cp:revision>
  <dcterms:created xsi:type="dcterms:W3CDTF">2023-03-16T02:16:00Z</dcterms:created>
  <dcterms:modified xsi:type="dcterms:W3CDTF">2026-08-27T01:56:05Z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735C36F9D37F4F5D8D2B71A69225321E_13</vt:lpwstr>
  </property>
  <property fmtid="{D5CDD505-2E9C-101B-9397-08002B2CF9AE}" pid="4" name="KSOTemplateDocerSaveRecord">
    <vt:lpwstr>eyJoZGlkIjoiMDJlMjMzYjhlNjQ5M2U1ZWIxZTAwZmE1OGYxZmNlNzQiLCJ1c2VySWQiOiI2NDEzMTczMjkifQ==</vt:lpwstr>
  </property>
</Properties>
</file>