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3841" w:leader="none"/>
        </w:tabs>
        <w:rPr>
          <w:rFonts w:hint="eastAsia" w:cs="仿宋" w:asciiTheme="minorEastAsia" w:hAnsiTheme="minorEastAsia" w:eastAsiaTheme="minorEastAsia"/>
          <w:b/>
          <w:i/>
          <w:color w:val="000000" w:themeColor="text1"/>
          <w:sz w:val="21"/>
          <w:szCs w:val="21"/>
        </w:rPr>
      </w:pPr>
      <w:r>
        <w:rPr>
          <w:rFonts w:hint="eastAsia" w:cs="仿宋" w:asciiTheme="minorEastAsia" w:hAnsiTheme="minorEastAsia" w:eastAsiaTheme="minorEastAsia"/>
          <w:b/>
          <w:color w:val="000000" w:themeColor="text1"/>
          <w:sz w:val="72"/>
        </w:rPr>
        <w:tab/>
      </w:r>
      <w:r/>
    </w:p>
    <w:p>
      <w:pPr>
        <w:jc w:val="center"/>
        <w:spacing w:line="360" w:lineRule="auto"/>
        <w:rPr>
          <w:rFonts w:hint="eastAsia" w:cs="仿宋" w:asciiTheme="minorEastAsia" w:hAnsiTheme="minorEastAsia" w:eastAsiaTheme="minorEastAsia"/>
          <w:b/>
          <w:color w:val="000000" w:themeColor="text1"/>
          <w:sz w:val="72"/>
        </w:rPr>
      </w:pPr>
      <w:r>
        <w:rPr>
          <w:rFonts w:hint="eastAsia" w:cs="仿宋" w:asciiTheme="minorEastAsia" w:hAnsiTheme="minorEastAsia" w:eastAsiaTheme="minorEastAsia"/>
          <w:b/>
          <w:color w:val="000000" w:themeColor="text1"/>
          <w:sz w:val="72"/>
        </w:rPr>
      </w:r>
      <w:r/>
    </w:p>
    <w:p>
      <w:pPr>
        <w:jc w:val="center"/>
        <w:spacing w:line="360" w:lineRule="auto"/>
        <w:rPr>
          <w:rFonts w:hint="eastAsia" w:cs="仿宋" w:asciiTheme="minorEastAsia" w:hAnsiTheme="minorEastAsia" w:eastAsiaTheme="minorEastAsia"/>
          <w:bCs/>
          <w:color w:val="000000" w:themeColor="text1"/>
          <w:spacing w:val="20"/>
          <w:sz w:val="72"/>
          <w:szCs w:val="72"/>
        </w:rPr>
      </w:pPr>
      <w:r>
        <w:rPr>
          <w:rFonts w:hint="eastAsia" w:cs="仿宋" w:asciiTheme="minorEastAsia" w:hAnsiTheme="minorEastAsia" w:eastAsiaTheme="minorEastAsia"/>
          <w:bCs/>
          <w:color w:val="000000" w:themeColor="text1"/>
          <w:spacing w:val="20"/>
          <w:sz w:val="72"/>
          <w:szCs w:val="72"/>
        </w:rPr>
        <w:t xml:space="preserve">泰州市政府采购</w:t>
      </w:r>
      <w:r/>
    </w:p>
    <w:p>
      <w:pPr>
        <w:jc w:val="center"/>
        <w:spacing w:line="360" w:lineRule="auto"/>
        <w:rPr>
          <w:rFonts w:hint="eastAsia" w:cs="仿宋" w:asciiTheme="minorEastAsia" w:hAnsiTheme="minorEastAsia" w:eastAsiaTheme="minorEastAsia"/>
          <w:bCs/>
          <w:color w:val="000000" w:themeColor="text1"/>
          <w:spacing w:val="20"/>
          <w:sz w:val="52"/>
          <w:szCs w:val="52"/>
        </w:rPr>
      </w:pPr>
      <w:r>
        <w:rPr>
          <w:rFonts w:hint="eastAsia" w:cs="仿宋" w:asciiTheme="minorEastAsia" w:hAnsiTheme="minorEastAsia" w:eastAsiaTheme="minorEastAsia"/>
          <w:bCs/>
          <w:color w:val="000000" w:themeColor="text1"/>
          <w:spacing w:val="20"/>
          <w:sz w:val="52"/>
          <w:szCs w:val="52"/>
        </w:rPr>
        <w:t xml:space="preserve">公开</w:t>
      </w:r>
      <w:r>
        <w:rPr>
          <w:rFonts w:hint="eastAsia" w:asciiTheme="minorEastAsia" w:hAnsiTheme="minorEastAsia" w:eastAsiaTheme="minorEastAsia"/>
          <w:color w:val="000000" w:themeColor="text1"/>
        </w:rPr>
        <mc:AlternateContent>
          <mc:Choice Requires="wpg">
            <w:drawing>
              <wp:anchor xmlns:wp="http://schemas.openxmlformats.org/drawingml/2006/wordprocessingDrawing" xmlns:wp14="http://schemas.microsoft.com/office/word/2010/wordprocessingDrawing" distT="0" distB="4294967295" distL="114300" distR="114300" simplePos="0" relativeHeight="251661312" behindDoc="0" locked="0" layoutInCell="0" allowOverlap="1">
                <wp:simplePos x="0" y="0"/>
                <wp:positionH relativeFrom="column">
                  <wp:posOffset>-113665</wp:posOffset>
                </wp:positionH>
                <wp:positionV relativeFrom="paragraph">
                  <wp:posOffset>197484</wp:posOffset>
                </wp:positionV>
                <wp:extent cx="635" cy="0"/>
                <wp:effectExtent l="0" t="0" r="0" b="0"/>
                <wp:wrapNone/>
                <wp:docPr id="3"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2" o:spid="_x0000_s2" style="position:absolute;left:0;text-align:left;z-index:251661312;mso-wrap-distance-left:9.0pt;mso-wrap-distance-top:0.0pt;mso-wrap-distance-right:9.0pt;mso-wrap-distance-bottom:-169093.2pt;visibility:visible;" from="-8.9pt,15.5pt" to="-8.9pt,15.5pt" filled="f" strokecolor="#000000"/>
            </w:pict>
          </mc:Fallback>
        </mc:AlternateContent>
      </w:r>
      <w:r>
        <w:rPr>
          <w:rFonts w:hint="eastAsia" w:cs="仿宋" w:asciiTheme="minorEastAsia" w:hAnsiTheme="minorEastAsia" w:eastAsiaTheme="minorEastAsia"/>
          <w:bCs/>
          <w:color w:val="000000" w:themeColor="text1"/>
          <w:spacing w:val="20"/>
          <w:sz w:val="52"/>
          <w:szCs w:val="52"/>
        </w:rPr>
        <w:t xml:space="preserve">招标文件</w:t>
      </w:r>
      <w:r/>
    </w:p>
    <w:p>
      <w:pPr>
        <w:jc w:val="center"/>
        <w:spacing w:line="360" w:lineRule="auto"/>
        <w:rPr>
          <w:rFonts w:hint="eastAsia" w:cs="仿宋" w:asciiTheme="minorEastAsia" w:hAnsiTheme="minorEastAsia" w:eastAsiaTheme="minorEastAsia"/>
          <w:b/>
          <w:color w:val="000000" w:themeColor="text1"/>
          <w:sz w:val="72"/>
          <w:szCs w:val="72"/>
        </w:rPr>
      </w:pPr>
      <w:r>
        <w:rPr>
          <w:rFonts w:hint="eastAsia" w:cs="仿宋" w:asciiTheme="minorEastAsia" w:hAnsiTheme="minorEastAsia" w:eastAsiaTheme="minorEastAsia"/>
          <w:bCs/>
          <w:color w:val="000000" w:themeColor="text1"/>
          <w:sz w:val="30"/>
        </w:rPr>
        <w:t xml:space="preserve">（全流程电子化不见面开标）</w:t>
      </w:r>
      <w:r/>
    </w:p>
    <w:p>
      <w:pPr>
        <w:spacing w:line="360" w:lineRule="auto"/>
        <w:rPr>
          <w:rFonts w:hint="eastAsia" w:cs="仿宋" w:asciiTheme="minorEastAsia" w:hAnsiTheme="minorEastAsia" w:eastAsiaTheme="minorEastAsia"/>
          <w:b/>
          <w:color w:val="000000" w:themeColor="text1"/>
          <w:sz w:val="72"/>
        </w:rPr>
      </w:pPr>
      <w:r>
        <w:rPr>
          <w:rFonts w:hint="eastAsia" w:cs="仿宋" w:asciiTheme="minorEastAsia" w:hAnsiTheme="minorEastAsia" w:eastAsiaTheme="minorEastAsia"/>
          <w:b/>
          <w:color w:val="000000" w:themeColor="text1"/>
          <w:sz w:val="72"/>
        </w:rPr>
      </w:r>
      <w:r/>
    </w:p>
    <w:p>
      <w:pPr>
        <w:pStyle w:val="1012"/>
        <w:ind w:firstLine="568"/>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pStyle w:val="1012"/>
        <w:ind w:firstLine="568"/>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项目编号：</w:t>
      </w:r>
      <w:r>
        <w:rPr>
          <w:rFonts w:hint="eastAsia" w:cs="仿宋" w:asciiTheme="minorEastAsia" w:hAnsiTheme="minorEastAsia" w:eastAsiaTheme="minorEastAsia"/>
          <w:b/>
          <w:bCs/>
          <w:color w:val="000000" w:themeColor="text1"/>
          <w:sz w:val="28"/>
          <w:szCs w:val="28"/>
        </w:rPr>
        <w:t xml:space="preserve">JSZC-321283-HWZX-G2026-0506</w:t>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采购代理编号：</w:t>
      </w:r>
      <w:r>
        <w:rPr>
          <w:rFonts w:hint="eastAsia" w:cs="仿宋" w:asciiTheme="minorEastAsia" w:hAnsiTheme="minorEastAsia" w:eastAsiaTheme="minorEastAsia"/>
          <w:b/>
          <w:bCs/>
          <w:color w:val="000000" w:themeColor="text1"/>
          <w:sz w:val="28"/>
          <w:szCs w:val="28"/>
        </w:rPr>
        <w:t xml:space="preserve">0675-266JOC003753</w:t>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项目名称：</w:t>
      </w:r>
      <w:r>
        <w:rPr>
          <w:rFonts w:hint="eastAsia" w:cs="仿宋" w:asciiTheme="minorEastAsia" w:hAnsiTheme="minorEastAsia" w:eastAsiaTheme="minorEastAsia"/>
          <w:b/>
          <w:bCs/>
          <w:color w:val="000000" w:themeColor="text1"/>
          <w:sz w:val="28"/>
          <w:szCs w:val="28"/>
        </w:rPr>
        <w:t xml:space="preserve">4K腹腔镜摄像系统</w:t>
      </w:r>
      <w:r/>
    </w:p>
    <w:p>
      <w:pP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   购   人：</w:t>
      </w:r>
      <w:r>
        <w:rPr>
          <w:rFonts w:hint="eastAsia" w:cs="仿宋" w:asciiTheme="minorEastAsia" w:hAnsiTheme="minorEastAsia" w:eastAsiaTheme="minorEastAsia"/>
          <w:b/>
          <w:bCs/>
          <w:color w:val="000000" w:themeColor="text1"/>
          <w:sz w:val="28"/>
          <w:szCs w:val="28"/>
        </w:rPr>
        <w:t xml:space="preserve">泰兴市中医院</w:t>
      </w:r>
      <w:r/>
    </w:p>
    <w:p>
      <w:pPr>
        <w:pStyle w:val="854"/>
        <w:ind w:firstLine="0"/>
        <w:jc w:val="center"/>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采购代理机构：江苏海外集团国际工程咨询有限公司</w:t>
      </w:r>
      <w:r/>
    </w:p>
    <w:p>
      <w:pPr>
        <w:jc w:val="center"/>
        <w:spacing w:line="360" w:lineRule="auto"/>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r>
      <w:r/>
    </w:p>
    <w:p>
      <w:pPr>
        <w:jc w:val="center"/>
        <w:spacing w:line="360" w:lineRule="auto"/>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2026年8月</w:t>
      </w:r>
      <w:r/>
    </w:p>
    <w:p>
      <w:pPr>
        <w:jc w:val="center"/>
        <w:spacing w:line="360" w:lineRule="auto"/>
        <w:widowControl/>
        <w:rPr>
          <w:rFonts w:hint="eastAsia" w:cs="仿宋" w:asciiTheme="minorEastAsia" w:hAnsiTheme="minorEastAsia" w:eastAsiaTheme="minorEastAsia"/>
          <w:b/>
          <w:color w:val="000000" w:themeColor="text1"/>
          <w:sz w:val="36"/>
          <w:szCs w:val="36"/>
        </w:rPr>
      </w:pPr>
      <w:r>
        <w:rPr>
          <w:rFonts w:hint="eastAsia" w:cs="仿宋" w:asciiTheme="minorEastAsia" w:hAnsiTheme="minorEastAsia" w:eastAsiaTheme="minorEastAsia"/>
          <w:b/>
          <w:color w:val="000000" w:themeColor="text1"/>
          <w:sz w:val="36"/>
          <w:szCs w:val="36"/>
        </w:rPr>
        <w:t xml:space="preserve">目  录</w:t>
      </w:r>
      <w:r/>
    </w:p>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pStyle w:val="1013"/>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begin"/>
      </w:r>
      <w:r>
        <w:rPr>
          <w:rFonts w:hint="eastAsia" w:cs="仿宋" w:asciiTheme="minorEastAsia" w:hAnsiTheme="minorEastAsia" w:eastAsiaTheme="minorEastAsia"/>
          <w:b/>
          <w:color w:val="000000" w:themeColor="text1"/>
          <w:sz w:val="28"/>
          <w:szCs w:val="21"/>
        </w:rPr>
        <w:instrText xml:space="preserve">TOC  \* MERGEFORMAT</w:instrText>
      </w:r>
      <w:r>
        <w:rPr>
          <w:rFonts w:hint="eastAsia" w:cs="仿宋" w:asciiTheme="minorEastAsia" w:hAnsiTheme="minorEastAsia" w:eastAsiaTheme="minorEastAsia"/>
          <w:b/>
          <w:color w:val="000000" w:themeColor="text1"/>
          <w:sz w:val="28"/>
          <w:szCs w:val="21"/>
        </w:rPr>
        <w:fldChar w:fldCharType="separate"/>
      </w:r>
      <w:r>
        <w:rPr>
          <w:rFonts w:hint="eastAsia" w:cs="仿宋" w:asciiTheme="minorEastAsia" w:hAnsiTheme="minorEastAsia" w:eastAsiaTheme="minorEastAsia"/>
          <w:b/>
          <w:color w:val="000000" w:themeColor="text1"/>
          <w:sz w:val="28"/>
          <w:szCs w:val="21"/>
        </w:rPr>
        <w:t xml:space="preserve">第一章 招标公告</w:t>
      </w:r>
      <w:r/>
    </w:p>
    <w:p>
      <w:pPr>
        <w:pStyle w:val="1013"/>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第二章 投标人须知</w:t>
      </w:r>
      <w:r/>
    </w:p>
    <w:p>
      <w:pPr>
        <w:pStyle w:val="1013"/>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第三章 采购需求</w:t>
      </w:r>
      <w:r/>
    </w:p>
    <w:p>
      <w:pPr>
        <w:pStyle w:val="1013"/>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第四章 评标办法及标准</w:t>
      </w:r>
      <w:r/>
    </w:p>
    <w:p>
      <w:pPr>
        <w:pStyle w:val="1013"/>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第五章 合同条款</w:t>
      </w:r>
      <w:r/>
    </w:p>
    <w:p>
      <w:pPr>
        <w:pStyle w:val="1013"/>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end"/>
      </w:r>
      <w:r>
        <w:rPr>
          <w:rFonts w:hint="eastAsia" w:cs="仿宋" w:asciiTheme="minorEastAsia" w:hAnsiTheme="minorEastAsia" w:eastAsiaTheme="minorEastAsia"/>
          <w:b/>
          <w:color w:val="000000" w:themeColor="text1"/>
          <w:sz w:val="28"/>
          <w:szCs w:val="21"/>
        </w:rPr>
        <w:t xml:space="preserve">第六章 投标文件格式</w:t>
      </w:r>
      <w:r/>
    </w:p>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jc w:val="center"/>
        <w:spacing w:line="360" w:lineRule="auto"/>
        <w:widowControl/>
        <w:rPr>
          <w:rFonts w:hint="eastAsia" w:cs="仿宋" w:asciiTheme="minorEastAsia" w:hAnsiTheme="minorEastAsia" w:eastAsiaTheme="minorEastAsia"/>
          <w:b/>
          <w:color w:val="000000" w:themeColor="text1"/>
          <w:spacing w:val="15"/>
          <w:sz w:val="32"/>
          <w:szCs w:val="32"/>
        </w:rPr>
      </w:pPr>
      <w:r>
        <w:rPr>
          <w:rFonts w:hint="eastAsia" w:cs="仿宋" w:asciiTheme="minorEastAsia" w:hAnsiTheme="minorEastAsia" w:eastAsiaTheme="minorEastAsia"/>
          <w:color w:val="000000" w:themeColor="text1"/>
          <w:sz w:val="21"/>
          <w:szCs w:val="21"/>
        </w:rPr>
        <w:br w:type="page" w:clear="all"/>
      </w:r>
      <w:bookmarkStart w:id="0" w:name="_Hlk198730228"/>
      <w:r/>
      <w:bookmarkStart w:id="1" w:name="_Toc409438817"/>
      <w:r/>
      <w:bookmarkStart w:id="2" w:name="_Toc388026584"/>
      <w:r>
        <w:rPr>
          <w:rFonts w:hint="eastAsia" w:cs="仿宋" w:asciiTheme="minorEastAsia" w:hAnsiTheme="minorEastAsia" w:eastAsiaTheme="minorEastAsia"/>
          <w:b/>
          <w:color w:val="000000" w:themeColor="text1"/>
          <w:spacing w:val="15"/>
          <w:sz w:val="32"/>
          <w:szCs w:val="32"/>
        </w:rPr>
        <w:t xml:space="preserve">第一章</w:t>
      </w:r>
      <w:r>
        <w:rPr>
          <w:rFonts w:hint="eastAsia" w:cs="宋体" w:asciiTheme="minorEastAsia" w:hAnsiTheme="minorEastAsia" w:eastAsiaTheme="minorEastAsia"/>
          <w:color w:val="000000" w:themeColor="text1"/>
          <w:sz w:val="32"/>
          <w:szCs w:val="32"/>
        </w:rPr>
        <w:t xml:space="preserve"> </w:t>
      </w:r>
      <w:bookmarkStart w:id="3" w:name="_Toc417477665"/>
      <w:r/>
      <w:bookmarkStart w:id="4" w:name="_Toc228679947"/>
      <w:r/>
      <w:bookmarkStart w:id="5" w:name="_Toc258329824"/>
      <w:r/>
      <w:bookmarkEnd w:id="3"/>
      <w:r/>
      <w:bookmarkEnd w:id="4"/>
      <w:r/>
      <w:bookmarkEnd w:id="5"/>
      <w:r>
        <w:rPr>
          <w:rFonts w:hint="eastAsia" w:cs="仿宋" w:asciiTheme="minorEastAsia" w:hAnsiTheme="minorEastAsia" w:eastAsiaTheme="minorEastAsia"/>
          <w:b/>
          <w:color w:val="000000" w:themeColor="text1"/>
          <w:spacing w:val="15"/>
          <w:sz w:val="32"/>
          <w:szCs w:val="32"/>
        </w:rPr>
        <w:t xml:space="preserve">招标公告</w:t>
      </w:r>
      <w:r/>
    </w:p>
    <w:p>
      <w:pPr>
        <w:spacing w:line="360" w:lineRule="auto"/>
        <w:rPr>
          <w:rFonts w:hint="eastAsia"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rPr>
        <w:t xml:space="preserve">项目概况</w:t>
      </w:r>
      <w:r/>
    </w:p>
    <w:p>
      <w:pPr>
        <w:ind w:firstLine="488"/>
        <w:spacing w:line="360" w:lineRule="auto"/>
        <w:rPr>
          <w:rFonts w:hint="eastAsia"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u w:val="single"/>
        </w:rPr>
        <w:t xml:space="preserve">4K腹腔镜摄像系统</w:t>
      </w:r>
      <w:r>
        <w:rPr>
          <w:rFonts w:hint="eastAsia" w:cs="仿宋" w:asciiTheme="minorEastAsia" w:hAnsiTheme="minorEastAsia" w:eastAsiaTheme="minorEastAsia"/>
          <w:color w:val="000000" w:themeColor="text1"/>
          <w:sz w:val="24"/>
          <w:szCs w:val="24"/>
        </w:rPr>
        <w:t xml:space="preserve">招标项目的潜在投标人可</w:t>
      </w:r>
      <w:r>
        <w:rPr>
          <w:rFonts w:hint="eastAsia" w:cs="仿宋" w:asciiTheme="minorEastAsia" w:hAnsiTheme="minorEastAsia" w:eastAsiaTheme="minorEastAsia"/>
          <w:color w:val="000000" w:themeColor="text1"/>
          <w:sz w:val="24"/>
          <w:szCs w:val="24"/>
        </w:rPr>
        <w:t xml:space="preserve">在“江苏政府采购网</w:t>
      </w:r>
      <w:r>
        <w:rPr>
          <w:rFonts w:hint="eastAsia" w:cs="仿宋" w:asciiTheme="minorEastAsia" w:hAnsiTheme="minorEastAsia" w:eastAsiaTheme="minorEastAsia"/>
          <w:color w:val="000000" w:themeColor="text1"/>
          <w:sz w:val="24"/>
          <w:szCs w:val="24"/>
          <w:u w:val="single"/>
        </w:rPr>
        <w:t xml:space="preserve">-苏采云”系统</w:t>
      </w:r>
      <w:r>
        <w:rPr>
          <w:rFonts w:hint="eastAsia" w:cs="仿宋" w:asciiTheme="minorEastAsia" w:hAnsiTheme="minorEastAsia" w:eastAsiaTheme="minorEastAsia"/>
          <w:color w:val="000000" w:themeColor="text1"/>
          <w:sz w:val="24"/>
          <w:szCs w:val="24"/>
        </w:rPr>
        <w:t xml:space="preserve">自行下载招标文件 </w:t>
      </w:r>
      <w:hyperlink r:id="rId16" w:tooltip="http://jszfcg.jsczt.cn/）获取招标文件，并于2023年11月" w:history="1">
        <w:r>
          <w:rPr>
            <w:rStyle w:val="858"/>
            <w:rFonts w:hint="eastAsia" w:cs="仿宋" w:asciiTheme="minorEastAsia" w:hAnsiTheme="minorEastAsia" w:eastAsiaTheme="minorEastAsia"/>
            <w:color w:val="000000" w:themeColor="text1"/>
            <w:sz w:val="24"/>
            <w:szCs w:val="24"/>
            <w:u w:val="none"/>
          </w:rPr>
          <w:t xml:space="preserve">，并于</w:t>
        </w:r>
        <w:r>
          <w:rPr>
            <w:rStyle w:val="858"/>
            <w:rFonts w:hint="eastAsia" w:cs="仿宋" w:asciiTheme="minorEastAsia" w:hAnsiTheme="minorEastAsia" w:eastAsiaTheme="minorEastAsia"/>
            <w:color w:val="000000" w:themeColor="text1"/>
            <w:sz w:val="24"/>
            <w:szCs w:val="24"/>
          </w:rPr>
          <w:t xml:space="preserve">2026年</w:t>
        </w:r>
        <w:r>
          <w:rPr>
            <w:rStyle w:val="858"/>
            <w:rFonts w:cs="仿宋" w:asciiTheme="minorEastAsia" w:hAnsiTheme="minorEastAsia" w:eastAsiaTheme="minorEastAsia"/>
            <w:color w:val="000000" w:themeColor="text1"/>
            <w:sz w:val="24"/>
            <w:szCs w:val="24"/>
          </w:rPr>
          <w:t xml:space="preserve">9</w:t>
        </w:r>
        <w:r>
          <w:rPr>
            <w:rStyle w:val="858"/>
            <w:rFonts w:hint="eastAsia" w:cs="仿宋" w:asciiTheme="minorEastAsia" w:hAnsiTheme="minorEastAsia" w:eastAsiaTheme="minorEastAsia"/>
            <w:color w:val="000000" w:themeColor="text1"/>
            <w:sz w:val="24"/>
            <w:szCs w:val="24"/>
          </w:rPr>
          <w:t xml:space="preserve">月</w:t>
        </w:r>
      </w:hyperlink>
      <w:r>
        <w:rPr>
          <w:rStyle w:val="858"/>
          <w:rFonts w:hint="eastAsia" w:cs="仿宋" w:asciiTheme="minorEastAsia" w:hAnsiTheme="minorEastAsia" w:eastAsiaTheme="minorEastAsia"/>
          <w:color w:val="000000" w:themeColor="text1"/>
          <w:sz w:val="24"/>
          <w:szCs w:val="24"/>
        </w:rPr>
        <w:t xml:space="preserve">22</w:t>
      </w:r>
      <w:r>
        <w:rPr>
          <w:rFonts w:hint="eastAsia" w:cs="仿宋" w:asciiTheme="minorEastAsia" w:hAnsiTheme="minorEastAsia" w:eastAsiaTheme="minorEastAsia"/>
          <w:color w:val="000000" w:themeColor="text1"/>
          <w:sz w:val="24"/>
          <w:szCs w:val="24"/>
          <w:u w:val="single"/>
        </w:rPr>
        <w:t xml:space="preserve">日1</w:t>
      </w:r>
      <w:r>
        <w:rPr>
          <w:rFonts w:cs="仿宋" w:asciiTheme="minorEastAsia" w:hAnsiTheme="minorEastAsia" w:eastAsiaTheme="minorEastAsia"/>
          <w:color w:val="000000" w:themeColor="text1"/>
          <w:sz w:val="24"/>
          <w:szCs w:val="24"/>
          <w:u w:val="single"/>
        </w:rPr>
        <w:t xml:space="preserve">0</w:t>
      </w:r>
      <w:r>
        <w:rPr>
          <w:rFonts w:hint="eastAsia" w:cs="仿宋" w:asciiTheme="minorEastAsia" w:hAnsiTheme="minorEastAsia" w:eastAsiaTheme="minorEastAsia"/>
          <w:color w:val="000000" w:themeColor="text1"/>
          <w:sz w:val="24"/>
          <w:szCs w:val="24"/>
          <w:u w:val="single"/>
        </w:rPr>
        <w:t xml:space="preserve">时</w:t>
      </w:r>
      <w:r>
        <w:rPr>
          <w:rFonts w:hint="eastAsia" w:cs="仿宋" w:asciiTheme="minorEastAsia" w:hAnsiTheme="minorEastAsia" w:eastAsiaTheme="minorEastAsia"/>
          <w:color w:val="000000" w:themeColor="text1"/>
          <w:sz w:val="24"/>
          <w:szCs w:val="24"/>
          <w:u w:val="single"/>
        </w:rPr>
        <w:t xml:space="preserve">0</w:t>
      </w:r>
      <w:r>
        <w:rPr>
          <w:rFonts w:hint="eastAsia" w:cs="仿宋" w:asciiTheme="minorEastAsia" w:hAnsiTheme="minorEastAsia" w:eastAsiaTheme="minorEastAsia"/>
          <w:color w:val="000000" w:themeColor="text1"/>
          <w:sz w:val="24"/>
          <w:szCs w:val="24"/>
          <w:u w:val="single"/>
        </w:rPr>
        <w:t xml:space="preserve">0分</w:t>
      </w:r>
      <w:r>
        <w:rPr>
          <w:rFonts w:hint="eastAsia" w:cs="仿宋" w:asciiTheme="minorEastAsia" w:hAnsiTheme="minorEastAsia" w:eastAsiaTheme="minorEastAsia"/>
          <w:bCs/>
          <w:color w:val="000000" w:themeColor="text1"/>
          <w:sz w:val="24"/>
          <w:szCs w:val="24"/>
        </w:rPr>
        <w:t xml:space="preserve">（北京时间）前上传投标文件</w:t>
      </w:r>
      <w:r>
        <w:rPr>
          <w:rFonts w:hint="eastAsia" w:cs="仿宋" w:asciiTheme="minorEastAsia" w:hAnsiTheme="minorEastAsia" w:eastAsiaTheme="minorEastAsia"/>
          <w:color w:val="000000" w:themeColor="text1"/>
          <w:sz w:val="24"/>
          <w:szCs w:val="24"/>
        </w:rPr>
        <w:t xml:space="preserve">。</w:t>
      </w:r>
      <w:r/>
    </w:p>
    <w:p>
      <w:pPr>
        <w:pStyle w:val="1014"/>
        <w:spacing w:before="0" w:after="0" w:line="360" w:lineRule="auto"/>
        <w:rPr>
          <w:rFonts w:hint="eastAsia" w:cs="仿宋" w:asciiTheme="minorEastAsia" w:hAnsiTheme="minorEastAsia" w:eastAsiaTheme="minorEastAsia"/>
          <w:bCs w:val="0"/>
          <w:color w:val="000000" w:themeColor="text1"/>
          <w:sz w:val="24"/>
          <w:szCs w:val="24"/>
        </w:rPr>
      </w:pPr>
      <w:r/>
      <w:bookmarkStart w:id="6" w:name="_Toc28359002"/>
      <w:r/>
      <w:bookmarkStart w:id="7" w:name="_Toc35393790"/>
      <w:r/>
      <w:bookmarkStart w:id="8" w:name="_Toc35393621"/>
      <w:r/>
      <w:bookmarkStart w:id="9" w:name="_Toc28359079"/>
      <w:r/>
      <w:bookmarkStart w:id="10" w:name="_Hlk24379207"/>
      <w:r>
        <w:rPr>
          <w:rFonts w:hint="eastAsia" w:cs="仿宋" w:asciiTheme="minorEastAsia" w:hAnsiTheme="minorEastAsia" w:eastAsiaTheme="minorEastAsia"/>
          <w:bCs w:val="0"/>
          <w:color w:val="000000" w:themeColor="text1"/>
          <w:sz w:val="24"/>
          <w:szCs w:val="24"/>
        </w:rPr>
        <w:t xml:space="preserve">一、项目基本情况</w:t>
      </w:r>
      <w:bookmarkEnd w:id="6"/>
      <w:r/>
      <w:bookmarkEnd w:id="7"/>
      <w:r/>
      <w:bookmarkEnd w:id="8"/>
      <w:r/>
      <w:bookmarkEnd w:id="9"/>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项目编号：</w:t>
      </w:r>
      <w:r>
        <w:rPr>
          <w:rFonts w:hint="eastAsia" w:cs="仿宋" w:asciiTheme="minorEastAsia" w:hAnsiTheme="minorEastAsia" w:eastAsiaTheme="minorEastAsia"/>
          <w:color w:val="000000" w:themeColor="text1"/>
          <w:sz w:val="24"/>
          <w:szCs w:val="24"/>
        </w:rPr>
        <w:t xml:space="preserve">JSZC-321283-HWZX-G2026-0506</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采购代理编号：</w:t>
      </w:r>
      <w:r>
        <w:rPr>
          <w:rFonts w:hint="eastAsia" w:cs="仿宋" w:asciiTheme="minorEastAsia" w:hAnsiTheme="minorEastAsia" w:eastAsiaTheme="minorEastAsia"/>
          <w:color w:val="000000" w:themeColor="text1"/>
          <w:sz w:val="24"/>
          <w:szCs w:val="24"/>
        </w:rPr>
        <w:t xml:space="preserve">0675-266JOC003753</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bookmarkEnd w:id="10"/>
      <w:r>
        <w:rPr>
          <w:rFonts w:hint="eastAsia" w:cs="仿宋" w:asciiTheme="minorEastAsia" w:hAnsiTheme="minorEastAsia" w:eastAsiaTheme="minorEastAsia"/>
          <w:color w:val="000000" w:themeColor="text1"/>
          <w:sz w:val="24"/>
          <w:szCs w:val="24"/>
        </w:rPr>
        <w:t xml:space="preserve">4K腹腔镜摄像系统</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预算金额：</w:t>
      </w:r>
      <w:r>
        <w:rPr>
          <w:rFonts w:cs="仿宋" w:asciiTheme="minorEastAsia" w:hAnsiTheme="minorEastAsia" w:eastAsiaTheme="minorEastAsia"/>
          <w:color w:val="000000" w:themeColor="text1"/>
          <w:sz w:val="24"/>
          <w:szCs w:val="24"/>
        </w:rPr>
        <w:t xml:space="preserve">200</w:t>
      </w:r>
      <w:r>
        <w:rPr>
          <w:rFonts w:hint="eastAsia" w:cs="仿宋" w:asciiTheme="minorEastAsia" w:hAnsiTheme="minorEastAsia" w:eastAsiaTheme="minorEastAsia"/>
          <w:color w:val="000000" w:themeColor="text1"/>
          <w:sz w:val="24"/>
          <w:szCs w:val="24"/>
        </w:rPr>
        <w:t xml:space="preserve">万元</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最高限价：</w:t>
      </w:r>
      <w:r>
        <w:rPr>
          <w:rFonts w:cs="仿宋" w:asciiTheme="minorEastAsia" w:hAnsiTheme="minorEastAsia" w:eastAsiaTheme="minorEastAsia"/>
          <w:color w:val="000000" w:themeColor="text1"/>
          <w:sz w:val="24"/>
          <w:szCs w:val="24"/>
        </w:rPr>
        <w:t xml:space="preserve">200</w:t>
      </w:r>
      <w:r>
        <w:rPr>
          <w:rFonts w:hint="eastAsia" w:cs="仿宋" w:asciiTheme="minorEastAsia" w:hAnsiTheme="minorEastAsia" w:eastAsiaTheme="minorEastAsia"/>
          <w:color w:val="000000" w:themeColor="text1"/>
          <w:sz w:val="24"/>
          <w:szCs w:val="24"/>
        </w:rPr>
        <w:t xml:space="preserve">万元</w:t>
      </w:r>
      <w:r/>
    </w:p>
    <w:p>
      <w:pPr>
        <w:ind w:firstLine="480"/>
        <w:jc w:val="left"/>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采购需求： </w:t>
      </w:r>
      <w:r/>
    </w:p>
    <w:tbl>
      <w:tblPr>
        <w:tblStyle w:val="1041"/>
        <w:tblW w:w="4877"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575"/>
        <w:gridCol w:w="4030"/>
        <w:gridCol w:w="803"/>
        <w:gridCol w:w="1624"/>
        <w:gridCol w:w="1058"/>
      </w:tblGrid>
      <w:tr>
        <w:trPr>
          <w:jc w:val="center"/>
          <w:trHeight w:val="1041"/>
        </w:trPr>
        <w:tc>
          <w:tcPr>
            <w:tcW w:w="35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包号</w:t>
            </w:r>
            <w:r/>
          </w:p>
        </w:tc>
        <w:tc>
          <w:tcPr>
            <w:tcW w:w="249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49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00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预算/最高限价</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（万元）</w:t>
            </w:r>
            <w:r/>
          </w:p>
        </w:tc>
        <w:tc>
          <w:tcPr>
            <w:tcW w:w="65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是否接受进口产品</w:t>
            </w:r>
            <w:r/>
          </w:p>
        </w:tc>
      </w:tr>
      <w:tr>
        <w:trPr>
          <w:jc w:val="center"/>
          <w:trHeight w:val="1378" w:hRule="exact"/>
        </w:trPr>
        <w:tc>
          <w:tcPr>
            <w:shd w:val="clear" w:color="auto" w:fill="ffffff"/>
            <w:tcW w:w="35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ffffff"/>
            <w:tcW w:w="2491" w:type="pct"/>
            <w:vAlign w:val="center"/>
            <w:textDirection w:val="lrTb"/>
            <w:noWrap w:val="false"/>
          </w:tcPr>
          <w:p>
            <w:pPr>
              <w:jc w:val="center"/>
              <w:spacing w:line="360" w:lineRule="auto"/>
              <w:rPr>
                <w:rFonts w:hint="eastAsia" w:ascii="宋体" w:hAnsi="宋体" w:cs="宋体" w:eastAsiaTheme="minorEastAsia"/>
                <w:sz w:val="24"/>
                <w:szCs w:val="24"/>
              </w:rPr>
            </w:pPr>
            <w:r>
              <w:rPr>
                <w:rFonts w:hint="eastAsia" w:cs="仿宋" w:asciiTheme="minorEastAsia" w:hAnsiTheme="minorEastAsia" w:eastAsiaTheme="minorEastAsia"/>
                <w:color w:val="000000" w:themeColor="text1"/>
                <w:sz w:val="24"/>
                <w:szCs w:val="24"/>
              </w:rPr>
              <w:t xml:space="preserve">4K腹腔镜摄像系统</w:t>
            </w:r>
            <w:r>
              <w:rPr>
                <w:rFonts w:hint="eastAsia" w:cs="仿宋" w:asciiTheme="minorEastAsia" w:hAnsiTheme="minorEastAsia" w:eastAsiaTheme="minorEastAsia"/>
                <w:color w:val="000000" w:themeColor="text1"/>
                <w:sz w:val="24"/>
                <w:szCs w:val="24"/>
              </w:rPr>
              <w:t xml:space="preserve"> </w:t>
            </w:r>
            <w:r/>
          </w:p>
        </w:tc>
        <w:tc>
          <w:tcPr>
            <w:shd w:val="clear" w:color="auto" w:fill="ffffff"/>
            <w:tcW w:w="49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1套</w:t>
            </w:r>
            <w:r/>
          </w:p>
        </w:tc>
        <w:tc>
          <w:tcPr>
            <w:shd w:val="clear" w:color="auto" w:fill="ffffff"/>
            <w:tcW w:w="1004"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200</w:t>
            </w:r>
            <w:r/>
          </w:p>
        </w:tc>
        <w:tc>
          <w:tcPr>
            <w:shd w:val="clear" w:color="auto" w:fill="ffffff"/>
            <w:tcW w:w="65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是</w:t>
            </w:r>
            <w:r/>
          </w:p>
        </w:tc>
      </w:tr>
    </w:tbl>
    <w:p>
      <w:pPr>
        <w:pStyle w:val="1015"/>
        <w:ind w:firstLine="480"/>
        <w:spacing w:line="360" w:lineRule="auto"/>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合同履行期限：合同签订后一个月内</w:t>
      </w:r>
      <w:r/>
    </w:p>
    <w:p>
      <w:pPr>
        <w:pStyle w:val="1015"/>
        <w:ind w:firstLine="480"/>
        <w:spacing w:line="360" w:lineRule="auto"/>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本项目不接受联合体投标。</w:t>
      </w:r>
      <w:r/>
    </w:p>
    <w:p>
      <w:pPr>
        <w:pStyle w:val="1014"/>
        <w:spacing w:before="0" w:after="0" w:line="360" w:lineRule="auto"/>
        <w:rPr>
          <w:rFonts w:hint="eastAsia" w:cs="仿宋" w:asciiTheme="minorEastAsia" w:hAnsiTheme="minorEastAsia" w:eastAsiaTheme="minorEastAsia"/>
          <w:bCs w:val="0"/>
          <w:color w:val="000000" w:themeColor="text1"/>
          <w:sz w:val="24"/>
          <w:szCs w:val="24"/>
        </w:rPr>
      </w:pPr>
      <w:r/>
      <w:bookmarkStart w:id="11" w:name="_Toc28359080"/>
      <w:r/>
      <w:bookmarkStart w:id="12" w:name="_Toc35393622"/>
      <w:r/>
      <w:bookmarkStart w:id="13" w:name="_Toc35393791"/>
      <w:r/>
      <w:bookmarkStart w:id="14" w:name="_Toc28359003"/>
      <w:r>
        <w:rPr>
          <w:rFonts w:hint="eastAsia" w:cs="仿宋" w:asciiTheme="minorEastAsia" w:hAnsiTheme="minorEastAsia" w:eastAsiaTheme="minorEastAsia"/>
          <w:bCs w:val="0"/>
          <w:color w:val="000000" w:themeColor="text1"/>
          <w:sz w:val="24"/>
          <w:szCs w:val="24"/>
        </w:rPr>
        <w:t xml:space="preserve">二、申请人的资格要求：</w:t>
      </w:r>
      <w:bookmarkEnd w:id="11"/>
      <w:r/>
      <w:bookmarkEnd w:id="12"/>
      <w:r/>
      <w:bookmarkEnd w:id="13"/>
      <w:r/>
      <w:bookmarkEnd w:id="14"/>
      <w:r/>
      <w:r/>
    </w:p>
    <w:p>
      <w:pPr>
        <w:ind w:firstLine="564"/>
        <w:spacing w:line="360" w:lineRule="auto"/>
        <w:widowControl/>
        <w:rPr>
          <w:rFonts w:hint="eastAsia" w:ascii="宋体" w:hAnsi="宋体" w:eastAsia="宋体"/>
          <w:bCs/>
          <w:sz w:val="24"/>
          <w:szCs w:val="24"/>
        </w:rPr>
      </w:pPr>
      <w:r/>
      <w:bookmarkStart w:id="15" w:name="_Toc35393623"/>
      <w:r/>
      <w:bookmarkStart w:id="16" w:name="_Toc28359004"/>
      <w:r/>
      <w:bookmarkStart w:id="17" w:name="_Toc28359081"/>
      <w:r/>
      <w:bookmarkStart w:id="18" w:name="_Toc35393792"/>
      <w:r>
        <w:rPr>
          <w:rFonts w:hint="eastAsia" w:ascii="宋体" w:hAnsi="宋体" w:eastAsia="宋体"/>
          <w:bCs/>
          <w:sz w:val="24"/>
          <w:szCs w:val="24"/>
        </w:rPr>
        <w:t xml:space="preserve">（一）通用资格要求</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1、满足《中华人民共和国政府采购法》第二十二条规定，并提供下列材料：</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1.1具有独立承担民事责任的能力；</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1.2具有良好的商业信誉和健全的财务会计制度；</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1.3有依法缴纳税收和社会保障资金的良好记录；</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1.4具有履行合同所必需的设备和专业技术能力；</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1.5参加政府采购活动前3年内在经营活动中没有重大违法记录；</w:t>
      </w:r>
      <w:r/>
    </w:p>
    <w:p>
      <w:pPr>
        <w:ind w:firstLine="564"/>
        <w:spacing w:line="360" w:lineRule="auto"/>
        <w:widowControl/>
        <w:rPr>
          <w:rFonts w:hint="eastAsia" w:ascii="宋体" w:hAnsi="宋体" w:eastAsia="宋体"/>
          <w:bCs/>
          <w:sz w:val="24"/>
          <w:szCs w:val="24"/>
        </w:rPr>
      </w:pPr>
      <w:r>
        <w:rPr>
          <w:rFonts w:hint="eastAsia" w:ascii="宋体" w:hAnsi="宋体" w:eastAsia="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eastAsia="宋体"/>
          <w:bCs/>
          <w:sz w:val="24"/>
          <w:szCs w:val="24"/>
        </w:rPr>
      </w:pPr>
      <w:r>
        <w:rPr>
          <w:rFonts w:hint="eastAsia" w:ascii="宋体" w:hAnsi="宋体" w:eastAsia="宋体"/>
          <w:sz w:val="24"/>
          <w:szCs w:val="24"/>
        </w:rPr>
        <w:t xml:space="preserve">3、落实政府采购政策需满足的资格要求：</w:t>
      </w:r>
      <w:r/>
    </w:p>
    <w:p>
      <w:pPr>
        <w:ind w:firstLine="480"/>
        <w:spacing w:line="360" w:lineRule="auto"/>
        <w:rPr>
          <w:rFonts w:hint="eastAsia" w:ascii="宋体" w:hAnsi="宋体" w:eastAsia="宋体"/>
          <w:bCs/>
          <w:sz w:val="24"/>
          <w:szCs w:val="24"/>
        </w:rPr>
      </w:pPr>
      <w:r>
        <w:rPr>
          <w:rFonts w:ascii="宋体" w:hAnsi="宋体" w:eastAsia="宋体"/>
          <w:bCs/>
          <w:sz w:val="24"/>
          <w:szCs w:val="24"/>
        </w:rPr>
        <w:t xml:space="preserve">3.1本项目属于</w:t>
      </w:r>
      <w:r>
        <w:rPr>
          <w:rFonts w:ascii="宋体" w:hAnsi="宋体" w:eastAsia="宋体"/>
          <w:bCs/>
          <w:sz w:val="24"/>
          <w:szCs w:val="24"/>
          <w:u w:val="single"/>
        </w:rPr>
        <w:t xml:space="preserve">货物类</w:t>
      </w:r>
      <w:r>
        <w:rPr>
          <w:rFonts w:ascii="宋体" w:hAnsi="宋体" w:eastAsia="宋体"/>
          <w:bCs/>
          <w:sz w:val="24"/>
          <w:szCs w:val="24"/>
        </w:rPr>
        <w:t xml:space="preserve">采购。根据《政府采购促进中小企业发展管理办法》（财库〔2020〕46号）、《关于做好政府采购支持企业发展有关事项的通知》(苏财购</w:t>
      </w:r>
      <w:r>
        <w:rPr>
          <w:rFonts w:ascii="宋体" w:hAnsi="宋体" w:eastAsia="宋体"/>
          <w:bCs/>
          <w:sz w:val="24"/>
          <w:szCs w:val="24"/>
        </w:rPr>
        <w:t xml:space="preserve">(2020)</w:t>
      </w:r>
      <w:r>
        <w:rPr>
          <w:rFonts w:ascii="宋体" w:hAnsi="宋体" w:eastAsia="宋体"/>
          <w:bCs/>
          <w:sz w:val="24"/>
          <w:szCs w:val="24"/>
        </w:rPr>
        <w:t xml:space="preserve">52</w:t>
      </w:r>
      <w:r>
        <w:rPr>
          <w:rFonts w:ascii="宋体" w:hAnsi="宋体" w:eastAsia="宋体"/>
          <w:bCs/>
          <w:sz w:val="24"/>
          <w:szCs w:val="24"/>
        </w:rPr>
        <w:t xml:space="preserve">号)</w:t>
      </w:r>
      <w:r>
        <w:rPr>
          <w:rFonts w:ascii="宋体" w:hAnsi="宋体" w:eastAsia="宋体"/>
          <w:bCs/>
          <w:sz w:val="24"/>
          <w:szCs w:val="24"/>
        </w:rPr>
        <w:t xml:space="preserve">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ascii="宋体" w:hAnsi="宋体" w:eastAsia="宋体"/>
          <w:bCs/>
          <w:sz w:val="24"/>
          <w:szCs w:val="24"/>
        </w:rPr>
        <w:t xml:space="preserve">供应商</w:t>
      </w:r>
      <w:r>
        <w:rPr>
          <w:rFonts w:ascii="宋体" w:hAnsi="宋体" w:eastAsia="宋体"/>
          <w:bCs/>
          <w:sz w:val="24"/>
          <w:szCs w:val="24"/>
        </w:rPr>
        <w:t xml:space="preserve">企业规模。（</w:t>
      </w:r>
      <w:r>
        <w:rPr>
          <w:rFonts w:hint="eastAsia" w:ascii="宋体" w:hAnsi="宋体" w:eastAsia="宋体"/>
          <w:bCs/>
          <w:sz w:val="24"/>
          <w:szCs w:val="24"/>
        </w:rPr>
        <w:t xml:space="preserve">供应商</w:t>
      </w:r>
      <w:r>
        <w:rPr>
          <w:rFonts w:ascii="宋体" w:hAnsi="宋体" w:eastAsia="宋体"/>
          <w:bCs/>
          <w:sz w:val="24"/>
          <w:szCs w:val="24"/>
        </w:rPr>
        <w:t xml:space="preserve">必须提供</w:t>
      </w:r>
      <w:r>
        <w:rPr>
          <w:rFonts w:hint="eastAsia" w:ascii="宋体" w:hAnsi="宋体" w:eastAsia="宋体"/>
          <w:bCs/>
          <w:sz w:val="24"/>
          <w:szCs w:val="24"/>
        </w:rPr>
        <w:t xml:space="preserve">中小企业声明函</w:t>
      </w:r>
      <w:r>
        <w:rPr>
          <w:rFonts w:ascii="宋体" w:hAnsi="宋体" w:eastAsia="宋体"/>
          <w:bCs/>
          <w:sz w:val="24"/>
          <w:szCs w:val="24"/>
        </w:rPr>
        <w:t xml:space="preserve">（见格式））</w:t>
      </w:r>
      <w:r/>
    </w:p>
    <w:p>
      <w:pPr>
        <w:ind w:firstLine="480"/>
        <w:spacing w:line="360" w:lineRule="auto"/>
        <w:rPr>
          <w:rFonts w:hint="eastAsia" w:ascii="宋体" w:hAnsi="宋体" w:eastAsia="宋体"/>
          <w:sz w:val="24"/>
          <w:szCs w:val="24"/>
        </w:rPr>
      </w:pPr>
      <w:r>
        <w:rPr>
          <w:rFonts w:ascii="宋体" w:hAnsi="宋体" w:eastAsia="宋体"/>
          <w:bCs/>
          <w:sz w:val="24"/>
          <w:szCs w:val="24"/>
        </w:rPr>
        <w:t xml:space="preserve">3.2中小微企业划型标准请对照《关于印发中小企业划型标准规定的通知》（工信部联企业〔2011〕300号）（详见</w:t>
      </w:r>
      <w:r>
        <w:rPr>
          <w:rFonts w:hint="eastAsia" w:ascii="宋体" w:hAnsi="宋体" w:eastAsia="宋体"/>
          <w:bCs/>
          <w:sz w:val="24"/>
          <w:szCs w:val="24"/>
        </w:rPr>
        <w:t xml:space="preserve">格式</w:t>
      </w:r>
      <w:r>
        <w:rPr>
          <w:rFonts w:ascii="宋体" w:hAnsi="宋体" w:eastAsia="宋体"/>
          <w:bCs/>
          <w:sz w:val="24"/>
          <w:szCs w:val="24"/>
        </w:rPr>
        <w:t xml:space="preserve">）。本项目采购标的对应的行业主要为</w:t>
      </w:r>
      <w:r>
        <w:rPr>
          <w:rFonts w:ascii="宋体" w:hAnsi="宋体" w:eastAsia="宋体"/>
          <w:bCs/>
          <w:sz w:val="24"/>
          <w:szCs w:val="24"/>
          <w:u w:val="single"/>
        </w:rPr>
        <w:t xml:space="preserve">工业</w:t>
      </w:r>
      <w:r>
        <w:rPr>
          <w:rFonts w:ascii="宋体" w:hAnsi="宋体" w:eastAsia="宋体"/>
          <w:bCs/>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、本项目</w:t>
      </w:r>
      <w:r>
        <w:rPr>
          <w:rFonts w:hint="eastAsia" w:ascii="宋体" w:hAnsi="宋体" w:eastAsia="宋体"/>
          <w:sz w:val="24"/>
          <w:szCs w:val="24"/>
          <w:u w:val="single"/>
        </w:rPr>
        <w:t xml:space="preserve"> 不接受 </w:t>
      </w:r>
      <w:r>
        <w:rPr>
          <w:rFonts w:hint="eastAsia" w:ascii="宋体" w:hAnsi="宋体" w:eastAsia="宋体"/>
          <w:sz w:val="24"/>
          <w:szCs w:val="24"/>
        </w:rPr>
        <w:t xml:space="preserve">联合体投标。</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注：本文件所称进口产品是指通过中国海关报关验放进入中国境内且产自关境外的产品）。供应商必须是所投产品的制造商或代理商，代理商投标时须提供制造商的专项授权（如所投产品为进口产品）”</w:t>
      </w:r>
      <w:r/>
    </w:p>
    <w:p>
      <w:pPr>
        <w:ind w:firstLine="564"/>
        <w:spacing w:line="360" w:lineRule="auto"/>
        <w:widowControl/>
        <w:rPr>
          <w:rFonts w:hint="eastAsia" w:ascii="宋体" w:hAnsi="宋体" w:eastAsia="宋体"/>
          <w:bCs/>
          <w:sz w:val="24"/>
          <w:szCs w:val="24"/>
        </w:rPr>
      </w:pPr>
      <w:r>
        <w:rPr>
          <w:rFonts w:hint="eastAsia" w:ascii="宋体" w:hAnsi="宋体" w:eastAsia="宋体"/>
          <w:bCs/>
          <w:sz w:val="24"/>
          <w:szCs w:val="24"/>
        </w:rPr>
        <w:t xml:space="preserve">（二）本项目的特定资格要求：</w:t>
      </w:r>
      <w:r/>
    </w:p>
    <w:p>
      <w:pPr>
        <w:ind w:firstLine="564"/>
        <w:spacing w:line="360" w:lineRule="auto"/>
        <w:rPr>
          <w:rFonts w:hint="eastAsia" w:ascii="宋体" w:hAnsi="宋体" w:eastAsia="宋体"/>
          <w:sz w:val="24"/>
          <w:szCs w:val="24"/>
        </w:rPr>
      </w:pPr>
      <w:r>
        <w:rPr>
          <w:rFonts w:hint="eastAsia" w:ascii="宋体" w:hAnsi="宋体" w:eastAsia="宋体"/>
          <w:bCs/>
          <w:sz w:val="24"/>
          <w:szCs w:val="24"/>
        </w:rPr>
        <w:t xml:space="preserve">投标人需提供三类医疗器械经营企业许可证/二类医疗器械经营备案凭证、所投产品医疗器械注册证/医疗器械备案凭证；</w:t>
      </w:r>
      <w:r>
        <w:rPr>
          <w:rFonts w:hint="eastAsia" w:ascii="宋体" w:hAnsi="宋体" w:eastAsia="宋体"/>
          <w:bCs/>
          <w:sz w:val="24"/>
          <w:szCs w:val="24"/>
        </w:rPr>
        <w:t xml:space="preserve"> </w:t>
      </w:r>
      <w:r/>
    </w:p>
    <w:p>
      <w:pPr>
        <w:pStyle w:val="1014"/>
        <w:spacing w:before="0" w:after="0" w:line="360" w:lineRule="auto"/>
        <w:rPr>
          <w:rFonts w:hint="eastAsia" w:cs="仿宋" w:asciiTheme="minorEastAsia" w:hAnsiTheme="minorEastAsia" w:eastAsiaTheme="minorEastAsia"/>
          <w:bCs w:val="0"/>
          <w:color w:val="000000" w:themeColor="text1"/>
          <w:sz w:val="24"/>
          <w:szCs w:val="24"/>
        </w:rPr>
      </w:pPr>
      <w:r>
        <w:rPr>
          <w:rFonts w:hint="eastAsia" w:cs="仿宋" w:asciiTheme="minorEastAsia" w:hAnsiTheme="minorEastAsia" w:eastAsiaTheme="minorEastAsia"/>
          <w:bCs w:val="0"/>
          <w:color w:val="000000" w:themeColor="text1"/>
          <w:sz w:val="24"/>
          <w:szCs w:val="24"/>
        </w:rPr>
        <w:t xml:space="preserve">三、获取招标文件</w:t>
      </w:r>
      <w:bookmarkEnd w:id="15"/>
      <w:r/>
      <w:bookmarkEnd w:id="16"/>
      <w:r/>
      <w:bookmarkEnd w:id="17"/>
      <w:r/>
      <w:bookmarkEnd w:id="18"/>
      <w:r>
        <w:rPr>
          <w:rFonts w:hint="eastAsia" w:cs="仿宋" w:asciiTheme="minorEastAsia" w:hAnsiTheme="minorEastAsia" w:eastAsiaTheme="minorEastAsia"/>
          <w:bCs w:val="0"/>
          <w:color w:val="000000" w:themeColor="text1"/>
          <w:sz w:val="24"/>
          <w:szCs w:val="24"/>
        </w:rPr>
        <w:t xml:space="preserve">：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时间：自招标文件公告发布之日起5个工作日。</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地点：投标人完成注册并办理CA证书后登录“江苏政府采购‘苏采云’系统”下载本项目招标文件。</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方式：登录江苏政府采购“苏采云”系统免费下载。</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售价：免费。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注意事项：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本项目采用网上注册登记方式。</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1.潜在投标人访问电子招标投标交易平台的网络地址和方法：</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（1）登录 http://jszfcg.jsczt.cn/，点击“苏采云”进入系统。</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2.采购代理机构将数据电文形式的招标文件加载至电子招标投标交易平台，供潜在投标人下载或者查阅。</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3.如潜在投标人未按上述要求操作，将自行承担所产生的风险。</w:t>
      </w:r>
      <w:r/>
    </w:p>
    <w:p>
      <w:pPr>
        <w:pStyle w:val="1014"/>
        <w:spacing w:before="0" w:after="0" w:line="360" w:lineRule="auto"/>
        <w:rPr>
          <w:rFonts w:hint="eastAsia" w:cs="仿宋" w:asciiTheme="minorEastAsia" w:hAnsiTheme="minorEastAsia" w:eastAsiaTheme="minorEastAsia"/>
          <w:bCs w:val="0"/>
          <w:color w:val="000000" w:themeColor="text1"/>
          <w:sz w:val="24"/>
          <w:szCs w:val="24"/>
        </w:rPr>
      </w:pPr>
      <w:r/>
      <w:bookmarkStart w:id="19" w:name="_Toc28359005"/>
      <w:r/>
      <w:bookmarkStart w:id="20" w:name="_Toc28359082"/>
      <w:r/>
      <w:bookmarkStart w:id="21" w:name="_Toc35393793"/>
      <w:r/>
      <w:bookmarkStart w:id="22" w:name="_Toc35393624"/>
      <w:r>
        <w:rPr>
          <w:rFonts w:hint="eastAsia" w:cs="仿宋" w:asciiTheme="minorEastAsia" w:hAnsiTheme="minorEastAsia" w:eastAsiaTheme="minorEastAsia"/>
          <w:bCs w:val="0"/>
          <w:color w:val="000000" w:themeColor="text1"/>
          <w:sz w:val="24"/>
          <w:szCs w:val="24"/>
        </w:rPr>
        <w:t xml:space="preserve">四、提交投标文件</w:t>
      </w:r>
      <w:bookmarkEnd w:id="19"/>
      <w:r/>
      <w:bookmarkEnd w:id="20"/>
      <w:r>
        <w:rPr>
          <w:rFonts w:hint="eastAsia" w:cs="仿宋" w:asciiTheme="minorEastAsia" w:hAnsiTheme="minorEastAsia" w:eastAsiaTheme="minorEastAsia"/>
          <w:bCs w:val="0"/>
          <w:color w:val="000000" w:themeColor="text1"/>
          <w:sz w:val="24"/>
          <w:szCs w:val="24"/>
        </w:rPr>
        <w:t xml:space="preserve">截止时间、开标时间和地点</w:t>
      </w:r>
      <w:bookmarkEnd w:id="21"/>
      <w:r/>
      <w:bookmarkEnd w:id="22"/>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时间：2026年</w:t>
      </w:r>
      <w:r>
        <w:rPr>
          <w:rFonts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22</w:t>
      </w:r>
      <w:r>
        <w:rPr>
          <w:rFonts w:hint="eastAsia" w:cs="仿宋" w:asciiTheme="minorEastAsia" w:hAnsiTheme="minorEastAsia" w:eastAsiaTheme="minorEastAsia"/>
          <w:color w:val="000000" w:themeColor="text1"/>
          <w:sz w:val="24"/>
          <w:szCs w:val="24"/>
        </w:rPr>
        <w:t xml:space="preserve">日1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时</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0分（北京时间）</w:t>
      </w:r>
      <w:r/>
    </w:p>
    <w:p>
      <w:pPr>
        <w:ind w:firstLine="54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w:t>
      </w:r>
      <w:r>
        <w:rPr>
          <w:rFonts w:hint="eastAsia" w:cs="仿宋" w:asciiTheme="minorEastAsia" w:hAnsiTheme="minorEastAsia" w:eastAsiaTheme="minorEastAsia"/>
          <w:color w:val="000000" w:themeColor="text1"/>
          <w:sz w:val="24"/>
          <w:szCs w:val="24"/>
        </w:rPr>
        <w:t xml:space="preserve">采云”系统不见面开标大厅</w:t>
      </w:r>
      <w:r/>
    </w:p>
    <w:p>
      <w:pPr>
        <w:pStyle w:val="1014"/>
        <w:spacing w:before="0" w:after="0" w:line="360" w:lineRule="auto"/>
        <w:rPr>
          <w:rFonts w:hint="eastAsia" w:cs="仿宋" w:asciiTheme="minorEastAsia" w:hAnsiTheme="minorEastAsia" w:eastAsiaTheme="minorEastAsia"/>
          <w:bCs w:val="0"/>
          <w:color w:val="000000" w:themeColor="text1"/>
          <w:sz w:val="24"/>
          <w:szCs w:val="24"/>
        </w:rPr>
      </w:pPr>
      <w:r/>
      <w:bookmarkStart w:id="23" w:name="_Toc28359084"/>
      <w:r/>
      <w:bookmarkStart w:id="24" w:name="_Toc35393625"/>
      <w:r/>
      <w:bookmarkStart w:id="25" w:name="_Toc28359007"/>
      <w:r/>
      <w:bookmarkStart w:id="26" w:name="_Toc35393794"/>
      <w:r>
        <w:rPr>
          <w:rFonts w:hint="eastAsia" w:cs="仿宋" w:asciiTheme="minorEastAsia" w:hAnsiTheme="minorEastAsia" w:eastAsiaTheme="minorEastAsia"/>
          <w:bCs w:val="0"/>
          <w:color w:val="000000" w:themeColor="text1"/>
          <w:sz w:val="24"/>
          <w:szCs w:val="24"/>
        </w:rPr>
        <w:t xml:space="preserve">五、公告期限</w:t>
      </w:r>
      <w:bookmarkEnd w:id="23"/>
      <w:r/>
      <w:bookmarkEnd w:id="24"/>
      <w:r/>
      <w:bookmarkEnd w:id="25"/>
      <w:r/>
      <w:bookmarkEnd w:id="26"/>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自本公告发布之日起5个工作日。</w:t>
      </w:r>
      <w:r/>
    </w:p>
    <w:p>
      <w:pPr>
        <w:pStyle w:val="1014"/>
        <w:spacing w:before="0" w:after="0" w:line="360" w:lineRule="auto"/>
        <w:rPr>
          <w:rFonts w:hint="eastAsia" w:cs="仿宋" w:asciiTheme="minorEastAsia" w:hAnsiTheme="minorEastAsia" w:eastAsiaTheme="minorEastAsia"/>
          <w:bCs w:val="0"/>
          <w:color w:val="000000" w:themeColor="text1"/>
          <w:sz w:val="24"/>
          <w:szCs w:val="24"/>
        </w:rPr>
      </w:pPr>
      <w:r/>
      <w:bookmarkStart w:id="27" w:name="_Toc35393626"/>
      <w:r/>
      <w:bookmarkStart w:id="28" w:name="_Toc35393795"/>
      <w:r>
        <w:rPr>
          <w:rFonts w:hint="eastAsia" w:cs="仿宋" w:asciiTheme="minorEastAsia" w:hAnsiTheme="minorEastAsia" w:eastAsiaTheme="minorEastAsia"/>
          <w:bCs w:val="0"/>
          <w:color w:val="000000" w:themeColor="text1"/>
          <w:sz w:val="24"/>
          <w:szCs w:val="24"/>
        </w:rPr>
        <w:t xml:space="preserve">六、其他补充事宜</w:t>
      </w:r>
      <w:bookmarkEnd w:id="27"/>
      <w:r/>
      <w:bookmarkEnd w:id="28"/>
      <w:r/>
      <w:r/>
    </w:p>
    <w:p>
      <w:pPr>
        <w:ind w:firstLine="480"/>
        <w:spacing w:line="360" w:lineRule="auto"/>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bookmarkStart w:id="29" w:name="_Toc35393627"/>
      <w:r/>
      <w:bookmarkStart w:id="30" w:name="_Toc35393796"/>
      <w:r/>
      <w:bookmarkStart w:id="31" w:name="_Toc28359008"/>
      <w:r/>
      <w:bookmarkStart w:id="32" w:name="_Toc28359085"/>
      <w:r>
        <w:rPr>
          <w:rFonts w:hint="eastAsia" w:ascii="宋体" w:hAnsi="宋体" w:eastAsia="宋体" w:cs="宋体"/>
          <w:bCs/>
          <w:sz w:val="24"/>
          <w:szCs w:val="24"/>
        </w:rPr>
        <w:t xml:space="preserve">1、本项目不收取</w:t>
      </w:r>
      <w:r>
        <w:rPr>
          <w:rFonts w:ascii="宋体" w:hAnsi="宋体" w:eastAsia="宋体" w:cs="宋体"/>
          <w:bCs/>
          <w:sz w:val="24"/>
          <w:szCs w:val="24"/>
        </w:rPr>
        <w:t xml:space="preserve">投标</w:t>
      </w:r>
      <w:r>
        <w:rPr>
          <w:rFonts w:hint="eastAsia" w:ascii="宋体" w:hAnsi="宋体" w:eastAsia="宋体" w:cs="宋体"/>
          <w:bCs/>
          <w:sz w:val="24"/>
          <w:szCs w:val="24"/>
        </w:rPr>
        <w:t xml:space="preserve">保证金</w:t>
      </w:r>
      <w:r>
        <w:rPr>
          <w:rFonts w:ascii="宋体" w:hAnsi="宋体" w:eastAsia="宋体" w:cs="宋体"/>
          <w:bCs/>
          <w:sz w:val="24"/>
          <w:szCs w:val="24"/>
        </w:rPr>
        <w:t xml:space="preserve">；</w:t>
      </w:r>
      <w:r/>
    </w:p>
    <w:p>
      <w:pPr>
        <w:ind w:firstLine="480"/>
        <w:spacing w:line="360" w:lineRule="auto"/>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Cs/>
          <w:sz w:val="24"/>
          <w:szCs w:val="24"/>
        </w:rPr>
        <w:t xml:space="preserve">2</w:t>
      </w:r>
      <w:r>
        <w:rPr>
          <w:rFonts w:hint="eastAsia" w:ascii="宋体" w:hAnsi="宋体" w:eastAsia="宋体" w:cs="宋体"/>
          <w:bCs/>
          <w:sz w:val="24"/>
          <w:szCs w:val="24"/>
        </w:rPr>
        <w:t xml:space="preserve">、</w:t>
      </w:r>
      <w:bookmarkStart w:id="33" w:name="_Hlk142317669"/>
      <w:r>
        <w:rPr>
          <w:rFonts w:hint="eastAsia" w:ascii="宋体" w:hAnsi="宋体" w:eastAsia="宋体" w:cs="宋体"/>
          <w:bCs/>
          <w:sz w:val="24"/>
          <w:szCs w:val="24"/>
        </w:rPr>
        <w:t xml:space="preserve">本项目支持</w:t>
      </w:r>
      <w:bookmarkEnd w:id="33"/>
      <w:r>
        <w:rPr>
          <w:rFonts w:hint="eastAsia" w:ascii="宋体" w:hAnsi="宋体" w:eastAsia="宋体" w:cs="宋体"/>
          <w:bCs/>
          <w:sz w:val="24"/>
          <w:szCs w:val="24"/>
        </w:rPr>
        <w:t xml:space="preserve">1）.</w:t>
      </w:r>
      <w:r>
        <w:rPr>
          <w:rFonts w:hint="eastAsia" w:ascii="宋体" w:hAnsi="宋体" w:eastAsia="宋体" w:cs="宋体"/>
          <w:bCs/>
          <w:sz w:val="24"/>
          <w:szCs w:val="24"/>
        </w:rPr>
        <w:t xml:space="preserve">小微企业价格扣除《江苏省财政厅关于进一步加大政府采购支持中小企业力度的通知》（苏财购〔2022〕45号）</w:t>
      </w:r>
      <w:r>
        <w:rPr>
          <w:rFonts w:hint="eastAsia" w:ascii="宋体" w:hAnsi="宋体" w:eastAsia="宋体" w:cs="宋体"/>
          <w:bCs/>
          <w:sz w:val="24"/>
          <w:szCs w:val="24"/>
        </w:rPr>
        <w:t xml:space="preserve">2）.</w:t>
      </w:r>
      <w:r>
        <w:rPr>
          <w:rFonts w:hint="eastAsia" w:ascii="宋体" w:hAnsi="宋体" w:eastAsia="宋体" w:cs="宋体"/>
          <w:bCs/>
          <w:sz w:val="24"/>
          <w:szCs w:val="24"/>
        </w:rPr>
        <w:t xml:space="preserve">节能、环保产品政策《江苏省财政厅关于加强政府绿色采购有关事项的通知》（苏财购〔2023〕65 号）</w:t>
      </w:r>
      <w:r>
        <w:rPr>
          <w:rFonts w:hint="eastAsia" w:ascii="宋体" w:hAnsi="宋体" w:eastAsia="宋体" w:cs="宋体"/>
          <w:bCs/>
          <w:sz w:val="24"/>
          <w:szCs w:val="24"/>
        </w:rPr>
        <w:t xml:space="preserve">3）.</w:t>
      </w:r>
      <w:r>
        <w:rPr>
          <w:rFonts w:hint="eastAsia" w:ascii="宋体" w:hAnsi="宋体" w:eastAsia="宋体" w:cs="宋体"/>
          <w:bCs/>
          <w:sz w:val="24"/>
          <w:szCs w:val="24"/>
        </w:rPr>
        <w:t xml:space="preserve">商品包装、快递包装、绿色数据中心等需求标准《财政部办公厅 生态环境部办公厅 国家邮政局办公室关于印发〈商品包装政府采购需求标准（试行）〉、〈快递包装政府采购需求标准（试行）〉的通知》（财办库〔2020〕123 号）</w:t>
      </w:r>
      <w:r>
        <w:rPr>
          <w:rFonts w:hint="eastAsia" w:ascii="宋体" w:hAnsi="宋体" w:eastAsia="宋体" w:cs="宋体"/>
          <w:bCs/>
          <w:sz w:val="24"/>
          <w:szCs w:val="24"/>
        </w:rPr>
        <w:t xml:space="preserve">4）.</w:t>
      </w:r>
      <w:r>
        <w:rPr>
          <w:rFonts w:hint="eastAsia" w:ascii="宋体" w:hAnsi="宋体" w:eastAsia="宋体" w:cs="宋体"/>
          <w:bCs/>
          <w:sz w:val="24"/>
          <w:szCs w:val="24"/>
        </w:rPr>
        <w:t xml:space="preserve">电子履约保函（保险）《关于在全省政府采购领域推行电子履约保函（保险）的通知》（苏财购〔2023〕150 号）等政策。</w:t>
      </w:r>
      <w:r>
        <w:rPr>
          <w:rFonts w:hint="eastAsia" w:cs="仿宋" w:asciiTheme="minorEastAsia" w:hAnsiTheme="minorEastAsia" w:eastAsiaTheme="minorEastAsia"/>
          <w:color w:val="000000" w:themeColor="text1"/>
          <w:sz w:val="24"/>
          <w:szCs w:val="24"/>
        </w:rPr>
        <w:t xml:space="preserve">5）.</w:t>
      </w:r>
      <w:r>
        <w:rPr>
          <w:rFonts w:hint="eastAsia" w:cs="仿宋" w:asciiTheme="minorEastAsia" w:hAnsiTheme="minorEastAsia" w:eastAsiaTheme="minorEastAsia"/>
          <w:color w:val="000000" w:themeColor="text1"/>
          <w:sz w:val="24"/>
          <w:szCs w:val="24"/>
        </w:rPr>
        <w:t xml:space="preserve">本项目对采购本国产品给予政策支持，具体内容见招标文件“第四章 评标方法与评标标准”。</w:t>
      </w:r>
      <w:r/>
    </w:p>
    <w:p>
      <w:pPr>
        <w:ind w:firstLine="24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3、本项目为不专门面向中小企业采购的项目</w:t>
      </w:r>
      <w:r/>
    </w:p>
    <w:p>
      <w:pPr>
        <w:pStyle w:val="1014"/>
        <w:spacing w:before="0" w:after="0"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七、对本次招标提出询问，请按以下方式联系。</w:t>
      </w:r>
      <w:bookmarkEnd w:id="29"/>
      <w:r/>
      <w:bookmarkEnd w:id="30"/>
      <w:r/>
      <w:bookmarkEnd w:id="31"/>
      <w:r/>
      <w:bookmarkEnd w:id="32"/>
      <w:r/>
      <w:r/>
    </w:p>
    <w:p>
      <w:pPr>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1.采购人信息</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名 称：</w:t>
      </w:r>
      <w:r>
        <w:rPr>
          <w:rFonts w:hint="eastAsia" w:ascii="宋体" w:hAnsi="宋体" w:eastAsia="宋体"/>
          <w:bCs/>
          <w:sz w:val="24"/>
          <w:szCs w:val="24"/>
        </w:rPr>
        <w:t xml:space="preserve">泰兴市中医院</w:t>
      </w:r>
      <w:r>
        <w:rPr>
          <w:rFonts w:hint="eastAsia" w:ascii="宋体" w:hAnsi="宋体" w:eastAsia="宋体"/>
          <w:bCs/>
          <w:sz w:val="24"/>
          <w:szCs w:val="24"/>
        </w:rPr>
        <w:t xml:space="preserve">　</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地址：</w:t>
      </w:r>
      <w:r>
        <w:rPr>
          <w:rFonts w:hint="eastAsia" w:ascii="宋体" w:hAnsi="宋体" w:eastAsia="宋体"/>
          <w:bCs/>
          <w:sz w:val="24"/>
          <w:szCs w:val="24"/>
        </w:rPr>
        <w:t xml:space="preserve">泰兴市银杏东路1号</w:t>
      </w:r>
      <w:r>
        <w:rPr>
          <w:rFonts w:hint="eastAsia" w:ascii="宋体" w:hAnsi="宋体" w:eastAsia="宋体"/>
          <w:bCs/>
          <w:sz w:val="24"/>
          <w:szCs w:val="24"/>
        </w:rPr>
        <w:t xml:space="preserve"> </w:t>
      </w:r>
      <w:r/>
    </w:p>
    <w:p>
      <w:pPr>
        <w:ind w:firstLine="512"/>
        <w:spacing w:line="360" w:lineRule="auto"/>
        <w:rPr>
          <w:rFonts w:hint="eastAsia" w:asciiTheme="minorEastAsia" w:hAnsiTheme="minorEastAsia" w:eastAsiaTheme="minorEastAsia"/>
          <w:spacing w:val="8"/>
          <w:sz w:val="24"/>
          <w:szCs w:val="24"/>
          <w:lang w:val="zh-CN"/>
        </w:rPr>
      </w:pPr>
      <w:r>
        <w:rPr>
          <w:rFonts w:hint="eastAsia" w:asciiTheme="minorEastAsia" w:hAnsiTheme="minorEastAsia" w:eastAsiaTheme="minorEastAsia"/>
          <w:spacing w:val="8"/>
          <w:sz w:val="24"/>
          <w:szCs w:val="24"/>
          <w:lang w:val="zh-CN"/>
        </w:rPr>
        <w:t xml:space="preserve">联系人：张科长   </w:t>
      </w:r>
      <w:r/>
    </w:p>
    <w:p>
      <w:pPr>
        <w:ind w:firstLine="512"/>
        <w:spacing w:line="360" w:lineRule="auto"/>
        <w:rPr>
          <w:rFonts w:hint="eastAsia" w:asciiTheme="minorEastAsia" w:hAnsiTheme="minorEastAsia" w:eastAsiaTheme="minorEastAsia"/>
          <w:bCs/>
          <w:spacing w:val="8"/>
          <w:sz w:val="24"/>
          <w:szCs w:val="24"/>
          <w:lang w:val="zh-CN"/>
        </w:rPr>
      </w:pPr>
      <w:r>
        <w:rPr>
          <w:rFonts w:hint="eastAsia" w:asciiTheme="minorEastAsia" w:hAnsiTheme="minorEastAsia" w:eastAsiaTheme="minorEastAsia"/>
          <w:spacing w:val="8"/>
          <w:sz w:val="24"/>
          <w:szCs w:val="24"/>
          <w:lang w:val="zh-CN"/>
        </w:rPr>
        <w:t xml:space="preserve">联系方式：0523-87900059</w:t>
      </w:r>
      <w:r>
        <w:rPr>
          <w:rFonts w:hint="eastAsia" w:asciiTheme="minorEastAsia" w:hAnsiTheme="minorEastAsia" w:eastAsiaTheme="minorEastAsia"/>
          <w:bCs/>
          <w:spacing w:val="8"/>
          <w:sz w:val="24"/>
          <w:szCs w:val="24"/>
          <w:lang w:val="zh-CN"/>
        </w:rPr>
        <w:t xml:space="preserve"> </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2.采购代理机构信息</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名 称：江苏海外集团国际工程咨询有限公司</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地　址：南京市建邺区云龙山路5</w:t>
      </w:r>
      <w:r>
        <w:rPr>
          <w:rFonts w:hint="eastAsia" w:ascii="宋体" w:hAnsi="宋体" w:eastAsia="宋体"/>
          <w:bCs/>
          <w:sz w:val="24"/>
          <w:szCs w:val="24"/>
        </w:rPr>
        <w:t xml:space="preserve">8</w:t>
      </w:r>
      <w:r>
        <w:rPr>
          <w:rFonts w:hint="eastAsia" w:ascii="宋体" w:hAnsi="宋体" w:eastAsia="宋体"/>
          <w:bCs/>
          <w:sz w:val="24"/>
          <w:szCs w:val="24"/>
        </w:rPr>
        <w:t xml:space="preserve">号大唐科技大厦A座高区15楼</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联系方式：</w:t>
      </w:r>
      <w:r>
        <w:rPr>
          <w:rFonts w:ascii="宋体" w:hAnsi="宋体" w:eastAsia="宋体"/>
          <w:bCs/>
          <w:sz w:val="24"/>
          <w:szCs w:val="24"/>
        </w:rPr>
        <w:t xml:space="preserve">025-8479546</w:t>
      </w:r>
      <w:r>
        <w:rPr>
          <w:rFonts w:hint="eastAsia" w:ascii="宋体" w:hAnsi="宋体" w:eastAsia="宋体"/>
          <w:bCs/>
          <w:sz w:val="24"/>
          <w:szCs w:val="24"/>
        </w:rPr>
        <w:t xml:space="preserve">9　</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3.项目联系方式</w:t>
      </w:r>
      <w:r/>
    </w:p>
    <w:p>
      <w:pPr>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项目联系人：马先生、徐先生    </w:t>
      </w:r>
      <w:r/>
    </w:p>
    <w:p>
      <w:pPr>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电　话：</w:t>
      </w:r>
      <w:r>
        <w:rPr>
          <w:rFonts w:ascii="宋体" w:hAnsi="宋体" w:eastAsia="宋体"/>
          <w:bCs/>
          <w:sz w:val="24"/>
          <w:szCs w:val="24"/>
        </w:rPr>
        <w:t xml:space="preserve">18905161867</w:t>
      </w:r>
      <w:r>
        <w:rPr>
          <w:rFonts w:hint="eastAsia" w:ascii="宋体" w:hAnsi="宋体" w:eastAsia="宋体"/>
          <w:bCs/>
          <w:sz w:val="24"/>
          <w:szCs w:val="24"/>
        </w:rPr>
        <w:t xml:space="preserve">、18351006888</w:t>
      </w:r>
      <w:bookmarkEnd w:id="0"/>
      <w:r/>
      <w:r/>
    </w:p>
    <w:p>
      <w:pPr>
        <w:ind w:right="840" w:firstLine="530"/>
        <w:jc w:val="center"/>
        <w:spacing w:line="360" w:lineRule="auto"/>
        <w:widowControl/>
        <w:rPr>
          <w:rFonts w:hint="eastAsia" w:cs="仿宋" w:asciiTheme="minorEastAsia" w:hAnsiTheme="minorEastAsia" w:eastAsiaTheme="minorEastAsia"/>
          <w:b/>
          <w:color w:val="000000" w:themeColor="text1"/>
          <w:szCs w:val="22"/>
        </w:rPr>
      </w:pPr>
      <w:r>
        <w:rPr>
          <w:rFonts w:hint="eastAsia" w:cs="仿宋" w:asciiTheme="minorEastAsia" w:hAnsiTheme="minorEastAsia" w:eastAsiaTheme="minorEastAsia"/>
          <w:b/>
          <w:color w:val="000000" w:themeColor="text1"/>
          <w:szCs w:val="22"/>
        </w:rPr>
      </w:r>
      <w:r/>
    </w:p>
    <w:p>
      <w:pPr>
        <w:jc w:val="center"/>
        <w:spacing w:line="360" w:lineRule="auto"/>
        <w:widowControl/>
        <w:rPr>
          <w:rFonts w:hint="eastAsia"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br w:type="page" w:clear="all"/>
      </w:r>
      <w:r/>
    </w:p>
    <w:p>
      <w:pPr>
        <w:jc w:val="center"/>
        <w:spacing w:line="360" w:lineRule="auto"/>
        <w:widowControl/>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第二章 投标人须知</w:t>
      </w:r>
      <w:bookmarkEnd w:id="1"/>
      <w:r/>
      <w:bookmarkEnd w:id="2"/>
      <w:r/>
      <w:r/>
    </w:p>
    <w:p>
      <w:pPr>
        <w:jc w:val="center"/>
        <w:spacing w:line="360" w:lineRule="auto"/>
        <w:widowControl/>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    投标人须知前附表</w:t>
      </w:r>
      <w:r/>
    </w:p>
    <w:tbl>
      <w:tblPr>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35"/>
        <w:gridCol w:w="1384"/>
        <w:gridCol w:w="6166"/>
      </w:tblGrid>
      <w:tr>
        <w:trPr>
          <w:jc w:val="center"/>
          <w:trHeight w:val="558"/>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序号</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w:t>
            </w:r>
            <w:r/>
          </w:p>
        </w:tc>
        <w:tc>
          <w:tcPr>
            <w:tcW w:w="6249"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内容</w:t>
            </w:r>
            <w:r/>
          </w:p>
        </w:tc>
      </w:tr>
      <w:tr>
        <w:trPr>
          <w:jc w:val="center"/>
          <w:trHeight w:val="557"/>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4K腹腔镜摄像系统</w:t>
            </w:r>
            <w:r/>
          </w:p>
        </w:tc>
      </w:tr>
      <w:tr>
        <w:trPr>
          <w:jc w:val="center"/>
          <w:trHeight w:val="543"/>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招标内容</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 w:val="24"/>
                <w:szCs w:val="24"/>
              </w:rPr>
              <w:t xml:space="preserve">详见第三章采购需求</w:t>
            </w:r>
            <w:r/>
          </w:p>
        </w:tc>
      </w:tr>
      <w:tr>
        <w:trPr>
          <w:jc w:val="center"/>
          <w:trHeight w:val="744"/>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供货期及供货地点</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交货期：合同签订后一个月内 </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本项目实施过程中涉及的产品包装及运输事宜，要严格执行《商品包装政府采购需求标准（试行）》《快递包装政府采购需求标准（试行）》（财办库〔2020〕123 号）的要求。</w:t>
            </w:r>
            <w:r/>
          </w:p>
        </w:tc>
      </w:tr>
      <w:tr>
        <w:trPr>
          <w:jc w:val="center"/>
          <w:trHeight w:val="732"/>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最高投标限价</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预算金额：</w:t>
            </w:r>
            <w:r>
              <w:rPr>
                <w:rFonts w:cs="仿宋" w:asciiTheme="minorEastAsia" w:hAnsiTheme="minorEastAsia" w:eastAsiaTheme="minorEastAsia"/>
                <w:color w:val="000000" w:themeColor="text1"/>
                <w:sz w:val="24"/>
                <w:szCs w:val="24"/>
              </w:rPr>
              <w:t xml:space="preserve">200</w:t>
            </w:r>
            <w:r>
              <w:rPr>
                <w:rFonts w:hint="eastAsia" w:cs="仿宋" w:asciiTheme="minorEastAsia" w:hAnsiTheme="minorEastAsia" w:eastAsiaTheme="minorEastAsia"/>
                <w:color w:val="000000" w:themeColor="text1"/>
                <w:sz w:val="24"/>
                <w:szCs w:val="24"/>
              </w:rPr>
              <w:t xml:space="preserve">万元</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最高限价：</w:t>
            </w:r>
            <w:r>
              <w:rPr>
                <w:rFonts w:cs="仿宋" w:asciiTheme="minorEastAsia" w:hAnsiTheme="minorEastAsia" w:eastAsiaTheme="minorEastAsia"/>
                <w:color w:val="000000" w:themeColor="text1"/>
                <w:sz w:val="24"/>
                <w:szCs w:val="24"/>
              </w:rPr>
              <w:t xml:space="preserve">200</w:t>
            </w:r>
            <w:r>
              <w:rPr>
                <w:rFonts w:hint="eastAsia" w:cs="仿宋" w:asciiTheme="minorEastAsia" w:hAnsiTheme="minorEastAsia" w:eastAsiaTheme="minorEastAsia"/>
                <w:color w:val="000000" w:themeColor="text1"/>
                <w:sz w:val="24"/>
                <w:szCs w:val="24"/>
              </w:rPr>
              <w:t xml:space="preserve">万元</w:t>
            </w:r>
            <w:r/>
          </w:p>
          <w:p>
            <w:pPr>
              <w:spacing w:line="360" w:lineRule="auto"/>
              <w:rPr>
                <w:rFonts w:hint="eastAsia" w:cs="仿宋" w:asciiTheme="minorEastAsia" w:hAnsiTheme="minorEastAsia" w:eastAsiaTheme="minorEastAsia"/>
                <w:color w:val="000000" w:themeColor="text1"/>
                <w:sz w:val="24"/>
                <w:szCs w:val="24"/>
              </w:rPr>
            </w:pPr>
            <w:r>
              <w:rPr>
                <w:rFonts w:hint="eastAsia" w:ascii="宋体" w:hAnsi="宋体" w:eastAsia="宋体"/>
                <w:sz w:val="24"/>
                <w:szCs w:val="24"/>
              </w:rPr>
              <w:t xml:space="preserve">投标单位报价不得高于最高限价且投标单价不得高于清单单价，否则视为无效投标文件。</w:t>
            </w:r>
            <w:r/>
          </w:p>
        </w:tc>
      </w:tr>
      <w:tr>
        <w:trPr>
          <w:jc w:val="center"/>
          <w:trHeight w:val="672"/>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合格投标人资格要求</w:t>
            </w:r>
            <w:r/>
          </w:p>
        </w:tc>
        <w:tc>
          <w:tcPr>
            <w:tcW w:w="6249" w:type="dxa"/>
            <w:vAlign w:val="center"/>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详见招标公告</w:t>
            </w:r>
            <w:r/>
          </w:p>
        </w:tc>
      </w:tr>
      <w:tr>
        <w:trPr>
          <w:jc w:val="center"/>
          <w:trHeight w:val="834"/>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联合体投标</w:t>
            </w:r>
            <w:r/>
          </w:p>
        </w:tc>
        <w:tc>
          <w:tcPr>
            <w:tcW w:w="6249" w:type="dxa"/>
            <w:vAlign w:val="center"/>
            <w:textDirection w:val="lrTb"/>
            <w:noWrap w:val="false"/>
          </w:tcPr>
          <w:p>
            <w:pPr>
              <w:spacing w:line="360" w:lineRule="auto"/>
              <w:rPr>
                <w:rFonts w:hint="eastAsia" w:ascii="宋体" w:hAnsi="宋体" w:eastAsia="宋体"/>
                <w:sz w:val="24"/>
                <w:szCs w:val="24"/>
              </w:rPr>
            </w:pPr>
            <w:r>
              <w:rPr>
                <w:rFonts w:hint="eastAsia" w:ascii="MS Mincho" w:hAnsi="MS Mincho" w:eastAsia="MS Mincho" w:cs="MS Mincho"/>
              </w:rPr>
              <w:t xml:space="preserve">☑</w:t>
            </w:r>
            <w:r>
              <w:rPr>
                <w:rFonts w:hint="eastAsia" w:ascii="宋体" w:hAnsi="宋体" w:eastAsia="宋体"/>
                <w:sz w:val="24"/>
                <w:szCs w:val="24"/>
              </w:rPr>
              <w:t xml:space="preserve">不接受，招标文件中有关联合体规定均不适用。</w:t>
            </w:r>
            <w:r/>
          </w:p>
          <w:p>
            <w:pPr>
              <w:pStyle w:val="871"/>
              <w:numPr>
                <w:ilvl w:val="0"/>
                <w:numId w:val="1"/>
              </w:numPr>
              <w:spacing w:line="360" w:lineRule="auto"/>
              <w:rPr>
                <w:rFonts w:hint="eastAsia" w:cs="仿宋" w:asciiTheme="minorEastAsia" w:hAnsiTheme="minorEastAsia" w:eastAsiaTheme="minorEastAsia"/>
                <w:color w:val="000000" w:themeColor="text1"/>
                <w:sz w:val="24"/>
                <w:szCs w:val="24"/>
              </w:rPr>
            </w:pPr>
            <w:r>
              <w:rPr>
                <w:rFonts w:hint="eastAsia" w:ascii="宋体" w:hAnsi="宋体" w:eastAsia="宋体"/>
                <w:sz w:val="24"/>
                <w:szCs w:val="24"/>
              </w:rPr>
              <w:t xml:space="preserve">接受</w:t>
            </w:r>
            <w:r/>
          </w:p>
        </w:tc>
      </w:tr>
      <w:tr>
        <w:trPr>
          <w:jc w:val="center"/>
          <w:trHeight w:val="1385"/>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现场勘察</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不组织，自行</w:t>
            </w:r>
            <w:r>
              <w:rPr>
                <w:rFonts w:hint="eastAsia" w:cs="仿宋" w:asciiTheme="minorEastAsia" w:hAnsiTheme="minorEastAsia" w:eastAsiaTheme="minorEastAsia"/>
                <w:color w:val="000000" w:themeColor="text1"/>
                <w:sz w:val="24"/>
                <w:szCs w:val="24"/>
              </w:rPr>
              <w:t xml:space="preserve">勘察;</w:t>
            </w:r>
            <w:r>
              <w:rPr>
                <w:rFonts w:hint="eastAsia" w:cs="仿宋" w:asciiTheme="minorEastAsia" w:hAnsiTheme="minorEastAsia" w:eastAsiaTheme="minorEastAsia"/>
                <w:color w:val="000000" w:themeColor="text1"/>
                <w:sz w:val="24"/>
                <w:szCs w:val="24"/>
              </w:rPr>
              <w:t xml:space="preserve">如投标人需自行</w:t>
            </w:r>
            <w:r>
              <w:rPr>
                <w:rFonts w:hint="eastAsia" w:cs="仿宋" w:asciiTheme="minorEastAsia" w:hAnsiTheme="minorEastAsia" w:eastAsiaTheme="minorEastAsia"/>
                <w:color w:val="000000" w:themeColor="text1"/>
                <w:sz w:val="24"/>
                <w:szCs w:val="24"/>
              </w:rPr>
              <w:t xml:space="preserve">勘察,</w:t>
            </w:r>
            <w:r>
              <w:rPr>
                <w:rFonts w:hint="eastAsia" w:cs="仿宋" w:asciiTheme="minorEastAsia" w:hAnsiTheme="minorEastAsia" w:eastAsiaTheme="minorEastAsia"/>
                <w:color w:val="000000" w:themeColor="text1"/>
                <w:sz w:val="24"/>
                <w:szCs w:val="24"/>
              </w:rPr>
              <w:t xml:space="preserve">费用自理。</w:t>
            </w:r>
            <w:r/>
          </w:p>
          <w:p>
            <w:pPr>
              <w:pStyle w:val="871"/>
              <w:numPr>
                <w:ilvl w:val="0"/>
                <w:numId w:val="1"/>
              </w:num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组织，勘察时间： 年月日时</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集合地点：</w:t>
            </w:r>
            <w:r/>
          </w:p>
          <w:p>
            <w:pPr>
              <w:ind w:firstLine="9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联系人：联系电话：</w:t>
            </w:r>
            <w:r/>
          </w:p>
        </w:tc>
      </w:tr>
      <w:tr>
        <w:trPr>
          <w:jc w:val="center"/>
          <w:trHeight w:val="1067"/>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投标答疑会</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不召开</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口召开，召开时间：年月日时</w:t>
            </w:r>
            <w:r/>
          </w:p>
          <w:p>
            <w:pPr>
              <w:ind w:firstLine="9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召开地点：</w:t>
            </w:r>
            <w:r/>
          </w:p>
        </w:tc>
      </w:tr>
      <w:tr>
        <w:trPr>
          <w:jc w:val="center"/>
          <w:trHeight w:val="420"/>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投标货币</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人民币</w:t>
            </w:r>
            <w:r/>
          </w:p>
        </w:tc>
      </w:tr>
      <w:tr>
        <w:trPr>
          <w:jc w:val="center"/>
          <w:trHeight w:val="768"/>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核心产品</w:t>
            </w:r>
            <w:r/>
          </w:p>
        </w:tc>
        <w:tc>
          <w:tcPr>
            <w:tcW w:w="6249" w:type="dxa"/>
            <w:vAlign w:val="center"/>
            <w:textDirection w:val="lrTb"/>
            <w:noWrap w:val="false"/>
          </w:tcPr>
          <w:p>
            <w:pPr>
              <w:jc w:val="left"/>
              <w:spacing w:line="360" w:lineRule="auto"/>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不适用</w:t>
            </w:r>
            <w:r/>
          </w:p>
        </w:tc>
      </w:tr>
      <w:tr>
        <w:trPr>
          <w:jc w:val="center"/>
          <w:trHeight w:val="604"/>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投标保证金</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本项目不收取投标保证金。</w:t>
            </w:r>
            <w:r/>
          </w:p>
        </w:tc>
      </w:tr>
      <w:tr>
        <w:trPr>
          <w:jc w:val="center"/>
          <w:trHeight w:val="429"/>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投标文件有效期</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u w:val="single"/>
              </w:rPr>
              <w:t xml:space="preserve"> </w:t>
            </w:r>
            <w:r>
              <w:rPr>
                <w:rFonts w:cs="仿宋" w:asciiTheme="minorEastAsia" w:hAnsiTheme="minorEastAsia" w:eastAsiaTheme="minorEastAsia"/>
                <w:color w:val="000000" w:themeColor="text1"/>
                <w:sz w:val="24"/>
                <w:szCs w:val="24"/>
                <w:u w:val="single"/>
              </w:rPr>
              <w:t xml:space="preserve">9</w:t>
            </w:r>
            <w:r>
              <w:rPr>
                <w:rFonts w:hint="eastAsia" w:cs="仿宋" w:asciiTheme="minorEastAsia" w:hAnsiTheme="minorEastAsia" w:eastAsiaTheme="minorEastAsia"/>
                <w:color w:val="000000" w:themeColor="text1"/>
                <w:sz w:val="24"/>
                <w:szCs w:val="24"/>
                <w:u w:val="single"/>
              </w:rPr>
              <w:t xml:space="preserve">0 </w:t>
            </w:r>
            <w:r>
              <w:rPr>
                <w:rFonts w:hint="eastAsia" w:cs="仿宋" w:asciiTheme="minorEastAsia" w:hAnsiTheme="minorEastAsia" w:eastAsiaTheme="minorEastAsia"/>
                <w:color w:val="000000" w:themeColor="text1"/>
                <w:sz w:val="24"/>
                <w:szCs w:val="24"/>
              </w:rPr>
              <w:t xml:space="preserve">日历天（从投标截止之日算起）</w:t>
            </w:r>
            <w:r/>
          </w:p>
        </w:tc>
      </w:tr>
      <w:tr>
        <w:trPr>
          <w:cantSplit/>
          <w:jc w:val="center"/>
          <w:trHeight w:val="406"/>
        </w:trPr>
        <w:tc>
          <w:tcPr>
            <w:tcW w:w="768" w:type="dxa"/>
            <w:vAlign w:val="center"/>
            <w:vMerge w:val="restart"/>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投标截止时间</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2026</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22</w:t>
            </w:r>
            <w:r>
              <w:rPr>
                <w:rFonts w:hint="eastAsia" w:cs="仿宋" w:asciiTheme="minorEastAsia" w:hAnsiTheme="minorEastAsia" w:eastAsiaTheme="minorEastAsia"/>
                <w:color w:val="000000" w:themeColor="text1"/>
                <w:sz w:val="24"/>
                <w:szCs w:val="24"/>
              </w:rPr>
              <w:t xml:space="preserve">日1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时</w:t>
            </w:r>
            <w:r>
              <w:rPr>
                <w:rFonts w:hint="eastAsia"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0分</w:t>
            </w:r>
            <w:r/>
          </w:p>
        </w:tc>
      </w:tr>
      <w:tr>
        <w:trPr>
          <w:cantSplit/>
          <w:jc w:val="center"/>
          <w:trHeight w:val="535"/>
        </w:trPr>
        <w:tc>
          <w:tcPr>
            <w:tcW w:w="768" w:type="dxa"/>
            <w:vAlign w:val="center"/>
            <w:vMerge w:val="continue"/>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tc>
        <w:tc>
          <w:tcPr>
            <w:tcW w:w="1494"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投标地点</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 </w:t>
            </w:r>
            <w:r/>
          </w:p>
        </w:tc>
      </w:tr>
      <w:tr>
        <w:trPr>
          <w:jc w:val="center"/>
          <w:trHeight w:val="752"/>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开标时间和地点</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2026 </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22</w:t>
            </w:r>
            <w:r>
              <w:rPr>
                <w:rFonts w:hint="eastAsia" w:cs="仿宋" w:asciiTheme="minorEastAsia" w:hAnsiTheme="minorEastAsia" w:eastAsiaTheme="minorEastAsia"/>
                <w:color w:val="000000" w:themeColor="text1"/>
                <w:sz w:val="24"/>
                <w:szCs w:val="24"/>
              </w:rPr>
              <w:t xml:space="preserve">日1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时</w:t>
            </w:r>
            <w:r>
              <w:rPr>
                <w:rFonts w:hint="eastAsia"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0分</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 </w:t>
            </w:r>
            <w:r/>
          </w:p>
        </w:tc>
      </w:tr>
      <w:tr>
        <w:trPr>
          <w:jc w:val="center"/>
          <w:trHeight w:val="539"/>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评标办法</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p>
        </w:tc>
      </w:tr>
      <w:tr>
        <w:trPr>
          <w:jc w:val="center"/>
          <w:trHeight w:val="539"/>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定标办法</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采购人根据评标委员会推荐的中标候选供应商顺序确定中标人。</w:t>
            </w:r>
            <w:r/>
          </w:p>
        </w:tc>
      </w:tr>
      <w:tr>
        <w:trPr>
          <w:jc w:val="center"/>
          <w:trHeight w:val="2065"/>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履约保证金</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不提交，招标文件中有关履约保证金的规定均不适用</w:t>
            </w:r>
            <w:r/>
          </w:p>
          <w:p>
            <w:pPr>
              <w:pStyle w:val="871"/>
              <w:ind w:firstLine="0"/>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提交</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金额：中标价的/% </w:t>
            </w:r>
            <w:r/>
          </w:p>
          <w:p>
            <w:pPr>
              <w:pStyle w:val="1017"/>
              <w:ind w:firstLine="0"/>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Cs w:val="24"/>
              </w:rPr>
              <w:t xml:space="preserve">形式：保证保险、保函、电汇、转账、汇票、支票、本票等非现金形式</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提交时间：收到中标通知书后签订合同前。</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退还时间：服务期满且经验收合格后无息退还。</w:t>
            </w:r>
            <w:r/>
          </w:p>
        </w:tc>
      </w:tr>
      <w:tr>
        <w:trPr>
          <w:jc w:val="center"/>
          <w:trHeight w:val="792"/>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签订合同</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中标通知书发出之日起</w:t>
            </w:r>
            <w:r>
              <w:rPr>
                <w:rFonts w:hint="eastAsia" w:cs="仿宋" w:asciiTheme="minorEastAsia" w:hAnsiTheme="minorEastAsia" w:eastAsiaTheme="minorEastAsia"/>
                <w:color w:val="000000" w:themeColor="text1"/>
                <w:sz w:val="24"/>
                <w:szCs w:val="24"/>
                <w:u w:val="single"/>
              </w:rPr>
              <w:t xml:space="preserve"> 30 </w:t>
            </w:r>
            <w:r>
              <w:rPr>
                <w:rFonts w:hint="eastAsia" w:cs="仿宋" w:asciiTheme="minorEastAsia" w:hAnsiTheme="minorEastAsia" w:eastAsiaTheme="minorEastAsia"/>
                <w:color w:val="000000" w:themeColor="text1"/>
                <w:sz w:val="24"/>
                <w:szCs w:val="24"/>
              </w:rPr>
              <w:t xml:space="preserve">日内</w:t>
            </w:r>
            <w:r/>
          </w:p>
        </w:tc>
      </w:tr>
      <w:tr>
        <w:trPr>
          <w:jc w:val="center"/>
          <w:trHeight w:val="848"/>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付款方式</w:t>
            </w:r>
            <w:r/>
          </w:p>
        </w:tc>
        <w:tc>
          <w:tcPr>
            <w:tcW w:w="6249" w:type="dxa"/>
            <w:vAlign w:val="center"/>
            <w:textDirection w:val="lrTb"/>
            <w:noWrap w:val="false"/>
          </w:tcPr>
          <w:p>
            <w:pPr>
              <w:ind w:right="-117"/>
              <w:jc w:val="left"/>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bCs/>
                <w:color w:val="000000" w:themeColor="text1"/>
                <w:sz w:val="24"/>
                <w:szCs w:val="24"/>
              </w:rPr>
              <w:t xml:space="preserve">安装调试验收合格入库一周后支付合同无息总金额的30%，正常运行六个月后支付合同无息总金额的60%，一年</w:t>
            </w:r>
            <w:r>
              <w:rPr>
                <w:rFonts w:hint="eastAsia" w:cs="仿宋" w:asciiTheme="minorEastAsia" w:hAnsiTheme="minorEastAsia" w:eastAsiaTheme="minorEastAsia"/>
                <w:bCs/>
                <w:color w:val="000000" w:themeColor="text1"/>
                <w:sz w:val="24"/>
                <w:szCs w:val="24"/>
              </w:rPr>
              <w:t xml:space="preserve">期满后支付合同余款。如有特殊情况可商议。如果中标人为中小企业，按</w:t>
            </w:r>
            <w:r>
              <w:rPr>
                <w:rFonts w:hint="eastAsia" w:cs="仿宋" w:asciiTheme="minorEastAsia" w:hAnsiTheme="minorEastAsia" w:eastAsiaTheme="minorEastAsia"/>
                <w:bCs/>
                <w:color w:val="000000" w:themeColor="text1"/>
                <w:sz w:val="24"/>
                <w:szCs w:val="24"/>
              </w:rPr>
              <w:t xml:space="preserve">&lt;&lt;</w:t>
            </w:r>
            <w:r>
              <w:rPr>
                <w:rFonts w:hint="eastAsia" w:cs="仿宋" w:asciiTheme="minorEastAsia" w:hAnsiTheme="minorEastAsia" w:eastAsiaTheme="minorEastAsia"/>
                <w:bCs/>
                <w:color w:val="000000" w:themeColor="text1"/>
                <w:sz w:val="24"/>
                <w:szCs w:val="24"/>
              </w:rPr>
              <w:t xml:space="preserve">保障中小企业款项支付条例&gt;&gt;</w:t>
            </w:r>
            <w:r>
              <w:rPr>
                <w:rFonts w:hint="eastAsia" w:cs="仿宋" w:asciiTheme="minorEastAsia" w:hAnsiTheme="minorEastAsia" w:eastAsiaTheme="minorEastAsia"/>
                <w:bCs/>
                <w:color w:val="000000" w:themeColor="text1"/>
                <w:sz w:val="24"/>
                <w:szCs w:val="24"/>
              </w:rPr>
              <w:t xml:space="preserve">(国令第802号)</w:t>
            </w:r>
            <w:r>
              <w:rPr>
                <w:rFonts w:hint="eastAsia" w:cs="仿宋" w:asciiTheme="minorEastAsia" w:hAnsiTheme="minorEastAsia" w:eastAsiaTheme="minorEastAsia"/>
                <w:bCs/>
                <w:color w:val="000000" w:themeColor="text1"/>
                <w:sz w:val="24"/>
                <w:szCs w:val="24"/>
              </w:rPr>
              <w:t xml:space="preserve">相关要求</w:t>
            </w:r>
            <w:r>
              <w:rPr>
                <w:rFonts w:hint="eastAsia" w:cs="仿宋" w:asciiTheme="minorEastAsia" w:hAnsiTheme="minorEastAsia" w:eastAsiaTheme="minorEastAsia"/>
                <w:bCs/>
                <w:color w:val="000000" w:themeColor="text1"/>
                <w:sz w:val="24"/>
                <w:szCs w:val="24"/>
              </w:rPr>
              <w:t xml:space="preserve">执行.</w:t>
            </w:r>
            <w:r>
              <w:rPr>
                <w:rFonts w:cs="仿宋" w:asciiTheme="minorEastAsia" w:hAnsiTheme="minorEastAsia" w:eastAsiaTheme="minorEastAsia"/>
                <w:bCs/>
                <w:color w:val="000000" w:themeColor="text1"/>
                <w:sz w:val="24"/>
                <w:szCs w:val="24"/>
              </w:rPr>
              <w:t xml:space="preserve"> </w:t>
            </w:r>
            <w:r/>
          </w:p>
        </w:tc>
      </w:tr>
      <w:tr>
        <w:trPr>
          <w:jc w:val="center"/>
          <w:trHeight w:val="1355"/>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中标服务费</w:t>
            </w:r>
            <w:r/>
          </w:p>
        </w:tc>
        <w:tc>
          <w:tcPr>
            <w:tcW w:w="6249" w:type="dxa"/>
            <w:textDirection w:val="lrTb"/>
            <w:noWrap w:val="false"/>
          </w:tcPr>
          <w:p>
            <w:pPr>
              <w:pStyle w:val="1017"/>
              <w:ind w:firstLine="0"/>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
                <w:bCs/>
                <w:color w:val="000000" w:themeColor="text1"/>
                <w:szCs w:val="24"/>
              </w:rPr>
            </w:r>
            <w:r>
              <w:rPr>
                <w:rFonts w:ascii="SimSun" w:hAnsi="SimSun" w:eastAsia="SimSun" w:cs="SimSun"/>
                <w:b/>
                <w:bCs/>
                <w:color w:val="000000"/>
                <w:sz w:val="24"/>
              </w:rPr>
              <w:t xml:space="preserve">项目预算中已包含代理服务费，为提高资金支付效率，本项目代理服务费由中标人支付，投标报价需包含中标服务费。</w:t>
            </w:r>
            <w:r>
              <w:rPr>
                <w:rFonts w:hint="eastAsia" w:cs="仿宋" w:asciiTheme="minorEastAsia" w:hAnsiTheme="minorEastAsia" w:eastAsiaTheme="minorEastAsia"/>
                <w:b/>
                <w:bCs/>
                <w:color w:val="000000" w:themeColor="text1"/>
                <w:szCs w:val="24"/>
              </w:rPr>
              <w:t xml:space="preserve">领取中标通知书前</w:t>
            </w:r>
            <w:r>
              <w:rPr>
                <w:rFonts w:hint="eastAsia" w:cs="仿宋" w:asciiTheme="minorEastAsia" w:hAnsiTheme="minorEastAsia" w:eastAsiaTheme="minorEastAsia"/>
                <w:b/>
                <w:bCs/>
                <w:color w:val="000000" w:themeColor="text1"/>
                <w:szCs w:val="24"/>
              </w:rPr>
              <w:t xml:space="preserve">，</w:t>
            </w:r>
            <w:r>
              <w:rPr>
                <w:rFonts w:hint="eastAsia" w:cs="仿宋" w:asciiTheme="minorEastAsia" w:hAnsiTheme="minorEastAsia" w:eastAsiaTheme="minorEastAsia"/>
                <w:bCs/>
                <w:color w:val="000000" w:themeColor="text1"/>
                <w:szCs w:val="24"/>
              </w:rPr>
              <w:t xml:space="preserve">中标供应商需</w:t>
            </w:r>
            <w:bookmarkStart w:id="34" w:name="_Hlk144458186"/>
            <w:r>
              <w:rPr>
                <w:rFonts w:hint="eastAsia" w:cs="仿宋" w:asciiTheme="minorEastAsia" w:hAnsiTheme="minorEastAsia" w:eastAsiaTheme="minorEastAsia"/>
                <w:color w:val="000000" w:themeColor="text1"/>
                <w:szCs w:val="24"/>
              </w:rPr>
              <w:t xml:space="preserve">按照江苏省政府采购协会《关于印发</w:t>
            </w:r>
            <w:r>
              <w:rPr>
                <w:rFonts w:hint="eastAsia" w:cs="仿宋" w:asciiTheme="minorEastAsia" w:hAnsiTheme="minorEastAsia" w:eastAsiaTheme="minorEastAsia"/>
                <w:color w:val="000000" w:themeColor="text1"/>
                <w:szCs w:val="24"/>
              </w:rPr>
              <w:t xml:space="preserve">(江苏省</w:t>
            </w:r>
            <w:r>
              <w:rPr>
                <w:rFonts w:hint="eastAsia" w:cs="仿宋" w:asciiTheme="minorEastAsia" w:hAnsiTheme="minorEastAsia" w:eastAsiaTheme="minorEastAsia"/>
                <w:color w:val="000000" w:themeColor="text1"/>
                <w:szCs w:val="24"/>
              </w:rPr>
              <w:t xml:space="preserve">政府采购代理服务收费指导意见〉的通知》</w:t>
            </w:r>
            <w:r>
              <w:rPr>
                <w:rFonts w:hint="eastAsia" w:cs="仿宋" w:asciiTheme="minorEastAsia" w:hAnsiTheme="minorEastAsia" w:eastAsiaTheme="minorEastAsia"/>
                <w:color w:val="000000" w:themeColor="text1"/>
                <w:szCs w:val="24"/>
              </w:rPr>
              <w:t xml:space="preserve">(苏政</w:t>
            </w:r>
            <w:r>
              <w:rPr>
                <w:rFonts w:hint="eastAsia" w:cs="仿宋" w:asciiTheme="minorEastAsia" w:hAnsiTheme="minorEastAsia" w:eastAsiaTheme="minorEastAsia"/>
                <w:color w:val="000000" w:themeColor="text1"/>
                <w:szCs w:val="24"/>
              </w:rPr>
              <w:t xml:space="preserve">采协(2024〕20</w:t>
            </w:r>
            <w:r>
              <w:rPr>
                <w:rFonts w:hint="eastAsia" w:cs="仿宋" w:asciiTheme="minorEastAsia" w:hAnsiTheme="minorEastAsia" w:eastAsiaTheme="minorEastAsia"/>
                <w:color w:val="000000" w:themeColor="text1"/>
                <w:szCs w:val="24"/>
              </w:rPr>
              <w:t xml:space="preserve">号)</w:t>
            </w:r>
            <w:r>
              <w:rPr>
                <w:rFonts w:hint="eastAsia" w:cs="仿宋" w:asciiTheme="minorEastAsia" w:hAnsiTheme="minorEastAsia" w:eastAsiaTheme="minorEastAsia"/>
                <w:color w:val="000000" w:themeColor="text1"/>
                <w:szCs w:val="24"/>
              </w:rPr>
              <w:t xml:space="preserve">文件规定的收费标准</w:t>
            </w:r>
            <w:r>
              <w:rPr>
                <w:rFonts w:hint="eastAsia" w:cs="仿宋" w:asciiTheme="minorEastAsia" w:hAnsiTheme="minorEastAsia" w:eastAsiaTheme="minorEastAsia"/>
                <w:color w:val="000000" w:themeColor="text1"/>
                <w:szCs w:val="24"/>
              </w:rPr>
              <w:t xml:space="preserve">的80%</w:t>
            </w:r>
            <w:r>
              <w:rPr>
                <w:rFonts w:hint="eastAsia" w:cs="仿宋" w:asciiTheme="minorEastAsia" w:hAnsiTheme="minorEastAsia" w:eastAsiaTheme="minorEastAsia"/>
                <w:bCs/>
                <w:color w:val="000000" w:themeColor="text1"/>
                <w:szCs w:val="24"/>
              </w:rPr>
              <w:t xml:space="preserve">，向采购代理机构一次性缴纳代理服务费，</w:t>
            </w:r>
            <w:bookmarkEnd w:id="34"/>
            <w:r>
              <w:rPr>
                <w:rFonts w:hint="eastAsia" w:cs="仿宋" w:asciiTheme="minorEastAsia" w:hAnsiTheme="minorEastAsia" w:eastAsiaTheme="minorEastAsia"/>
                <w:bCs/>
                <w:color w:val="000000" w:themeColor="text1"/>
                <w:szCs w:val="24"/>
              </w:rPr>
              <w:t xml:space="preserve">需备注266-</w:t>
            </w:r>
            <w:r>
              <w:rPr>
                <w:rFonts w:cs="仿宋" w:asciiTheme="minorEastAsia" w:hAnsiTheme="minorEastAsia" w:eastAsiaTheme="minorEastAsia"/>
                <w:bCs/>
                <w:color w:val="000000" w:themeColor="text1"/>
                <w:szCs w:val="24"/>
              </w:rPr>
              <w:t xml:space="preserve">003</w:t>
            </w:r>
            <w:r>
              <w:rPr>
                <w:rFonts w:cs="仿宋" w:asciiTheme="minorEastAsia" w:hAnsiTheme="minorEastAsia" w:eastAsiaTheme="minorEastAsia"/>
                <w:bCs/>
                <w:color w:val="000000" w:themeColor="text1"/>
                <w:szCs w:val="24"/>
              </w:rPr>
              <w:t xml:space="preserve">753</w:t>
            </w:r>
            <w:r>
              <w:rPr>
                <w:rFonts w:hint="eastAsia" w:cs="仿宋" w:asciiTheme="minorEastAsia" w:hAnsiTheme="minorEastAsia" w:eastAsiaTheme="minorEastAsia"/>
                <w:bCs/>
                <w:color w:val="000000" w:themeColor="text1"/>
                <w:szCs w:val="24"/>
              </w:rPr>
              <w:t xml:space="preserve">代理服务费。</w:t>
            </w:r>
            <w:r/>
          </w:p>
          <w:p>
            <w:pPr>
              <w:pStyle w:val="1017"/>
              <w:jc w:val="center"/>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江苏省政府采购代理常规服务收费指导价</w:t>
            </w:r>
            <w:r/>
          </w:p>
          <w:tbl>
            <w:tblPr>
              <w:tblW w:w="5241" w:type="dxa"/>
              <w:jc w:val="center"/>
              <w:tblLook w:val="04A0" w:firstRow="1" w:lastRow="0" w:firstColumn="1" w:lastColumn="0" w:noHBand="0" w:noVBand="1"/>
            </w:tblPr>
            <w:tblGrid>
              <w:gridCol w:w="4002"/>
              <w:gridCol w:w="1239"/>
            </w:tblGrid>
            <w:tr>
              <w:trPr>
                <w:jc w:val="center"/>
                <w:trHeight w:val="285"/>
              </w:trPr>
              <w:tc>
                <w:tcPr>
                  <w:shd w:val="clear" w:color="auto" w:fill="dce9f9"/>
                  <w:tcBorders>
                    <w:top w:val="single" w:color="auto" w:sz="4" w:space="0"/>
                    <w:left w:val="single" w:color="auto" w:sz="4" w:space="0"/>
                    <w:bottom w:val="single" w:color="auto" w:sz="4" w:space="0"/>
                    <w:right w:val="single" w:color="auto" w:sz="4" w:space="0"/>
                  </w:tcBorders>
                  <w:tcW w:w="4002" w:type="dxa"/>
                  <w:vAlign w:val="center"/>
                  <w:textDirection w:val="lrTb"/>
                  <w:noWrap w:val="false"/>
                </w:tcPr>
                <w:p>
                  <w:pPr>
                    <w:pStyle w:val="1017"/>
                    <w:ind w:firstLine="0"/>
                    <w:jc w:val="center"/>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中标或者成交金额</w:t>
                  </w:r>
                  <w:r/>
                </w:p>
              </w:tc>
              <w:tc>
                <w:tcPr>
                  <w:shd w:val="clear" w:color="auto" w:fill="dce9f9"/>
                  <w:tcBorders>
                    <w:top w:val="single" w:color="auto" w:sz="4" w:space="0"/>
                    <w:left w:val="none" w:color="000000" w:sz="4" w:space="0"/>
                    <w:bottom w:val="single" w:color="auto" w:sz="4" w:space="0"/>
                    <w:right w:val="single" w:color="auto" w:sz="4" w:space="0"/>
                  </w:tcBorders>
                  <w:tcW w:w="1239" w:type="dxa"/>
                  <w:vAlign w:val="center"/>
                  <w:textDirection w:val="lrTb"/>
                  <w:noWrap w:val="false"/>
                </w:tcPr>
                <w:p>
                  <w:pPr>
                    <w:pStyle w:val="1017"/>
                    <w:ind w:firstLine="0"/>
                    <w:jc w:val="center"/>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费率</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1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最低收费金额（每个委托项目）</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1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5000元</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1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50万元以下（含50万元）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1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1.6%</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1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50-400万元（含400万元）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1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1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400-1000万元（含1000万元）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1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1.1%</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1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1000-5000万元（含5000万元）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1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0.8%</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1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5000-1亿元（含1亿元）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1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0.25%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1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1-10亿元（含10亿元）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1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1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10-50亿元（含50亿元）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1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0.01%</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1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50亿元以上</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17"/>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0.005%</w:t>
                  </w:r>
                  <w:r/>
                </w:p>
              </w:tc>
            </w:tr>
          </w:tbl>
          <w:p>
            <w:pPr>
              <w:pStyle w:val="1017"/>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银行信息：</w:t>
            </w:r>
            <w:r/>
          </w:p>
          <w:p>
            <w:pPr>
              <w:pStyle w:val="1017"/>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户名：江苏海外集团国际工程咨询有限公司</w:t>
            </w:r>
            <w:r/>
          </w:p>
          <w:p>
            <w:pPr>
              <w:pStyle w:val="1017"/>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开户银行：交行江苏省分行营业部</w:t>
            </w:r>
            <w:r/>
          </w:p>
          <w:p>
            <w:pPr>
              <w:pStyle w:val="1017"/>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账号：320006607010141124109</w:t>
            </w:r>
            <w:r/>
          </w:p>
        </w:tc>
      </w:tr>
      <w:tr>
        <w:trPr>
          <w:jc w:val="center"/>
          <w:trHeight w:val="1090"/>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其他</w:t>
            </w:r>
            <w:r/>
          </w:p>
        </w:tc>
        <w:tc>
          <w:tcPr>
            <w:tcW w:w="6249" w:type="dxa"/>
            <w:vAlign w:val="center"/>
            <w:textDirection w:val="lrTb"/>
            <w:noWrap w:val="false"/>
          </w:tcPr>
          <w:p>
            <w:pPr>
              <w:pStyle w:val="1017"/>
              <w:ind w:firstLine="0"/>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投标文件的制作要求</w:t>
            </w:r>
            <w:r/>
          </w:p>
          <w:p>
            <w:pPr>
              <w:pStyle w:val="1017"/>
              <w:ind w:firstLine="240"/>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本次采购采用“苏采云”系统进行政府采购活动。</w:t>
            </w:r>
            <w:r/>
          </w:p>
          <w:p>
            <w:pPr>
              <w:pStyle w:val="1017"/>
              <w:ind w:firstLine="240"/>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如确定参加投标，可自行下载招标文件及有关资料，按照招标文件规定进行注册、领取CA和办理电子签章（请至泰州市高港区泰州大道188号（中国医药城会展交易中心W3馆西南角）泰州市公共资源交易中心一</w:t>
            </w:r>
            <w:r>
              <w:rPr>
                <w:rFonts w:hint="eastAsia" w:cs="仿宋" w:asciiTheme="minorEastAsia" w:hAnsiTheme="minorEastAsia" w:eastAsiaTheme="minorEastAsia"/>
                <w:color w:val="000000" w:themeColor="text1"/>
                <w:szCs w:val="24"/>
              </w:rPr>
              <w:t xml:space="preserve">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一、说明和释义</w:t>
      </w:r>
      <w:r/>
    </w:p>
    <w:p>
      <w:pPr>
        <w:ind w:firstLine="482"/>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1.说明  </w:t>
      </w:r>
      <w:r/>
    </w:p>
    <w:p>
      <w:pPr>
        <w:pStyle w:val="1017"/>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1.1本招标文件仅适用于本采购项目的招标、投</w:t>
      </w:r>
      <w:r>
        <w:rPr>
          <w:rFonts w:hint="eastAsia" w:cs="仿宋" w:asciiTheme="minorEastAsia" w:hAnsiTheme="minorEastAsia" w:eastAsiaTheme="minorEastAsia"/>
          <w:color w:val="000000" w:themeColor="text1"/>
          <w:szCs w:val="24"/>
        </w:rPr>
        <w:t xml:space="preserve">标、评审、确定中标单位、验收、合同履约、付款等（法律、法规另有规定的，从其规定）。</w:t>
      </w:r>
      <w:r/>
    </w:p>
    <w:p>
      <w:pPr>
        <w:pStyle w:val="1017"/>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1.2本次招标活动及因本次招标产生的合同受中国法律制约和保护。</w:t>
      </w:r>
      <w:r/>
    </w:p>
    <w:p>
      <w:pPr>
        <w:pStyle w:val="1017"/>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1.3本招标文件的解释权属于采购人（代理机构）。</w:t>
      </w:r>
      <w:r/>
    </w:p>
    <w:p>
      <w:pPr>
        <w:ind w:firstLine="482"/>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2.词语释义</w:t>
      </w:r>
      <w:r/>
    </w:p>
    <w:p>
      <w:pPr>
        <w:pStyle w:val="1017"/>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2.1采购人：指依法进行采购的国家机关、事业单位、团体组织。</w:t>
      </w:r>
      <w:r/>
    </w:p>
    <w:p>
      <w:pPr>
        <w:pStyle w:val="1017"/>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2.2 供应商、投标人：指向采购人提供货物、工程或服务的法人、其他组织或者自然人，不包括其分公司。</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2.3采购代理机构：指依法接受采购人委托，从事货物、工程和服务等采购招标代理业务的社会中介机构。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2.4招标采购单位：采购人及采购代理机构的统称。</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2.6响应：投标人根据采购人或采购代理机构发售的招标文件，编制投标文件并按规定投标的行为。</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2.7知识产权：指专利权、商标权、著作权等无形财产专有权的统称。</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2.8天：日历天。</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2.9服务地点：合同中明确约定的乙方履行服务的最终地点。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2.10不可抗力：不能预见、不能避免并且不能克服的客观情况。</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 实质性响应：满足有关本次采购标的、数量、质量、价款或者报酬、</w:t>
      </w:r>
      <w:r>
        <w:rPr>
          <w:rFonts w:hint="eastAsia" w:cs="仿宋" w:asciiTheme="minorEastAsia" w:hAnsiTheme="minorEastAsia" w:eastAsiaTheme="minorEastAsia"/>
          <w:color w:val="000000" w:themeColor="text1"/>
          <w:sz w:val="24"/>
          <w:szCs w:val="24"/>
        </w:rPr>
        <w:t xml:space="preserve">履行期限、履行地点和方式、违约责任和解决争议方法等要求。</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2.12书面形式：指书面文字、合同书、信件等可以有形地表现所载内容的形式。</w:t>
      </w:r>
      <w:r/>
    </w:p>
    <w:p>
      <w:pPr>
        <w:ind w:firstLine="36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二、投标人</w:t>
      </w:r>
      <w:r/>
    </w:p>
    <w:p>
      <w:pPr>
        <w:ind w:firstLine="241"/>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3.合格投标人资格要求</w:t>
      </w:r>
      <w:r/>
    </w:p>
    <w:p>
      <w:pPr>
        <w:ind w:firstLine="24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3.1详见投标人须知前附表规定。</w:t>
      </w:r>
      <w:r/>
    </w:p>
    <w:p>
      <w:pPr>
        <w:ind w:firstLine="241"/>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
          <w:color w:val="000000" w:themeColor="text1"/>
          <w:sz w:val="24"/>
          <w:szCs w:val="24"/>
        </w:rPr>
        <w:t xml:space="preserve">4.</w:t>
      </w:r>
      <w:r>
        <w:rPr>
          <w:rFonts w:hint="eastAsia" w:cs="仿宋" w:asciiTheme="minorEastAsia" w:hAnsiTheme="minorEastAsia" w:eastAsiaTheme="minorEastAsia"/>
          <w:bCs/>
          <w:color w:val="000000" w:themeColor="text1"/>
          <w:sz w:val="24"/>
          <w:szCs w:val="24"/>
        </w:rPr>
        <w:t xml:space="preserve">投标人应在江苏政府采购“苏采云”系统（http://jszfcg.jsczt.cn/，下同）下载招标文件及有关资料，按招标文件要求提交全部资料并对招标文件各项内容做出实质性响应。</w:t>
      </w:r>
      <w:r/>
    </w:p>
    <w:p>
      <w:pPr>
        <w:ind w:firstLine="24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5.投标人代表</w:t>
      </w:r>
      <w:r/>
    </w:p>
    <w:p>
      <w:pPr>
        <w:ind w:firstLine="36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5.1指全权代表投标人参加投标活动并签署投标文件的人，如果投标人代表不是法人代表，须具有《法人代表授权委托书》（详见统一格式）。</w:t>
      </w:r>
      <w:r/>
    </w:p>
    <w:p>
      <w:pPr>
        <w:ind w:firstLine="24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6.不接受联合体投标。</w:t>
      </w:r>
      <w:r/>
    </w:p>
    <w:p>
      <w:pPr>
        <w:ind w:firstLine="241"/>
        <w:jc w:val="left"/>
        <w:spacing w:line="360" w:lineRule="auto"/>
        <w:widowControl/>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7.投标人有下列情形之一的不能参加本次投标：</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（1）因重大经济问题正在接受国家有关部门审查的；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（2）正在被其他企业兼并（或收购）或因重大经济纠纷正在进行诉讼或仲裁的；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（3）因腐败和欺诈行为而被有关部门处理的。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（4）被责令停业的； </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（5）被暂停或取消投标资格的； </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（6）财产被接管或冻结的；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（7）在最近三年内有骗取中标或严重违约或重大工程质量问题的；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（8）在投标过程中弄虚作假、行贿或有其他违法违规行为的；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（9）违反法律法规相关规定的。</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三、招标文件说明</w:t>
      </w:r>
      <w:r/>
    </w:p>
    <w:p>
      <w:pPr>
        <w:ind w:firstLine="120"/>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8.招标文件</w:t>
      </w:r>
      <w:r/>
    </w:p>
    <w:p>
      <w:pPr>
        <w:ind w:firstLine="509"/>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ind w:firstLine="24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9.现场勘察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9.1投标人应按</w:t>
      </w:r>
      <w:r>
        <w:rPr>
          <w:rFonts w:hint="eastAsia" w:cs="仿宋" w:asciiTheme="minorEastAsia" w:hAnsiTheme="minorEastAsia" w:eastAsiaTheme="minorEastAsia"/>
          <w:bCs/>
          <w:color w:val="000000" w:themeColor="text1"/>
          <w:sz w:val="24"/>
          <w:szCs w:val="24"/>
        </w:rPr>
        <w:t xml:space="preserve">招标文件中所述时间</w:t>
      </w:r>
      <w:r>
        <w:rPr>
          <w:rFonts w:hint="eastAsia" w:cs="仿宋" w:asciiTheme="minorEastAsia" w:hAnsiTheme="minorEastAsia" w:eastAsiaTheme="minorEastAsia"/>
          <w:color w:val="000000" w:themeColor="text1"/>
          <w:sz w:val="24"/>
          <w:szCs w:val="24"/>
        </w:rPr>
        <w:t xml:space="preserve">对有关现场和周围环境进行勘察，以获取编制投标文件和签署合同所需的信息。勘察现场所发生的费用由投标人自己承担。</w:t>
      </w:r>
      <w:r/>
    </w:p>
    <w:p>
      <w:pPr>
        <w:pStyle w:val="1017"/>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017"/>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1017"/>
        <w:ind w:firstLine="480"/>
        <w:jc w:val="both"/>
        <w:spacing w:line="360" w:lineRule="auto"/>
        <w:rPr>
          <w:rFonts w:hint="eastAsia" w:cs="仿宋" w:asciiTheme="minorEastAsia" w:hAnsiTheme="minorEastAsia" w:eastAsiaTheme="minorEastAsia"/>
          <w:b/>
          <w:color w:val="000000" w:themeColor="text1"/>
          <w:szCs w:val="24"/>
        </w:rPr>
      </w:pPr>
      <w:r>
        <w:rPr>
          <w:rFonts w:hint="eastAsia" w:cs="仿宋" w:asciiTheme="minorEastAsia" w:hAnsiTheme="minorEastAsia" w:eastAsiaTheme="minorEastAsia"/>
          <w:color w:val="000000" w:themeColor="text1"/>
          <w:szCs w:val="24"/>
        </w:rPr>
        <w:t xml:space="preserve">9.4采购人不组织勘察现场或答疑，各投标人可在每天 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ind w:firstLine="241"/>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10.招标文件的澄清和修改</w:t>
      </w:r>
      <w:r/>
    </w:p>
    <w:p>
      <w:pPr>
        <w:ind w:firstLine="488"/>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四、投标文件说明</w:t>
      </w:r>
      <w:r/>
    </w:p>
    <w:p>
      <w:pPr>
        <w:ind w:firstLine="361"/>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11.投标文件计量单位和使用文字</w:t>
      </w:r>
      <w:r/>
    </w:p>
    <w:p>
      <w:pPr>
        <w:pStyle w:val="1017"/>
        <w:ind w:firstLine="509"/>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11.1投标文件中所使用的计量单位，除招标文件中有特殊要求外，均应使用中华人民共和国法定计量单位。</w:t>
      </w:r>
      <w:r/>
    </w:p>
    <w:p>
      <w:pPr>
        <w:ind w:firstLine="509"/>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11.2投标文件应使用中文编制，投标文件中必须使用其他文字的，必须附</w:t>
      </w:r>
      <w:r>
        <w:rPr>
          <w:rFonts w:hint="eastAsia" w:cs="仿宋" w:asciiTheme="minorEastAsia" w:hAnsiTheme="minorEastAsia" w:eastAsiaTheme="minorEastAsia"/>
          <w:color w:val="000000" w:themeColor="text1"/>
          <w:sz w:val="24"/>
          <w:szCs w:val="24"/>
        </w:rPr>
        <w:t xml:space="preserve">有中文译本，且以中文译本为准。对于未附有中文译本和中文译本不准确的投标文件可能引起的对投标人不利的后果，招标采购单位概不负责。</w:t>
      </w:r>
      <w:r/>
    </w:p>
    <w:p>
      <w:pPr>
        <w:pStyle w:val="1016"/>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11.3投标人应当同时凭CA数字证书登录“江苏政府采购“苏采云”系统”，并在投标截止时间前上传电子投标文件。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w:t>
      </w:r>
      <w:bookmarkStart w:id="35" w:name="_Toc217446047"/>
      <w:r>
        <w:rPr>
          <w:rFonts w:hint="eastAsia" w:cs="仿宋" w:asciiTheme="minorEastAsia" w:hAnsiTheme="minorEastAsia" w:eastAsiaTheme="minorEastAsia"/>
          <w:b/>
          <w:color w:val="000000" w:themeColor="text1"/>
          <w:sz w:val="24"/>
          <w:szCs w:val="24"/>
        </w:rPr>
        <w:t xml:space="preserve">2.知识产权</w:t>
      </w:r>
      <w:bookmarkEnd w:id="35"/>
      <w:r/>
      <w:r/>
    </w:p>
    <w:p>
      <w:pPr>
        <w:pStyle w:val="1017"/>
        <w:ind w:firstLine="509"/>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13.投标文件的组成</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投标函（格式见附件）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资格、资信证明文件：</w:t>
      </w:r>
      <w:r/>
    </w:p>
    <w:p>
      <w:pPr>
        <w:pStyle w:val="871"/>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资格证明文件（格式见附件）</w:t>
      </w:r>
      <w:r/>
    </w:p>
    <w:p>
      <w:pPr>
        <w:pStyle w:val="871"/>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法人或其他组织的营业执照或相关部门的登记证明文件；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w:t>
      </w:r>
      <w:r>
        <w:rPr>
          <w:rFonts w:hint="eastAsia" w:cs="仿宋" w:asciiTheme="minorEastAsia" w:hAnsiTheme="minorEastAsia" w:eastAsiaTheme="minorEastAsia"/>
          <w:color w:val="000000" w:themeColor="text1"/>
          <w:sz w:val="24"/>
          <w:szCs w:val="24"/>
        </w:rPr>
        <w:t xml:space="preserve">(不含投标文件递交当月)</w:t>
      </w:r>
      <w:r>
        <w:rPr>
          <w:rFonts w:hint="eastAsia" w:cs="仿宋" w:asciiTheme="minorEastAsia" w:hAnsiTheme="minorEastAsia" w:eastAsiaTheme="minorEastAsia"/>
          <w:color w:val="000000" w:themeColor="text1"/>
          <w:sz w:val="24"/>
          <w:szCs w:val="24"/>
        </w:rPr>
        <w:t xml:space="preserve">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w:t>
      </w:r>
      <w:r>
        <w:rPr>
          <w:rFonts w:hint="eastAsia" w:cs="仿宋" w:asciiTheme="minorEastAsia" w:hAnsiTheme="minorEastAsia" w:eastAsiaTheme="minorEastAsia"/>
          <w:color w:val="000000" w:themeColor="text1"/>
          <w:sz w:val="24"/>
          <w:szCs w:val="24"/>
        </w:rPr>
        <w:t xml:space="preserve">(不含投标文件递交当月)</w:t>
      </w:r>
      <w:r>
        <w:rPr>
          <w:rFonts w:hint="eastAsia" w:cs="仿宋" w:asciiTheme="minorEastAsia" w:hAnsiTheme="minorEastAsia" w:eastAsiaTheme="minorEastAsia"/>
          <w:color w:val="000000" w:themeColor="text1"/>
          <w:sz w:val="24"/>
          <w:szCs w:val="24"/>
        </w:rPr>
        <w:t xml:space="preserve">的依法缴纳税收的相关材料（提供相关主管部门证明或银行代扣证明）（依法免缴或缓缴的供应商，应提供相应文件证明其依法免税的证明材料）；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w:t>
      </w:r>
      <w:r>
        <w:rPr>
          <w:rFonts w:hint="eastAsia" w:cs="仿宋" w:asciiTheme="minorEastAsia" w:hAnsiTheme="minorEastAsia" w:eastAsiaTheme="minorEastAsia"/>
          <w:color w:val="000000" w:themeColor="text1"/>
          <w:sz w:val="24"/>
          <w:szCs w:val="24"/>
        </w:rPr>
        <w:t xml:space="preserve">(不含投标文件递交当月)</w:t>
      </w:r>
      <w:r>
        <w:rPr>
          <w:rFonts w:hint="eastAsia" w:cs="仿宋" w:asciiTheme="minorEastAsia" w:hAnsiTheme="minorEastAsia" w:eastAsiaTheme="minorEastAsia"/>
          <w:color w:val="000000" w:themeColor="text1"/>
          <w:sz w:val="24"/>
          <w:szCs w:val="24"/>
        </w:rPr>
        <w:t xml:space="preserve">的依法缴纳社会保障资金的相关材料（提供相关主管部门证明或银行代扣证明）复印件（依法免缴或缓缴的供应商，应提供相应文件证明其依法免税的证明材料）；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中小企业声明函（格式见附件）；</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 w:val="24"/>
          <w:szCs w:val="24"/>
        </w:rPr>
        <w:t xml:space="preserve">采购人要求的特定资质证明</w:t>
      </w:r>
      <w:r/>
    </w:p>
    <w:p>
      <w:pPr>
        <w:ind w:left="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（9）未被列入“信用中国”网站</w:t>
      </w:r>
      <w:r>
        <w:rPr>
          <w:rFonts w:hint="eastAsia" w:cs="仿宋" w:asciiTheme="minorEastAsia" w:hAnsiTheme="minorEastAsia" w:eastAsiaTheme="minorEastAsia"/>
          <w:color w:val="000000" w:themeColor="text1"/>
          <w:sz w:val="24"/>
          <w:szCs w:val="24"/>
        </w:rPr>
        <w:t xml:space="preserve">(www.creditchina.gov.cn)</w:t>
      </w:r>
      <w:r>
        <w:rPr>
          <w:rFonts w:hint="eastAsia" w:cs="仿宋" w:asciiTheme="minorEastAsia" w:hAnsiTheme="minorEastAsia" w:eastAsiaTheme="minorEastAsia"/>
          <w:color w:val="000000" w:themeColor="text1"/>
          <w:sz w:val="24"/>
          <w:szCs w:val="24"/>
        </w:rPr>
        <w:t xml:space="preserve">失信被执行</w:t>
      </w:r>
      <w:r>
        <w:rPr>
          <w:rFonts w:hint="eastAsia" w:cs="仿宋" w:asciiTheme="minorEastAsia" w:hAnsiTheme="minorEastAsia" w:eastAsiaTheme="minorEastAsia"/>
          <w:color w:val="000000" w:themeColor="text1"/>
          <w:sz w:val="24"/>
          <w:szCs w:val="24"/>
        </w:rPr>
        <w:t xml:space="preserve">人名单、重大税收违法案件当事人名单和中国政府采购网</w:t>
      </w:r>
      <w:r>
        <w:rPr>
          <w:rFonts w:hint="eastAsia" w:cs="仿宋" w:asciiTheme="minorEastAsia" w:hAnsiTheme="minorEastAsia" w:eastAsiaTheme="minorEastAsia"/>
          <w:color w:val="000000" w:themeColor="text1"/>
          <w:sz w:val="24"/>
          <w:szCs w:val="24"/>
        </w:rPr>
        <w:t xml:space="preserve">(www.ccgp.gov.cn)</w:t>
      </w:r>
      <w:r>
        <w:rPr>
          <w:rFonts w:hint="eastAsia" w:cs="仿宋" w:asciiTheme="minorEastAsia" w:hAnsiTheme="minorEastAsia" w:eastAsiaTheme="minorEastAsia"/>
          <w:color w:val="000000" w:themeColor="text1"/>
          <w:sz w:val="24"/>
          <w:szCs w:val="24"/>
        </w:rPr>
        <w:t xml:space="preserve">政府采购严重违法失信行为记录名单（网页截图）。</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开标一览表（格式见附件）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投标报价明细表（格式见附件）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商务偏离表（格式见附件）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技术偏离表（格式见附件）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评分标准中对应的其它所需证明材料（如有自行添加）</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其它（投标人认为有必要提供的声明和文件，如有自拟并自行添加）</w:t>
      </w:r>
      <w:r/>
    </w:p>
    <w:p>
      <w:pPr>
        <w:ind w:firstLine="609"/>
        <w:spacing w:line="360" w:lineRule="auto"/>
        <w:tabs>
          <w:tab w:val="left" w:pos="2850" w:leader="none"/>
          <w:tab w:val="center" w:pos="4153" w:leader="none"/>
        </w:tabs>
        <w:rPr>
          <w:rFonts w:hint="eastAsia" w:cs="仿宋" w:asciiTheme="minorEastAsia" w:hAnsiTheme="minorEastAsia" w:eastAsiaTheme="minorEastAsia"/>
          <w:b/>
          <w:color w:val="000000" w:themeColor="text1"/>
          <w:sz w:val="24"/>
          <w:u w:val="single"/>
        </w:rPr>
      </w:pPr>
      <w:r>
        <w:rPr>
          <w:rFonts w:hint="eastAsia" w:cs="仿宋" w:asciiTheme="minorEastAsia" w:hAnsiTheme="minorEastAsia" w:eastAsiaTheme="minorEastAsia"/>
          <w:color w:val="000000" w:themeColor="text1"/>
          <w:sz w:val="24"/>
          <w:szCs w:val="24"/>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14.投标文件编制及递交要求</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14.1所有文件、往来函件均应使用</w:t>
      </w:r>
      <w:r>
        <w:rPr>
          <w:rFonts w:hint="eastAsia" w:cs="仿宋" w:asciiTheme="minorEastAsia" w:hAnsiTheme="minorEastAsia" w:eastAsiaTheme="minorEastAsia"/>
          <w:b/>
          <w:bCs/>
          <w:color w:val="000000" w:themeColor="text1"/>
          <w:sz w:val="24"/>
          <w:szCs w:val="24"/>
        </w:rPr>
        <w:t xml:space="preserve">简体中文</w:t>
      </w:r>
      <w:r>
        <w:rPr>
          <w:rFonts w:hint="eastAsia" w:cs="仿宋" w:asciiTheme="minorEastAsia" w:hAnsiTheme="minorEastAsia" w:eastAsiaTheme="minorEastAsia"/>
          <w:color w:val="000000" w:themeColor="text1"/>
          <w:sz w:val="24"/>
          <w:szCs w:val="24"/>
        </w:rPr>
        <w:t xml:space="preserve">（规格、型号辅助符号例外）。</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14.3如无特别说明，投标人报价一律以人民币为投标结算</w:t>
      </w:r>
      <w:r>
        <w:rPr>
          <w:rFonts w:hint="eastAsia" w:cs="仿宋" w:asciiTheme="minorEastAsia" w:hAnsiTheme="minorEastAsia" w:eastAsiaTheme="minorEastAsia"/>
          <w:color w:val="000000" w:themeColor="text1"/>
          <w:sz w:val="24"/>
          <w:szCs w:val="24"/>
        </w:rPr>
        <w:t xml:space="preserve">货币,</w:t>
      </w:r>
      <w:r>
        <w:rPr>
          <w:rFonts w:hint="eastAsia" w:cs="仿宋" w:asciiTheme="minorEastAsia" w:hAnsiTheme="minorEastAsia" w:eastAsiaTheme="minorEastAsia"/>
          <w:color w:val="000000" w:themeColor="text1"/>
          <w:sz w:val="24"/>
          <w:szCs w:val="24"/>
        </w:rPr>
        <w:t xml:space="preserve">结算单位为“元”。</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14.5投标费用自理。</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14.6投标人应当同时凭CA数字证书登录“江苏政府采购“苏采云”系统”，并在投标截止时间前上传电子投标文件。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15.投标报价（编制）要求的说明</w:t>
      </w:r>
      <w:r/>
    </w:p>
    <w:p>
      <w:pPr>
        <w:pStyle w:val="1017"/>
        <w:ind w:firstLine="505"/>
        <w:jc w:val="both"/>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color w:val="000000" w:themeColor="text1"/>
          <w:szCs w:val="24"/>
        </w:rPr>
        <w:t xml:space="preserve">15.1投标人对《开标一览表》中的全部服务的报价应包括在本项目合同期内所需要全部费用，包括但不限于所需要的人工费、材料费、施工机具使用费、</w:t>
      </w:r>
      <w:r>
        <w:rPr>
          <w:rFonts w:hint="eastAsia" w:cs="仿宋" w:asciiTheme="minorEastAsia" w:hAnsiTheme="minorEastAsia" w:eastAsiaTheme="minorEastAsia"/>
          <w:color w:val="000000" w:themeColor="text1"/>
          <w:szCs w:val="24"/>
        </w:rPr>
        <w:t xml:space="preserve">保险费、运输费、管理费、利润、措施项目费（含单价措施项目费和总价措施项目费）、其它项目费、规费、税金、有关文件规定的政策性调价等以及各种可能发生的风险费用以及招标文件约定的其他等各项费用。</w:t>
      </w:r>
      <w:r/>
    </w:p>
    <w:p>
      <w:pPr>
        <w:pStyle w:val="1017"/>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投标人要认真阅读清单，慎重报价。采购人不再支付报价以外的任何费用。</w:t>
      </w:r>
      <w:r/>
    </w:p>
    <w:p>
      <w:pPr>
        <w:pStyle w:val="1017"/>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15.2投标人应对招标文件内所要采购的全部内容进行报价，只投其中部分内容者，其标书将被拒绝。</w:t>
      </w:r>
      <w:r/>
    </w:p>
    <w:p>
      <w:pPr>
        <w:pStyle w:val="1017"/>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15.3一项投标内容只允许一个报价，招标采购单位不接受任何有选择性的投标报价。</w:t>
      </w:r>
      <w:r/>
    </w:p>
    <w:p>
      <w:pPr>
        <w:pStyle w:val="101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15.4投标文件报价中的单价和总价全部采用人民币表示，除非合同的特殊条款另有规定。</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16.投标保证金</w:t>
      </w:r>
      <w:r/>
    </w:p>
    <w:p>
      <w:pPr>
        <w:pStyle w:val="861"/>
        <w:ind w:firstLine="480"/>
        <w:keepLines w:val="0"/>
        <w:keepNext w:val="0"/>
        <w:spacing w:before="0" w:after="0" w:line="360" w:lineRule="auto"/>
        <w:rPr>
          <w:rFonts w:hint="eastAsia"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b w:val="0"/>
          <w:bCs w:val="0"/>
          <w:color w:val="000000" w:themeColor="text1"/>
          <w:sz w:val="24"/>
          <w:szCs w:val="24"/>
        </w:rPr>
        <w:t xml:space="preserve">根据苏财购〔2020〕52号文件，本项目不收取投标保证金。 </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17.投标文件的有效期</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18.投标文件的拒收</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采购人拒绝接收在其规定的投标截止时间后上传的任何投标文件。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五、投标文件的递交</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19.投标文件的递交</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19.1电子投标文件的递交</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投标人应当按照《江苏省政府采购管理交易系统（苏采云）供应商操作手册及政府采购客户端》规定，在投标截止时间前制作并上传电子投标文件。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20.投标截止日期</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21.投标文件的修改和撤回</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21.1投标文件的撤回</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 投标文件的修改</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21.3在投标截止时间之后，投标人不得对其电子投标文件作任何修改。</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六、开标和评标</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22.开标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22.5开标时，投标文件中开标一览表内容与投标文件中明细表内容不一致的，以开标一览表为准。</w:t>
      </w:r>
      <w:r/>
    </w:p>
    <w:p>
      <w:pPr>
        <w:ind w:firstLine="480"/>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投标文件的大写金额和小写金额不一致的，以大写金额为准；总价金额与</w:t>
      </w:r>
      <w:r>
        <w:rPr>
          <w:rFonts w:hint="eastAsia" w:cs="仿宋" w:asciiTheme="minorEastAsia" w:hAnsiTheme="minorEastAsia" w:eastAsiaTheme="minorEastAsia"/>
          <w:color w:val="000000" w:themeColor="text1"/>
          <w:sz w:val="24"/>
          <w:szCs w:val="24"/>
        </w:rPr>
        <w:t xml:space="preserve">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22.6投标人未参加开标的，视同认可开标结果。</w:t>
      </w:r>
      <w:r/>
    </w:p>
    <w:p>
      <w:pPr>
        <w:spacing w:line="360" w:lineRule="auto"/>
        <w:tabs>
          <w:tab w:val="center" w:pos="4479" w:leader="none"/>
        </w:tabs>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23.评标委员会</w:t>
      </w:r>
      <w:r>
        <w:rPr>
          <w:rFonts w:hint="eastAsia" w:cs="仿宋" w:asciiTheme="minorEastAsia" w:hAnsiTheme="minorEastAsia" w:eastAsiaTheme="minorEastAsia"/>
          <w:b/>
          <w:color w:val="000000" w:themeColor="text1"/>
          <w:sz w:val="24"/>
          <w:szCs w:val="24"/>
        </w:rPr>
        <w:tab/>
      </w:r>
      <w:r/>
    </w:p>
    <w:p>
      <w:pPr>
        <w:pStyle w:val="101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23.1评标委员会由招标采购单位依法组建，负责本项目的评标事务。</w:t>
      </w:r>
      <w:r/>
    </w:p>
    <w:p>
      <w:pPr>
        <w:pStyle w:val="101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23.2评标委员会独立履行下列职责：</w:t>
      </w:r>
      <w:r/>
    </w:p>
    <w:p>
      <w:pPr>
        <w:pStyle w:val="101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23.2.1审查投标文件是否符合招标文件的要求，并作出评价；</w:t>
      </w:r>
      <w:r/>
    </w:p>
    <w:p>
      <w:pPr>
        <w:pStyle w:val="101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23.2.2可以要求投标供应商对投标文件有关事项作出解释或澄清；</w:t>
      </w:r>
      <w:r/>
    </w:p>
    <w:p>
      <w:pPr>
        <w:pStyle w:val="101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23.2.3推荐中标候选供应商名单，或者受采购人委托按照事先确定的办法直接确定中标供应商；</w:t>
      </w:r>
      <w:r/>
    </w:p>
    <w:p>
      <w:pPr>
        <w:pStyle w:val="101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23.2.4向招标采购单位或者有关部门报告非法干预评标工作的行为。</w:t>
      </w:r>
      <w:r/>
    </w:p>
    <w:p>
      <w:pPr>
        <w:pStyle w:val="101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23.3评标委员会成员应当履行下列义务：</w:t>
      </w:r>
      <w:r/>
    </w:p>
    <w:p>
      <w:pPr>
        <w:pStyle w:val="101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23.3.1遵纪守法，客观、公正、廉洁地履行职责；</w:t>
      </w:r>
      <w:r/>
    </w:p>
    <w:p>
      <w:pPr>
        <w:pStyle w:val="101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23.3.2按照招标文件规定的评标办法和评标标准进行评标，对评审意见承担个人责任；</w:t>
      </w:r>
      <w:r/>
    </w:p>
    <w:p>
      <w:pPr>
        <w:pStyle w:val="101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23.3.3对评标过程和结果，以及投标人的商业秘密保密；</w:t>
      </w:r>
      <w:r/>
    </w:p>
    <w:p>
      <w:pPr>
        <w:pStyle w:val="101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23.3.4参与评标报告的起草；</w:t>
      </w:r>
      <w:r/>
    </w:p>
    <w:p>
      <w:pPr>
        <w:pStyle w:val="101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23.3.5配合相关部门的投诉处理工作；</w:t>
      </w:r>
      <w:r/>
    </w:p>
    <w:p>
      <w:pPr>
        <w:pStyle w:val="101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23.3.6配合招标采购单位答复投标供应商提出的质疑。</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24.评标内容的保密</w:t>
      </w:r>
      <w:r/>
    </w:p>
    <w:p>
      <w:pPr>
        <w:pStyle w:val="101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24.1公开开标后，直到宣布授予中标人合同为止，凡属于审查、澄清、评价和比较投标的所有资料，有关授予合同的信息都不应向投标人或与评标无关的其他人泄露。</w:t>
      </w:r>
      <w:r/>
    </w:p>
    <w:p>
      <w:pPr>
        <w:pStyle w:val="101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24.2 在投标文件的审查、澄清、评价和比较以及授予合同的过程中，投标人对招标采购单位和评标委员会成员施加影响的任何行为，都将取消其投标资格。</w:t>
      </w:r>
      <w:r/>
    </w:p>
    <w:p>
      <w:pPr>
        <w:pStyle w:val="1017"/>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24.3在评标期间，招标采购单位将通过指定联络人与投标人进行联系。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25.对投标文件初审</w:t>
      </w:r>
      <w:r/>
    </w:p>
    <w:p>
      <w:pPr>
        <w:pStyle w:val="1017"/>
        <w:ind w:firstLine="488"/>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25.1投标文件初审分为资格性检查和符合性检查。</w:t>
      </w:r>
      <w:r/>
    </w:p>
    <w:p>
      <w:pPr>
        <w:pStyle w:val="1017"/>
        <w:ind w:firstLine="488"/>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color w:val="000000" w:themeColor="text1"/>
          <w:sz w:val="24"/>
          <w:szCs w:val="24"/>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投标人有下列情况之一者，投标文件无效：</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1）投标人未在规定时间内成功解密电子投标文件的；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2）投标人未按照招标文件要求上传电子投标文件的；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3）投标文件未按照招标文件要求加盖电子签章；</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4）招标人的法定代表人授权代表，无法定代表人授权委托书的；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5）不具备招标文件中规定的资格要求或未按招标文件规定的要求提供资格、资信证明文件的；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6）被“信用中国”网站（www.creditchina.gov.cn）列入失信执行人、重大税收违法案件当事人名单、中国政府采购网</w:t>
      </w:r>
      <w:r>
        <w:rPr>
          <w:rFonts w:hint="eastAsia" w:cs="仿宋" w:asciiTheme="minorEastAsia" w:hAnsiTheme="minorEastAsia" w:eastAsiaTheme="minorEastAsia"/>
          <w:color w:val="000000" w:themeColor="text1"/>
          <w:sz w:val="24"/>
          <w:szCs w:val="24"/>
        </w:rPr>
        <w:t xml:space="preserve">(www.ccgp.gov.cn)</w:t>
      </w:r>
      <w:r>
        <w:rPr>
          <w:rFonts w:hint="eastAsia" w:cs="仿宋" w:asciiTheme="minorEastAsia" w:hAnsiTheme="minorEastAsia" w:eastAsiaTheme="minorEastAsia"/>
          <w:color w:val="000000" w:themeColor="text1"/>
          <w:sz w:val="24"/>
          <w:szCs w:val="24"/>
        </w:rPr>
        <w:t xml:space="preserve">政府采购严重违法失信行为记录名单的；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7）投标文件未按招标文件规定的内容和要求填写的；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8）投标文件中有招标文件未允许提供的选择性内容；</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9）不同投标人的投标文件由同一单位或者个人编制的；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10）不同投标人委托同一单位或者个人办理投标事宜的；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11）不同投标人的投标文件载明的项目管理成员为同一人的；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12）不同投标人的投标文件异常一致或者投标报价呈规律性差异的；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13）不同投标人的单位负责人为同一人或者存在直接控股、管理关系的；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14）项目（标段）投标总价或单价超过本项目（标段）预算或最高限价的；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15）提供虚假材料的（包括工商营业执照、财务报表、资格证明文件等）；</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16）投标文件含有采购人不能接受的附加条件的；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17）评标委员会认定投标人的报价明显低于其他通过符合性审查投标人的报价，有可能影响产品质量或者不能诚信履约，且投标人不能应评标委员会要</w:t>
      </w:r>
      <w:r>
        <w:rPr>
          <w:rFonts w:hint="eastAsia" w:cs="仿宋" w:asciiTheme="minorEastAsia" w:hAnsiTheme="minorEastAsia" w:eastAsiaTheme="minorEastAsia"/>
          <w:color w:val="000000" w:themeColor="text1"/>
          <w:sz w:val="24"/>
          <w:szCs w:val="24"/>
        </w:rPr>
        <w:t xml:space="preserve">求在合理的时间内提供书面说明（必要时评标委员会可要求投标人提交相关证明材料）证明其报价合理性的；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18）除单一来源采购项目外，为采购项目提供整体设计、规范编制或者项目管理、监理、检测等服务的；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19）投标文件内容不全或不符合招标文件中规定的其它实质性要求的；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20）法律法规和招标文件规定的其它无效情形；</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21）改变招标文件清单给出的名称、实施范围、工作内容、计量单位、工程量、养护标准等。</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25.5招标采购单位对投标文件的判定，只依据投标内容本身，不依靠开标后的任何外来证明。</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25.6招标采购单位将拒绝被确定为非实质性响应的投标，投标人不能通过修正或撤销不符之处而使其投标成为实质性响应的投标。</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26.投标的澄清</w:t>
      </w:r>
      <w:r/>
    </w:p>
    <w:p>
      <w:pPr>
        <w:pStyle w:val="101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26.1对投标文件中含义不明确</w:t>
      </w:r>
      <w:r>
        <w:rPr>
          <w:rFonts w:hint="eastAsia" w:cs="仿宋" w:asciiTheme="minorEastAsia" w:hAnsiTheme="minorEastAsia" w:eastAsiaTheme="minorEastAsia"/>
          <w:color w:val="000000" w:themeColor="text1"/>
          <w:szCs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27.废标</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27.1 在招标采购中，出现下列情形之一的，应予废标：</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1．符合专业条件的投标人或者对招标文件作出实质性响应的投标人不足三家；</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2．出现影响采购公正的违法、违规行为；</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3．投标人的报价均超过采购预算，采购人不能支付的；</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4．因重大变故，采购任务取消。</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5．因“江苏政府采购“苏采云”系统”系统重大故障原因无法继续开评标的。</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6.关于异常低价的审查</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6.1评审过程中出现下列情形之一的，评审委员会将启动异常低价投标（响应）审查程序：</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（1）投标（响应）报价低于采购项目预算50%的，即投标（响应）报价&lt;采购项目预算×50%；</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（2）投标（响应）报价低于采购项目最高限价45%的，即投标（响应）报价&lt;采购项目最高限价×45%；</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（3）评审委员会认定的供应商报价过低、有可能影响产品质量或者不能诚信履约的其他情形。</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28.投标文件的评价和比较</w:t>
      </w:r>
      <w:r/>
    </w:p>
    <w:p>
      <w:pPr>
        <w:pStyle w:val="1017"/>
        <w:ind w:firstLine="609"/>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28.1评标委员会按招标文件规定的评标方法和标准，对符合性检查合格的投标文件进行商务和技术评估，综合比较与评价。</w:t>
      </w:r>
      <w:r/>
    </w:p>
    <w:p>
      <w:pPr>
        <w:pStyle w:val="1017"/>
        <w:ind w:firstLine="609"/>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28.2最低的投标报价或最高的折扣比例是中标的重要条件，但不是唯一条件。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七、授予合同</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29.中标人的确认</w:t>
      </w:r>
      <w:r/>
    </w:p>
    <w:p>
      <w:pPr>
        <w:pStyle w:val="101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29.1评标委员会按招标文件规定的评标方法和标准进行详细评审后，按招标采购单位的委托向招标采购单位推荐中标候选单位或根据采购人授权直接确</w:t>
      </w:r>
      <w:r>
        <w:rPr>
          <w:rFonts w:hint="eastAsia" w:cs="仿宋" w:asciiTheme="minorEastAsia" w:hAnsiTheme="minorEastAsia" w:eastAsiaTheme="minorEastAsia"/>
          <w:color w:val="000000" w:themeColor="text1"/>
          <w:szCs w:val="24"/>
        </w:rPr>
        <w:t xml:space="preserve">定中标供应商。</w:t>
      </w:r>
      <w:r/>
    </w:p>
    <w:p>
      <w:pPr>
        <w:pStyle w:val="101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29.2中标无效的确认：</w:t>
      </w:r>
      <w:r/>
    </w:p>
    <w:p>
      <w:pPr>
        <w:pStyle w:val="101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（1）提供虚假材料谋取中标的；</w:t>
      </w:r>
      <w:r/>
    </w:p>
    <w:p>
      <w:pPr>
        <w:pStyle w:val="101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（2）采取不正当手段诋毁、排挤其他投标人的；</w:t>
      </w:r>
      <w:r/>
    </w:p>
    <w:p>
      <w:pPr>
        <w:pStyle w:val="101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（3）与招标采购单位、其他投标人恶意串通的；</w:t>
      </w:r>
      <w:r/>
    </w:p>
    <w:p>
      <w:pPr>
        <w:pStyle w:val="101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（4）向招标采购单位行贿或者提供其他不正当利益的；</w:t>
      </w:r>
      <w:r/>
    </w:p>
    <w:p>
      <w:pPr>
        <w:pStyle w:val="101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（5）在招标过程中与招标采购单位进行协商谈判、不按照招标文件和中标供应商的投标文件订立合同，或者与采购人另行订立背离合同实质性内容的协议的；</w:t>
      </w:r>
      <w:r/>
    </w:p>
    <w:p>
      <w:pPr>
        <w:pStyle w:val="101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（6）拒绝有关部门监督检查或者提供虚假情况的。</w:t>
      </w:r>
      <w:r/>
    </w:p>
    <w:p>
      <w:pPr>
        <w:pStyle w:val="101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1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29.3经评标委员</w:t>
      </w:r>
      <w:r>
        <w:rPr>
          <w:rFonts w:hint="eastAsia" w:cs="仿宋" w:asciiTheme="minorEastAsia" w:hAnsiTheme="minorEastAsia" w:eastAsiaTheme="minorEastAsia"/>
          <w:color w:val="000000" w:themeColor="text1"/>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29.4供应商应当在法定质疑期内一次性提出针对同一采购程序环节的质疑。供应商如在法定期限内对同一采购程序环节提出多次质疑的，招标人（或代理机构）将只对供应商第一次质疑作出答复。</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29.5质疑函必须按照《质疑函范本》要求的格式和内容进行填写。投标人如组成联合体参加的，则《质疑函范本》中要求签字、盖章、加盖公章之处，联合体各方均须按要求签字、盖章、加盖公章。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29.6本项目只接收以纸质原件形式送达的质疑，联系方式详见招标公告。</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29.7以下情形的质疑不予受理</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（1）质疑主体和内容不符合《政府采购质疑和投诉办法》第十一条、第十二条规定的；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（2）供应商超过法定质疑期提出质疑的；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（3）供应商以传真、电子邮件等方式递交的非原件形式的；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（4）供应商组成联合体参加投标（响应）的，联合体中任何一方或多方未按要求签字、盖章、加盖公章的；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（5）供应商对自身提出质疑的。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30.合同授予标准</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30.1招标采购单位将把合同授予其投标文件在实质上响应招标文件要求且综合评分得分最高的投标人。</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31.中标通知书</w:t>
      </w:r>
      <w:r/>
    </w:p>
    <w:p>
      <w:pPr>
        <w:pStyle w:val="101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1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31.2中标通知书将成为合同的组成部分。</w:t>
      </w:r>
      <w:r/>
    </w:p>
    <w:p>
      <w:pPr>
        <w:pStyle w:val="1017"/>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31.3招标采购单位对未中标供应商不承担解释未中标原因的义务。</w:t>
      </w:r>
      <w:r/>
    </w:p>
    <w:p>
      <w:pPr>
        <w:spacing w:line="360" w:lineRule="auto"/>
        <w:rPr>
          <w:rFonts w:hint="eastAsia" w:cs="仿宋" w:asciiTheme="minorEastAsia" w:hAnsiTheme="minorEastAsia" w:eastAsiaTheme="minorEastAsia"/>
          <w:b/>
          <w:color w:val="000000" w:themeColor="text1"/>
          <w:sz w:val="24"/>
          <w:szCs w:val="24"/>
        </w:rPr>
        <w:outlineLvl w:val="0"/>
      </w:pPr>
      <w:r>
        <w:rPr>
          <w:rFonts w:hint="eastAsia" w:cs="仿宋" w:asciiTheme="minorEastAsia" w:hAnsiTheme="minorEastAsia" w:eastAsiaTheme="minorEastAsia"/>
          <w:b/>
          <w:color w:val="000000" w:themeColor="text1"/>
          <w:sz w:val="24"/>
          <w:szCs w:val="24"/>
        </w:rPr>
        <w:t xml:space="preserve">32.履约保证金</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32.1中标人应按规定提交履约保证金。</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32.2中标人必须在合同签订前按规定将履约保证金交至采购人指定账户。中标人未按上述要求提交履约保证金</w:t>
      </w:r>
      <w:r>
        <w:rPr>
          <w:rFonts w:hint="eastAsia" w:cs="仿宋" w:asciiTheme="minorEastAsia" w:hAnsiTheme="minorEastAsia" w:eastAsiaTheme="minorEastAsia"/>
          <w:color w:val="000000" w:themeColor="text1"/>
          <w:szCs w:val="24"/>
        </w:rPr>
        <w:t xml:space="preserve">的,</w:t>
      </w:r>
      <w:r>
        <w:rPr>
          <w:rFonts w:hint="eastAsia" w:cs="仿宋" w:asciiTheme="minorEastAsia" w:hAnsiTheme="minorEastAsia" w:eastAsiaTheme="minorEastAsia"/>
          <w:color w:val="000000" w:themeColor="text1"/>
          <w:szCs w:val="24"/>
        </w:rPr>
        <w:t xml:space="preserve">采购人可取消其中标资格。</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32.3履约保证金（无息）将在合同期结束且经双方验收合格后，采购人凭中标人的收款收据在七个工作日内无息退返给中标单位。</w:t>
      </w:r>
      <w:r/>
    </w:p>
    <w:p>
      <w:pPr>
        <w:ind w:firstLine="478"/>
        <w:spacing w:line="360" w:lineRule="auto"/>
        <w:tabs>
          <w:tab w:val="left" w:pos="900"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32.3履约保证金用以约束供应商在合同履行中的行为，弥补合同执行中由于自身行为可能给采购人带来的各种损失。</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33.合同的签订</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33.1中标人应按中标通知书中规定的时间和地点，由法定代表人或委托代理人与采购人代表签订合同。</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33.2签订合同及合同条款应以招标文件和中标人的投标文件及其澄清文件为依据。</w:t>
      </w:r>
      <w:r/>
    </w:p>
    <w:p>
      <w:pPr>
        <w:ind w:firstLine="431"/>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34.特别提醒</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34.1投标单位如有提供不实评审材料，弄虚作假者，一律作废标处理，该不良行为将予以公示。</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1017"/>
        <w:ind w:firstLine="431"/>
        <w:jc w:val="both"/>
        <w:spacing w:line="360" w:lineRule="auto"/>
        <w:rPr>
          <w:rFonts w:hint="eastAsia" w:cs="仿宋" w:asciiTheme="minorEastAsia" w:hAnsiTheme="minorEastAsia" w:eastAsiaTheme="minorEastAsia"/>
          <w:color w:val="000000" w:themeColor="text1"/>
          <w:szCs w:val="24"/>
        </w:rPr>
      </w:pPr>
      <w:r/>
      <w:bookmarkStart w:id="36" w:name="_Toc409438818"/>
      <w:r>
        <w:rPr>
          <w:rFonts w:hint="eastAsia" w:cs="仿宋" w:asciiTheme="minorEastAsia" w:hAnsiTheme="minorEastAsia" w:eastAsiaTheme="minorEastAsia"/>
          <w:color w:val="000000" w:themeColor="text1"/>
          <w:szCs w:val="24"/>
        </w:rPr>
        <w:t xml:space="preserve">34.3政府采购线上合同信用融资功能告知提醒</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我区已正式启用“苏采云”系统，目前已全面开通政府采购线上合同信用融资（以下简称“政采贷”）功能。成交供应商可凭政府采购合同在中征平台发起贷款申请贷款。</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34.3.1.“政采贷”业务流程</w:t>
      </w:r>
      <w:r/>
    </w:p>
    <w:p>
      <w:pPr>
        <w:pStyle w:val="1017"/>
        <w:ind w:firstLine="431"/>
        <w:jc w:val="center"/>
        <w:spacing w:line="360" w:lineRule="auto"/>
        <w:rPr>
          <w:rFonts w:hint="eastAsia"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rPr>
        <mc:AlternateContent>
          <mc:Choice Requires="wpg">
            <w:drawing>
              <wp:inline xmlns:wp="http://schemas.openxmlformats.org/drawingml/2006/wordprocessingDrawing" distT="0" distB="0" distL="0" distR="0">
                <wp:extent cx="5141595" cy="1518285"/>
                <wp:effectExtent l="0" t="0" r="1905" b="5715"/>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r/>
                      </pic:nvPicPr>
                      <pic:blipFill>
                        <a:blip r:embed="rId17"/>
                        <a:stretch/>
                      </pic:blipFill>
                      <pic:spPr bwMode="auto">
                        <a:xfrm>
                          <a:off x="0" y="0"/>
                          <a:ext cx="5141595"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4.8pt;height:119.5pt;mso-wrap-distance-left:0.0pt;mso-wrap-distance-top:0.0pt;mso-wrap-distance-right:0.0pt;mso-wrap-distance-bottom:0.0pt;" stroked="f">
                <v:path textboxrect="0,0,0,0"/>
                <v:imagedata r:id="rId17" o:title=""/>
              </v:shape>
            </w:pict>
          </mc:Fallback>
        </mc:AlternateConten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34.3.2.操作流程</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34.3.3.常见问题</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Q1：哪些企业能申请“政采贷”？</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答：江苏省内采用国库集中支付的政府采购项目的中标供应商，可凭政府采购合同申请</w:t>
      </w:r>
      <w:r>
        <w:rPr>
          <w:rFonts w:hint="eastAsia" w:cs="仿宋" w:asciiTheme="minorEastAsia" w:hAnsiTheme="minorEastAsia" w:eastAsiaTheme="minorEastAsia"/>
          <w:color w:val="000000" w:themeColor="text1"/>
          <w:szCs w:val="24"/>
        </w:rPr>
        <w:t xml:space="preserve">"政</w:t>
      </w:r>
      <w:r>
        <w:rPr>
          <w:rFonts w:hint="eastAsia" w:cs="仿宋" w:asciiTheme="minorEastAsia" w:hAnsiTheme="minorEastAsia" w:eastAsiaTheme="minorEastAsia"/>
          <w:color w:val="000000" w:themeColor="text1"/>
          <w:szCs w:val="24"/>
        </w:rPr>
        <w:t xml:space="preserve">采</w:t>
      </w:r>
      <w:r>
        <w:rPr>
          <w:rFonts w:hint="eastAsia" w:cs="仿宋" w:asciiTheme="minorEastAsia" w:hAnsiTheme="minorEastAsia" w:eastAsiaTheme="minorEastAsia"/>
          <w:color w:val="000000" w:themeColor="text1"/>
          <w:szCs w:val="24"/>
        </w:rPr>
        <w:t xml:space="preserve">贷"。</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Q2：供应商在哪里申请“政采贷”？</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答：中标供应商在“中征应收账款融资服务平台”（简称“中征平台”）上向意向银行发起融资申请</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Q3：中标供应商要注意什么？</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答：中标供应商要加强和采购单位的沟通协调，尽早确定融资需求。需要“政采贷”融资的，政府采购合同付款账号应当空置。</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Q4：采购单位要做什么？</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Q5：“政采贷”融资失败怎么办？</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34.3.4.网址及联系方式</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政采贷：http://www.ccgp-jiangsu.gov.cn/jiangsu/paying.html</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中征平台：https://www.crcrfsp.com/</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联系人：翟先生           联系电话：0523-88816349</w:t>
      </w:r>
      <w:r/>
    </w:p>
    <w:p>
      <w:pPr>
        <w:pStyle w:val="1017"/>
        <w:numPr>
          <w:ilvl w:val="0"/>
          <w:numId w:val="3"/>
        </w:numPr>
        <w:ind w:firstLine="431"/>
        <w:jc w:val="both"/>
        <w:spacing w:line="360" w:lineRule="auto"/>
        <w:rPr>
          <w:rFonts w:hint="eastAsia" w:cs="仿宋" w:asciiTheme="minorEastAsia" w:hAnsiTheme="minorEastAsia" w:eastAsiaTheme="minorEastAsia"/>
          <w:b/>
          <w:color w:val="000000" w:themeColor="text1"/>
          <w:szCs w:val="24"/>
        </w:rPr>
      </w:pPr>
      <w:r>
        <w:rPr>
          <w:rFonts w:hint="eastAsia" w:cs="仿宋" w:asciiTheme="minorEastAsia" w:hAnsiTheme="minorEastAsia" w:eastAsiaTheme="minorEastAsia"/>
          <w:b/>
          <w:color w:val="000000" w:themeColor="text1"/>
          <w:szCs w:val="24"/>
        </w:rPr>
        <w:t xml:space="preserve">货物（包含与货物相关的服务）的追加</w:t>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Start w:id="37" w:name="_Toc388026586"/>
      <w:r/>
      <w:bookmarkEnd w:id="36"/>
      <w:r/>
      <w:r/>
    </w:p>
    <w:p>
      <w:pPr>
        <w:pStyle w:val="1017"/>
        <w:ind w:firstLine="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17"/>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17"/>
        <w:ind w:firstLine="0"/>
        <w:jc w:val="both"/>
        <w:spacing w:line="360" w:lineRule="auto"/>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r>
      <w:r/>
    </w:p>
    <w:p>
      <w:pPr>
        <w:pStyle w:val="1017"/>
        <w:numPr>
          <w:ilvl w:val="0"/>
          <w:numId w:val="4"/>
        </w:numPr>
        <w:ind w:firstLine="0"/>
        <w:jc w:val="center"/>
        <w:spacing w:line="360" w:lineRule="auto"/>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 采购</w:t>
      </w:r>
      <w:bookmarkEnd w:id="37"/>
      <w:r>
        <w:rPr>
          <w:rFonts w:hint="eastAsia" w:cs="仿宋" w:asciiTheme="minorEastAsia" w:hAnsiTheme="minorEastAsia" w:eastAsiaTheme="minorEastAsia"/>
          <w:b/>
          <w:color w:val="000000" w:themeColor="text1"/>
          <w:sz w:val="32"/>
          <w:szCs w:val="32"/>
        </w:rPr>
        <w:t xml:space="preserve">需求</w:t>
      </w:r>
      <w:r/>
    </w:p>
    <w:p>
      <w:pPr>
        <w:pStyle w:val="871"/>
        <w:ind w:left="720" w:firstLine="0"/>
        <w:jc w:val="left"/>
        <w:spacing w:line="360" w:lineRule="auto"/>
        <w:tabs>
          <w:tab w:val="left" w:pos="1260" w:leader="none"/>
        </w:tabs>
        <w:rPr>
          <w:rFonts w:hint="eastAsia" w:ascii="宋体" w:hAnsi="宋体" w:eastAsia="宋体"/>
          <w:b/>
          <w:sz w:val="28"/>
          <w:szCs w:val="28"/>
        </w:rPr>
      </w:pPr>
      <w:r/>
      <w:bookmarkStart w:id="38" w:name="_Toc388026588"/>
      <w:r/>
      <w:bookmarkStart w:id="39" w:name="_Toc409438821"/>
      <w:r>
        <w:rPr>
          <w:rFonts w:hint="eastAsia" w:ascii="宋体" w:hAnsi="宋体" w:eastAsia="宋体"/>
          <w:b/>
          <w:sz w:val="28"/>
          <w:szCs w:val="28"/>
        </w:rPr>
        <w:t xml:space="preserve">一</w:t>
      </w:r>
      <w:r>
        <w:rPr>
          <w:rFonts w:ascii="宋体" w:hAnsi="宋体" w:eastAsia="宋体"/>
          <w:b/>
          <w:sz w:val="28"/>
          <w:szCs w:val="28"/>
        </w:rPr>
        <w:t xml:space="preserve">、</w:t>
      </w:r>
      <w:r>
        <w:rPr>
          <w:rFonts w:hint="eastAsia" w:ascii="宋体" w:hAnsi="宋体" w:eastAsia="宋体"/>
          <w:b/>
          <w:sz w:val="28"/>
          <w:szCs w:val="28"/>
        </w:rPr>
        <w:t xml:space="preserve">采购需求</w:t>
      </w:r>
      <w:r/>
    </w:p>
    <w:tbl>
      <w:tblPr>
        <w:tblStyle w:val="1041"/>
        <w:tblW w:w="5125"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898"/>
        <w:gridCol w:w="4023"/>
        <w:gridCol w:w="1037"/>
        <w:gridCol w:w="2543"/>
      </w:tblGrid>
      <w:tr>
        <w:trPr>
          <w:jc w:val="center"/>
          <w:trHeight w:val="707"/>
        </w:trPr>
        <w:tc>
          <w:tcPr>
            <w:tcW w:w="528"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包号</w:t>
            </w:r>
            <w:r/>
          </w:p>
        </w:tc>
        <w:tc>
          <w:tcPr>
            <w:tcW w:w="236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货物名称</w:t>
            </w:r>
            <w:r/>
          </w:p>
        </w:tc>
        <w:tc>
          <w:tcPr>
            <w:tcW w:w="61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49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交货地点</w:t>
            </w:r>
            <w:r/>
          </w:p>
        </w:tc>
      </w:tr>
      <w:tr>
        <w:trPr>
          <w:jc w:val="center"/>
          <w:trHeight w:val="1093" w:hRule="exact"/>
        </w:trPr>
        <w:tc>
          <w:tcPr>
            <w:shd w:val="clear" w:color="auto" w:fill="ffffff"/>
            <w:tcW w:w="528" w:type="pct"/>
            <w:vAlign w:val="center"/>
            <w:textDirection w:val="lrTb"/>
            <w:noWrap w:val="false"/>
          </w:tcPr>
          <w:p>
            <w:pPr>
              <w:jc w:val="center"/>
              <w:spacing w:line="360" w:lineRule="auto"/>
              <w:rPr>
                <w:rFonts w:hint="eastAsia" w:ascii="宋体" w:hAnsi="宋体" w:eastAsia="宋体" w:cs="宋体"/>
                <w:sz w:val="24"/>
                <w:szCs w:val="24"/>
              </w:rPr>
            </w:pPr>
            <w:r/>
            <w:bookmarkStart w:id="40" w:name="_Hlk183174083"/>
            <w:r>
              <w:rPr>
                <w:rFonts w:hint="eastAsia" w:cs="仿宋" w:asciiTheme="minorEastAsia" w:hAnsiTheme="minorEastAsia" w:eastAsiaTheme="minorEastAsia"/>
                <w:color w:val="000000" w:themeColor="text1"/>
                <w:sz w:val="24"/>
                <w:szCs w:val="24"/>
              </w:rPr>
              <w:t xml:space="preserve">1</w:t>
            </w:r>
            <w:r/>
          </w:p>
        </w:tc>
        <w:tc>
          <w:tcPr>
            <w:shd w:val="clear" w:color="auto" w:fill="ffffff"/>
            <w:tcW w:w="2366" w:type="pct"/>
            <w:vAlign w:val="center"/>
            <w:textDirection w:val="lrTb"/>
            <w:noWrap w:val="false"/>
          </w:tcPr>
          <w:p>
            <w:pPr>
              <w:jc w:val="center"/>
              <w:spacing w:line="360" w:lineRule="auto"/>
              <w:rPr>
                <w:rFonts w:hint="eastAsia" w:ascii="宋体" w:hAnsi="宋体" w:eastAsia="宋体" w:cs="宋体"/>
                <w:sz w:val="24"/>
                <w:szCs w:val="24"/>
              </w:rPr>
            </w:pPr>
            <w:r>
              <w:rPr>
                <w:rFonts w:hint="eastAsia" w:cs="仿宋" w:asciiTheme="minorEastAsia" w:hAnsiTheme="minorEastAsia" w:eastAsiaTheme="minorEastAsia"/>
                <w:color w:val="000000" w:themeColor="text1"/>
                <w:sz w:val="24"/>
                <w:szCs w:val="24"/>
              </w:rPr>
              <w:t xml:space="preserve">4K腹腔镜摄像系统</w:t>
            </w:r>
            <w:r/>
          </w:p>
        </w:tc>
        <w:tc>
          <w:tcPr>
            <w:shd w:val="clear" w:color="auto" w:fill="ffffff"/>
            <w:tcW w:w="61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1套</w:t>
            </w:r>
            <w:r/>
          </w:p>
        </w:tc>
        <w:tc>
          <w:tcPr>
            <w:shd w:val="clear" w:color="auto" w:fill="ffffff"/>
            <w:tcW w:w="149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泰兴市中医院</w:t>
            </w:r>
            <w:r>
              <w:rPr>
                <w:rFonts w:hint="eastAsia" w:ascii="宋体" w:hAnsi="宋体" w:eastAsia="宋体" w:cs="宋体"/>
                <w:sz w:val="24"/>
                <w:szCs w:val="24"/>
              </w:rPr>
              <w:t xml:space="preserve">指定地点</w:t>
            </w:r>
            <w:bookmarkEnd w:id="40"/>
            <w:r/>
            <w:r/>
          </w:p>
        </w:tc>
      </w:tr>
    </w:tbl>
    <w:p>
      <w:pPr>
        <w:spacing w:line="360" w:lineRule="auto"/>
        <w:tabs>
          <w:tab w:val="left" w:pos="1260" w:leader="none"/>
        </w:tabs>
        <w:rPr>
          <w:rFonts w:hint="eastAsia" w:ascii="宋体" w:hAnsi="宋体" w:eastAsia="宋体"/>
          <w:b/>
          <w:sz w:val="24"/>
          <w:szCs w:val="24"/>
        </w:rPr>
      </w:pPr>
      <w:r>
        <w:rPr>
          <w:rFonts w:ascii="宋体" w:hAnsi="宋体" w:eastAsia="宋体"/>
          <w:b/>
          <w:sz w:val="24"/>
          <w:szCs w:val="24"/>
        </w:rPr>
        <w:br w:type="page" w:clear="all"/>
      </w:r>
      <w:r/>
    </w:p>
    <w:p>
      <w:pPr>
        <w:pStyle w:val="824"/>
        <w:spacing w:line="360" w:lineRule="auto"/>
        <w:rPr>
          <w:rFonts w:hint="eastAsia" w:asciiTheme="minorEastAsia" w:hAnsiTheme="minorEastAsia" w:eastAsiaTheme="minorEastAsia"/>
          <w:b/>
          <w:szCs w:val="28"/>
        </w:rPr>
      </w:pPr>
      <w:r>
        <w:rPr>
          <w:rFonts w:hint="eastAsia" w:asciiTheme="minorEastAsia" w:hAnsiTheme="minorEastAsia" w:eastAsiaTheme="minorEastAsia"/>
          <w:b/>
          <w:szCs w:val="28"/>
        </w:rPr>
        <w:t xml:space="preserve">二</w:t>
      </w:r>
      <w:r>
        <w:rPr>
          <w:rFonts w:asciiTheme="minorEastAsia" w:hAnsiTheme="minorEastAsia" w:eastAsiaTheme="minorEastAsia"/>
          <w:b/>
          <w:szCs w:val="28"/>
        </w:rPr>
        <w:t xml:space="preserve">、技术要求</w:t>
      </w:r>
      <w:r/>
    </w:p>
    <w:p>
      <w:pPr>
        <w:jc w:val="left"/>
        <w:spacing w:line="360" w:lineRule="auto"/>
        <w:tabs>
          <w:tab w:val="left" w:pos="1260" w:leader="none"/>
        </w:tabs>
        <w:rPr>
          <w:rFonts w:hint="eastAsia" w:ascii="宋体" w:hAnsi="宋体" w:eastAsia="宋体" w:cs="宋体"/>
          <w:b/>
          <w:bCs/>
          <w:sz w:val="24"/>
          <w:szCs w:val="24"/>
        </w:rPr>
      </w:pPr>
      <w:r/>
      <w:bookmarkStart w:id="41" w:name="_Hlk238136130"/>
      <w:r>
        <w:rPr>
          <w:rFonts w:hint="eastAsia" w:ascii="宋体" w:hAnsi="宋体" w:eastAsia="宋体" w:cs="宋体"/>
          <w:b/>
          <w:bCs/>
          <w:sz w:val="24"/>
          <w:szCs w:val="24"/>
        </w:rPr>
        <w:t xml:space="preserve">一、摄像主机（包含主机及摄像模块）</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1、▲主机模块化设计，可同时连接≥3种功能的模块，可搭载硬镜模块，电子软镜模块（包含可兼容同品牌复用电子软镜：电子输尿管镜、电子膀胱镜等）等，便于升级及售后服务（提供注册证证明材料）。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2、可处理3D和2D画面信号，兼容3D外视镜等腔镜，输出分辨率≥3840x2160，逐行扫描。可同时处理可见光波段及近红外波段。（提供材料证明）</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、摄像主机，冷光源，气腹机使用年限均不少于8年，提高设备经济效益；（须提供设备铭牌证明材料）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w:t>
      </w:r>
      <w:r>
        <w:rPr>
          <w:rFonts w:hint="eastAsia" w:ascii="宋体" w:hAnsi="宋体" w:eastAsia="宋体" w:cs="宋体"/>
          <w:sz w:val="24"/>
          <w:szCs w:val="24"/>
        </w:rPr>
        <w:t xml:space="preserve">▲</w:t>
      </w:r>
      <w:r>
        <w:rPr>
          <w:rFonts w:hint="eastAsia" w:ascii="宋体" w:hAnsi="宋体" w:eastAsia="宋体" w:cs="宋体"/>
          <w:sz w:val="24"/>
          <w:szCs w:val="24"/>
        </w:rPr>
        <w:t xml:space="preserve">主要部件：摄像主机，摄像头，镜头，冷光源，气腹机，导光束均为同一品牌，便于统一售后服务。（提供产品注册证作为证明材料）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t xml:space="preserve">、▲配备该机型可兼容同品牌可复用软镜，提高设备使用率（提供医疗器械注册证或说明书证明材料）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t xml:space="preserve">、▲主机兼容同品牌≥8种全高清硬式摄像头（须列出具体型号及产品说明书及注册证等证明材料）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t xml:space="preserve">、▲主机兼容≤5mm 3D镜（须提供产品彩页及注册证等证明材料）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t xml:space="preserve">、▲主机输出端口：主机信号输出端口：包括≥2个DP口，≥1个12G/3G-SDI,≥1个DVI口，可转出多路信号同时输出（须提供产品说明书及实物图等证明材料）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t xml:space="preserve">、主机支持≥3种荧光模式</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0</w:t>
      </w:r>
      <w:r>
        <w:rPr>
          <w:rFonts w:hint="eastAsia" w:ascii="宋体" w:hAnsi="宋体" w:eastAsia="宋体" w:cs="宋体"/>
          <w:sz w:val="24"/>
          <w:szCs w:val="24"/>
        </w:rPr>
        <w:t xml:space="preserve">、主机可实现同品牌单主机双镜联合，腹腔镜和电子输尿管软镜（非一次性）联合，纤维胆道镜和腹腔镜联合，宫腔镜和腹腔镜联合，两幅不同内镜图像在同一显示器分屏显示。（须提供产品说明书、注册证或原厂官方彩页等证明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1</w:t>
      </w:r>
      <w:r>
        <w:rPr>
          <w:rFonts w:hint="eastAsia" w:ascii="宋体" w:hAnsi="宋体" w:eastAsia="宋体" w:cs="宋体"/>
          <w:sz w:val="24"/>
          <w:szCs w:val="24"/>
        </w:rPr>
        <w:t xml:space="preserve">、主机≥5种影像增强功能，可根据手术需要，动态调节画面亮度，暗处增亮并降低反光；可实现图像色彩增益；≥2种腔镜光谱分析处理模式，可提高对血管及组织的辨识度（提供材料证明）</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2</w:t>
      </w:r>
      <w:r>
        <w:rPr>
          <w:rFonts w:hint="eastAsia" w:ascii="宋体" w:hAnsi="宋体" w:eastAsia="宋体" w:cs="宋体"/>
          <w:sz w:val="24"/>
          <w:szCs w:val="24"/>
        </w:rPr>
        <w:t xml:space="preserve">、▲主机可兼容同品牌3D外视镜，用于小创口显微手术（须提供产品说明书或彩页等证明材料）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3</w:t>
      </w:r>
      <w:r>
        <w:rPr>
          <w:rFonts w:hint="eastAsia" w:ascii="宋体" w:hAnsi="宋体" w:eastAsia="宋体" w:cs="宋体"/>
          <w:sz w:val="24"/>
          <w:szCs w:val="24"/>
        </w:rPr>
        <w:t xml:space="preserve">、▲主机具备“白平衡”实体按键，方便操控（须提供实物照片证明材料）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4</w:t>
      </w:r>
      <w:r>
        <w:rPr>
          <w:rFonts w:hint="eastAsia" w:ascii="宋体" w:hAnsi="宋体" w:eastAsia="宋体" w:cs="宋体"/>
          <w:sz w:val="24"/>
          <w:szCs w:val="24"/>
        </w:rPr>
        <w:t xml:space="preserve">、▲主机原装内置≥4个USB接口，可接移动硬盘，鼠标，键盘，打印机等外接设备使用（须提供产品说明书或实物图等证明材料）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5</w:t>
      </w:r>
      <w:r>
        <w:rPr>
          <w:rFonts w:hint="eastAsia" w:ascii="宋体" w:hAnsi="宋体" w:eastAsia="宋体" w:cs="宋体"/>
          <w:sz w:val="24"/>
          <w:szCs w:val="24"/>
        </w:rPr>
        <w:t xml:space="preserve">、主机集成原装内置图文工作站功能，可术中记录录像及图片，方便录像，转播，拓展及升级使用。（须提供产品说明书等证明材料）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6</w:t>
      </w:r>
      <w:r>
        <w:rPr>
          <w:rFonts w:hint="eastAsia" w:ascii="宋体" w:hAnsi="宋体" w:eastAsia="宋体" w:cs="宋体"/>
          <w:sz w:val="24"/>
          <w:szCs w:val="24"/>
        </w:rPr>
        <w:t xml:space="preserve">、▲主机兼容升级支持可视电子纵膈镜，可实现纵膈淋巴结活检切除，纵膈囊肿或肿瘤切除等微创手术，功能多样，可开展更多术式，提高使用率（提供注册证等作为证明材料）</w:t>
      </w:r>
      <w:r/>
    </w:p>
    <w:p>
      <w:pPr>
        <w:jc w:val="left"/>
        <w:spacing w:line="360" w:lineRule="auto"/>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rPr>
        <w:t xml:space="preserve">二、4K NIR摄像头</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1、采集像素：摄像头像素不小于3840 x 2160，逐行扫描，双CMOS设计，图像格式16：9（提供证明材料）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2、重量≤260g，握持轻便，支持低温等离子灭菌≥280次（提供证明材料）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3、可同时采集可见光波段及近红外波段，可实现ICG荧光与电子染色联合，实现双重染色（提供材料证明）</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4、具备集总控制功能，可实现通过摄像头按键控制气腹机，冷光源等（提供证明材料）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5、▲设计操作简捷，无AF按键，免调焦设计，在视觉中全部景深范围内均清晰呈现，保证手术流畅性。（提供证明材料）</w:t>
      </w:r>
      <w:r/>
    </w:p>
    <w:p>
      <w:pPr>
        <w:jc w:val="left"/>
        <w:spacing w:line="360" w:lineRule="auto"/>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rPr>
        <w:t xml:space="preserve">三、LED冷光源</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1、▲冷光源使用LED技术，白光和荧光均使用LED技术实现，无激光设计，最大程度上保证医务人员的使用安全（须提供经监管部门备案的说明书等证明材料）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2、▲LED灯泡，寿命≥30000小时。（无激光技术设计，提供证明材料）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3、安全等级: CF级I类防护，对电击防护程度高，漏电流控制严格，可用于心脏相关内窥镜手术。</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4、▲荧光和白光模式的切换方式≥3种（如摄像头、脚踏、键盘等），方便操控（须提供产品说明书和实物图连接图证明材料）</w:t>
      </w:r>
      <w:r/>
    </w:p>
    <w:p>
      <w:pPr>
        <w:jc w:val="left"/>
        <w:spacing w:line="360" w:lineRule="auto"/>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rPr>
        <w:t xml:space="preserve">四、40L气腹机</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1、气腹机有小儿模式和高流量模式，具有Auto模式，可自动调节光源亮度，最小流量为0.1升/分钟</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2、灌流速度最高达40L/min。压力调节</w:t>
      </w:r>
      <w:r>
        <w:rPr>
          <w:rFonts w:hint="eastAsia" w:ascii="宋体" w:hAnsi="宋体" w:eastAsia="宋体" w:cs="宋体"/>
          <w:sz w:val="24"/>
          <w:szCs w:val="24"/>
        </w:rPr>
        <w:t xml:space="preserve">范围:</w:t>
      </w:r>
      <w:r>
        <w:rPr>
          <w:rFonts w:hint="eastAsia" w:ascii="宋体" w:hAnsi="宋体" w:eastAsia="宋体" w:cs="宋体"/>
          <w:sz w:val="24"/>
          <w:szCs w:val="24"/>
        </w:rPr>
        <w:t xml:space="preserve">1-30mmHg；流速调节</w:t>
      </w:r>
      <w:r>
        <w:rPr>
          <w:rFonts w:hint="eastAsia" w:ascii="宋体" w:hAnsi="宋体" w:eastAsia="宋体" w:cs="宋体"/>
          <w:sz w:val="24"/>
          <w:szCs w:val="24"/>
        </w:rPr>
        <w:t xml:space="preserve">范围:</w:t>
      </w:r>
      <w:r>
        <w:rPr>
          <w:rFonts w:hint="eastAsia" w:ascii="宋体" w:hAnsi="宋体" w:eastAsia="宋体" w:cs="宋体"/>
          <w:sz w:val="24"/>
          <w:szCs w:val="24"/>
        </w:rPr>
        <w:t xml:space="preserve">1-40L/min</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3、▲电器安全要求为等级CF级，使用安全可靠，可用于佩戴心脏起搏器的患者；集成SCB</w:t>
      </w:r>
      <w:r>
        <w:rPr>
          <w:rFonts w:hint="eastAsia" w:ascii="宋体" w:hAnsi="宋体" w:eastAsia="宋体" w:cs="宋体"/>
          <w:sz w:val="24"/>
          <w:szCs w:val="24"/>
        </w:rPr>
        <w:t xml:space="preserve">功能，可通过摄像头控制（提供证明材料）。</w:t>
      </w:r>
      <w:r/>
    </w:p>
    <w:p>
      <w:pPr>
        <w:jc w:val="left"/>
        <w:spacing w:line="360" w:lineRule="auto"/>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rPr>
        <w:t xml:space="preserve">五、纤维导光束</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1、纤维导光束，直径4.8mm，高耐热型，能够高温高压消毒及过氧化氢低温等离子体灭菌。</w:t>
      </w:r>
      <w:r/>
    </w:p>
    <w:p>
      <w:pPr>
        <w:jc w:val="left"/>
        <w:spacing w:line="360" w:lineRule="auto"/>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rPr>
        <w:t xml:space="preserve">六、4K医用监视器</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1、32英寸，分辨率:3840x2160。</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2、信号输入\输出方式不少于:3G-SDI、HD-DVI、DV、BNC、S-Video、RGB、模拟信号等多规格</w:t>
      </w:r>
      <w:r>
        <w:rPr>
          <w:rFonts w:hint="eastAsia" w:ascii="宋体" w:hAnsi="宋体" w:eastAsia="宋体" w:cs="宋体"/>
          <w:sz w:val="24"/>
          <w:szCs w:val="24"/>
        </w:rPr>
        <w:t xml:space="preserve">标准的图像输入输出接口。</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3、4K专业显示器，尺寸≥32英寸，分辨率≥3840x2160，最大亮度≥850cd/㎡，对比度≥1500:1，可视角度≥178°</w:t>
      </w:r>
      <w:r>
        <w:rPr>
          <w:rFonts w:hint="eastAsia" w:ascii="宋体" w:hAnsi="宋体" w:eastAsia="宋体" w:cs="宋体"/>
          <w:sz w:val="24"/>
          <w:szCs w:val="24"/>
        </w:rPr>
        <w:t xml:space="preserve">。</w:t>
      </w:r>
      <w:r/>
    </w:p>
    <w:p>
      <w:pPr>
        <w:jc w:val="left"/>
        <w:spacing w:line="360" w:lineRule="auto"/>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rPr>
        <w:t xml:space="preserve">七、4K荧光镜头</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1、30°内窥镜，清晰度高，色彩真实。</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2、视场中心角分辨力2.0C/</w:t>
      </w:r>
      <w:r>
        <w:rPr>
          <w:rFonts w:hint="eastAsia" w:ascii="宋体" w:hAnsi="宋体" w:eastAsia="宋体" w:cs="宋体"/>
          <w:sz w:val="24"/>
          <w:szCs w:val="24"/>
        </w:rPr>
        <w:t xml:space="preserve">(°)</w:t>
      </w:r>
      <w:r>
        <w:rPr>
          <w:rFonts w:hint="eastAsia" w:ascii="宋体" w:hAnsi="宋体" w:eastAsia="宋体" w:cs="宋体"/>
          <w:sz w:val="24"/>
          <w:szCs w:val="24"/>
        </w:rPr>
        <w:t xml:space="preserve">±10%。</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3、分辨率9.36Lp/mm，清晰度高</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4、有效景深范围3㎜-150㎜，避免反复移动镜头</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5、▲可高温高压消毒、低温等离子消毒。设备坚实耐用，可支持≥1000个高温高压灭菌循环。（提供说明书证明材料）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6、在A标准照明体下和D65标准照明体下的显色指数Ra≥85，图像画质真实，不失真。</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7、综合边缘光效</w:t>
      </w:r>
      <w:r>
        <w:rPr>
          <w:rFonts w:hint="eastAsia" w:ascii="宋体" w:hAnsi="宋体" w:eastAsia="宋体" w:cs="宋体"/>
          <w:sz w:val="24"/>
          <w:szCs w:val="24"/>
        </w:rPr>
        <w:t xml:space="preserve">SLe</w:t>
      </w:r>
      <w:r>
        <w:rPr>
          <w:rFonts w:hint="eastAsia" w:ascii="宋体" w:hAnsi="宋体" w:eastAsia="宋体" w:cs="宋体"/>
          <w:sz w:val="24"/>
          <w:szCs w:val="24"/>
        </w:rPr>
        <w:t xml:space="preserve">-Z≥0.086，透光性好，亮度高。</w:t>
      </w:r>
      <w:r/>
    </w:p>
    <w:p>
      <w:pPr>
        <w:pStyle w:val="824"/>
      </w:pPr>
      <w:r/>
      <w:r/>
    </w:p>
    <w:p>
      <w:pPr>
        <w:jc w:val="left"/>
        <w:spacing w:line="360" w:lineRule="auto"/>
        <w:tabs>
          <w:tab w:val="left" w:pos="1260" w:leader="none"/>
        </w:tabs>
        <w:rPr>
          <w:rFonts w:hint="eastAsia" w:ascii="宋体" w:hAnsi="宋体" w:eastAsia="宋体" w:cs="宋体"/>
          <w:b/>
          <w:bCs/>
          <w:sz w:val="24"/>
          <w:szCs w:val="24"/>
        </w:rPr>
      </w:pPr>
      <w:r>
        <w:rPr>
          <w:rFonts w:ascii="宋体" w:hAnsi="宋体" w:eastAsia="宋体" w:cs="宋体"/>
          <w:b/>
          <w:bCs/>
          <w:sz w:val="24"/>
          <w:szCs w:val="24"/>
        </w:rPr>
        <w:br w:type="page" w:clear="all"/>
      </w:r>
      <w:bookmarkEnd w:id="41"/>
      <w:r/>
      <w:r/>
    </w:p>
    <w:p>
      <w:pPr>
        <w:jc w:val="left"/>
        <w:spacing w:line="360" w:lineRule="auto"/>
        <w:tabs>
          <w:tab w:val="left" w:pos="1260" w:leader="none"/>
        </w:tabs>
        <w:rPr>
          <w:rFonts w:hint="eastAsia" w:ascii="宋体" w:hAnsi="宋体" w:eastAsia="宋体" w:cs="宋体"/>
          <w:b/>
          <w:bCs/>
          <w:sz w:val="28"/>
          <w:szCs w:val="28"/>
        </w:rPr>
      </w:pPr>
      <w:r>
        <w:rPr>
          <w:rFonts w:hint="eastAsia" w:ascii="宋体" w:hAnsi="宋体" w:eastAsia="宋体" w:cs="宋体"/>
          <w:b/>
          <w:bCs/>
          <w:sz w:val="28"/>
          <w:szCs w:val="28"/>
        </w:rPr>
        <w:t xml:space="preserve">配置清单</w:t>
      </w:r>
      <w:r/>
    </w:p>
    <w:tbl>
      <w:tblPr>
        <w:tblW w:w="5000" w:type="pct"/>
        <w:jc w:val="center"/>
        <w:tblLook w:val="0000" w:firstRow="0" w:lastRow="0" w:firstColumn="0" w:lastColumn="0" w:noHBand="0" w:noVBand="0"/>
      </w:tblPr>
      <w:tblGrid>
        <w:gridCol w:w="1510"/>
        <w:gridCol w:w="5120"/>
        <w:gridCol w:w="1660"/>
      </w:tblGrid>
      <w:tr>
        <w:trPr>
          <w:jc w:val="center"/>
          <w:trHeight w:val="567" w:hRule="exact"/>
        </w:trPr>
        <w:tc>
          <w:tcPr>
            <w:tcBorders>
              <w:top w:val="single" w:color="auto" w:sz="4" w:space="0"/>
              <w:left w:val="single" w:color="auto" w:sz="4" w:space="0"/>
              <w:bottom w:val="single" w:color="auto" w:sz="4" w:space="0"/>
              <w:right w:val="single" w:color="auto" w:sz="4" w:space="0"/>
            </w:tcBorders>
            <w:tcW w:w="911" w:type="pct"/>
            <w:vAlign w:val="center"/>
            <w:textDirection w:val="lrTb"/>
            <w:noWrap w:val="false"/>
          </w:tcPr>
          <w:p>
            <w:pPr>
              <w:jc w:val="center"/>
              <w:rPr>
                <w:rFonts w:hint="eastAsia" w:ascii="宋体" w:hAnsi="宋体" w:eastAsia="宋体"/>
                <w:b/>
                <w:bCs/>
                <w:sz w:val="24"/>
                <w:szCs w:val="24"/>
              </w:rPr>
            </w:pPr>
            <w:r>
              <w:rPr>
                <w:rFonts w:hint="eastAsia" w:ascii="宋体" w:hAnsi="宋体" w:eastAsia="宋体"/>
                <w:b/>
                <w:bCs/>
                <w:sz w:val="24"/>
                <w:szCs w:val="24"/>
              </w:rPr>
              <w:t xml:space="preserve">序号</w:t>
            </w:r>
            <w:r/>
          </w:p>
        </w:tc>
        <w:tc>
          <w:tcPr>
            <w:tcBorders>
              <w:top w:val="single" w:color="auto" w:sz="4" w:space="0"/>
              <w:left w:val="none" w:color="000000" w:sz="4" w:space="0"/>
              <w:bottom w:val="single" w:color="auto" w:sz="4" w:space="0"/>
              <w:right w:val="single" w:color="auto" w:sz="4" w:space="0"/>
            </w:tcBorders>
            <w:tcW w:w="3088" w:type="pct"/>
            <w:vAlign w:val="center"/>
            <w:textDirection w:val="lrTb"/>
            <w:noWrap w:val="false"/>
          </w:tcPr>
          <w:p>
            <w:pPr>
              <w:jc w:val="center"/>
              <w:rPr>
                <w:rFonts w:hint="eastAsia" w:ascii="宋体" w:hAnsi="宋体" w:eastAsia="宋体"/>
                <w:b/>
                <w:bCs/>
                <w:sz w:val="24"/>
                <w:szCs w:val="24"/>
              </w:rPr>
            </w:pPr>
            <w:r>
              <w:rPr>
                <w:rFonts w:hint="eastAsia" w:ascii="宋体" w:hAnsi="宋体" w:eastAsia="宋体"/>
                <w:b/>
                <w:bCs/>
                <w:sz w:val="24"/>
                <w:szCs w:val="24"/>
              </w:rPr>
              <w:t xml:space="preserve">产品名称描述</w:t>
            </w:r>
            <w:r/>
          </w:p>
        </w:tc>
        <w:tc>
          <w:tcPr>
            <w:tcBorders>
              <w:top w:val="single" w:color="auto" w:sz="4" w:space="0"/>
              <w:left w:val="none" w:color="000000" w:sz="4" w:space="0"/>
              <w:bottom w:val="single" w:color="auto" w:sz="4" w:space="0"/>
              <w:right w:val="single" w:color="auto" w:sz="4" w:space="0"/>
            </w:tcBorders>
            <w:tcW w:w="1001" w:type="pct"/>
            <w:vAlign w:val="center"/>
            <w:textDirection w:val="lrTb"/>
            <w:noWrap w:val="false"/>
          </w:tcPr>
          <w:p>
            <w:pPr>
              <w:jc w:val="center"/>
              <w:rPr>
                <w:rFonts w:hint="eastAsia" w:ascii="宋体" w:hAnsi="宋体" w:eastAsia="宋体"/>
                <w:b/>
                <w:bCs/>
                <w:sz w:val="24"/>
                <w:szCs w:val="24"/>
              </w:rPr>
            </w:pPr>
            <w:r>
              <w:rPr>
                <w:rFonts w:hint="eastAsia" w:ascii="宋体" w:hAnsi="宋体" w:eastAsia="宋体"/>
                <w:b/>
                <w:bCs/>
                <w:sz w:val="24"/>
                <w:szCs w:val="24"/>
              </w:rPr>
              <w:t xml:space="preserve">数量</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911" w:type="pct"/>
            <w:vAlign w:val="center"/>
            <w:textDirection w:val="lrTb"/>
            <w:noWrap w:val="false"/>
          </w:tcPr>
          <w:p>
            <w:pPr>
              <w:jc w:val="center"/>
              <w:rPr>
                <w:rFonts w:hint="eastAsia" w:ascii="宋体" w:hAnsi="宋体" w:eastAsia="宋体"/>
                <w:sz w:val="24"/>
                <w:szCs w:val="24"/>
              </w:rPr>
            </w:pPr>
            <w:r/>
            <w:bookmarkStart w:id="42" w:name="_Hlk107492633"/>
            <w:r>
              <w:rPr>
                <w:rFonts w:hint="eastAsia" w:ascii="宋体" w:hAnsi="宋体" w:eastAsia="宋体"/>
                <w:sz w:val="24"/>
                <w:szCs w:val="24"/>
              </w:rPr>
              <w:t xml:space="preserve">1</w:t>
            </w:r>
            <w:r/>
          </w:p>
        </w:tc>
        <w:tc>
          <w:tcPr>
            <w:tcBorders>
              <w:top w:val="single" w:color="auto" w:sz="4" w:space="0"/>
              <w:left w:val="none" w:color="000000" w:sz="4" w:space="0"/>
              <w:bottom w:val="single" w:color="auto" w:sz="4" w:space="0"/>
              <w:right w:val="single" w:color="auto" w:sz="4" w:space="0"/>
            </w:tcBorders>
            <w:tcW w:w="3088"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主机（平台）</w:t>
            </w:r>
            <w:r/>
          </w:p>
        </w:tc>
        <w:tc>
          <w:tcPr>
            <w:tcBorders>
              <w:top w:val="single" w:color="auto" w:sz="4" w:space="0"/>
              <w:left w:val="none" w:color="000000" w:sz="4" w:space="0"/>
              <w:bottom w:val="single" w:color="auto" w:sz="4" w:space="0"/>
              <w:right w:val="single" w:color="auto" w:sz="4" w:space="0"/>
            </w:tcBorders>
            <w:tcW w:w="1001" w:type="pct"/>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1</w:t>
            </w:r>
            <w:r/>
          </w:p>
        </w:tc>
      </w:tr>
      <w:tr>
        <w:trPr>
          <w:jc w:val="center"/>
          <w:trHeight w:val="567" w:hRule="exact"/>
        </w:trPr>
        <w:tc>
          <w:tcPr>
            <w:tcBorders>
              <w:top w:val="none" w:color="000000" w:sz="4" w:space="0"/>
              <w:left w:val="single" w:color="auto" w:sz="4" w:space="0"/>
              <w:bottom w:val="single" w:color="auto" w:sz="4" w:space="0"/>
              <w:right w:val="single" w:color="auto" w:sz="4" w:space="0"/>
            </w:tcBorders>
            <w:tcW w:w="911"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2</w:t>
            </w:r>
            <w:r/>
          </w:p>
        </w:tc>
        <w:tc>
          <w:tcPr>
            <w:tcBorders>
              <w:top w:val="none" w:color="000000" w:sz="4" w:space="0"/>
              <w:left w:val="none" w:color="000000" w:sz="4" w:space="0"/>
              <w:bottom w:val="single" w:color="auto" w:sz="4" w:space="0"/>
              <w:right w:val="single" w:color="auto" w:sz="4" w:space="0"/>
            </w:tcBorders>
            <w:tcW w:w="3088"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影像模块</w:t>
            </w:r>
            <w:r/>
          </w:p>
        </w:tc>
        <w:tc>
          <w:tcPr>
            <w:tcBorders>
              <w:top w:val="none" w:color="000000" w:sz="4" w:space="0"/>
              <w:left w:val="none" w:color="000000" w:sz="4" w:space="0"/>
              <w:bottom w:val="single" w:color="auto" w:sz="4" w:space="0"/>
              <w:right w:val="single" w:color="auto" w:sz="4" w:space="0"/>
            </w:tcBorders>
            <w:tcW w:w="1001" w:type="pct"/>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1</w:t>
            </w:r>
            <w:r/>
          </w:p>
        </w:tc>
      </w:tr>
      <w:tr>
        <w:trPr>
          <w:jc w:val="center"/>
          <w:trHeight w:val="567" w:hRule="exact"/>
        </w:trPr>
        <w:tc>
          <w:tcPr>
            <w:tcBorders>
              <w:top w:val="none" w:color="000000" w:sz="4" w:space="0"/>
              <w:left w:val="single" w:color="auto" w:sz="4" w:space="0"/>
              <w:bottom w:val="single" w:color="auto" w:sz="4" w:space="0"/>
              <w:right w:val="single" w:color="auto" w:sz="4" w:space="0"/>
            </w:tcBorders>
            <w:tcW w:w="911"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3</w:t>
            </w:r>
            <w:r/>
          </w:p>
        </w:tc>
        <w:tc>
          <w:tcPr>
            <w:tcBorders>
              <w:top w:val="none" w:color="000000" w:sz="4" w:space="0"/>
              <w:left w:val="none" w:color="000000" w:sz="4" w:space="0"/>
              <w:bottom w:val="single" w:color="auto" w:sz="4" w:space="0"/>
              <w:right w:val="single" w:color="auto" w:sz="4" w:space="0"/>
            </w:tcBorders>
            <w:tcW w:w="3088"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4K摄像头</w:t>
            </w:r>
            <w:r/>
          </w:p>
        </w:tc>
        <w:tc>
          <w:tcPr>
            <w:tcBorders>
              <w:top w:val="none" w:color="000000" w:sz="4" w:space="0"/>
              <w:left w:val="none" w:color="000000" w:sz="4" w:space="0"/>
              <w:bottom w:val="single" w:color="auto" w:sz="4" w:space="0"/>
              <w:right w:val="single" w:color="auto" w:sz="4" w:space="0"/>
            </w:tcBorders>
            <w:tcW w:w="1001" w:type="pct"/>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1</w:t>
            </w:r>
            <w:r/>
          </w:p>
        </w:tc>
      </w:tr>
      <w:tr>
        <w:trPr>
          <w:jc w:val="center"/>
          <w:trHeight w:val="567" w:hRule="exact"/>
        </w:trPr>
        <w:tc>
          <w:tcPr>
            <w:tcBorders>
              <w:top w:val="none" w:color="000000" w:sz="4" w:space="0"/>
              <w:left w:val="single" w:color="auto" w:sz="4" w:space="0"/>
              <w:bottom w:val="single" w:color="auto" w:sz="4" w:space="0"/>
              <w:right w:val="single" w:color="auto" w:sz="4" w:space="0"/>
            </w:tcBorders>
            <w:tcW w:w="911" w:type="pct"/>
            <w:vAlign w:val="center"/>
            <w:textDirection w:val="lrTb"/>
            <w:noWrap w:val="false"/>
          </w:tcPr>
          <w:p>
            <w:pPr>
              <w:jc w:val="center"/>
              <w:rPr>
                <w:rFonts w:hint="eastAsia" w:ascii="宋体" w:hAnsi="宋体" w:eastAsia="宋体"/>
                <w:sz w:val="24"/>
                <w:szCs w:val="24"/>
              </w:rPr>
            </w:pPr>
            <w:r/>
            <w:bookmarkStart w:id="43" w:name="_Hlk107493043"/>
            <w:r>
              <w:rPr>
                <w:rFonts w:hint="eastAsia" w:ascii="宋体" w:hAnsi="宋体" w:eastAsia="宋体"/>
                <w:sz w:val="24"/>
                <w:szCs w:val="24"/>
              </w:rPr>
              <w:t xml:space="preserve">4</w:t>
            </w:r>
            <w:r/>
          </w:p>
        </w:tc>
        <w:tc>
          <w:tcPr>
            <w:tcBorders>
              <w:top w:val="none" w:color="000000" w:sz="4" w:space="0"/>
              <w:left w:val="none" w:color="000000" w:sz="4" w:space="0"/>
              <w:bottom w:val="single" w:color="auto" w:sz="4" w:space="0"/>
              <w:right w:val="single" w:color="auto" w:sz="4" w:space="0"/>
            </w:tcBorders>
            <w:tcW w:w="3088"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内窥镜消毒盒</w:t>
            </w:r>
            <w:r/>
          </w:p>
        </w:tc>
        <w:tc>
          <w:tcPr>
            <w:tcBorders>
              <w:top w:val="none" w:color="000000" w:sz="4" w:space="0"/>
              <w:left w:val="none" w:color="000000" w:sz="4" w:space="0"/>
              <w:bottom w:val="single" w:color="auto" w:sz="4" w:space="0"/>
              <w:right w:val="single" w:color="auto" w:sz="4" w:space="0"/>
            </w:tcBorders>
            <w:tcW w:w="1001"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w:t>
            </w:r>
            <w:r/>
          </w:p>
        </w:tc>
      </w:tr>
      <w:tr>
        <w:trPr>
          <w:jc w:val="center"/>
          <w:trHeight w:val="567" w:hRule="exact"/>
        </w:trPr>
        <w:tc>
          <w:tcPr>
            <w:tcBorders>
              <w:top w:val="none" w:color="000000" w:sz="4" w:space="0"/>
              <w:left w:val="single" w:color="auto" w:sz="4" w:space="0"/>
              <w:bottom w:val="single" w:color="auto" w:sz="4" w:space="0"/>
              <w:right w:val="single" w:color="auto" w:sz="4" w:space="0"/>
            </w:tcBorders>
            <w:tcW w:w="911"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5</w:t>
            </w:r>
            <w:r/>
          </w:p>
        </w:tc>
        <w:tc>
          <w:tcPr>
            <w:tcBorders>
              <w:top w:val="none" w:color="000000" w:sz="4" w:space="0"/>
              <w:left w:val="none" w:color="000000" w:sz="4" w:space="0"/>
              <w:bottom w:val="single" w:color="auto" w:sz="4" w:space="0"/>
              <w:right w:val="single" w:color="auto" w:sz="4" w:space="0"/>
            </w:tcBorders>
            <w:tcW w:w="3088" w:type="pct"/>
            <w:vAlign w:val="center"/>
            <w:textDirection w:val="lrTb"/>
            <w:noWrap w:val="false"/>
          </w:tcPr>
          <w:p>
            <w:pPr>
              <w:jc w:val="center"/>
              <w:rPr>
                <w:rFonts w:hint="eastAsia" w:ascii="宋体" w:hAnsi="宋体" w:eastAsia="宋体"/>
                <w:sz w:val="24"/>
                <w:szCs w:val="24"/>
              </w:rPr>
            </w:pPr>
            <w:r/>
            <w:bookmarkStart w:id="44" w:name="_Hlk111031966"/>
            <w:r/>
            <w:bookmarkStart w:id="45" w:name="_Hlk110930594"/>
            <w:r>
              <w:rPr>
                <w:rFonts w:hint="eastAsia" w:ascii="宋体" w:hAnsi="宋体" w:eastAsia="宋体"/>
                <w:sz w:val="24"/>
                <w:szCs w:val="24"/>
              </w:rPr>
              <w:t xml:space="preserve">30° 4K荧光</w:t>
            </w:r>
            <w:bookmarkEnd w:id="44"/>
            <w:r>
              <w:rPr>
                <w:rFonts w:hint="eastAsia" w:ascii="宋体" w:hAnsi="宋体" w:eastAsia="宋体"/>
                <w:sz w:val="24"/>
                <w:szCs w:val="24"/>
              </w:rPr>
              <w:t xml:space="preserve">镜头</w:t>
            </w:r>
            <w:bookmarkEnd w:id="45"/>
            <w:r/>
            <w:r/>
          </w:p>
        </w:tc>
        <w:tc>
          <w:tcPr>
            <w:tcBorders>
              <w:top w:val="none" w:color="000000" w:sz="4" w:space="0"/>
              <w:left w:val="none" w:color="000000" w:sz="4" w:space="0"/>
              <w:bottom w:val="single" w:color="auto" w:sz="4" w:space="0"/>
              <w:right w:val="single" w:color="auto" w:sz="4" w:space="0"/>
            </w:tcBorders>
            <w:tcW w:w="1001"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w:t>
            </w:r>
            <w:r/>
          </w:p>
        </w:tc>
      </w:tr>
      <w:tr>
        <w:trPr>
          <w:jc w:val="center"/>
          <w:trHeight w:val="567" w:hRule="exact"/>
        </w:trPr>
        <w:tc>
          <w:tcPr>
            <w:tcBorders>
              <w:top w:val="none" w:color="000000" w:sz="4" w:space="0"/>
              <w:left w:val="single" w:color="auto" w:sz="4" w:space="0"/>
              <w:bottom w:val="single" w:color="auto" w:sz="4" w:space="0"/>
              <w:right w:val="single" w:color="auto" w:sz="4" w:space="0"/>
            </w:tcBorders>
            <w:tcW w:w="911"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6</w:t>
            </w:r>
            <w:r/>
          </w:p>
        </w:tc>
        <w:tc>
          <w:tcPr>
            <w:tcBorders>
              <w:top w:val="none" w:color="000000" w:sz="4" w:space="0"/>
              <w:left w:val="none" w:color="000000" w:sz="4" w:space="0"/>
              <w:bottom w:val="single" w:color="auto" w:sz="4" w:space="0"/>
              <w:right w:val="single" w:color="auto" w:sz="4" w:space="0"/>
            </w:tcBorders>
            <w:tcW w:w="3088"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导光束，直径不小于4.8mm</w:t>
            </w:r>
            <w:r/>
          </w:p>
        </w:tc>
        <w:tc>
          <w:tcPr>
            <w:tcBorders>
              <w:top w:val="none" w:color="000000" w:sz="4" w:space="0"/>
              <w:left w:val="none" w:color="000000" w:sz="4" w:space="0"/>
              <w:bottom w:val="single" w:color="auto" w:sz="4" w:space="0"/>
              <w:right w:val="single" w:color="auto" w:sz="4" w:space="0"/>
            </w:tcBorders>
            <w:tcW w:w="1001"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w:t>
            </w:r>
            <w:r/>
          </w:p>
        </w:tc>
      </w:tr>
      <w:tr>
        <w:trPr>
          <w:jc w:val="center"/>
          <w:trHeight w:val="567" w:hRule="exact"/>
        </w:trPr>
        <w:tc>
          <w:tcPr>
            <w:tcBorders>
              <w:top w:val="none" w:color="000000" w:sz="4" w:space="0"/>
              <w:left w:val="single" w:color="auto" w:sz="4" w:space="0"/>
              <w:bottom w:val="single" w:color="auto" w:sz="4" w:space="0"/>
              <w:right w:val="single" w:color="auto" w:sz="4" w:space="0"/>
            </w:tcBorders>
            <w:tcW w:w="911"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7</w:t>
            </w:r>
            <w:r/>
          </w:p>
        </w:tc>
        <w:tc>
          <w:tcPr>
            <w:tcBorders>
              <w:top w:val="none" w:color="000000" w:sz="4" w:space="0"/>
              <w:left w:val="none" w:color="000000" w:sz="4" w:space="0"/>
              <w:bottom w:val="single" w:color="auto" w:sz="4" w:space="0"/>
              <w:right w:val="single" w:color="auto" w:sz="4" w:space="0"/>
            </w:tcBorders>
            <w:tcW w:w="3088"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LED 冷光源</w:t>
            </w:r>
            <w:r/>
          </w:p>
        </w:tc>
        <w:tc>
          <w:tcPr>
            <w:tcBorders>
              <w:top w:val="none" w:color="000000" w:sz="4" w:space="0"/>
              <w:left w:val="none" w:color="000000" w:sz="4" w:space="0"/>
              <w:bottom w:val="single" w:color="auto" w:sz="4" w:space="0"/>
              <w:right w:val="single" w:color="auto" w:sz="4" w:space="0"/>
            </w:tcBorders>
            <w:tcW w:w="1001" w:type="pct"/>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1</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911"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8</w:t>
            </w:r>
            <w:r/>
          </w:p>
        </w:tc>
        <w:tc>
          <w:tcPr>
            <w:tcBorders>
              <w:top w:val="single" w:color="auto" w:sz="4" w:space="0"/>
              <w:left w:val="none" w:color="000000" w:sz="4" w:space="0"/>
              <w:bottom w:val="single" w:color="auto" w:sz="4" w:space="0"/>
              <w:right w:val="single" w:color="auto" w:sz="4" w:space="0"/>
            </w:tcBorders>
            <w:tcW w:w="3088"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冷光源脚踏</w:t>
            </w:r>
            <w:r/>
          </w:p>
        </w:tc>
        <w:tc>
          <w:tcPr>
            <w:tcBorders>
              <w:top w:val="single" w:color="auto" w:sz="4" w:space="0"/>
              <w:left w:val="none" w:color="000000" w:sz="4" w:space="0"/>
              <w:bottom w:val="single" w:color="auto" w:sz="4" w:space="0"/>
              <w:right w:val="single" w:color="auto" w:sz="4" w:space="0"/>
            </w:tcBorders>
            <w:tcW w:w="1001"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911"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9</w:t>
            </w:r>
            <w:r/>
          </w:p>
        </w:tc>
        <w:tc>
          <w:tcPr>
            <w:tcBorders>
              <w:top w:val="single" w:color="auto" w:sz="4" w:space="0"/>
              <w:left w:val="none" w:color="000000" w:sz="4" w:space="0"/>
              <w:bottom w:val="single" w:color="auto" w:sz="4" w:space="0"/>
              <w:right w:val="single" w:color="auto" w:sz="4" w:space="0"/>
            </w:tcBorders>
            <w:tcW w:w="3088"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32寸4K 医用监视器</w:t>
            </w:r>
            <w:r/>
          </w:p>
        </w:tc>
        <w:tc>
          <w:tcPr>
            <w:tcBorders>
              <w:top w:val="single" w:color="auto" w:sz="4" w:space="0"/>
              <w:left w:val="none" w:color="000000" w:sz="4" w:space="0"/>
              <w:bottom w:val="single" w:color="auto" w:sz="4" w:space="0"/>
              <w:right w:val="single" w:color="auto" w:sz="4" w:space="0"/>
            </w:tcBorders>
            <w:tcW w:w="1001"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911"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10</w:t>
            </w:r>
            <w:r/>
          </w:p>
        </w:tc>
        <w:tc>
          <w:tcPr>
            <w:tcBorders>
              <w:top w:val="single" w:color="auto" w:sz="4" w:space="0"/>
              <w:left w:val="none" w:color="000000" w:sz="4" w:space="0"/>
              <w:bottom w:val="single" w:color="auto" w:sz="4" w:space="0"/>
              <w:right w:val="single" w:color="auto" w:sz="4" w:space="0"/>
            </w:tcBorders>
            <w:tcW w:w="3088"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专用台车</w:t>
            </w:r>
            <w:r/>
          </w:p>
        </w:tc>
        <w:tc>
          <w:tcPr>
            <w:tcBorders>
              <w:top w:val="single" w:color="auto" w:sz="4" w:space="0"/>
              <w:left w:val="none" w:color="000000" w:sz="4" w:space="0"/>
              <w:bottom w:val="single" w:color="auto" w:sz="4" w:space="0"/>
              <w:right w:val="single" w:color="auto" w:sz="4" w:space="0"/>
            </w:tcBorders>
            <w:tcW w:w="1001"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911"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11</w:t>
            </w:r>
            <w:r/>
          </w:p>
        </w:tc>
        <w:tc>
          <w:tcPr>
            <w:tcBorders>
              <w:top w:val="single" w:color="auto" w:sz="4" w:space="0"/>
              <w:left w:val="none" w:color="000000" w:sz="4" w:space="0"/>
              <w:bottom w:val="single" w:color="auto" w:sz="4" w:space="0"/>
              <w:right w:val="single" w:color="auto" w:sz="4" w:space="0"/>
            </w:tcBorders>
            <w:tcW w:w="3088"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40L气腹机，具有集总控制功能</w:t>
            </w:r>
            <w:r/>
          </w:p>
        </w:tc>
        <w:tc>
          <w:tcPr>
            <w:tcBorders>
              <w:top w:val="single" w:color="auto" w:sz="4" w:space="0"/>
              <w:left w:val="none" w:color="000000" w:sz="4" w:space="0"/>
              <w:bottom w:val="single" w:color="auto" w:sz="4" w:space="0"/>
              <w:right w:val="single" w:color="auto" w:sz="4" w:space="0"/>
            </w:tcBorders>
            <w:tcW w:w="1001" w:type="pct"/>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1</w:t>
            </w:r>
            <w:bookmarkEnd w:id="42"/>
            <w:r/>
            <w:bookmarkEnd w:id="43"/>
            <w:r/>
            <w:r/>
          </w:p>
        </w:tc>
      </w:tr>
    </w:tbl>
    <w:p>
      <w:pPr>
        <w:pStyle w:val="824"/>
      </w:pPr>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br w:type="page" w:clear="all"/>
      </w:r>
      <w:r/>
    </w:p>
    <w:p>
      <w:pPr>
        <w:jc w:val="left"/>
        <w:spacing w:line="360" w:lineRule="auto"/>
        <w:tabs>
          <w:tab w:val="left" w:pos="1260" w:leader="none"/>
        </w:tabs>
        <w:rPr>
          <w:rFonts w:hint="eastAsia" w:ascii="宋体" w:hAnsi="宋体" w:eastAsia="宋体" w:cs="宋体"/>
          <w:b/>
          <w:bCs/>
          <w:sz w:val="28"/>
          <w:szCs w:val="28"/>
        </w:rPr>
      </w:pPr>
      <w:r>
        <w:rPr>
          <w:rFonts w:hint="eastAsia" w:ascii="宋体" w:hAnsi="宋体" w:eastAsia="宋体" w:cs="宋体"/>
          <w:b/>
          <w:bCs/>
          <w:sz w:val="28"/>
          <w:szCs w:val="28"/>
        </w:rPr>
        <w:t xml:space="preserve">三</w:t>
      </w:r>
      <w:r>
        <w:rPr>
          <w:rFonts w:ascii="宋体" w:hAnsi="宋体" w:eastAsia="宋体" w:cs="宋体"/>
          <w:b/>
          <w:bCs/>
          <w:sz w:val="28"/>
          <w:szCs w:val="28"/>
        </w:rPr>
        <w:t xml:space="preserve">、商务需求</w:t>
      </w:r>
      <w:r/>
    </w:p>
    <w:p>
      <w:pPr>
        <w:spacing w:line="360" w:lineRule="auto"/>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1、售后服务要求</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（1）验收通过之日起对设备免费保修一年，在保修期内，软件免费升级，因设备配置或制造质量问题而引起的故障，乙方应在24小时内立即予以免费维修或更换，由此引起的一切费用由乙方承担。</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（2）技术支持响应时间。一般问题 2小时内电话支持，难点、</w:t>
      </w:r>
      <w:r>
        <w:rPr>
          <w:rFonts w:hint="eastAsia" w:asciiTheme="minorEastAsia" w:hAnsiTheme="minorEastAsia" w:eastAsiaTheme="minorEastAsia"/>
          <w:sz w:val="24"/>
          <w:szCs w:val="24"/>
        </w:rPr>
        <w:t xml:space="preserve">重点问题  1</w:t>
      </w:r>
      <w:r>
        <w:rPr>
          <w:rFonts w:hint="eastAsia" w:asciiTheme="minorEastAsia" w:hAnsiTheme="minorEastAsia" w:eastAsiaTheme="minorEastAsia"/>
          <w:sz w:val="24"/>
          <w:szCs w:val="24"/>
        </w:rPr>
        <w:t xml:space="preserve">天内现场解决，质保期内相关费用由乙方承担，质保期满后乙方收取成本费。</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除本文件规定服务要求外，投标人所能承诺的售后服务应详细说明，同时负责免费向采购人提供设备维修或操作人员的培训。报修响应时间为路程正常时间加3小时。</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供方在交货验收时须向买方免费提供全套资料，含产品合格证（国产设备）、出厂计量合格证（强检设备）、操作手册、维修手册（含详细电路图）、海关报关单（进口设备）、商检合格证明（进口设备），如投标人为授权代理商须提供制造商的授权书，如资料不全，买方有权不支付货款。</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（4）投标人所投报价包含货物在买方医院内的安装、搬运及设备就位的一切费用。</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（5）投标人要制定详细的售后服务体系、售后服务人员组织结构、维护体系、技术支持、方案等。</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技术培训：在设备使用年限内，供方或设备厂方须免费提供医院设备操作人员及维修工程师原厂举办的操作培训及维修培训，涉及的培训费用由供方或设备厂方负责。通过培训操作人员应能熟练操作设备，维修人员应能排除常见故障。</w:t>
      </w:r>
      <w:r/>
    </w:p>
    <w:p>
      <w:pPr>
        <w:spacing w:line="360" w:lineRule="auto"/>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2、交货时间、地点 </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（1）采购合同签订后</w:t>
      </w:r>
      <w:r>
        <w:rPr>
          <w:rFonts w:asciiTheme="minorEastAsia" w:hAnsiTheme="minorEastAsia" w:eastAsiaTheme="minorEastAsia"/>
          <w:sz w:val="24"/>
          <w:szCs w:val="24"/>
        </w:rPr>
        <w:t xml:space="preserve">30</w:t>
      </w:r>
      <w:r>
        <w:rPr>
          <w:rFonts w:hint="eastAsia" w:asciiTheme="minorEastAsia" w:hAnsiTheme="minorEastAsia" w:eastAsiaTheme="minorEastAsia"/>
          <w:sz w:val="24"/>
          <w:szCs w:val="24"/>
        </w:rPr>
        <w:t xml:space="preserve">天内完成交付并安装完毕</w:t>
      </w:r>
      <w:r>
        <w:rPr>
          <w:rFonts w:asciiTheme="minorEastAsia" w:hAnsiTheme="minorEastAsia" w:eastAsiaTheme="minorEastAsia"/>
          <w:sz w:val="24"/>
          <w:szCs w:val="24"/>
        </w:rPr>
        <w:t xml:space="preserve">。</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（2）交货地点：招标人指定地点。        </w:t>
      </w:r>
      <w:r/>
    </w:p>
    <w:p>
      <w:pPr>
        <w:spacing w:line="360" w:lineRule="auto"/>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3、付款方式</w:t>
      </w:r>
      <w:r/>
    </w:p>
    <w:p>
      <w:pPr>
        <w:spacing w:line="360" w:lineRule="auto"/>
        <w:rPr>
          <w:rFonts w:hint="eastAsia" w:asciiTheme="minorEastAsia" w:hAnsiTheme="minorEastAsia" w:eastAsiaTheme="minorEastAsia"/>
          <w:sz w:val="24"/>
          <w:szCs w:val="24"/>
        </w:rPr>
      </w:pPr>
      <w:r/>
      <w:bookmarkStart w:id="46" w:name="_Hlk178250924"/>
      <w:r>
        <w:rPr>
          <w:rFonts w:hint="eastAsia" w:asciiTheme="minorEastAsia" w:hAnsiTheme="minorEastAsia" w:eastAsiaTheme="minorEastAsia"/>
          <w:sz w:val="24"/>
          <w:szCs w:val="24"/>
        </w:rPr>
        <w:t xml:space="preserve">安装调试验收合格入库一周后支付合同无息总金额的30%，正常运行六个月后支付合同无息总金额的60%，一年期满后支付合同余款。如有特殊情况可商议。</w:t>
      </w:r>
      <w:r>
        <w:rPr>
          <w:rFonts w:hint="eastAsia" w:cs="仿宋" w:asciiTheme="minorEastAsia" w:hAnsiTheme="minorEastAsia" w:eastAsiaTheme="minorEastAsia"/>
          <w:color w:val="000000" w:themeColor="text1"/>
          <w:sz w:val="24"/>
          <w:szCs w:val="24"/>
        </w:rPr>
        <w:t xml:space="preserve">如果中标人为中小企业，按</w:t>
      </w:r>
      <w:r>
        <w:rPr>
          <w:rFonts w:hint="eastAsia" w:cs="仿宋" w:asciiTheme="minorEastAsia" w:hAnsiTheme="minorEastAsia" w:eastAsiaTheme="minorEastAsia"/>
          <w:color w:val="000000" w:themeColor="text1"/>
          <w:sz w:val="24"/>
          <w:szCs w:val="24"/>
        </w:rPr>
        <w:t xml:space="preserve">&lt;&lt;</w:t>
      </w:r>
      <w:r>
        <w:rPr>
          <w:rFonts w:hint="eastAsia" w:cs="仿宋" w:asciiTheme="minorEastAsia" w:hAnsiTheme="minorEastAsia" w:eastAsiaTheme="minorEastAsia"/>
          <w:color w:val="000000" w:themeColor="text1"/>
          <w:sz w:val="24"/>
          <w:szCs w:val="24"/>
        </w:rPr>
        <w:t xml:space="preserve">保障中小企业款项支付条例&gt;&gt;</w:t>
      </w:r>
      <w:r>
        <w:rPr>
          <w:rFonts w:hint="eastAsia" w:cs="仿宋" w:asciiTheme="minorEastAsia" w:hAnsiTheme="minorEastAsia" w:eastAsiaTheme="minorEastAsia"/>
          <w:color w:val="000000" w:themeColor="text1"/>
          <w:sz w:val="24"/>
          <w:szCs w:val="24"/>
        </w:rPr>
        <w:t xml:space="preserve">(国令第802号)</w:t>
      </w:r>
      <w:r>
        <w:rPr>
          <w:rFonts w:hint="eastAsia" w:cs="仿宋" w:asciiTheme="minorEastAsia" w:hAnsiTheme="minorEastAsia" w:eastAsiaTheme="minorEastAsia"/>
          <w:color w:val="000000" w:themeColor="text1"/>
          <w:sz w:val="24"/>
          <w:szCs w:val="24"/>
        </w:rPr>
        <w:t xml:space="preserve">相关要求</w:t>
      </w:r>
      <w:r>
        <w:rPr>
          <w:rFonts w:hint="eastAsia" w:cs="仿宋" w:asciiTheme="minorEastAsia" w:hAnsiTheme="minorEastAsia" w:eastAsiaTheme="minorEastAsia"/>
          <w:color w:val="000000" w:themeColor="text1"/>
          <w:sz w:val="24"/>
          <w:szCs w:val="24"/>
        </w:rPr>
        <w:t xml:space="preserve">执行.</w:t>
      </w:r>
      <w:bookmarkEnd w:id="46"/>
      <w:r/>
      <w:r/>
    </w:p>
    <w:p>
      <w:pPr>
        <w:spacing w:line="360" w:lineRule="auto"/>
        <w:rPr>
          <w:rFonts w:hint="eastAsia" w:asciiTheme="minorEastAsia" w:hAnsiTheme="minorEastAsia" w:eastAsiaTheme="minorEastAsia"/>
          <w:sz w:val="24"/>
          <w:szCs w:val="24"/>
          <w:highlight w:val="yellow"/>
        </w:rPr>
      </w:pPr>
      <w:r>
        <w:rPr>
          <w:rFonts w:hint="eastAsia" w:ascii="宋体" w:hAnsi="宋体" w:eastAsia="宋体" w:cs="宋体"/>
          <w:b/>
          <w:bCs/>
          <w:sz w:val="28"/>
          <w:szCs w:val="28"/>
        </w:rPr>
        <w:t xml:space="preserve">四、采购标的的所属行业</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参照《关于印发中小企业划型标准规定的通知》（工信部联企业[2011]300号）文件，本项目采购标的所属行业为</w:t>
      </w:r>
      <w:r>
        <w:rPr>
          <w:rFonts w:hint="eastAsia" w:cs="仿宋" w:asciiTheme="minorEastAsia" w:hAnsiTheme="minorEastAsia" w:eastAsiaTheme="minorEastAsia"/>
          <w:color w:val="000000" w:themeColor="text1"/>
          <w:sz w:val="24"/>
          <w:szCs w:val="24"/>
          <w:u w:val="single"/>
        </w:rPr>
        <w:t xml:space="preserve"> </w:t>
      </w:r>
      <w:r>
        <w:rPr>
          <w:rFonts w:hint="eastAsia" w:cs="仿宋" w:asciiTheme="minorEastAsia" w:hAnsiTheme="minorEastAsia" w:eastAsiaTheme="minorEastAsia"/>
          <w:color w:val="000000" w:themeColor="text1"/>
          <w:sz w:val="24"/>
          <w:szCs w:val="24"/>
          <w:u w:val="single"/>
        </w:rPr>
        <w:t xml:space="preserve">工业  </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 </w:t>
      </w:r>
      <w:r/>
    </w:p>
    <w:p>
      <w:pPr>
        <w:pStyle w:val="1020"/>
        <w:numPr>
          <w:ilvl w:val="0"/>
          <w:numId w:val="6"/>
        </w:numPr>
        <w:jc w:val="center"/>
        <w:spacing w:before="0" w:after="0" w:line="360" w:lineRule="auto"/>
        <w:rPr>
          <w:rFonts w:hint="eastAsia" w:cs="仿宋" w:asciiTheme="minorEastAsia" w:hAnsiTheme="minorEastAsia" w:eastAsiaTheme="minorEastAsia"/>
          <w:color w:val="000000" w:themeColor="text1"/>
          <w:sz w:val="32"/>
          <w:szCs w:val="32"/>
        </w:rPr>
      </w:pPr>
      <w:r>
        <w:rPr>
          <w:rFonts w:cs="仿宋" w:asciiTheme="minorEastAsia" w:hAnsiTheme="minorEastAsia" w:eastAsiaTheme="minorEastAsia"/>
          <w:color w:val="000000" w:themeColor="text1"/>
          <w:sz w:val="32"/>
          <w:szCs w:val="32"/>
        </w:rPr>
        <w:br w:type="page" w:clear="all"/>
      </w:r>
      <w:r>
        <w:rPr>
          <w:rFonts w:hint="eastAsia" w:cs="仿宋" w:asciiTheme="minorEastAsia" w:hAnsiTheme="minorEastAsia" w:eastAsiaTheme="minorEastAsia"/>
          <w:color w:val="000000" w:themeColor="text1"/>
          <w:sz w:val="32"/>
          <w:szCs w:val="32"/>
        </w:rPr>
        <w:t xml:space="preserve">评标办法及标准</w:t>
      </w:r>
      <w:bookmarkEnd w:id="38"/>
      <w:r/>
      <w:bookmarkEnd w:id="39"/>
      <w:r/>
      <w:r/>
    </w:p>
    <w:p>
      <w:pPr>
        <w:jc w:val="left"/>
        <w:spacing w:after="200" w:line="360" w:lineRule="auto"/>
        <w:widowControl/>
        <w:rPr>
          <w:rFonts w:hint="eastAsia"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t xml:space="preserve">一、资格性审查（通过/未通过）：</w:t>
      </w:r>
      <w:r/>
    </w:p>
    <w:tbl>
      <w:tblPr>
        <w:tblW w:w="0" w:type="auto"/>
        <w:jc w:val="center"/>
        <w:tblLayout w:type="fixed"/>
        <w:tblLook w:val="04A0" w:firstRow="1" w:lastRow="0" w:firstColumn="1" w:lastColumn="0" w:noHBand="0" w:noVBand="1"/>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jc w:val="left"/>
        <w:spacing w:after="200" w:line="360" w:lineRule="auto"/>
        <w:widowControl/>
        <w:rPr>
          <w:rFonts w:hint="eastAsia"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t xml:space="preserve">二、符合性审查（通过/未通过）：</w:t>
      </w:r>
      <w:r/>
    </w:p>
    <w:tbl>
      <w:tblPr>
        <w:tblW w:w="9610" w:type="dxa"/>
        <w:jc w:val="center"/>
        <w:tblLayout w:type="fixed"/>
        <w:tblLook w:val="04A0" w:firstRow="1" w:lastRow="0" w:firstColumn="1" w:lastColumn="0" w:noHBand="0" w:noVBand="1"/>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星号要求均满足招标文件要求</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三、评标办法：</w:t>
      </w:r>
      <w:r/>
    </w:p>
    <w:p>
      <w:pPr>
        <w:pStyle w:val="85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本项目评标采用综合评分法，总分为100分。合格投标人的综合得分为各评分项目汇总</w:t>
      </w:r>
      <w:r>
        <w:rPr>
          <w:rFonts w:hint="eastAsia" w:cs="仿宋" w:asciiTheme="minorEastAsia" w:hAnsiTheme="minorEastAsia" w:eastAsiaTheme="minorEastAsia"/>
          <w:color w:val="000000" w:themeColor="text1"/>
          <w:shd w:val="clear" w:color="auto" w:fill="ffffff"/>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851"/>
        <w:ind w:firstLine="420"/>
        <w:jc w:val="both"/>
        <w:spacing w:before="0" w:beforeAutospacing="0" w:after="0" w:afterAutospacing="0" w:line="360" w:lineRule="auto"/>
        <w:shd w:val="clear" w:color="auto" w:fill="ffffff"/>
        <w:rPr>
          <w:rFonts w:hint="eastAsia" w:cs="仿宋" w:asciiTheme="minorEastAsia" w:hAnsiTheme="minorEastAsia" w:eastAsiaTheme="minorEastAsia"/>
          <w:b/>
          <w:bCs/>
          <w:color w:val="000000" w:themeColor="text1"/>
          <w:shd w:val="clear" w:color="auto" w:fill="ffffff"/>
        </w:rPr>
      </w:pPr>
      <w:r>
        <w:rPr>
          <w:rFonts w:hint="eastAsia" w:cs="仿宋" w:asciiTheme="minorEastAsia" w:hAnsiTheme="minorEastAsia" w:eastAsiaTheme="minorEastAsia"/>
          <w:b/>
          <w:bCs/>
          <w:color w:val="000000" w:themeColor="text1"/>
          <w:shd w:val="clear" w:color="auto" w:fill="ffffff"/>
        </w:rPr>
        <w:t xml:space="preserve">政府采购政策功能落实</w:t>
      </w:r>
      <w:r/>
    </w:p>
    <w:p>
      <w:pPr>
        <w:pStyle w:val="85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1、小微型企业价格扣除</w:t>
      </w:r>
      <w:r/>
    </w:p>
    <w:p>
      <w:pPr>
        <w:pStyle w:val="85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（1）本项目对小型和微型企业产品给予10%的扣除价格，用扣除后的价格参与评审。</w:t>
      </w:r>
      <w:r/>
    </w:p>
    <w:p>
      <w:pPr>
        <w:pStyle w:val="85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（2）供应商需按照采购文件的要求提供相应的《中小企业声明函》。</w:t>
      </w:r>
      <w:r/>
    </w:p>
    <w:p>
      <w:pPr>
        <w:pStyle w:val="85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（3）企业标准请参照《关于印发中小企业划型标准规定的通知》（工信部联企业[2011]300号）文件规定自行填写。</w:t>
      </w:r>
      <w:r/>
    </w:p>
    <w:p>
      <w:pPr>
        <w:pStyle w:val="85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2、残疾人福利单位价格扣除</w:t>
      </w:r>
      <w:r/>
    </w:p>
    <w:p>
      <w:pPr>
        <w:pStyle w:val="85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（1）本项目对残疾人福利性单位视同小型、微型企业，给予10%的价格扣除，用扣除后的价格参与评审。</w:t>
      </w:r>
      <w:r/>
    </w:p>
    <w:p>
      <w:pPr>
        <w:pStyle w:val="85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（2）残疾人福利单位需按照采购文件的要求提供《残疾人福利性单位声明函》。</w:t>
      </w:r>
      <w:r/>
    </w:p>
    <w:p>
      <w:pPr>
        <w:pStyle w:val="85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（3）残疾人福利单位标准请参照《关于促进残疾人就业政府采购政策的通知》（财库〔2017〕141号）。</w:t>
      </w:r>
      <w:r/>
    </w:p>
    <w:p>
      <w:pPr>
        <w:pStyle w:val="85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3、监狱和戒毒企业价格扣除</w:t>
      </w:r>
      <w:r/>
    </w:p>
    <w:p>
      <w:pPr>
        <w:pStyle w:val="85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（1）本项目对监狱和戒毒企业（简称监狱企业）视同小型、微型企业，给予10%的价格扣除，用扣除后的价格参与评审。</w:t>
      </w:r>
      <w:r/>
    </w:p>
    <w:p>
      <w:pPr>
        <w:pStyle w:val="85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（2）监狱企业参加政府采购活动时，需提供由省级以上监狱管理局、戒毒管理局</w:t>
      </w:r>
      <w:r>
        <w:rPr>
          <w:rFonts w:hint="eastAsia" w:cs="仿宋" w:asciiTheme="minorEastAsia" w:hAnsiTheme="minorEastAsia" w:eastAsiaTheme="minorEastAsia"/>
          <w:color w:val="000000" w:themeColor="text1"/>
          <w:shd w:val="clear" w:color="auto" w:fill="ffffff"/>
        </w:rPr>
        <w:t xml:space="preserve">(含新疆生产建设兵团)</w:t>
      </w:r>
      <w:r>
        <w:rPr>
          <w:rFonts w:hint="eastAsia" w:cs="仿宋" w:asciiTheme="minorEastAsia" w:hAnsiTheme="minorEastAsia" w:eastAsiaTheme="minorEastAsia"/>
          <w:color w:val="000000" w:themeColor="text1"/>
          <w:shd w:val="clear" w:color="auto" w:fill="ffffff"/>
        </w:rPr>
        <w:t xml:space="preserve">出具的属于监狱企业的证明文件。供应商如不提供上述证明文件，价格将不做相应扣除。</w:t>
      </w:r>
      <w:r/>
    </w:p>
    <w:p>
      <w:pPr>
        <w:pStyle w:val="85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（3）监狱企业标准请参照《关于政府采购支持监狱企业发展有关问题的通知》（财库[2014]68号）。</w:t>
      </w:r>
      <w:r/>
    </w:p>
    <w:p>
      <w:pPr>
        <w:pStyle w:val="85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4、残疾人福利单位、监狱企业属于小型、微型企业的，不重复享受政策。</w:t>
      </w:r>
      <w:r/>
    </w:p>
    <w:p>
      <w:pPr>
        <w:pStyle w:val="85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5、如本项目同意联合体投标或同意分包履行合同</w:t>
      </w:r>
      <w:r>
        <w:rPr>
          <w:rFonts w:hint="eastAsia" w:cs="仿宋" w:asciiTheme="minorEastAsia" w:hAnsiTheme="minorEastAsia" w:eastAsiaTheme="minorEastAsia"/>
          <w:color w:val="000000" w:themeColor="text1"/>
          <w:shd w:val="clear" w:color="auto" w:fill="ffffff"/>
        </w:rPr>
        <w:t xml:space="preserve">的,</w:t>
      </w:r>
      <w:r>
        <w:rPr>
          <w:rFonts w:hint="eastAsia" w:cs="仿宋" w:asciiTheme="minorEastAsia" w:hAnsiTheme="minorEastAsia" w:eastAsiaTheme="minorEastAsia"/>
          <w:color w:val="000000" w:themeColor="text1"/>
          <w:shd w:val="clear" w:color="auto" w:fill="ffffff"/>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5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6、联合体各方均为小型、微型企业（残疾人福利单位、监狱企业）的，联合体享受10%价格扣除，用扣除后的价格参与评审。</w:t>
      </w:r>
      <w:r/>
    </w:p>
    <w:p>
      <w:pPr>
        <w:pStyle w:val="85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7、专门面向中小企业采购的项目，小微企业不再享受价格扣除优惠政策。</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8、采购本国产品的支持政策</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8.1.适用本国产品标准的货物具体是指《政府采购品目分类目录》中的货物类产品，但不包括其中的房屋和构筑物，文物和陈列品，图书和档案，特种动植物，农林牧渔业产品，矿与矿物，电力、城市燃气、蒸汽和热水、水，食</w:t>
      </w:r>
      <w:r>
        <w:rPr>
          <w:rFonts w:hint="eastAsia" w:ascii="宋体" w:hAnsi="宋体" w:eastAsia="宋体" w:cs="宋体"/>
          <w:bCs/>
          <w:color w:val="000000" w:themeColor="text1"/>
          <w:sz w:val="24"/>
          <w:szCs w:val="24"/>
        </w:rPr>
        <w:t xml:space="preserve">品、饮料和烟草原料，无形资产。</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8.3 本项目政府采购活动中既有本国产品又有非本国产品参与竞争的，依法对本国产品给予价格评审优惠，</w:t>
      </w:r>
      <w:r>
        <w:rPr>
          <w:rFonts w:hint="eastAsia" w:ascii="宋体" w:hAnsi="宋体" w:eastAsia="宋体" w:cs="宋体"/>
          <w:color w:val="000000" w:themeColor="text1"/>
          <w:sz w:val="24"/>
          <w:szCs w:val="24"/>
        </w:rPr>
        <w:t xml:space="preserve">对本国产品的报价给予  </w:t>
      </w:r>
      <w:r>
        <w:rPr>
          <w:rFonts w:hint="eastAsia" w:ascii="宋体" w:hAnsi="宋体" w:eastAsia="宋体" w:cs="宋体"/>
          <w:color w:val="000000" w:themeColor="text1"/>
          <w:sz w:val="24"/>
          <w:szCs w:val="24"/>
          <w:u w:val="single"/>
        </w:rPr>
        <w:t xml:space="preserve">20</w:t>
      </w:r>
      <w:r>
        <w:rPr>
          <w:rFonts w:hint="eastAsia" w:ascii="宋体" w:hAnsi="宋体" w:eastAsia="宋体" w:cs="宋体"/>
          <w:color w:val="000000" w:themeColor="text1"/>
          <w:sz w:val="24"/>
          <w:szCs w:val="24"/>
          <w:u w:val="single"/>
        </w:rPr>
        <w:t xml:space="preserve">%</w:t>
      </w:r>
      <w:r>
        <w:rPr>
          <w:rFonts w:hint="eastAsia" w:ascii="宋体" w:hAnsi="宋体" w:eastAsia="宋体" w:cs="宋体"/>
          <w:color w:val="000000" w:themeColor="text1"/>
          <w:sz w:val="24"/>
          <w:szCs w:val="24"/>
        </w:rPr>
        <w:t xml:space="preserve">的价格扣除，用扣除后的价格参与评审。</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8.4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themeColor="text1"/>
          <w:sz w:val="24"/>
          <w:szCs w:val="24"/>
          <w:u w:val="single"/>
        </w:rPr>
        <w:t xml:space="preserve">80%</w:t>
      </w:r>
      <w:r>
        <w:rPr>
          <w:rFonts w:hint="eastAsia" w:ascii="宋体" w:hAnsi="宋体" w:eastAsia="宋体" w:cs="宋体"/>
          <w:color w:val="000000" w:themeColor="text1"/>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themeColor="text1"/>
          <w:sz w:val="24"/>
          <w:szCs w:val="24"/>
          <w:u w:val="single"/>
        </w:rPr>
        <w:t xml:space="preserve">20%</w:t>
      </w:r>
      <w:r>
        <w:rPr>
          <w:rFonts w:hint="eastAsia" w:ascii="宋体" w:hAnsi="宋体" w:eastAsia="宋体" w:cs="宋体"/>
          <w:color w:val="000000" w:themeColor="text1"/>
          <w:sz w:val="24"/>
          <w:szCs w:val="24"/>
        </w:rPr>
        <w:t xml:space="preserve">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8.5 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51"/>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eastAsia="宋体" w:cs="宋体"/>
          <w:color w:val="000000" w:themeColor="text1"/>
        </w:rPr>
        <w:t xml:space="preserve">8.7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360" w:lineRule="auto"/>
        <w:rPr>
          <w:rFonts w:hint="eastAsia" w:cs="仿宋" w:asciiTheme="minorEastAsia" w:hAnsiTheme="minorEastAsia" w:eastAsiaTheme="minorEastAsia"/>
          <w:b/>
          <w:color w:val="000000" w:themeColor="text1"/>
          <w:sz w:val="24"/>
          <w:szCs w:val="24"/>
        </w:rPr>
      </w:pPr>
      <w:r/>
      <w:bookmarkStart w:id="47" w:name="_Hlk147842034"/>
      <w:r>
        <w:rPr>
          <w:rFonts w:cs="仿宋" w:asciiTheme="minorEastAsia" w:hAnsiTheme="minorEastAsia" w:eastAsiaTheme="minorEastAsia"/>
          <w:b/>
          <w:color w:val="000000" w:themeColor="text1"/>
          <w:sz w:val="24"/>
          <w:szCs w:val="24"/>
        </w:rPr>
        <w:br w:type="page" w:clear="all"/>
      </w:r>
      <w:r/>
    </w:p>
    <w:p>
      <w:pPr>
        <w:pStyle w:val="854"/>
        <w:numPr>
          <w:ilvl w:val="0"/>
          <w:numId w:val="7"/>
        </w:numPr>
        <w:ind w:firstLine="0"/>
        <w:spacing w:line="360" w:lineRule="auto"/>
        <w:rPr>
          <w:rFonts w:hint="eastAsia" w:cs="仿宋" w:asciiTheme="minorEastAsia" w:hAnsiTheme="minorEastAsia" w:eastAsiaTheme="minorEastAsia"/>
          <w:b/>
          <w:color w:val="000000" w:themeColor="text1"/>
          <w:sz w:val="24"/>
          <w:szCs w:val="24"/>
        </w:rPr>
      </w:pPr>
      <w:r>
        <w:rPr>
          <w:rFonts w:hint="eastAsia" w:asciiTheme="minorEastAsia" w:hAnsiTheme="minorEastAsia" w:eastAsiaTheme="minorEastAsia"/>
          <w:b/>
          <w:sz w:val="24"/>
          <w:szCs w:val="24"/>
        </w:rPr>
        <w:t xml:space="preserve">评标内容及标准</w:t>
      </w:r>
      <w:r>
        <w:rPr>
          <w:rFonts w:hint="eastAsia" w:cs="仿宋" w:asciiTheme="minorEastAsia" w:hAnsiTheme="minorEastAsia" w:eastAsiaTheme="minorEastAsia"/>
          <w:b/>
          <w:color w:val="000000" w:themeColor="text1"/>
          <w:sz w:val="24"/>
          <w:szCs w:val="24"/>
        </w:rPr>
        <w:t xml:space="preserve">： </w:t>
      </w:r>
      <w:r/>
    </w:p>
    <w:tbl>
      <w:tblPr>
        <w:tblW w:w="5127" w:type="pct"/>
        <w:jc w:val="center"/>
        <w:tblLayout w:type="fixed"/>
        <w:tblCellMar>
          <w:left w:w="15" w:type="dxa"/>
          <w:top w:w="15" w:type="dxa"/>
          <w:right w:w="15" w:type="dxa"/>
          <w:bottom w:w="15" w:type="dxa"/>
        </w:tblCellMar>
        <w:tblLook w:val="04A0" w:firstRow="1" w:lastRow="0" w:firstColumn="1" w:lastColumn="0" w:noHBand="0" w:noVBand="1"/>
      </w:tblPr>
      <w:tblGrid>
        <w:gridCol w:w="704"/>
        <w:gridCol w:w="1134"/>
        <w:gridCol w:w="5956"/>
        <w:gridCol w:w="707"/>
      </w:tblGrid>
      <w:tr>
        <w:trPr>
          <w:jc w:val="center"/>
          <w:trHeight w:val="635"/>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评分项目</w:t>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tcPr>
          <w:p>
            <w:pPr>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评分标准</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分值</w:t>
            </w:r>
            <w:r/>
          </w:p>
        </w:tc>
      </w:tr>
      <w:tr>
        <w:trPr>
          <w:jc w:val="center"/>
          <w:trHeight w:val="3157"/>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价格</w:t>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根据初步评审合格的各投标人的投标报价经勘误、缺漏项等因素修正后的价格，采用低价优先法计算，即满足招标文件要求且投标价格最低的投标报价为评标基准价，其他投标人的价格分按照下列公式计算：</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价格分=（评标基准价/投标报价）×30（小数点保留两位））</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注：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30分</w:t>
            </w:r>
            <w:r/>
          </w:p>
        </w:tc>
      </w:tr>
      <w:tr>
        <w:trPr>
          <w:jc w:val="center"/>
          <w:trHeight w:val="6273"/>
        </w:trPr>
        <w:tc>
          <w:tcPr>
            <w:tcBorders>
              <w:top w:val="single" w:color="000000" w:sz="4" w:space="0"/>
              <w:left w:val="single" w:color="000000" w:sz="4" w:space="0"/>
              <w:bottom w:val="single" w:color="auto" w:sz="4" w:space="0"/>
              <w:right w:val="single" w:color="000000" w:sz="4" w:space="0"/>
            </w:tcBorders>
            <w:tcW w:w="414" w:type="pct"/>
            <w:vAlign w:val="center"/>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Borders>
              <w:top w:val="single" w:color="000000" w:sz="4" w:space="0"/>
              <w:left w:val="single" w:color="000000" w:sz="4" w:space="0"/>
              <w:bottom w:val="single" w:color="auto" w:sz="4" w:space="0"/>
              <w:right w:val="single" w:color="000000" w:sz="4" w:space="0"/>
            </w:tcBorders>
            <w:tcW w:w="667" w:type="pct"/>
            <w:vAlign w:val="center"/>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技术参数</w:t>
            </w:r>
            <w:r/>
          </w:p>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响应</w:t>
            </w:r>
            <w:r/>
          </w:p>
        </w:tc>
        <w:tc>
          <w:tcPr>
            <w:tcBorders>
              <w:top w:val="single" w:color="000000" w:sz="4" w:space="0"/>
              <w:left w:val="single" w:color="000000" w:sz="4" w:space="0"/>
              <w:bottom w:val="single" w:color="auto" w:sz="4" w:space="0"/>
              <w:right w:val="single" w:color="000000" w:sz="4" w:space="0"/>
            </w:tcBorders>
            <w:tcW w:w="3503" w:type="pct"/>
            <w:vAlign w:val="center"/>
            <w:textDirection w:val="lrTb"/>
            <w:noWrap/>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评委根据招标文件中《招标技术规格及其他要求》，结合投标文件提供的技术白皮书等佐证材料等进行评审：</w:t>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满足招标文件</w:t>
            </w:r>
            <w:r>
              <w:rPr>
                <w:rFonts w:hint="eastAsia" w:asciiTheme="minorEastAsia" w:hAnsiTheme="minorEastAsia" w:eastAsiaTheme="minorEastAsia"/>
                <w:sz w:val="24"/>
                <w:szCs w:val="24"/>
              </w:rPr>
              <w:t xml:space="preserve">全部技术要求得标准分值</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0</w:t>
            </w:r>
            <w:r>
              <w:rPr>
                <w:rFonts w:asciiTheme="minorEastAsia" w:hAnsiTheme="minorEastAsia" w:eastAsiaTheme="minorEastAsia"/>
                <w:sz w:val="24"/>
                <w:szCs w:val="24"/>
              </w:rPr>
              <w:t xml:space="preserve">分；</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2.1、标★核心参数，如有一项负偏离，将作无效投标处理；</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2.2、标▲号参数为重要参数，有一项负偏离扣2分，扣完为止；有一项正偏离加2分，正偏离加分最高不超过20分。</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2.3、除标★、▲外，其他为全部一般参数，每有一项负偏离扣1分，扣完为止。</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、产品交付验收时，招标人将对技术规格要求中的关键技术指标进行逐一核实验收，如发现虚假应标，或无法实现关键技术指标功能，有权向采购主管部门进行举报，所有后果由中标投标人承担。</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注：所有标注★、▲的技术参数，须提供相关证明材料（包括制造商技术白皮书或Data Sheet或医疗器械检测所检测报告或国家承认的第三方机构出具的检测报告或厂家公开发行的宣传彩页等），并在投标文件技术参数偏离表备注栏中标注相应证明文件页码及相关证明条款，未提供相关证明材料</w:t>
            </w:r>
            <w:r>
              <w:rPr>
                <w:rFonts w:hint="eastAsia" w:asciiTheme="minorEastAsia" w:hAnsiTheme="minorEastAsia" w:eastAsiaTheme="minorEastAsia"/>
                <w:sz w:val="24"/>
                <w:szCs w:val="24"/>
              </w:rPr>
              <w:t xml:space="preserve">的视</w:t>
            </w:r>
            <w:r>
              <w:rPr>
                <w:rFonts w:hint="eastAsia" w:asciiTheme="minorEastAsia" w:hAnsiTheme="minorEastAsia" w:eastAsiaTheme="minorEastAsia"/>
                <w:sz w:val="24"/>
                <w:szCs w:val="24"/>
              </w:rPr>
              <w:t xml:space="preserve">为负偏离。</w:t>
            </w:r>
            <w:r/>
          </w:p>
        </w:tc>
        <w:tc>
          <w:tcPr>
            <w:tcBorders>
              <w:top w:val="single" w:color="auto" w:sz="4" w:space="0"/>
              <w:bottom w:val="single" w:color="auto" w:sz="4" w:space="0"/>
              <w:right w:val="single" w:color="000000" w:sz="4" w:space="0"/>
            </w:tcBorders>
            <w:tcW w:w="416" w:type="pct"/>
            <w:vAlign w:val="center"/>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50分</w:t>
            </w:r>
            <w:r/>
          </w:p>
        </w:tc>
      </w:tr>
      <w:tr>
        <w:trPr>
          <w:jc w:val="center"/>
          <w:trHeight w:val="2244"/>
        </w:trPr>
        <w:tc>
          <w:tcPr>
            <w:tcBorders>
              <w:top w:val="single" w:color="auto" w:sz="4" w:space="0"/>
              <w:left w:val="single" w:color="auto" w:sz="4" w:space="0"/>
              <w:bottom w:val="single" w:color="auto" w:sz="4" w:space="0"/>
              <w:right w:val="single" w:color="auto" w:sz="4" w:space="0"/>
            </w:tcBorders>
            <w:tcW w:w="414" w:type="pct"/>
            <w:vAlign w:val="center"/>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Borders>
              <w:top w:val="single" w:color="auto" w:sz="4" w:space="0"/>
              <w:left w:val="single" w:color="auto" w:sz="4" w:space="0"/>
              <w:bottom w:val="single" w:color="auto" w:sz="4" w:space="0"/>
              <w:right w:val="single" w:color="auto" w:sz="4" w:space="0"/>
            </w:tcBorders>
            <w:tcW w:w="667" w:type="pct"/>
            <w:vAlign w:val="center"/>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售后部分</w:t>
            </w:r>
            <w:r/>
          </w:p>
        </w:tc>
        <w:tc>
          <w:tcPr>
            <w:tcBorders>
              <w:top w:val="single" w:color="auto" w:sz="4" w:space="0"/>
              <w:left w:val="single" w:color="auto" w:sz="4" w:space="0"/>
              <w:bottom w:val="single" w:color="auto" w:sz="4" w:space="0"/>
              <w:right w:val="single" w:color="auto" w:sz="4" w:space="0"/>
            </w:tcBorders>
            <w:tcW w:w="3503" w:type="pct"/>
            <w:vAlign w:val="center"/>
            <w:textDirection w:val="lrTb"/>
            <w:noWrap/>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根据投标人质保期内售后服务方案（包括响应时间，回访巡检方案、故障解决措施、技术人员保障、备品配件价格等方面）、驻地服务方案（包括服务网点、维修网点设置情况以及技术人员安排情况等方面）、增值服务等内容综合评审：</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售后方案内容详实、科学、合理，考虑周全，对产品质量管控措施要求全面到位，相关服务承诺内容详实，人员配备齐全，分工明确、岗位设置科学合理，人员配备齐全、零配件配备齐全，技术培训保障完善，提供的</w:t>
            </w:r>
            <w:r>
              <w:rPr>
                <w:rFonts w:hint="eastAsia" w:asciiTheme="minorEastAsia" w:hAnsiTheme="minorEastAsia" w:eastAsiaTheme="minorEastAsia"/>
                <w:sz w:val="24"/>
                <w:szCs w:val="24"/>
              </w:rPr>
              <w:t xml:space="preserve">增值服务具备实际价值的得</w:t>
            </w:r>
            <w:r>
              <w:rPr>
                <w:rFonts w:hint="eastAsia" w:asciiTheme="minorEastAsia" w:hAnsiTheme="minorEastAsia" w:eastAsiaTheme="minorEastAsia"/>
                <w:sz w:val="24"/>
                <w:szCs w:val="24"/>
              </w:rPr>
              <w:t xml:space="preserve">7</w:t>
            </w:r>
            <w:r>
              <w:rPr>
                <w:rFonts w:hint="eastAsia" w:asciiTheme="minorEastAsia" w:hAnsiTheme="minorEastAsia" w:eastAsiaTheme="minorEastAsia"/>
                <w:sz w:val="24"/>
                <w:szCs w:val="24"/>
              </w:rPr>
              <w:t xml:space="preserve">分；</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2）售后方案内容较详细、较科学合理，对产品质量管控措施要求较到位，相关服务承诺内容具体，人员配备较齐全、零配件配备较齐全、技术培训保障较完善，提供的增值服务较有实际价值的得</w:t>
            </w:r>
            <w:r>
              <w:rPr>
                <w:rFonts w:hint="eastAsia"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分；</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3）售后方案内容简单，产品质量管控措施要求较低，相关服务承诺内容简单，人员配备、零配件保障不完善，且未提供增值服务的得1分；</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4）未提供服务方案的不得分。</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rPr>
                <w:rFonts w:hint="eastAsia" w:asciiTheme="minorEastAsia" w:hAnsiTheme="minorEastAsia" w:eastAsiaTheme="minorEastAsia"/>
                <w:sz w:val="24"/>
                <w:szCs w:val="24"/>
              </w:rPr>
              <w:t xml:space="preserve">分</w:t>
            </w:r>
            <w:r/>
          </w:p>
        </w:tc>
      </w:tr>
      <w:tr>
        <w:trPr>
          <w:jc w:val="center"/>
          <w:trHeight w:val="1205"/>
        </w:trPr>
        <w:tc>
          <w:tcPr>
            <w:tcBorders>
              <w:top w:val="single" w:color="auto" w:sz="4" w:space="0"/>
              <w:left w:val="single" w:color="auto" w:sz="4" w:space="0"/>
              <w:right w:val="single" w:color="auto" w:sz="4" w:space="0"/>
            </w:tcBorders>
            <w:tcW w:w="414" w:type="pct"/>
            <w:vAlign w:val="center"/>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Borders>
              <w:top w:val="single" w:color="auto" w:sz="4" w:space="0"/>
              <w:left w:val="single" w:color="auto" w:sz="4" w:space="0"/>
              <w:bottom w:val="single" w:color="auto" w:sz="4" w:space="0"/>
              <w:right w:val="single" w:color="auto" w:sz="4" w:space="0"/>
            </w:tcBorders>
            <w:tcW w:w="667" w:type="pct"/>
            <w:vAlign w:val="center"/>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保修期</w:t>
            </w:r>
            <w:r/>
          </w:p>
        </w:tc>
        <w:tc>
          <w:tcPr>
            <w:tcBorders>
              <w:top w:val="single" w:color="auto" w:sz="4" w:space="0"/>
              <w:left w:val="single" w:color="auto" w:sz="4" w:space="0"/>
              <w:bottom w:val="single" w:color="auto" w:sz="4" w:space="0"/>
              <w:right w:val="single" w:color="auto" w:sz="4" w:space="0"/>
            </w:tcBorders>
            <w:tcW w:w="3503" w:type="pct"/>
            <w:vAlign w:val="center"/>
            <w:textDirection w:val="lrTb"/>
            <w:noWrap/>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所投产品的免费保修期在一年基础上，每增加一年得2分，最高不超过4分。投标人需承诺：设备安装调试验收合格后，提供对应的免费保修期原厂售后服务承诺书，不提供承诺书本项不得分。</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4分</w:t>
            </w:r>
            <w:r/>
          </w:p>
        </w:tc>
      </w:tr>
      <w:tr>
        <w:trPr>
          <w:jc w:val="center"/>
          <w:trHeight w:val="2222"/>
        </w:trPr>
        <w:tc>
          <w:tcPr>
            <w:tcBorders>
              <w:top w:val="single" w:color="auto" w:sz="4" w:space="0"/>
              <w:left w:val="single" w:color="auto" w:sz="4" w:space="0"/>
              <w:right w:val="single" w:color="auto" w:sz="4" w:space="0"/>
            </w:tcBorders>
            <w:tcW w:w="414" w:type="pct"/>
            <w:vAlign w:val="center"/>
            <w:vMerge w:val="restart"/>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Borders>
              <w:top w:val="single" w:color="auto" w:sz="4" w:space="0"/>
              <w:left w:val="single" w:color="auto" w:sz="4" w:space="0"/>
              <w:right w:val="single" w:color="auto" w:sz="4" w:space="0"/>
            </w:tcBorders>
            <w:tcW w:w="667" w:type="pct"/>
            <w:vAlign w:val="center"/>
            <w:vMerge w:val="restart"/>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组织实施</w:t>
            </w:r>
            <w:r/>
          </w:p>
        </w:tc>
        <w:tc>
          <w:tcPr>
            <w:tcBorders>
              <w:top w:val="single" w:color="auto" w:sz="4" w:space="0"/>
              <w:left w:val="single" w:color="auto" w:sz="4" w:space="0"/>
              <w:bottom w:val="single" w:color="auto" w:sz="4" w:space="0"/>
              <w:right w:val="single" w:color="auto" w:sz="4" w:space="0"/>
            </w:tcBorders>
            <w:tcW w:w="3503" w:type="pct"/>
            <w:vAlign w:val="center"/>
            <w:textDirection w:val="lrTb"/>
            <w:noWrap/>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项目实施方案：投标人根据项目具体情况制定整体实施方案（包括进度安排、质量自检、供货方案、安装方案等方面），评委会根据提供的项目实施方案综合评审：</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方案完整全面，进度安排合理、可执行性高得3分；</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方案较全面，进度安排较合理、可执行较性高得2分； </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方案简单，可执行性一般得1分； </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其他或未提供的不得分。</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3分</w:t>
            </w:r>
            <w:r/>
          </w:p>
        </w:tc>
      </w:tr>
      <w:tr>
        <w:trPr>
          <w:jc w:val="center"/>
          <w:trHeight w:val="1910"/>
        </w:trPr>
        <w:tc>
          <w:tcPr>
            <w:tcBorders>
              <w:left w:val="single" w:color="auto" w:sz="4" w:space="0"/>
              <w:bottom w:val="single" w:color="auto" w:sz="4" w:space="0"/>
              <w:right w:val="single" w:color="auto" w:sz="4" w:space="0"/>
            </w:tcBorders>
            <w:tcW w:w="414" w:type="pct"/>
            <w:vAlign w:val="center"/>
            <w:vMerge w:val="continue"/>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left w:val="single" w:color="auto" w:sz="4" w:space="0"/>
              <w:bottom w:val="single" w:color="auto" w:sz="4" w:space="0"/>
              <w:right w:val="single" w:color="auto" w:sz="4" w:space="0"/>
            </w:tcBorders>
            <w:tcW w:w="667" w:type="pct"/>
            <w:vAlign w:val="center"/>
            <w:vMerge w:val="continue"/>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3503" w:type="pct"/>
            <w:vAlign w:val="center"/>
            <w:textDirection w:val="lrTb"/>
            <w:noWrap/>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项目验收方案：投标人应根据招标文件要求提供具体详实的项目验收方案，评委会根据提供的项目验收方案综合评审：</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方案详细合理，可行性高的得3分； </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方案较详细合理，可行性较高的得2分； </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方案可行性较低得1分；</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未提供的不得分。</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3分</w:t>
            </w:r>
            <w:r/>
          </w:p>
        </w:tc>
      </w:tr>
      <w:tr>
        <w:trPr>
          <w:jc w:val="center"/>
          <w:trHeight w:val="3468"/>
        </w:trPr>
        <w:tc>
          <w:tcPr>
            <w:tcBorders>
              <w:top w:val="single" w:color="auto" w:sz="4" w:space="0"/>
              <w:left w:val="single" w:color="auto" w:sz="4" w:space="0"/>
              <w:bottom w:val="single" w:color="auto" w:sz="4" w:space="0"/>
              <w:right w:val="single" w:color="auto" w:sz="4" w:space="0"/>
            </w:tcBorders>
            <w:tcW w:w="414" w:type="pct"/>
            <w:vAlign w:val="center"/>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Borders>
              <w:top w:val="single" w:color="auto" w:sz="4" w:space="0"/>
              <w:left w:val="single" w:color="auto" w:sz="4" w:space="0"/>
              <w:bottom w:val="single" w:color="auto" w:sz="4" w:space="0"/>
              <w:right w:val="single" w:color="auto" w:sz="4" w:space="0"/>
            </w:tcBorders>
            <w:tcW w:w="667" w:type="pct"/>
            <w:vAlign w:val="center"/>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培训方案</w:t>
            </w:r>
            <w:r/>
          </w:p>
        </w:tc>
        <w:tc>
          <w:tcPr>
            <w:tcBorders>
              <w:top w:val="single" w:color="auto" w:sz="4" w:space="0"/>
              <w:left w:val="single" w:color="auto" w:sz="4" w:space="0"/>
              <w:bottom w:val="single" w:color="auto" w:sz="4" w:space="0"/>
              <w:right w:val="single" w:color="auto" w:sz="4" w:space="0"/>
            </w:tcBorders>
            <w:tcW w:w="3503" w:type="pct"/>
            <w:vAlign w:val="center"/>
            <w:textDirection w:val="lrTb"/>
            <w:noWrap/>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投标人提供对用户的操作培训、业务功能培训等相关培训计划方案，除正常操作培训外，提出其他技术培训保障方案，评委会根据提供的项培训方案综合评审：</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1）技术培训保障方案内容详实、科学、合理，培训计划针对性强、内容详实，培训人员配备齐全、技术水平高、分工明确、岗位设置科学合理，培训率承诺高，得3分。</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2）技术培训保障方案内容较详实、较科学合理，培训计划较具体，培训人员较齐全，培训率承诺较高，得2分。</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3）技术培训保障方案表述简单，培训计划简单、培训人员较少，培训率承诺一般，得1分。</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4）未提供方案或方案无可行性不得分。</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3分</w:t>
            </w:r>
            <w:r/>
          </w:p>
        </w:tc>
      </w:tr>
    </w:tbl>
    <w:p>
      <w:pPr>
        <w:pStyle w:val="854"/>
        <w:ind w:firstLine="0"/>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pStyle w:val="854"/>
        <w:ind w:firstLine="0"/>
        <w:jc w:val="cente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五、推荐中标</w:t>
      </w:r>
      <w:r>
        <w:rPr>
          <w:rFonts w:hint="eastAsia" w:cs="仿宋" w:asciiTheme="minorEastAsia" w:hAnsiTheme="minorEastAsia" w:eastAsiaTheme="minorEastAsia"/>
          <w:b/>
          <w:color w:val="000000" w:themeColor="text1"/>
          <w:sz w:val="24"/>
          <w:szCs w:val="24"/>
        </w:rPr>
        <w:t xml:space="preserve">候选人:</w:t>
      </w:r>
      <w:r/>
    </w:p>
    <w:p>
      <w:pPr>
        <w:ind w:firstLine="488"/>
        <w:spacing w:line="360" w:lineRule="auto"/>
        <w:rPr>
          <w:rFonts w:hint="eastAsia" w:cs="仿宋" w:asciiTheme="minorEastAsia" w:hAnsiTheme="minorEastAsia" w:eastAsiaTheme="minorEastAsia"/>
          <w:bCs/>
          <w:color w:val="000000" w:themeColor="text1"/>
          <w:sz w:val="24"/>
          <w:szCs w:val="24"/>
        </w:rPr>
        <w:sectPr>
          <w:headerReference w:type="default" r:id="rId9"/>
          <w:footerReference w:type="default" r:id="rId10"/>
          <w:footerReference w:type="first" r:id="rId11"/>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bCs/>
          <w:color w:val="000000" w:themeColor="text1"/>
          <w:sz w:val="24"/>
          <w:szCs w:val="24"/>
        </w:rPr>
        <w:t xml:space="preserve">汇总上述各项分值（保留两位</w:t>
      </w:r>
      <w:r>
        <w:rPr>
          <w:rFonts w:hint="eastAsia" w:cs="仿宋" w:asciiTheme="minorEastAsia" w:hAnsiTheme="minorEastAsia" w:eastAsiaTheme="minorEastAsia"/>
          <w:bCs/>
          <w:color w:val="000000" w:themeColor="text1"/>
          <w:sz w:val="24"/>
          <w:szCs w:val="24"/>
        </w:rPr>
        <w:t xml:space="preserve">小数,</w:t>
      </w:r>
      <w:r>
        <w:rPr>
          <w:rFonts w:hint="eastAsia" w:cs="仿宋" w:asciiTheme="minorEastAsia" w:hAnsiTheme="minorEastAsia" w:eastAsiaTheme="minorEastAsia"/>
          <w:bCs/>
          <w:color w:val="000000" w:themeColor="text1"/>
          <w:sz w:val="24"/>
          <w:szCs w:val="24"/>
        </w:rPr>
        <w:t xml:space="preserve">小数点后第三位四舍五入），按总得分由高到低的顺序</w:t>
      </w:r>
      <w:r>
        <w:rPr>
          <w:rFonts w:hint="eastAsia" w:cs="仿宋" w:asciiTheme="minorEastAsia" w:hAnsiTheme="minorEastAsia" w:eastAsiaTheme="minorEastAsia"/>
          <w:bCs/>
          <w:color w:val="000000" w:themeColor="text1"/>
          <w:sz w:val="24"/>
          <w:szCs w:val="24"/>
        </w:rPr>
        <w:t xml:space="preserve">排列,</w:t>
      </w:r>
      <w:r>
        <w:rPr>
          <w:rFonts w:hint="eastAsia" w:cs="仿宋" w:asciiTheme="minorEastAsia" w:hAnsiTheme="minorEastAsia" w:eastAsiaTheme="minorEastAsia"/>
          <w:bCs/>
          <w:color w:val="000000" w:themeColor="text1"/>
          <w:sz w:val="24"/>
          <w:szCs w:val="24"/>
        </w:rPr>
        <w:t xml:space="preserve">综合得分最高的为中标候选人</w:t>
      </w:r>
      <w:bookmarkEnd w:id="47"/>
      <w:r/>
      <w:r/>
    </w:p>
    <w:p>
      <w:pPr>
        <w:jc w:val="center"/>
        <w:spacing w:line="360" w:lineRule="auto"/>
        <w:rPr>
          <w:rFonts w:hint="eastAsia" w:cs="仿宋" w:asciiTheme="minorEastAsia" w:hAnsiTheme="minorEastAsia" w:eastAsiaTheme="minorEastAsia"/>
          <w:b/>
          <w:color w:val="000000" w:themeColor="text1"/>
          <w:sz w:val="32"/>
          <w:szCs w:val="32"/>
        </w:rPr>
        <w:outlineLvl w:val="0"/>
      </w:pPr>
      <w:r>
        <w:rPr>
          <w:rFonts w:hint="eastAsia" w:cs="仿宋" w:asciiTheme="minorEastAsia" w:hAnsiTheme="minorEastAsia" w:eastAsiaTheme="minorEastAsia"/>
          <w:b/>
          <w:color w:val="000000" w:themeColor="text1"/>
          <w:sz w:val="32"/>
          <w:szCs w:val="32"/>
        </w:rPr>
        <w:t xml:space="preserve">第五章 合同条款</w:t>
      </w:r>
      <w:r>
        <w:rPr>
          <w:rFonts w:hint="eastAsia" w:cs="仿宋" w:asciiTheme="minorEastAsia" w:hAnsiTheme="minorEastAsia" w:eastAsiaTheme="minorEastAsia"/>
          <w:b/>
          <w:i/>
          <w:color w:val="000000" w:themeColor="text1"/>
          <w:sz w:val="32"/>
          <w:szCs w:val="32"/>
        </w:rPr>
        <w:t xml:space="preserve">（模板仅供参考）</w:t>
      </w:r>
      <w:r/>
    </w:p>
    <w:p>
      <w:pPr>
        <w:ind w:firstLine="482"/>
        <w:spacing w:line="360" w:lineRule="auto"/>
        <w:rPr>
          <w:rFonts w:hint="eastAsia" w:ascii="宋体" w:hAnsi="宋体" w:eastAsia="宋体"/>
          <w:bCs/>
          <w:position w:val="-10"/>
          <w:sz w:val="24"/>
          <w:szCs w:val="24"/>
        </w:rPr>
      </w:pPr>
      <w:r>
        <w:rPr>
          <w:rFonts w:hint="eastAsia" w:ascii="宋体" w:hAnsi="宋体" w:eastAsia="宋体"/>
          <w:b/>
          <w:bCs/>
          <w:position w:val="-10"/>
          <w:sz w:val="24"/>
          <w:szCs w:val="24"/>
        </w:rPr>
        <w:t xml:space="preserve">注：本合同仅为合同的参考文本，合同签订双方可根据项目的具体要求进行修订，但不得更改实质性要求。</w:t>
      </w:r>
      <w:r/>
    </w:p>
    <w:p>
      <w:pPr>
        <w:ind w:firstLine="800"/>
        <w:jc w:val="center"/>
        <w:spacing w:line="360" w:lineRule="auto"/>
        <w:rPr>
          <w:rFonts w:hint="eastAsia" w:ascii="宋体" w:hAnsi="宋体" w:eastAsia="宋体"/>
          <w:position w:val="-10"/>
          <w:sz w:val="40"/>
          <w:szCs w:val="40"/>
        </w:rPr>
      </w:pPr>
      <w:r>
        <w:rPr>
          <w:rFonts w:hint="eastAsia" w:ascii="宋体" w:hAnsi="宋体" w:eastAsia="宋体"/>
          <w:position w:val="-10"/>
          <w:sz w:val="40"/>
          <w:szCs w:val="40"/>
        </w:rPr>
        <w:t xml:space="preserve">江苏省政府采购合同</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项目名称：                                       项目编号：</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甲方：（买方）_________</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乙方：（卖方）_________</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甲、乙双方根据江苏海外集团国际工程咨询有限公司</w:t>
      </w:r>
      <w:r>
        <w:rPr>
          <w:rFonts w:ascii="宋体" w:hAnsi="宋体" w:eastAsia="宋体"/>
          <w:position w:val="-10"/>
          <w:sz w:val="24"/>
          <w:szCs w:val="24"/>
          <w:u w:val="single"/>
        </w:rPr>
        <w:t xml:space="preserve">         </w:t>
      </w:r>
      <w:r>
        <w:rPr>
          <w:rFonts w:ascii="宋体" w:hAnsi="宋体" w:eastAsia="宋体"/>
          <w:position w:val="-10"/>
          <w:sz w:val="24"/>
          <w:szCs w:val="24"/>
        </w:rPr>
        <w:t xml:space="preserve">项目的结果，签署本合同。</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一、采购标的</w:t>
      </w:r>
      <w:r/>
    </w:p>
    <w:p>
      <w:pPr>
        <w:ind w:firstLine="360"/>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1.1 产品/服务内容：</w:t>
      </w:r>
      <w:r>
        <w:rPr>
          <w:rFonts w:ascii="宋体" w:hAnsi="宋体" w:eastAsia="宋体"/>
          <w:position w:val="-10"/>
          <w:sz w:val="24"/>
          <w:szCs w:val="24"/>
          <w:u w:val="single"/>
        </w:rPr>
        <w:t xml:space="preserve">                                        </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60"/>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1.2 服务期限：</w:t>
      </w:r>
      <w:r>
        <w:rPr>
          <w:rFonts w:ascii="宋体" w:hAnsi="宋体" w:eastAsia="宋体"/>
          <w:position w:val="-10"/>
          <w:sz w:val="24"/>
          <w:szCs w:val="24"/>
          <w:u w:val="single"/>
        </w:rPr>
        <w:t xml:space="preserve">                                             </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60"/>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1.3 补充条款：</w:t>
      </w:r>
      <w:r>
        <w:rPr>
          <w:rFonts w:ascii="宋体" w:hAnsi="宋体" w:eastAsia="宋体"/>
          <w:position w:val="-10"/>
          <w:sz w:val="24"/>
          <w:szCs w:val="24"/>
          <w:u w:val="single"/>
        </w:rPr>
        <w:t xml:space="preserve">                                             </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二、合同金额</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2.1 本合同金额为（大写）：_________________圆整（￥__________元）人民币。本合同价款包含所有乙方提供合同约定产品和服务的报酬及乙方提供合同中产品和服务所支出的必要费用，甲方在上述合同价款之外不再向乙方支付其他任何费用。</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三、技术资料</w:t>
      </w:r>
      <w:r/>
    </w:p>
    <w:p>
      <w:pPr>
        <w:ind w:left="445"/>
        <w:spacing w:line="360" w:lineRule="auto"/>
        <w:rPr>
          <w:rFonts w:hint="eastAsia" w:ascii="宋体" w:hAnsi="宋体" w:eastAsia="宋体"/>
          <w:position w:val="-10"/>
          <w:sz w:val="24"/>
          <w:szCs w:val="24"/>
        </w:rPr>
      </w:pPr>
      <w:r>
        <w:rPr>
          <w:rFonts w:ascii="宋体" w:hAnsi="宋体" w:eastAsia="宋体"/>
          <w:position w:val="-10"/>
          <w:sz w:val="24"/>
          <w:szCs w:val="24"/>
        </w:rPr>
        <w:t xml:space="preserve">3.1乙方应按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文件规定的时间向甲方提供有关技术资料。</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95" w:hanging="50"/>
        <w:spacing w:line="360" w:lineRule="auto"/>
        <w:rPr>
          <w:rFonts w:hint="eastAsia" w:ascii="宋体" w:hAnsi="宋体" w:eastAsia="宋体"/>
          <w:position w:val="-10"/>
          <w:sz w:val="24"/>
          <w:szCs w:val="24"/>
        </w:rPr>
      </w:pPr>
      <w:r>
        <w:rPr>
          <w:rFonts w:ascii="宋体" w:hAnsi="宋体" w:eastAsia="宋体"/>
          <w:position w:val="-10"/>
          <w:sz w:val="24"/>
          <w:szCs w:val="24"/>
        </w:rPr>
        <w:t xml:space="preserve">四、知识产权</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乙</w:t>
      </w:r>
      <w:r>
        <w:rPr>
          <w:rFonts w:hint="eastAsia" w:ascii="宋体" w:hAnsi="宋体" w:eastAsia="宋体"/>
          <w:position w:val="-10"/>
          <w:sz w:val="24"/>
          <w:szCs w:val="24"/>
        </w:rPr>
        <w:t xml:space="preserve">方应保证甲方在使用、接受本合同</w:t>
      </w:r>
      <w:r>
        <w:rPr>
          <w:rFonts w:ascii="宋体" w:hAnsi="宋体" w:eastAsia="宋体"/>
          <w:position w:val="-10"/>
          <w:sz w:val="24"/>
          <w:szCs w:val="24"/>
        </w:rPr>
        <w:t xml:space="preserve">中产品和服务</w:t>
      </w:r>
      <w:r>
        <w:rPr>
          <w:rFonts w:hint="eastAsia" w:ascii="宋体" w:hAnsi="宋体" w:eastAsia="宋体"/>
          <w:position w:val="-10"/>
          <w:sz w:val="24"/>
          <w:szCs w:val="24"/>
        </w:rPr>
        <w:t xml:space="preserve">或其任何一部分时不受第三方提出侵犯其专利权、版权、商标权和工业设计权等知识产权的起诉。一旦出现侵权，由乙方负全部责任。</w:t>
      </w:r>
      <w:r/>
    </w:p>
    <w:p>
      <w:pPr>
        <w:ind w:firstLine="353"/>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五、产权担保</w:t>
      </w:r>
      <w:r/>
    </w:p>
    <w:p>
      <w:pPr>
        <w:ind w:left="493" w:hanging="48"/>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乙方保证所交付标的的所有权完全属于乙方且无任何抵押、查封等产权瑕疵。</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六、履约保证金</w:t>
      </w:r>
      <w:r/>
    </w:p>
    <w:p>
      <w:pPr>
        <w:ind w:left="408" w:hanging="408"/>
        <w:spacing w:line="360" w:lineRule="auto"/>
        <w:rPr>
          <w:rFonts w:hint="eastAsia" w:ascii="宋体" w:hAnsi="宋体" w:eastAsia="宋体"/>
          <w:position w:val="-10"/>
          <w:sz w:val="24"/>
          <w:szCs w:val="24"/>
        </w:rPr>
      </w:pPr>
      <w:r>
        <w:rPr>
          <w:rFonts w:hint="eastAsia" w:ascii="宋体" w:hAnsi="宋体" w:eastAsia="宋体"/>
          <w:position w:val="-10"/>
          <w:sz w:val="24"/>
          <w:szCs w:val="24"/>
        </w:rPr>
        <w:t xml:space="preserve">     本项目不收取履约保证金</w:t>
      </w:r>
      <w:r/>
    </w:p>
    <w:p>
      <w:pPr>
        <w:ind w:left="445"/>
        <w:spacing w:line="360" w:lineRule="auto"/>
        <w:rPr>
          <w:rFonts w:hint="eastAsia" w:ascii="宋体" w:hAnsi="宋体" w:eastAsia="宋体"/>
          <w:position w:val="-10"/>
          <w:sz w:val="24"/>
          <w:szCs w:val="24"/>
        </w:rPr>
      </w:pPr>
      <w:r>
        <w:rPr>
          <w:rFonts w:ascii="宋体" w:hAnsi="宋体" w:eastAsia="宋体"/>
          <w:position w:val="-10"/>
          <w:sz w:val="24"/>
          <w:szCs w:val="24"/>
        </w:rPr>
        <w:t xml:space="preserve">七、转包或分包</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7.1</w:t>
      </w:r>
      <w:r>
        <w:rPr>
          <w:rFonts w:hint="eastAsia" w:ascii="宋体" w:hAnsi="宋体" w:eastAsia="宋体"/>
          <w:position w:val="-10"/>
          <w:sz w:val="24"/>
          <w:szCs w:val="24"/>
        </w:rPr>
        <w:t xml:space="preserve">本合同范围内产品或服务，应由乙方直接供应，不得转让他人供应；</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7.2 </w:t>
      </w:r>
      <w:r>
        <w:rPr>
          <w:rFonts w:hint="eastAsia" w:ascii="宋体" w:hAnsi="宋体" w:eastAsia="宋体"/>
          <w:position w:val="-10"/>
          <w:sz w:val="24"/>
          <w:szCs w:val="24"/>
        </w:rPr>
        <w:t xml:space="preserve">除非得到甲方的书面同意，乙方不得部分分包给他人供应。</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7.3</w:t>
      </w:r>
      <w:r>
        <w:rPr>
          <w:rFonts w:hint="eastAsia" w:ascii="宋体" w:hAnsi="宋体" w:eastAsia="宋体"/>
          <w:position w:val="-10"/>
          <w:sz w:val="24"/>
          <w:szCs w:val="24"/>
        </w:rPr>
        <w:t xml:space="preserve">如有转让和未经甲方同意的分包行为，甲方有权给予终止合同。 </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八、质保期</w:t>
      </w:r>
      <w:r/>
    </w:p>
    <w:p>
      <w:pPr>
        <w:ind w:firstLine="240"/>
        <w:spacing w:line="360" w:lineRule="auto"/>
        <w:rPr>
          <w:rFonts w:hint="eastAsia" w:ascii="宋体" w:hAnsi="宋体" w:eastAsia="宋体"/>
          <w:position w:val="-10"/>
          <w:sz w:val="24"/>
          <w:szCs w:val="24"/>
        </w:rPr>
      </w:pPr>
      <w:r>
        <w:rPr>
          <w:rFonts w:ascii="宋体" w:hAnsi="宋体" w:eastAsia="宋体"/>
          <w:position w:val="-10"/>
          <w:sz w:val="24"/>
          <w:szCs w:val="24"/>
        </w:rPr>
        <w:t xml:space="preserve"> 质保期</w:t>
      </w:r>
      <w:r>
        <w:rPr>
          <w:rFonts w:ascii="宋体" w:hAnsi="宋体" w:eastAsia="宋体"/>
          <w:position w:val="-10"/>
          <w:sz w:val="24"/>
          <w:szCs w:val="24"/>
          <w:u w:val="single"/>
        </w:rPr>
        <w:t xml:space="preserve">      </w:t>
      </w:r>
      <w:r>
        <w:rPr>
          <w:rFonts w:ascii="宋体" w:hAnsi="宋体" w:eastAsia="宋体"/>
          <w:position w:val="-10"/>
          <w:sz w:val="24"/>
          <w:szCs w:val="24"/>
        </w:rPr>
        <w:t xml:space="preserve">年。（自项目验收合格之日起计）</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九、交付期、交付方式及交付地点</w:t>
      </w:r>
      <w:r/>
    </w:p>
    <w:p>
      <w:pPr>
        <w:ind w:firstLine="360"/>
        <w:spacing w:line="360" w:lineRule="auto"/>
        <w:rPr>
          <w:rFonts w:hint="eastAsia" w:ascii="宋体" w:hAnsi="宋体" w:eastAsia="宋体"/>
          <w:color w:val="000000"/>
          <w:position w:val="-10"/>
          <w:sz w:val="24"/>
          <w:szCs w:val="24"/>
        </w:rPr>
      </w:pPr>
      <w:r>
        <w:rPr>
          <w:rFonts w:ascii="宋体" w:hAnsi="宋体" w:eastAsia="宋体"/>
          <w:position w:val="-10"/>
          <w:sz w:val="24"/>
          <w:szCs w:val="24"/>
        </w:rPr>
        <w:t xml:space="preserve">9.1交付期：_________。   </w:t>
      </w:r>
      <w:r>
        <w:rPr>
          <w:rFonts w:ascii="宋体" w:hAnsi="宋体" w:eastAsia="宋体"/>
          <w:color w:val="000000"/>
          <w:position w:val="-10"/>
          <w:sz w:val="24"/>
          <w:szCs w:val="24"/>
        </w:rPr>
        <w:t xml:space="preserve">9.2交付方式：</w:t>
      </w:r>
      <w:r>
        <w:rPr>
          <w:rFonts w:ascii="宋体" w:hAnsi="宋体" w:eastAsia="宋体"/>
          <w:position w:val="-10"/>
          <w:sz w:val="24"/>
          <w:szCs w:val="24"/>
        </w:rPr>
        <w:t xml:space="preserve">_________。</w:t>
      </w:r>
      <w:r>
        <w:rPr>
          <w:rFonts w:ascii="宋体" w:hAnsi="宋体" w:eastAsia="宋体"/>
          <w:color w:val="000000"/>
          <w:position w:val="-10"/>
          <w:sz w:val="24"/>
          <w:szCs w:val="24"/>
        </w:rPr>
        <w:t xml:space="preserve">9.3交付地点：</w:t>
      </w:r>
      <w:r>
        <w:rPr>
          <w:rFonts w:ascii="宋体" w:hAnsi="宋体" w:eastAsia="宋体"/>
          <w:position w:val="-10"/>
          <w:sz w:val="24"/>
          <w:szCs w:val="24"/>
        </w:rPr>
        <w:t xml:space="preserve">_________。</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十、合同款支付</w:t>
      </w:r>
      <w:r/>
    </w:p>
    <w:p>
      <w:pPr>
        <w:ind w:firstLine="240"/>
        <w:spacing w:line="360" w:lineRule="auto"/>
        <w:rPr>
          <w:rFonts w:hint="eastAsia" w:ascii="宋体" w:hAnsi="宋体" w:eastAsia="宋体"/>
          <w:position w:val="-10"/>
          <w:sz w:val="24"/>
          <w:szCs w:val="24"/>
        </w:rPr>
      </w:pPr>
      <w:r>
        <w:rPr>
          <w:rFonts w:ascii="宋体" w:hAnsi="宋体" w:eastAsia="宋体"/>
          <w:color w:val="000000"/>
          <w:position w:val="-10"/>
          <w:sz w:val="24"/>
          <w:szCs w:val="24"/>
        </w:rPr>
        <w:t xml:space="preserve"> 10.1</w:t>
      </w:r>
      <w:r>
        <w:rPr>
          <w:rFonts w:ascii="宋体" w:hAnsi="宋体" w:eastAsia="宋体"/>
          <w:position w:val="-10"/>
          <w:sz w:val="24"/>
          <w:szCs w:val="24"/>
        </w:rPr>
        <w:t xml:space="preserve">付款方式：</w:t>
      </w:r>
      <w:r>
        <w:rPr>
          <w:rFonts w:ascii="宋体" w:hAnsi="宋体" w:eastAsia="宋体"/>
          <w:position w:val="-10"/>
          <w:sz w:val="24"/>
          <w:szCs w:val="24"/>
          <w:u w:val="single"/>
        </w:rPr>
        <w:t xml:space="preserve">        </w:t>
      </w:r>
      <w:r>
        <w:rPr>
          <w:rFonts w:ascii="宋体" w:hAnsi="宋体" w:eastAsia="宋体"/>
          <w:position w:val="-10"/>
          <w:sz w:val="24"/>
          <w:szCs w:val="24"/>
        </w:rPr>
        <w:t xml:space="preserve"> 。</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十一</w:t>
      </w:r>
      <w:r>
        <w:rPr>
          <w:rFonts w:hint="eastAsia" w:ascii="宋体" w:hAnsi="宋体" w:eastAsia="宋体"/>
          <w:position w:val="-10"/>
          <w:sz w:val="24"/>
          <w:szCs w:val="24"/>
        </w:rPr>
        <w:t xml:space="preserve">、</w:t>
      </w:r>
      <w:r>
        <w:rPr>
          <w:rFonts w:ascii="宋体" w:hAnsi="宋体" w:eastAsia="宋体"/>
          <w:position w:val="-10"/>
          <w:sz w:val="24"/>
          <w:szCs w:val="24"/>
        </w:rPr>
        <w:t xml:space="preserve">税费</w:t>
      </w:r>
      <w:r/>
    </w:p>
    <w:p>
      <w:pPr>
        <w:ind w:firstLine="360"/>
        <w:spacing w:line="360" w:lineRule="auto"/>
        <w:rPr>
          <w:rFonts w:hint="eastAsia" w:ascii="宋体" w:hAnsi="宋体" w:eastAsia="宋体"/>
          <w:position w:val="-10"/>
          <w:sz w:val="24"/>
          <w:szCs w:val="24"/>
        </w:rPr>
      </w:pPr>
      <w:r>
        <w:rPr>
          <w:rFonts w:hint="eastAsia" w:ascii="宋体" w:hAnsi="宋体" w:eastAsia="宋体"/>
          <w:position w:val="-10"/>
          <w:sz w:val="24"/>
          <w:szCs w:val="24"/>
        </w:rPr>
        <w:t xml:space="preserve">本合同执行中相关的一切税费均由乙方负担。</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十二、质量保证及售后服务</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12.1乙方应按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文件规定和响应文件承诺的性能、技术要求、质量标准向甲方提供产品或服务。</w:t>
      </w:r>
      <w:r/>
    </w:p>
    <w:p>
      <w:pPr>
        <w:ind w:left="445"/>
        <w:spacing w:line="360" w:lineRule="auto"/>
        <w:rPr>
          <w:rFonts w:hint="eastAsia" w:ascii="宋体" w:hAnsi="宋体" w:eastAsia="宋体"/>
          <w:position w:val="-10"/>
          <w:sz w:val="24"/>
          <w:szCs w:val="24"/>
        </w:rPr>
      </w:pPr>
      <w:r>
        <w:rPr>
          <w:rFonts w:ascii="宋体" w:hAnsi="宋体" w:eastAsia="宋体"/>
          <w:position w:val="-10"/>
          <w:sz w:val="24"/>
          <w:szCs w:val="24"/>
        </w:rPr>
        <w:t xml:space="preserve">12.2乙方提供的产品或服务在质保期内因其本身出现质量问题，根据实际情况，经双方协商，可按以下办法处理：</w:t>
      </w:r>
      <w:r/>
    </w:p>
    <w:p>
      <w:pPr>
        <w:ind w:firstLine="240"/>
        <w:spacing w:line="360" w:lineRule="auto"/>
        <w:rPr>
          <w:rFonts w:hint="eastAsia" w:ascii="宋体" w:hAnsi="宋体" w:eastAsia="宋体"/>
          <w:position w:val="-10"/>
          <w:sz w:val="24"/>
          <w:szCs w:val="24"/>
        </w:rPr>
      </w:pPr>
      <w:r>
        <w:rPr>
          <w:rFonts w:ascii="宋体" w:hAnsi="宋体" w:eastAsia="宋体"/>
          <w:position w:val="-10"/>
          <w:sz w:val="24"/>
          <w:szCs w:val="24"/>
        </w:rPr>
        <w:t xml:space="preserve">（1）更换：由乙方承担所发生的全部费用。</w:t>
      </w:r>
      <w:r/>
    </w:p>
    <w:p>
      <w:pPr>
        <w:ind w:firstLine="240"/>
        <w:spacing w:line="360" w:lineRule="auto"/>
        <w:rPr>
          <w:rFonts w:hint="eastAsia" w:ascii="宋体" w:hAnsi="宋体" w:eastAsia="宋体"/>
          <w:position w:val="-10"/>
          <w:sz w:val="24"/>
          <w:szCs w:val="24"/>
        </w:rPr>
      </w:pPr>
      <w:r>
        <w:rPr>
          <w:rFonts w:ascii="宋体" w:hAnsi="宋体" w:eastAsia="宋体"/>
          <w:position w:val="-10"/>
          <w:sz w:val="24"/>
          <w:szCs w:val="24"/>
        </w:rPr>
        <w:t xml:space="preserve">（2）合同终止处理：合同终止，并退还甲方支付的合同款，同时应承担由此产生的所有费用，甲方不承担发生任何费用。</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12.3如在使用过程中发生质量问题，乙方在接到甲方通知后在</w:t>
      </w:r>
      <w:r>
        <w:rPr>
          <w:rFonts w:ascii="宋体" w:hAnsi="宋体" w:eastAsia="宋体"/>
          <w:position w:val="-10"/>
          <w:sz w:val="24"/>
          <w:szCs w:val="24"/>
          <w:u w:val="single"/>
        </w:rPr>
        <w:t xml:space="preserve">     </w:t>
      </w:r>
      <w:r>
        <w:rPr>
          <w:rFonts w:ascii="宋体" w:hAnsi="宋体" w:eastAsia="宋体"/>
          <w:position w:val="-10"/>
          <w:sz w:val="24"/>
          <w:szCs w:val="24"/>
        </w:rPr>
        <w:t xml:space="preserve">小时内到达甲方现场。</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12.4在质保期内，乙方应对产品或服务出现的质量及安全问题负责处理解决并承担一切费用。</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12.5合同标的对质量保证和售后服务另有要求的，按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w:t>
      </w:r>
      <w:r>
        <w:rPr>
          <w:rFonts w:ascii="宋体" w:hAnsi="宋体" w:eastAsia="宋体"/>
          <w:position w:val="-10"/>
          <w:sz w:val="24"/>
          <w:szCs w:val="24"/>
        </w:rPr>
        <w:t xml:space="preserve">求处理。</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十三、验收</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13.1甲方对乙方提交的产品或服务依据</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文件上的项目需求要求、乙方响应文件及国家有关质量标准进行验收。</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13.2乙方交货前应对产品或服务作出全面检查和对验收文件进行整理，并列出清单，作为甲方验收和使用的技术条件依据，检验的结果应随服务一起提交甲方。</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13.3甲方对乙方提供的产品或服务在使用前，乙方需负责培训甲方的使用操作人员，并协助甲方一起试用，直到符合技术要求，甲方才做最终验收。</w:t>
      </w:r>
      <w:r/>
    </w:p>
    <w:p>
      <w:pPr>
        <w:ind w:left="565" w:hanging="120"/>
        <w:spacing w:line="360" w:lineRule="auto"/>
        <w:rPr>
          <w:rFonts w:hint="eastAsia" w:ascii="宋体" w:hAnsi="宋体" w:eastAsia="宋体"/>
          <w:position w:val="-10"/>
          <w:sz w:val="24"/>
          <w:szCs w:val="24"/>
        </w:rPr>
      </w:pPr>
      <w:r>
        <w:rPr>
          <w:rFonts w:ascii="宋体" w:hAnsi="宋体" w:eastAsia="宋体"/>
          <w:color w:val="000000"/>
          <w:position w:val="-10"/>
          <w:sz w:val="24"/>
          <w:szCs w:val="24"/>
        </w:rPr>
        <w:t xml:space="preserve">13.4</w:t>
      </w:r>
      <w:r>
        <w:rPr>
          <w:rFonts w:ascii="宋体" w:hAnsi="宋体" w:eastAsia="宋体"/>
          <w:position w:val="-10"/>
          <w:sz w:val="24"/>
          <w:szCs w:val="24"/>
        </w:rPr>
        <w:t xml:space="preserve">对技术复杂的产品或服务，甲方可请国家认可的专业检测机构参与初步验收及最终验收，并由其出具质量检测报告。</w:t>
      </w:r>
      <w:r/>
    </w:p>
    <w:p>
      <w:pPr>
        <w:ind w:left="565" w:hanging="120"/>
        <w:spacing w:line="360" w:lineRule="auto"/>
        <w:rPr>
          <w:rFonts w:hint="eastAsia" w:ascii="宋体" w:hAnsi="宋体" w:eastAsia="宋体"/>
          <w:position w:val="-10"/>
          <w:sz w:val="24"/>
          <w:szCs w:val="24"/>
        </w:rPr>
      </w:pPr>
      <w:r>
        <w:rPr>
          <w:rFonts w:ascii="宋体" w:hAnsi="宋体" w:eastAsia="宋体"/>
          <w:color w:val="000000"/>
          <w:position w:val="-10"/>
          <w:sz w:val="24"/>
          <w:szCs w:val="24"/>
        </w:rPr>
        <w:t xml:space="preserve">13.5</w:t>
      </w:r>
      <w:r>
        <w:rPr>
          <w:rFonts w:ascii="宋体" w:hAnsi="宋体" w:eastAsia="宋体"/>
          <w:position w:val="-10"/>
          <w:sz w:val="24"/>
          <w:szCs w:val="24"/>
        </w:rPr>
        <w:t xml:space="preserve">验收时乙方必须在现场，验收完毕后作出验收结果报告；</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文件规定以外的验收费用由甲乙双方协商解决。</w:t>
      </w:r>
      <w:r/>
    </w:p>
    <w:p>
      <w:pPr>
        <w:ind w:left="565" w:right="26"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13.6合同标的对验收另有要求的，按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文件中的相关要求执行。</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十四、合同内容的交付</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14.1乙方应保证合同标的安全运达甲方指定地点。</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14.2 使用说明书、质量检验证明书一并提交甲方。</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14.3 乙方在合同标的交付甲方48小时前通知甲方准备接收。</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14.4 合同标的在交付甲方前发生的风险均由乙方负责。</w:t>
      </w:r>
      <w:r/>
    </w:p>
    <w:p>
      <w:pPr>
        <w:ind w:left="565" w:right="26"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14.5 合同标的在规定的交付期限内由乙方送达甲方指定的地点视为交付，乙方同时需通知甲方已送达；</w:t>
      </w:r>
      <w:r/>
    </w:p>
    <w:p>
      <w:pPr>
        <w:ind w:left="565" w:right="26"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14.6合同标的对交付另有要求的，按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文件中的相关要求执行。</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十五、违约责任</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15.1 甲方无正当理由拒收的，甲方向乙方偿付拒收货款总值的百分之五违约金。</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15.2 甲方无故逾期验收和办理合同款支付手续</w:t>
      </w:r>
      <w:r>
        <w:rPr>
          <w:rFonts w:ascii="宋体" w:hAnsi="宋体" w:eastAsia="宋体"/>
          <w:position w:val="-10"/>
          <w:sz w:val="24"/>
          <w:szCs w:val="24"/>
        </w:rPr>
        <w:t xml:space="preserve">的,</w:t>
      </w:r>
      <w:r>
        <w:rPr>
          <w:rFonts w:ascii="宋体" w:hAnsi="宋体" w:eastAsia="宋体"/>
          <w:position w:val="-10"/>
          <w:sz w:val="24"/>
          <w:szCs w:val="24"/>
        </w:rPr>
        <w:t xml:space="preserve">甲方应按逾期付款总额每日万分之五向乙方支付违约金。</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w:t>
      </w:r>
      <w:r>
        <w:rPr>
          <w:rFonts w:ascii="宋体" w:hAnsi="宋体" w:eastAsia="宋体"/>
          <w:position w:val="-10"/>
          <w:sz w:val="24"/>
          <w:szCs w:val="24"/>
        </w:rPr>
        <w:t xml:space="preserve">致甲方解除合同的，乙方应向甲方支付合同总值5%的违约金，如造成甲方损失超过违约金的，超出部分由乙方继续承担赔偿责任。 </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346"/>
        <w:spacing w:line="360" w:lineRule="auto"/>
        <w:rPr>
          <w:rFonts w:hint="eastAsia" w:ascii="宋体" w:hAnsi="宋体" w:eastAsia="宋体"/>
          <w:position w:val="-10"/>
          <w:sz w:val="24"/>
          <w:szCs w:val="24"/>
        </w:rPr>
      </w:pPr>
      <w:r>
        <w:rPr>
          <w:rFonts w:ascii="宋体" w:hAnsi="宋体" w:eastAsia="宋体"/>
          <w:position w:val="-10"/>
          <w:sz w:val="24"/>
          <w:szCs w:val="24"/>
        </w:rPr>
        <w:t xml:space="preserve">十六、不可抗力事件处理</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16.1 在合同有效期内，任何一方因不可抗力事件导致不能履行合同，则合同履行期延长，其延长期与不可抗力影响期相同。</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16.2 不可抗力事件发生后，应立即通知对方，并寄送有关权威机构出具的证明。</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16.3 不可抗力事件延续120天以上，双方应通过友好协商，确定是否继续履行合同。</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十七、诉讼</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17.1 双方在执行合同中所发生的一切争议，应通过协商解决。如协商不成，可向合同签订地法院起诉，合同签订地在此约定为</w:t>
      </w:r>
      <w:r>
        <w:rPr>
          <w:rFonts w:hint="eastAsia" w:ascii="宋体" w:hAnsi="宋体" w:eastAsia="宋体"/>
          <w:position w:val="-10"/>
          <w:sz w:val="24"/>
          <w:szCs w:val="24"/>
        </w:rPr>
        <w:t xml:space="preserve">泰州</w:t>
      </w:r>
      <w:r>
        <w:rPr>
          <w:rFonts w:ascii="宋体" w:hAnsi="宋体" w:eastAsia="宋体"/>
          <w:position w:val="-10"/>
          <w:sz w:val="24"/>
          <w:szCs w:val="24"/>
        </w:rPr>
        <w:t xml:space="preserve">市。</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十八、合同生效及其它</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18.1 合同经双方法定代表人或授权委托代表人签字并加盖单位公章后生效。</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18.2本合同未尽事宜，遵照《</w:t>
      </w:r>
      <w:r>
        <w:rPr>
          <w:rFonts w:hint="eastAsia" w:ascii="宋体" w:hAnsi="宋体" w:eastAsia="宋体"/>
          <w:position w:val="-10"/>
          <w:sz w:val="24"/>
          <w:szCs w:val="24"/>
        </w:rPr>
        <w:t xml:space="preserve">民法典</w:t>
      </w:r>
      <w:r>
        <w:rPr>
          <w:rFonts w:ascii="宋体" w:hAnsi="宋体" w:eastAsia="宋体"/>
          <w:position w:val="-10"/>
          <w:sz w:val="24"/>
          <w:szCs w:val="24"/>
        </w:rPr>
        <w:t xml:space="preserve">》有关条文执行。</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18.3 本合同正本一式三份，具有同等法律效力，甲方、乙方、及财政监管部门各执一份。</w:t>
      </w:r>
      <w:r/>
    </w:p>
    <w:p>
      <w:pPr>
        <w:ind w:left="480" w:hanging="480"/>
        <w:spacing w:line="360" w:lineRule="auto"/>
        <w:rPr>
          <w:rFonts w:hint="eastAsia" w:ascii="宋体" w:hAnsi="宋体" w:eastAsia="宋体"/>
          <w:position w:val="-10"/>
          <w:sz w:val="24"/>
          <w:szCs w:val="24"/>
        </w:rPr>
      </w:pPr>
      <w:r>
        <w:rPr>
          <w:rFonts w:ascii="宋体" w:hAnsi="宋体" w:eastAsia="宋体"/>
          <w:position w:val="-10"/>
          <w:sz w:val="24"/>
          <w:szCs w:val="24"/>
        </w:rPr>
        <w:t xml:space="preserve">  甲方：                                   乙方： </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地址：                                   地址： </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法定代表人或授权代表：                   法定代表人或授权代表：</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联系电话：                               联系电话：</w:t>
      </w:r>
      <w:r>
        <w:rPr>
          <w:rFonts w:hint="eastAsia" w:ascii="宋体" w:hAnsi="宋体" w:eastAsia="宋体"/>
          <w:position w:val="-10"/>
          <w:sz w:val="24"/>
          <w:szCs w:val="24"/>
        </w:rPr>
        <w:t xml:space="preserve"> </w:t>
      </w:r>
      <w:r/>
    </w:p>
    <w:p>
      <w:pPr>
        <w:spacing w:line="360" w:lineRule="auto"/>
        <w:rPr>
          <w:rFonts w:hint="eastAsia" w:ascii="宋体" w:hAnsi="宋体" w:eastAsia="宋体" w:cs="仿宋"/>
          <w:sz w:val="21"/>
          <w:szCs w:val="21"/>
        </w:rPr>
      </w:pPr>
      <w:r>
        <w:rPr>
          <w:rFonts w:hint="eastAsia" w:ascii="宋体" w:hAnsi="宋体" w:eastAsia="宋体"/>
          <w:position w:val="-10"/>
          <w:sz w:val="24"/>
          <w:szCs w:val="24"/>
        </w:rPr>
        <w:t xml:space="preserve">                                       </w:t>
      </w:r>
      <w:r>
        <w:rPr>
          <w:rFonts w:ascii="宋体" w:hAnsi="宋体" w:eastAsia="宋体"/>
          <w:position w:val="-10"/>
          <w:sz w:val="24"/>
          <w:szCs w:val="24"/>
        </w:rPr>
        <w:t xml:space="preserve"> 签订日期：      </w:t>
      </w:r>
      <w:r>
        <w:rPr>
          <w:rFonts w:ascii="宋体" w:hAnsi="宋体" w:eastAsia="宋体"/>
          <w:position w:val="-10"/>
          <w:sz w:val="24"/>
          <w:szCs w:val="24"/>
        </w:rPr>
        <w:t xml:space="preserve">年  月</w:t>
      </w:r>
      <w:r>
        <w:rPr>
          <w:rFonts w:ascii="宋体" w:hAnsi="宋体" w:eastAsia="宋体"/>
          <w:position w:val="-10"/>
          <w:sz w:val="24"/>
          <w:szCs w:val="24"/>
        </w:rPr>
        <w:t xml:space="preserve">  日</w:t>
      </w:r>
      <w:r/>
    </w:p>
    <w:p>
      <w:pPr>
        <w:pStyle w:val="854"/>
        <w:spacing w:line="360" w:lineRule="auto"/>
        <w:rPr>
          <w:rFonts w:hint="eastAsia" w:ascii="宋体" w:hAnsi="宋体" w:eastAsia="宋体" w:cs="仿宋"/>
          <w:b/>
          <w:color w:val="000000" w:themeColor="text1"/>
          <w:sz w:val="30"/>
          <w:szCs w:val="30"/>
        </w:rPr>
      </w:pPr>
      <w:r>
        <w:rPr>
          <w:rFonts w:hint="eastAsia" w:ascii="宋体" w:hAnsi="宋体" w:eastAsia="宋体" w:cs="仿宋"/>
          <w:b/>
          <w:color w:val="000000" w:themeColor="text1"/>
          <w:sz w:val="30"/>
          <w:szCs w:val="30"/>
        </w:rPr>
      </w:r>
      <w:r/>
    </w:p>
    <w:p>
      <w:pPr>
        <w:spacing w:line="360" w:lineRule="auto"/>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pStyle w:val="854"/>
        <w:spacing w:line="360" w:lineRule="auto"/>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spacing w:line="360" w:lineRule="auto"/>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jc w:val="center"/>
        <w:keepNext/>
        <w:spacing w:line="360" w:lineRule="auto"/>
        <w:rPr>
          <w:rFonts w:eastAsia="黑体"/>
          <w:bCs/>
          <w:sz w:val="44"/>
          <w:szCs w:val="28"/>
        </w:rPr>
        <w:outlineLvl w:val="0"/>
      </w:pPr>
      <w:r>
        <w:rPr>
          <w:rFonts w:hint="eastAsia" w:eastAsia="黑体"/>
          <w:bCs/>
          <w:sz w:val="44"/>
          <w:szCs w:val="28"/>
        </w:rPr>
        <w:t xml:space="preserve">第六章</w:t>
      </w:r>
      <w:r>
        <w:rPr>
          <w:rFonts w:hint="eastAsia" w:eastAsia="黑体"/>
          <w:bCs/>
          <w:sz w:val="44"/>
          <w:szCs w:val="28"/>
        </w:rPr>
        <w:t xml:space="preserve">  </w:t>
      </w:r>
      <w:r>
        <w:rPr>
          <w:rFonts w:hint="eastAsia" w:eastAsia="黑体"/>
          <w:bCs/>
          <w:sz w:val="44"/>
          <w:szCs w:val="28"/>
        </w:rPr>
        <w:t xml:space="preserve">投标文件格式</w:t>
      </w:r>
      <w:r>
        <w:rPr>
          <w:rFonts w:hint="eastAsia" w:eastAsia="黑体"/>
          <w:bCs/>
          <w:sz w:val="44"/>
          <w:szCs w:val="28"/>
        </w:rPr>
        <w:t xml:space="preserve"> </w:t>
      </w:r>
      <w:r/>
    </w:p>
    <w:p>
      <w:pPr>
        <w:jc w:val="center"/>
        <w:spacing w:line="360" w:lineRule="auto"/>
        <w:rPr>
          <w:rFonts w:eastAsia="宋体"/>
          <w:b/>
          <w:sz w:val="72"/>
          <w:szCs w:val="21"/>
        </w:rPr>
      </w:pPr>
      <w:r/>
      <w:bookmarkStart w:id="48" w:name="_Hlt26955039"/>
      <w:r/>
      <w:bookmarkStart w:id="49" w:name="_Hlt26671244"/>
      <w:r/>
      <w:bookmarkStart w:id="50" w:name="_Toc26554094"/>
      <w:r/>
      <w:bookmarkStart w:id="51" w:name="_Toc120614282"/>
      <w:r/>
      <w:bookmarkStart w:id="52" w:name="_Toc49090576"/>
      <w:r/>
      <w:bookmarkEnd w:id="48"/>
      <w:r/>
      <w:bookmarkEnd w:id="49"/>
      <w:r/>
      <w:r/>
    </w:p>
    <w:p>
      <w:pPr>
        <w:jc w:val="center"/>
        <w:spacing w:line="360" w:lineRule="auto"/>
        <w:rPr>
          <w:rFonts w:eastAsia="宋体"/>
          <w:b/>
          <w:sz w:val="72"/>
          <w:szCs w:val="21"/>
        </w:rPr>
      </w:pPr>
      <w:r>
        <w:rPr>
          <w:rFonts w:hint="eastAsia" w:eastAsia="宋体"/>
          <w:b/>
          <w:sz w:val="72"/>
          <w:szCs w:val="21"/>
        </w:rPr>
        <w:t xml:space="preserve">投</w:t>
      </w:r>
      <w:r>
        <w:rPr>
          <w:rFonts w:hint="eastAsia" w:eastAsia="宋体"/>
          <w:b/>
          <w:sz w:val="72"/>
          <w:szCs w:val="21"/>
        </w:rPr>
        <w:t xml:space="preserve">  </w:t>
      </w:r>
      <w:r>
        <w:rPr>
          <w:rFonts w:hint="eastAsia" w:eastAsia="宋体"/>
          <w:b/>
          <w:sz w:val="72"/>
          <w:szCs w:val="21"/>
        </w:rPr>
        <w:t xml:space="preserve">标</w:t>
      </w:r>
      <w:r>
        <w:rPr>
          <w:rFonts w:hint="eastAsia" w:eastAsia="宋体"/>
          <w:b/>
          <w:sz w:val="72"/>
          <w:szCs w:val="21"/>
        </w:rPr>
        <w:t xml:space="preserve">  </w:t>
      </w:r>
      <w:r>
        <w:rPr>
          <w:rFonts w:hint="eastAsia" w:eastAsia="宋体"/>
          <w:b/>
          <w:sz w:val="72"/>
          <w:szCs w:val="21"/>
        </w:rPr>
        <w:t xml:space="preserve">文</w:t>
      </w:r>
      <w:r>
        <w:rPr>
          <w:rFonts w:hint="eastAsia" w:eastAsia="宋体"/>
          <w:b/>
          <w:sz w:val="72"/>
          <w:szCs w:val="21"/>
        </w:rPr>
        <w:t xml:space="preserve">  </w:t>
      </w:r>
      <w:r>
        <w:rPr>
          <w:rFonts w:hint="eastAsia" w:eastAsia="宋体"/>
          <w:b/>
          <w:sz w:val="72"/>
          <w:szCs w:val="21"/>
        </w:rPr>
        <w:t xml:space="preserve">件</w:t>
      </w:r>
      <w:r/>
    </w:p>
    <w:p>
      <w:pPr>
        <w:jc w:val="center"/>
        <w:spacing w:line="360" w:lineRule="auto"/>
        <w:rPr>
          <w:rFonts w:eastAsia="宋体"/>
          <w:b/>
          <w:sz w:val="72"/>
          <w:szCs w:val="21"/>
        </w:rPr>
      </w:pPr>
      <w:r>
        <w:rPr>
          <w:rFonts w:eastAsia="宋体"/>
          <w:b/>
          <w:sz w:val="72"/>
          <w:szCs w:val="21"/>
        </w:rPr>
      </w:r>
      <w:r/>
    </w:p>
    <w:p>
      <w:pPr>
        <w:jc w:val="center"/>
        <w:spacing w:line="360" w:lineRule="auto"/>
        <w:rPr>
          <w:rFonts w:eastAsia="宋体"/>
          <w:b/>
          <w:sz w:val="72"/>
          <w:szCs w:val="21"/>
        </w:rPr>
      </w:pPr>
      <w:r>
        <w:rPr>
          <w:rFonts w:eastAsia="宋体"/>
          <w:b/>
          <w:sz w:val="72"/>
          <w:szCs w:val="21"/>
        </w:rPr>
      </w:r>
      <w:r/>
    </w:p>
    <w:p>
      <w:pPr>
        <w:jc w:val="center"/>
        <w:spacing w:line="360" w:lineRule="auto"/>
        <w:rPr>
          <w:rFonts w:eastAsia="宋体"/>
          <w:b/>
          <w:sz w:val="36"/>
          <w:szCs w:val="21"/>
        </w:rPr>
      </w:pPr>
      <w:r>
        <w:rPr>
          <w:rFonts w:eastAsia="宋体"/>
          <w:b/>
          <w:sz w:val="36"/>
          <w:szCs w:val="21"/>
        </w:rPr>
      </w:r>
      <w:r/>
    </w:p>
    <w:p>
      <w:pPr>
        <w:jc w:val="center"/>
        <w:spacing w:line="360" w:lineRule="auto"/>
        <w:rPr>
          <w:rFonts w:eastAsia="宋体"/>
          <w:b/>
          <w:sz w:val="36"/>
          <w:szCs w:val="21"/>
        </w:rPr>
      </w:pPr>
      <w:r>
        <w:rPr>
          <w:rFonts w:eastAsia="宋体"/>
          <w:b/>
          <w:sz w:val="36"/>
          <w:szCs w:val="21"/>
        </w:rPr>
      </w:r>
      <w:r/>
    </w:p>
    <w:p>
      <w:pPr>
        <w:jc w:val="center"/>
        <w:spacing w:line="360" w:lineRule="auto"/>
        <w:rPr>
          <w:rFonts w:eastAsia="宋体"/>
          <w:b/>
          <w:sz w:val="36"/>
          <w:szCs w:val="21"/>
        </w:rPr>
      </w:pPr>
      <w:r>
        <w:rPr>
          <w:rFonts w:eastAsia="宋体"/>
          <w:b/>
          <w:sz w:val="36"/>
          <w:szCs w:val="21"/>
        </w:rPr>
      </w:r>
      <w:r/>
    </w:p>
    <w:p>
      <w:pPr>
        <w:ind w:firstLine="1084"/>
        <w:spacing w:line="360" w:lineRule="auto"/>
        <w:rPr>
          <w:rFonts w:eastAsia="宋体"/>
          <w:b/>
          <w:sz w:val="36"/>
          <w:szCs w:val="21"/>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名</w:t>
      </w:r>
      <w:r>
        <w:rPr>
          <w:rFonts w:hint="eastAsia" w:eastAsia="宋体"/>
          <w:b/>
          <w:sz w:val="36"/>
          <w:szCs w:val="21"/>
        </w:rPr>
        <w:t xml:space="preserve"> </w:t>
      </w:r>
      <w:r>
        <w:rPr>
          <w:rFonts w:hint="eastAsia" w:eastAsia="宋体"/>
          <w:b/>
          <w:sz w:val="36"/>
          <w:szCs w:val="21"/>
        </w:rPr>
        <w:t xml:space="preserve">称：</w:t>
      </w:r>
      <w:r>
        <w:rPr>
          <w:rFonts w:hint="eastAsia" w:eastAsia="宋体"/>
          <w:b/>
          <w:sz w:val="36"/>
          <w:szCs w:val="21"/>
          <w:u w:val="single"/>
        </w:rPr>
        <w:t xml:space="preserve">               </w:t>
      </w:r>
      <w:r/>
    </w:p>
    <w:p>
      <w:pPr>
        <w:ind w:firstLine="1084"/>
        <w:spacing w:line="360" w:lineRule="auto"/>
        <w:rPr>
          <w:rFonts w:eastAsia="宋体"/>
          <w:b/>
          <w:sz w:val="36"/>
          <w:szCs w:val="21"/>
          <w:u w:val="single"/>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编</w:t>
      </w:r>
      <w:r>
        <w:rPr>
          <w:rFonts w:hint="eastAsia" w:eastAsia="宋体"/>
          <w:b/>
          <w:sz w:val="36"/>
          <w:szCs w:val="21"/>
        </w:rPr>
        <w:t xml:space="preserve"> </w:t>
      </w:r>
      <w:r>
        <w:rPr>
          <w:rFonts w:hint="eastAsia" w:eastAsia="宋体"/>
          <w:b/>
          <w:sz w:val="36"/>
          <w:szCs w:val="21"/>
        </w:rPr>
        <w:t xml:space="preserve">号：</w:t>
      </w:r>
      <w:r>
        <w:rPr>
          <w:rFonts w:hint="eastAsia" w:eastAsia="宋体"/>
          <w:b/>
          <w:sz w:val="36"/>
          <w:szCs w:val="21"/>
          <w:u w:val="single"/>
        </w:rPr>
        <w:t xml:space="preserve">               </w:t>
      </w:r>
      <w:r/>
    </w:p>
    <w:p>
      <w:pPr>
        <w:spacing w:line="360" w:lineRule="auto"/>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投标人名称</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（加盖</w:t>
      </w:r>
      <w:r>
        <w:rPr>
          <w:rFonts w:hint="eastAsia" w:eastAsia="宋体"/>
          <w:b/>
          <w:sz w:val="36"/>
          <w:szCs w:val="21"/>
          <w:u w:val="single"/>
        </w:rPr>
        <w:t xml:space="preserve">CA</w:t>
      </w:r>
      <w:r>
        <w:rPr>
          <w:rFonts w:hint="eastAsia" w:eastAsia="宋体"/>
          <w:b/>
          <w:sz w:val="36"/>
          <w:szCs w:val="21"/>
          <w:u w:val="single"/>
        </w:rPr>
        <w:t xml:space="preserve">电子公章）</w:t>
      </w:r>
      <w:r/>
    </w:p>
    <w:p>
      <w:pPr>
        <w:spacing w:line="360" w:lineRule="auto"/>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日</w:t>
      </w:r>
      <w:r>
        <w:rPr>
          <w:rFonts w:hint="eastAsia" w:eastAsia="宋体"/>
          <w:b/>
          <w:sz w:val="36"/>
          <w:szCs w:val="21"/>
        </w:rPr>
        <w:t xml:space="preserve">      </w:t>
      </w:r>
      <w:r>
        <w:rPr>
          <w:rFonts w:hint="eastAsia" w:eastAsia="宋体"/>
          <w:b/>
          <w:sz w:val="36"/>
          <w:szCs w:val="21"/>
        </w:rPr>
        <w:t xml:space="preserve">期</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               </w:t>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bCs/>
          <w:sz w:val="32"/>
          <w:szCs w:val="32"/>
        </w:rPr>
      </w:pPr>
      <w:r>
        <w:rPr>
          <w:rFonts w:hint="eastAsia" w:eastAsia="宋体"/>
          <w:b/>
          <w:bCs/>
          <w:sz w:val="32"/>
          <w:szCs w:val="32"/>
        </w:rPr>
        <w:t xml:space="preserve">投标文件目录</w:t>
      </w:r>
      <w:r/>
    </w:p>
    <w:p>
      <w:pPr>
        <w:jc w:val="center"/>
        <w:spacing w:line="360" w:lineRule="auto"/>
        <w:rPr>
          <w:rFonts w:eastAsia="宋体"/>
          <w:b/>
          <w:bCs/>
          <w:sz w:val="32"/>
          <w:szCs w:val="32"/>
        </w:rPr>
      </w:pPr>
      <w:r>
        <w:rPr>
          <w:rFonts w:eastAsia="宋体"/>
          <w:b/>
          <w:bCs/>
          <w:sz w:val="32"/>
          <w:szCs w:val="32"/>
        </w:rPr>
      </w:r>
      <w:r/>
    </w:p>
    <w:p>
      <w:pPr>
        <w:ind w:firstLine="560"/>
        <w:spacing w:line="360" w:lineRule="auto"/>
        <w:rPr>
          <w:rFonts w:eastAsia="宋体" w:cs="宋体"/>
          <w:sz w:val="28"/>
          <w:szCs w:val="28"/>
        </w:rPr>
      </w:pPr>
      <w:r>
        <w:rPr>
          <w:rFonts w:hint="eastAsia" w:eastAsia="宋体" w:cs="宋体"/>
          <w:sz w:val="28"/>
          <w:szCs w:val="28"/>
        </w:rPr>
        <w:t xml:space="preserve">一、投标声明及承诺函</w:t>
      </w:r>
      <w:r/>
    </w:p>
    <w:p>
      <w:pPr>
        <w:ind w:firstLine="560"/>
        <w:spacing w:line="360" w:lineRule="auto"/>
        <w:rPr>
          <w:rFonts w:eastAsia="宋体" w:cs="宋体"/>
          <w:sz w:val="28"/>
          <w:szCs w:val="28"/>
        </w:rPr>
      </w:pPr>
      <w:r>
        <w:rPr>
          <w:rFonts w:hint="eastAsia" w:eastAsia="宋体" w:cs="宋体"/>
          <w:sz w:val="28"/>
          <w:szCs w:val="28"/>
        </w:rPr>
        <w:t xml:space="preserve">二、投标人基本情况</w:t>
      </w:r>
      <w:r/>
    </w:p>
    <w:p>
      <w:pPr>
        <w:ind w:firstLine="560"/>
        <w:spacing w:line="360" w:lineRule="auto"/>
        <w:rPr>
          <w:rFonts w:eastAsia="宋体" w:cs="宋体"/>
          <w:sz w:val="28"/>
          <w:szCs w:val="28"/>
        </w:rPr>
      </w:pPr>
      <w:r>
        <w:rPr>
          <w:rFonts w:hint="eastAsia" w:eastAsia="宋体" w:cs="宋体"/>
          <w:sz w:val="28"/>
          <w:szCs w:val="28"/>
        </w:rPr>
        <w:t xml:space="preserve">三、满足特定资格要求的证明文件（如果设置特定资格要求，则需要提供）</w:t>
      </w:r>
      <w:r/>
    </w:p>
    <w:p>
      <w:pPr>
        <w:ind w:firstLine="560"/>
        <w:spacing w:line="360" w:lineRule="auto"/>
        <w:rPr>
          <w:rFonts w:eastAsia="宋体" w:cs="宋体"/>
          <w:sz w:val="28"/>
          <w:szCs w:val="28"/>
        </w:rPr>
      </w:pPr>
      <w:r>
        <w:rPr>
          <w:rFonts w:hint="eastAsia" w:eastAsia="宋体" w:cs="宋体"/>
          <w:sz w:val="28"/>
          <w:szCs w:val="28"/>
        </w:rPr>
        <w:t xml:space="preserve">四、法人授权书</w:t>
      </w:r>
      <w:r/>
    </w:p>
    <w:p>
      <w:pPr>
        <w:ind w:firstLine="560"/>
        <w:spacing w:line="360" w:lineRule="auto"/>
        <w:rPr>
          <w:rFonts w:eastAsia="宋体" w:cs="宋体"/>
          <w:sz w:val="28"/>
          <w:szCs w:val="28"/>
        </w:rPr>
      </w:pPr>
      <w:r>
        <w:rPr>
          <w:rFonts w:hint="eastAsia" w:eastAsia="宋体" w:cs="宋体"/>
          <w:sz w:val="28"/>
          <w:szCs w:val="28"/>
        </w:rPr>
        <w:t xml:space="preserve">五、开标一览表</w:t>
      </w:r>
      <w:r/>
    </w:p>
    <w:p>
      <w:pPr>
        <w:ind w:firstLine="560"/>
        <w:spacing w:line="360" w:lineRule="auto"/>
        <w:rPr>
          <w:rFonts w:eastAsia="宋体" w:cs="宋体"/>
          <w:sz w:val="28"/>
          <w:szCs w:val="28"/>
        </w:rPr>
      </w:pPr>
      <w:r>
        <w:rPr>
          <w:rFonts w:hint="eastAsia" w:eastAsia="宋体" w:cs="宋体"/>
          <w:sz w:val="28"/>
          <w:szCs w:val="28"/>
        </w:rPr>
        <w:t xml:space="preserve">六、投标报价明细表</w:t>
      </w:r>
      <w:r/>
    </w:p>
    <w:p>
      <w:pPr>
        <w:ind w:firstLine="560"/>
        <w:spacing w:line="360" w:lineRule="auto"/>
        <w:rPr>
          <w:rFonts w:eastAsia="宋体" w:cs="宋体"/>
          <w:sz w:val="28"/>
          <w:szCs w:val="28"/>
        </w:rPr>
      </w:pPr>
      <w:r>
        <w:rPr>
          <w:rFonts w:hint="eastAsia" w:eastAsia="宋体" w:cs="宋体"/>
          <w:sz w:val="28"/>
          <w:szCs w:val="28"/>
        </w:rPr>
        <w:t xml:space="preserve">七、中小企业声明函</w:t>
      </w:r>
      <w:r/>
    </w:p>
    <w:p>
      <w:pPr>
        <w:ind w:firstLine="560"/>
        <w:spacing w:line="360" w:lineRule="auto"/>
        <w:rPr>
          <w:rFonts w:eastAsia="宋体" w:cs="宋体"/>
          <w:sz w:val="28"/>
          <w:szCs w:val="28"/>
        </w:rPr>
      </w:pPr>
      <w:r>
        <w:rPr>
          <w:rFonts w:hint="eastAsia" w:eastAsia="宋体" w:cs="宋体"/>
          <w:sz w:val="28"/>
          <w:szCs w:val="28"/>
        </w:rPr>
        <w:t xml:space="preserve">八、技术要求响应及偏离表</w:t>
      </w:r>
      <w:r/>
    </w:p>
    <w:p>
      <w:pPr>
        <w:ind w:firstLine="560"/>
        <w:spacing w:line="360" w:lineRule="auto"/>
        <w:rPr>
          <w:rFonts w:eastAsia="宋体" w:cs="宋体"/>
          <w:sz w:val="28"/>
          <w:szCs w:val="28"/>
        </w:rPr>
      </w:pPr>
      <w:r>
        <w:rPr>
          <w:rFonts w:hint="eastAsia" w:eastAsia="宋体" w:cs="宋体"/>
          <w:sz w:val="28"/>
          <w:szCs w:val="28"/>
        </w:rPr>
        <w:t xml:space="preserve">九、项目组成员</w:t>
      </w:r>
      <w:r/>
    </w:p>
    <w:p>
      <w:pPr>
        <w:ind w:firstLine="560"/>
        <w:spacing w:line="360" w:lineRule="auto"/>
        <w:rPr>
          <w:rFonts w:eastAsia="宋体" w:cs="宋体"/>
          <w:sz w:val="28"/>
          <w:szCs w:val="28"/>
        </w:rPr>
      </w:pPr>
      <w:r>
        <w:rPr>
          <w:rFonts w:hint="eastAsia" w:eastAsia="宋体" w:cs="宋体"/>
          <w:sz w:val="28"/>
          <w:szCs w:val="28"/>
        </w:rPr>
        <w:t xml:space="preserve">十、企业业绩</w:t>
      </w:r>
      <w:r/>
    </w:p>
    <w:p>
      <w:pPr>
        <w:ind w:firstLine="560"/>
        <w:spacing w:line="360" w:lineRule="auto"/>
        <w:rPr>
          <w:rFonts w:eastAsia="宋体" w:cs="宋体"/>
          <w:sz w:val="28"/>
          <w:szCs w:val="28"/>
        </w:rPr>
      </w:pPr>
      <w:r>
        <w:rPr>
          <w:rFonts w:hint="eastAsia" w:eastAsia="宋体" w:cs="宋体"/>
          <w:sz w:val="28"/>
          <w:szCs w:val="28"/>
        </w:rPr>
        <w:t xml:space="preserve">十一、投标所需其他材料</w:t>
      </w:r>
      <w:r/>
    </w:p>
    <w:p>
      <w:pPr>
        <w:pStyle w:val="824"/>
        <w:spacing w:line="360" w:lineRule="auto"/>
        <w:rPr>
          <w:rFonts w:hint="eastAsia" w:asciiTheme="minorEastAsia" w:hAnsiTheme="minorEastAsia" w:eastAsiaTheme="minorEastAsia"/>
          <w:szCs w:val="28"/>
        </w:rPr>
      </w:pPr>
      <w:r>
        <w:rPr>
          <w:rFonts w:hint="eastAsia"/>
        </w:rPr>
        <w:t xml:space="preserve">    </w:t>
      </w:r>
      <w:r>
        <w:rPr>
          <w:rFonts w:hint="eastAsia" w:asciiTheme="minorEastAsia" w:hAnsiTheme="minorEastAsia" w:eastAsiaTheme="minorEastAsia"/>
          <w:szCs w:val="28"/>
        </w:rPr>
        <w:t xml:space="preserve">十二、资格证明文件参考格式</w:t>
      </w:r>
      <w:r/>
    </w:p>
    <w:p>
      <w:pPr>
        <w:jc w:val="left"/>
        <w:spacing w:before="120" w:after="120" w:line="360" w:lineRule="auto"/>
        <w:tabs>
          <w:tab w:val="right" w:pos="8720" w:leader="dot"/>
        </w:tabs>
        <w:rPr>
          <w:rFonts w:eastAsia="宋体"/>
          <w:sz w:val="24"/>
          <w:szCs w:val="24"/>
        </w:rPr>
      </w:pPr>
      <w:r>
        <w:rPr>
          <w:rFonts w:eastAsia="宋体"/>
          <w:sz w:val="24"/>
          <w:szCs w:val="24"/>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jc w:val="left"/>
        <w:spacing w:line="360" w:lineRule="auto"/>
        <w:widowControl/>
        <w:rPr>
          <w:rFonts w:eastAsia="Times New Roman"/>
          <w:sz w:val="24"/>
          <w:szCs w:val="24"/>
        </w:rPr>
      </w:pPr>
      <w:r/>
      <w:bookmarkStart w:id="53" w:name="_Toc23838"/>
      <w:r/>
      <w:r/>
    </w:p>
    <w:p>
      <w:pPr>
        <w:jc w:val="left"/>
        <w:spacing w:line="360" w:lineRule="auto"/>
        <w:widowControl/>
        <w:rPr>
          <w:rFonts w:eastAsia="Times New Roman"/>
          <w:sz w:val="24"/>
          <w:szCs w:val="24"/>
        </w:rPr>
      </w:pPr>
      <w:r>
        <w:rPr>
          <w:rFonts w:eastAsia="Times New Roman"/>
          <w:sz w:val="24"/>
          <w:szCs w:val="24"/>
        </w:rPr>
      </w:r>
      <w:r/>
    </w:p>
    <w:p>
      <w:pPr>
        <w:jc w:val="left"/>
        <w:spacing w:line="360" w:lineRule="auto"/>
        <w:widowControl/>
        <w:rPr>
          <w:rFonts w:eastAsia="Times New Roman"/>
          <w:sz w:val="24"/>
          <w:szCs w:val="24"/>
        </w:rPr>
      </w:pPr>
      <w:r>
        <w:rPr>
          <w:rFonts w:eastAsia="Times New Roman"/>
          <w:sz w:val="24"/>
          <w:szCs w:val="24"/>
        </w:rPr>
      </w:r>
      <w:r/>
    </w:p>
    <w:p>
      <w:pPr>
        <w:jc w:val="left"/>
        <w:spacing w:line="360" w:lineRule="auto"/>
        <w:widowControl/>
        <w:rPr>
          <w:rFonts w:eastAsia="Times New Roman"/>
          <w:sz w:val="24"/>
          <w:szCs w:val="24"/>
        </w:rPr>
      </w:pPr>
      <w:r>
        <w:rPr>
          <w:rFonts w:eastAsia="Times New Roman"/>
          <w:sz w:val="24"/>
          <w:szCs w:val="24"/>
        </w:rPr>
        <w:br w:type="page" w:clear="all"/>
      </w:r>
      <w:bookmarkEnd w:id="53"/>
      <w:r/>
      <w:r/>
    </w:p>
    <w:p>
      <w:pPr>
        <w:spacing w:line="360" w:lineRule="auto"/>
        <w:rPr>
          <w:rFonts w:hint="eastAsia" w:ascii="宋体" w:hAnsi="宋体" w:eastAsia="宋体"/>
          <w:b/>
          <w:sz w:val="32"/>
          <w:szCs w:val="32"/>
        </w:rPr>
      </w:pPr>
      <w:r>
        <w:rPr>
          <w:rFonts w:hint="eastAsia" w:ascii="宋体" w:hAnsi="宋体" w:eastAsia="宋体"/>
          <w:b/>
          <w:sz w:val="32"/>
          <w:szCs w:val="32"/>
        </w:rPr>
        <w:t xml:space="preserve">一、</w:t>
      </w:r>
      <w:bookmarkStart w:id="54" w:name="_Toc120614284"/>
      <w:r/>
      <w:bookmarkEnd w:id="50"/>
      <w:r/>
      <w:bookmarkEnd w:id="51"/>
      <w:r/>
      <w:bookmarkEnd w:id="52"/>
      <w:r>
        <w:rPr>
          <w:rFonts w:hint="eastAsia" w:ascii="宋体" w:hAnsi="宋体" w:eastAsia="宋体"/>
          <w:b/>
          <w:sz w:val="32"/>
          <w:szCs w:val="32"/>
        </w:rPr>
        <w:t xml:space="preserve">投标声明及承诺函</w:t>
      </w:r>
      <w:r/>
    </w:p>
    <w:p>
      <w:pPr>
        <w:jc w:val="left"/>
        <w:spacing w:line="360" w:lineRule="auto"/>
        <w:rPr>
          <w:rFonts w:hint="eastAsia" w:ascii="宋体" w:hAnsi="宋体" w:eastAsia="宋体"/>
          <w:sz w:val="24"/>
          <w:szCs w:val="24"/>
          <w:u w:val="single"/>
        </w:rPr>
      </w:pPr>
      <w:r>
        <w:rPr>
          <w:rFonts w:hint="eastAsia" w:ascii="宋体" w:hAnsi="宋体" w:eastAsia="宋体"/>
          <w:sz w:val="24"/>
          <w:szCs w:val="24"/>
          <w:u w:val="single"/>
        </w:rPr>
        <w:t xml:space="preserve">（采购单位名称）：</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根据已收到的项目编号为</w:t>
      </w:r>
      <w:r>
        <w:rPr>
          <w:rFonts w:hint="eastAsia" w:ascii="宋体" w:hAnsi="宋体" w:eastAsia="宋体"/>
          <w:sz w:val="24"/>
          <w:szCs w:val="24"/>
          <w:u w:val="single"/>
        </w:rPr>
        <w:t xml:space="preserve">        </w:t>
      </w:r>
      <w:r>
        <w:rPr>
          <w:rFonts w:hint="eastAsia" w:ascii="宋体" w:hAnsi="宋体" w:eastAsia="宋体"/>
          <w:sz w:val="24"/>
          <w:szCs w:val="24"/>
        </w:rPr>
        <w:t xml:space="preserve">的</w:t>
      </w:r>
      <w:r>
        <w:rPr>
          <w:rFonts w:hint="eastAsia" w:ascii="宋体" w:hAnsi="宋体" w:eastAsia="宋体"/>
          <w:sz w:val="24"/>
          <w:szCs w:val="24"/>
          <w:u w:val="single"/>
        </w:rPr>
        <w:t xml:space="preserve">         </w:t>
      </w:r>
      <w:r>
        <w:rPr>
          <w:rFonts w:hint="eastAsia" w:ascii="宋体" w:hAnsi="宋体" w:eastAsia="宋体"/>
          <w:sz w:val="24"/>
          <w:szCs w:val="24"/>
        </w:rPr>
        <w:t xml:space="preserve">项目的招标文件，我方在参加本项目招投标活动中，特做出如下承诺：</w:t>
      </w:r>
      <w:r/>
    </w:p>
    <w:p>
      <w:pPr>
        <w:ind w:firstLine="480"/>
        <w:jc w:val="left"/>
        <w:spacing w:line="360" w:lineRule="auto"/>
        <w:rPr>
          <w:rFonts w:hint="eastAsia" w:ascii="宋体" w:hAnsi="宋体" w:eastAsia="宋体"/>
          <w:sz w:val="24"/>
          <w:szCs w:val="22"/>
        </w:rPr>
      </w:pPr>
      <w:r>
        <w:rPr>
          <w:rFonts w:hint="eastAsia" w:ascii="宋体" w:hAnsi="宋体" w:eastAsia="宋体"/>
          <w:sz w:val="24"/>
          <w:szCs w:val="24"/>
        </w:rPr>
        <w:t xml:space="preserve">一、我方</w:t>
      </w:r>
      <w:r>
        <w:rPr>
          <w:rFonts w:ascii="宋体" w:hAnsi="宋体" w:eastAsia="宋体"/>
          <w:sz w:val="24"/>
          <w:szCs w:val="22"/>
        </w:rPr>
        <w:t xml:space="preserve">具备《中华人民共和国政府采购法》第二十二条第一款规定的6项条件；</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三、我方按招标文件要求提交投标文件，响应招标文件规定的投标有效期；</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五、我方若违背本声明及承诺约定，经查实，自愿接受采购人及相关主管部门相应的规定处理，并依法承担相应的法律责任。</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六、我方同意采购人、采购代理机构将本声明及承诺函上网公开。</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r>
      <w:r/>
    </w:p>
    <w:p>
      <w:pPr>
        <w:jc w:val="left"/>
        <w:spacing w:line="360" w:lineRule="auto"/>
        <w:rPr>
          <w:rFonts w:hint="eastAsia" w:ascii="宋体" w:hAnsi="宋体" w:eastAsia="宋体"/>
          <w:sz w:val="24"/>
          <w:szCs w:val="24"/>
        </w:rPr>
      </w:pPr>
      <w:r>
        <w:rPr>
          <w:rFonts w:hint="eastAsia" w:ascii="宋体" w:hAnsi="宋体" w:eastAsia="宋体"/>
          <w:sz w:val="24"/>
          <w:szCs w:val="24"/>
        </w:rPr>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投标人名称： </w:t>
      </w:r>
      <w:r>
        <w:rPr>
          <w:rFonts w:hint="eastAsia" w:ascii="宋体" w:hAnsi="宋体" w:eastAsia="宋体"/>
          <w:sz w:val="24"/>
          <w:szCs w:val="24"/>
          <w:u w:val="single"/>
        </w:rPr>
        <w:t xml:space="preserve">          </w:t>
      </w:r>
      <w:r>
        <w:rPr>
          <w:rFonts w:hint="eastAsia" w:ascii="宋体" w:hAnsi="宋体" w:eastAsia="宋体"/>
          <w:sz w:val="24"/>
          <w:szCs w:val="24"/>
        </w:rPr>
        <w:t xml:space="preserve">（加盖CA电子公章）</w:t>
      </w:r>
      <w:r/>
    </w:p>
    <w:p>
      <w:pPr>
        <w:ind w:firstLine="480"/>
        <w:spacing w:line="360" w:lineRule="auto"/>
        <w:rPr>
          <w:rFonts w:hint="eastAsia" w:ascii="宋体" w:hAnsi="宋体" w:eastAsia="宋体"/>
          <w:sz w:val="21"/>
          <w:szCs w:val="22"/>
        </w:rPr>
      </w:pPr>
      <w:r>
        <w:rPr>
          <w:rFonts w:hint="eastAsia" w:ascii="宋体" w:hAnsi="宋体" w:eastAsia="宋体"/>
          <w:sz w:val="24"/>
          <w:szCs w:val="24"/>
        </w:rPr>
        <w:t xml:space="preserve">日期：    年    月   日</w:t>
      </w:r>
      <w:r/>
    </w:p>
    <w:p>
      <w:pPr>
        <w:jc w:val="left"/>
        <w:spacing w:line="360" w:lineRule="auto"/>
        <w:widowControl/>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b/>
          <w:sz w:val="32"/>
          <w:szCs w:val="32"/>
        </w:rPr>
        <w:t xml:space="preserve">二、投标人基本情况</w:t>
      </w:r>
      <w:r/>
    </w:p>
    <w:p>
      <w:pPr>
        <w:jc w:val="center"/>
        <w:spacing w:line="360" w:lineRule="auto"/>
        <w:rPr>
          <w:rFonts w:hint="eastAsia" w:ascii="宋体" w:hAnsi="宋体" w:eastAsia="宋体"/>
          <w:sz w:val="44"/>
          <w:szCs w:val="44"/>
        </w:rPr>
      </w:pPr>
      <w:r>
        <w:rPr>
          <w:rFonts w:hint="eastAsia" w:ascii="宋体" w:hAnsi="宋体" w:eastAsia="宋体"/>
          <w:sz w:val="44"/>
          <w:szCs w:val="44"/>
        </w:rPr>
        <w:t xml:space="preserve">投标人基本情况表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投标人名称</w:t>
            </w:r>
            <w:r/>
          </w:p>
        </w:tc>
        <w:tc>
          <w:tcPr>
            <w:gridSpan w:val="3"/>
            <w:tcW w:w="699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法定代表人</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注册地区</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地址</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邮政编码</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成立时间</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单位性质</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注册号或社会信用代码</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注册资本（万元）</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投标人类别</w:t>
            </w:r>
            <w:r/>
          </w:p>
        </w:tc>
        <w:tc>
          <w:tcPr>
            <w:gridSpan w:val="3"/>
            <w:tcW w:w="699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开户银行</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账号</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联系人</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联系电话</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rHeight w:val="2376"/>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经营范围</w:t>
            </w:r>
            <w:r/>
          </w:p>
        </w:tc>
        <w:tc>
          <w:tcPr>
            <w:gridSpan w:val="3"/>
            <w:tcW w:w="6998" w:type="dxa"/>
            <w:textDirection w:val="lrTb"/>
            <w:noWrap w:val="false"/>
          </w:tcPr>
          <w:p>
            <w:pPr>
              <w:ind w:firstLine="1432"/>
              <w:spacing w:line="360" w:lineRule="auto"/>
              <w:rPr>
                <w:rFonts w:hint="eastAsia" w:ascii="宋体" w:hAnsi="宋体" w:eastAsia="宋体"/>
                <w:sz w:val="24"/>
                <w:szCs w:val="24"/>
              </w:rPr>
            </w:pPr>
            <w:r>
              <w:rPr>
                <w:rFonts w:hint="eastAsia" w:ascii="宋体" w:hAnsi="宋体" w:eastAsia="宋体"/>
                <w:sz w:val="24"/>
                <w:szCs w:val="24"/>
              </w:rPr>
            </w:r>
            <w:r/>
          </w:p>
        </w:tc>
      </w:tr>
      <w:tr>
        <w:trPr>
          <w:trHeight w:val="1134"/>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备注</w:t>
            </w:r>
            <w:r/>
          </w:p>
        </w:tc>
        <w:tc>
          <w:tcPr>
            <w:gridSpan w:val="3"/>
            <w:tcW w:w="699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无需提供营业执照等证明材料</w:t>
            </w:r>
            <w:r/>
          </w:p>
        </w:tc>
      </w:tr>
    </w:tbl>
    <w:p>
      <w:pPr>
        <w:ind w:firstLine="480"/>
        <w:spacing w:line="360" w:lineRule="auto"/>
        <w:rPr>
          <w:rFonts w:hint="eastAsia" w:ascii="宋体" w:hAnsi="宋体" w:eastAsia="宋体"/>
          <w:sz w:val="24"/>
          <w:szCs w:val="21"/>
        </w:rPr>
      </w:pPr>
      <w:r>
        <w:rPr>
          <w:rFonts w:hint="eastAsia" w:ascii="宋体" w:hAnsi="宋体" w:eastAsia="宋体"/>
          <w:sz w:val="24"/>
          <w:szCs w:val="21"/>
        </w:rPr>
      </w:r>
      <w:r/>
    </w:p>
    <w:p>
      <w:pPr>
        <w:ind w:firstLine="480"/>
        <w:spacing w:line="360" w:lineRule="auto"/>
        <w:rPr>
          <w:rFonts w:hint="eastAsia" w:ascii="宋体" w:hAnsi="宋体" w:eastAsia="宋体"/>
          <w:sz w:val="24"/>
          <w:szCs w:val="21"/>
        </w:rPr>
      </w:pPr>
      <w:r>
        <w:rPr>
          <w:rFonts w:hint="eastAsia" w:ascii="宋体" w:hAnsi="宋体" w:eastAsia="宋体"/>
          <w:sz w:val="24"/>
          <w:szCs w:val="21"/>
        </w:rPr>
      </w:r>
      <w:r/>
    </w:p>
    <w:p>
      <w:pPr>
        <w:ind w:firstLine="480"/>
        <w:spacing w:line="360" w:lineRule="auto"/>
        <w:rPr>
          <w:rFonts w:hint="eastAsia" w:ascii="宋体" w:hAnsi="宋体" w:eastAsia="宋体"/>
          <w:sz w:val="24"/>
          <w:szCs w:val="21"/>
        </w:rPr>
      </w:pPr>
      <w:r>
        <w:rPr>
          <w:rFonts w:hint="eastAsia" w:ascii="宋体" w:hAnsi="宋体" w:eastAsia="宋体"/>
          <w:sz w:val="24"/>
          <w:szCs w:val="21"/>
        </w:rPr>
      </w:r>
      <w:r/>
    </w:p>
    <w:p>
      <w:pP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spacing w:line="360" w:lineRule="auto"/>
        <w:rPr>
          <w:rFonts w:hint="eastAsia" w:ascii="宋体" w:hAnsi="宋体" w:eastAsia="宋体"/>
          <w:i/>
          <w:sz w:val="32"/>
          <w:szCs w:val="32"/>
          <w:u w:val="single"/>
        </w:rPr>
      </w:pPr>
      <w:r>
        <w:rPr>
          <w:rFonts w:ascii="宋体" w:hAnsi="宋体" w:eastAsia="宋体"/>
          <w:sz w:val="21"/>
          <w:szCs w:val="21"/>
        </w:rPr>
        <w:br w:type="page" w:clear="all"/>
      </w:r>
      <w:r>
        <w:rPr>
          <w:rFonts w:hint="eastAsia" w:ascii="宋体" w:hAnsi="宋体" w:eastAsia="宋体"/>
          <w:b/>
          <w:sz w:val="32"/>
          <w:szCs w:val="32"/>
        </w:rPr>
        <w:t xml:space="preserve">三、特定资格要求的证明文件</w:t>
      </w:r>
      <w:r/>
    </w:p>
    <w:p>
      <w:pPr>
        <w:spacing w:line="360" w:lineRule="auto"/>
        <w:rPr>
          <w:rFonts w:hint="eastAsia" w:ascii="宋体" w:hAnsi="宋体" w:eastAsia="宋体"/>
          <w:bCs/>
          <w:sz w:val="24"/>
          <w:szCs w:val="21"/>
        </w:rPr>
      </w:pPr>
      <w:r>
        <w:rPr>
          <w:rFonts w:hint="eastAsia" w:ascii="宋体" w:hAnsi="宋体" w:eastAsia="宋体"/>
          <w:sz w:val="24"/>
          <w:szCs w:val="21"/>
        </w:rPr>
        <w:t xml:space="preserve">    如果本项目申请人的特定资格要求中要求提供的，必须提供。</w:t>
      </w:r>
      <w:r/>
    </w:p>
    <w:p>
      <w:pPr>
        <w:spacing w:line="360" w:lineRule="auto"/>
        <w:rPr>
          <w:rFonts w:hint="eastAsia" w:ascii="宋体" w:hAnsi="宋体" w:eastAsia="宋体"/>
          <w:bCs/>
          <w:sz w:val="24"/>
          <w:szCs w:val="21"/>
        </w:rPr>
      </w:pPr>
      <w:r>
        <w:rPr>
          <w:rFonts w:hint="eastAsia" w:ascii="宋体" w:hAnsi="宋体" w:eastAsia="宋体"/>
          <w:bCs/>
          <w:sz w:val="24"/>
          <w:szCs w:val="21"/>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ind w:firstLine="640"/>
        <w:jc w:val="left"/>
        <w:spacing w:line="360" w:lineRule="auto"/>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ind w:firstLine="640"/>
        <w:jc w:val="left"/>
        <w:spacing w:line="360" w:lineRule="auto"/>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Theme="minorEastAsia" w:hAnsiTheme="minorEastAsia" w:eastAsiaTheme="minorEastAsia"/>
          <w:i/>
          <w:sz w:val="32"/>
          <w:szCs w:val="32"/>
          <w:u w:val="single"/>
        </w:rPr>
      </w:pPr>
      <w:r>
        <w:rPr>
          <w:rFonts w:hint="eastAsia" w:asciiTheme="minorEastAsia" w:hAnsiTheme="minorEastAsia" w:eastAsiaTheme="minorEastAsia"/>
          <w:i/>
          <w:sz w:val="32"/>
          <w:szCs w:val="32"/>
          <w:u w:val="single"/>
        </w:rPr>
      </w:r>
      <w:r/>
    </w:p>
    <w:p>
      <w:pPr>
        <w:pStyle w:val="824"/>
        <w:spacing w:line="360" w:lineRule="auto"/>
        <w:rPr>
          <w:rFonts w:hint="eastAsia" w:ascii="宋体" w:hAnsi="宋体" w:eastAsia="宋体"/>
        </w:rPr>
      </w:pPr>
      <w:r>
        <w:rPr>
          <w:rFonts w:hint="eastAsia" w:ascii="宋体" w:hAnsi="宋体" w:eastAsia="宋体"/>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spacing w:line="360" w:lineRule="auto"/>
        <w:rPr>
          <w:rFonts w:hint="eastAsia" w:ascii="宋体" w:hAnsi="宋体" w:eastAsia="宋体"/>
          <w:b/>
          <w:sz w:val="32"/>
          <w:szCs w:val="32"/>
        </w:rPr>
      </w:pPr>
      <w:r>
        <w:rPr>
          <w:rFonts w:hint="eastAsia" w:ascii="宋体" w:hAnsi="宋体" w:eastAsia="宋体"/>
          <w:b/>
          <w:sz w:val="32"/>
          <w:szCs w:val="32"/>
        </w:rPr>
        <w:t xml:space="preserve">四、法人授权书</w:t>
      </w:r>
      <w:r/>
    </w:p>
    <w:p>
      <w:pPr>
        <w:ind w:firstLine="48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本授权书声明：____________（投标人名称）授权________________（被授权人的姓名）为我方就JSZC-</w:t>
      </w:r>
      <w:r>
        <w:rPr>
          <w:rFonts w:hint="eastAsia" w:ascii="宋体" w:hAnsi="宋体" w:eastAsia="宋体"/>
          <w:sz w:val="24"/>
          <w:szCs w:val="24"/>
          <w:u w:val="single"/>
        </w:rPr>
        <w:t xml:space="preserve">        </w:t>
      </w:r>
      <w:r>
        <w:rPr>
          <w:rFonts w:hint="eastAsia" w:ascii="宋体" w:hAnsi="宋体" w:eastAsia="宋体"/>
          <w:sz w:val="24"/>
          <w:szCs w:val="24"/>
        </w:rPr>
        <w:t xml:space="preserve">号项目采购活动的合法代理人，以本单位名义全权处理一切与该项目采购有关的事务。</w:t>
      </w:r>
      <w:r/>
    </w:p>
    <w:p>
      <w:pPr>
        <w:ind w:firstLine="48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本授权书于______年____月____日起生效，特此声明。</w:t>
      </w:r>
      <w:r/>
    </w:p>
    <w:p>
      <w:pPr>
        <w:spacing w:line="360" w:lineRule="auto"/>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被授权人身份证号码：</w:t>
      </w:r>
      <w:r>
        <w:rPr>
          <w:rFonts w:hint="eastAsia" w:ascii="宋体" w:hAnsi="宋体" w:eastAsia="宋体"/>
          <w:sz w:val="24"/>
          <w:szCs w:val="24"/>
          <w:u w:val="single"/>
        </w:rPr>
        <w:t xml:space="preserve">                              </w:t>
      </w:r>
      <w:r/>
    </w:p>
    <w:p>
      <w:pPr>
        <w:spacing w:line="360" w:lineRule="auto"/>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被授权人联系电话：（手机）</w:t>
      </w:r>
      <w:r>
        <w:rPr>
          <w:rFonts w:hint="eastAsia" w:ascii="宋体" w:hAnsi="宋体" w:eastAsia="宋体"/>
          <w:sz w:val="24"/>
          <w:szCs w:val="24"/>
          <w:u w:val="single"/>
        </w:rPr>
        <w:t xml:space="preserve">                          </w:t>
      </w:r>
      <w:r/>
    </w:p>
    <w:p>
      <w:pPr>
        <w:ind w:firstLine="120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授权单位名称：</w:t>
      </w:r>
      <w:r>
        <w:rPr>
          <w:rFonts w:hint="eastAsia" w:ascii="宋体" w:hAnsi="宋体" w:eastAsia="宋体"/>
          <w:sz w:val="24"/>
          <w:szCs w:val="24"/>
          <w:u w:val="single"/>
        </w:rPr>
        <w:t xml:space="preserve">（加盖CA电子公章）</w:t>
      </w:r>
      <w:r/>
    </w:p>
    <w:p>
      <w:pPr>
        <w:ind w:firstLine="480"/>
        <w:spacing w:line="360" w:lineRule="auto"/>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单位地址：</w:t>
      </w:r>
      <w:r>
        <w:rPr>
          <w:rFonts w:hint="eastAsia" w:ascii="宋体" w:hAnsi="宋体" w:eastAsia="宋体"/>
          <w:sz w:val="24"/>
          <w:szCs w:val="24"/>
          <w:u w:val="single"/>
        </w:rPr>
        <w:t xml:space="preserve">                                         </w:t>
      </w:r>
      <w:r/>
    </w:p>
    <w:p>
      <w:pPr>
        <w:ind w:firstLine="48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      日期：</w:t>
      </w:r>
      <w:bookmarkStart w:id="55" w:name="_Hlt26671380"/>
      <w:r/>
      <w:bookmarkStart w:id="56" w:name="_格式3__银行出具的资信证明"/>
      <w:r/>
      <w:bookmarkStart w:id="57" w:name="_Hlt26955070"/>
      <w:r/>
      <w:bookmarkEnd w:id="55"/>
      <w:r/>
      <w:bookmarkEnd w:id="56"/>
      <w:r/>
      <w:bookmarkEnd w:id="57"/>
      <w:r>
        <w:rPr>
          <w:rFonts w:hint="eastAsia" w:ascii="宋体" w:hAnsi="宋体" w:eastAsia="宋体"/>
          <w:sz w:val="24"/>
          <w:szCs w:val="24"/>
          <w:u w:val="single"/>
        </w:rPr>
        <w:t xml:space="preserve">                                         </w:t>
      </w:r>
      <w:r/>
    </w:p>
    <w:p>
      <w:pPr>
        <w:ind w:firstLine="420"/>
        <w:spacing w:line="360" w:lineRule="auto"/>
        <w:rPr>
          <w:rFonts w:hint="eastAsia" w:ascii="宋体" w:hAnsi="宋体" w:eastAsia="宋体"/>
          <w:i/>
          <w:sz w:val="24"/>
          <w:szCs w:val="24"/>
          <w:u w:val="single"/>
        </w:rPr>
      </w:pPr>
      <w:r>
        <w:rPr>
          <w:rFonts w:hint="eastAsia" w:ascii="宋体" w:hAnsi="宋体" w:eastAsia="宋体"/>
          <w:i/>
          <w:sz w:val="24"/>
          <w:szCs w:val="24"/>
          <w:u w:val="single"/>
        </w:rPr>
      </w:r>
      <w:r/>
    </w:p>
    <w:p>
      <w:pPr>
        <w:spacing w:line="360" w:lineRule="auto"/>
        <w:rPr>
          <w:rFonts w:hint="eastAsia" w:ascii="宋体" w:hAnsi="宋体" w:eastAsia="宋体"/>
          <w:sz w:val="20"/>
          <w:szCs w:val="21"/>
        </w:rPr>
      </w:pPr>
      <w:r>
        <w:rPr>
          <w:rFonts w:hint="eastAsia" w:ascii="宋体" w:hAnsi="宋体" w:eastAsia="宋体"/>
          <w:sz w:val="20"/>
          <w:szCs w:val="21"/>
        </w:rPr>
      </w:r>
      <w:r/>
    </w:p>
    <w:p>
      <w:pPr>
        <w:spacing w:line="360" w:lineRule="auto"/>
        <w:rPr>
          <w:rFonts w:hint="eastAsia" w:ascii="宋体" w:hAnsi="宋体" w:eastAsia="宋体"/>
          <w:bCs/>
          <w:sz w:val="24"/>
          <w:szCs w:val="21"/>
        </w:rPr>
      </w:pPr>
      <w:r>
        <w:rPr>
          <w:rFonts w:hint="eastAsia" w:ascii="宋体" w:hAnsi="宋体" w:eastAsia="宋体"/>
          <w:bCs/>
          <w:sz w:val="24"/>
          <w:szCs w:val="21"/>
        </w:rPr>
      </w:r>
      <w:r/>
    </w:p>
    <w:p>
      <w:pPr>
        <w:jc w:val="center"/>
        <w:spacing w:line="360" w:lineRule="auto"/>
        <w:rPr>
          <w:rFonts w:hint="eastAsia" w:ascii="宋体" w:hAnsi="宋体" w:eastAsia="宋体"/>
          <w:b/>
          <w:sz w:val="32"/>
          <w:szCs w:val="32"/>
        </w:rPr>
      </w:pPr>
      <w:r>
        <w:rPr>
          <w:rFonts w:ascii="宋体" w:hAnsi="宋体" w:eastAsia="宋体"/>
          <w:bCs/>
          <w:sz w:val="24"/>
          <w:szCs w:val="21"/>
        </w:rPr>
        <w:br w:type="page" w:clear="all"/>
      </w:r>
      <w:r>
        <w:rPr>
          <w:rFonts w:hint="eastAsia" w:ascii="宋体" w:hAnsi="宋体" w:eastAsia="宋体"/>
          <w:b/>
          <w:sz w:val="32"/>
          <w:szCs w:val="32"/>
        </w:rPr>
        <w:t xml:space="preserve">五、开标一览表</w:t>
      </w:r>
      <w:r/>
    </w:p>
    <w:p>
      <w:pPr>
        <w:jc w:val="center"/>
        <w:spacing w:line="360" w:lineRule="auto"/>
        <w:rPr>
          <w:rFonts w:hint="eastAsia" w:ascii="宋体" w:hAnsi="宋体" w:eastAsia="宋体"/>
          <w:b/>
          <w:sz w:val="32"/>
          <w:szCs w:val="32"/>
        </w:rPr>
      </w:pPr>
      <w:r>
        <w:rPr>
          <w:rFonts w:hint="eastAsia" w:ascii="宋体" w:hAnsi="宋体" w:eastAsia="宋体"/>
          <w:b/>
          <w:sz w:val="32"/>
          <w:szCs w:val="32"/>
        </w:rPr>
      </w:r>
      <w:r/>
    </w:p>
    <w:p>
      <w:pPr>
        <w:jc w:val="center"/>
        <w:spacing w:line="360" w:lineRule="auto"/>
        <w:rPr>
          <w:rFonts w:hint="eastAsia" w:ascii="宋体" w:hAnsi="宋体" w:eastAsia="宋体"/>
          <w:b/>
          <w:sz w:val="32"/>
          <w:szCs w:val="32"/>
        </w:rPr>
      </w:pPr>
      <w:r>
        <w:rPr>
          <w:rFonts w:hint="eastAsia" w:ascii="宋体" w:hAnsi="宋体" w:eastAsia="宋体"/>
          <w:b/>
          <w:sz w:val="32"/>
          <w:szCs w:val="32"/>
        </w:rPr>
        <w:t xml:space="preserve">直接在苏采云系统里填写</w:t>
      </w:r>
      <w:r/>
    </w:p>
    <w:p>
      <w:pPr>
        <w:pStyle w:val="824"/>
        <w:spacing w:line="360" w:lineRule="auto"/>
      </w:pPr>
      <w:r/>
      <w:r/>
    </w:p>
    <w:p>
      <w:pPr>
        <w:pStyle w:val="824"/>
        <w:spacing w:line="360" w:lineRule="auto"/>
      </w:pPr>
      <w:r/>
      <w:r/>
    </w:p>
    <w:p>
      <w:pPr>
        <w:jc w:val="center"/>
        <w:spacing w:line="360" w:lineRule="auto"/>
        <w:rPr>
          <w:rFonts w:hint="eastAsia" w:ascii="宋体" w:hAnsi="宋体" w:eastAsia="宋体"/>
          <w:sz w:val="24"/>
        </w:rPr>
      </w:pPr>
      <w:r>
        <w:rPr>
          <w:rFonts w:hint="eastAsia" w:ascii="宋体" w:hAnsi="宋体" w:eastAsia="宋体"/>
          <w:sz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r>
      <w:r/>
    </w:p>
    <w:p>
      <w:pPr>
        <w:pStyle w:val="824"/>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824"/>
        <w:spacing w:line="360" w:lineRule="auto"/>
      </w:pPr>
      <w:r/>
      <w:r/>
    </w:p>
    <w:p>
      <w:pPr>
        <w:spacing w:line="360" w:lineRule="auto"/>
      </w:pPr>
      <w:r/>
      <w:r/>
    </w:p>
    <w:p>
      <w:pPr>
        <w:jc w:val="center"/>
        <w:spacing w:line="360" w:lineRule="auto"/>
        <w:rPr>
          <w:rFonts w:hint="eastAsia" w:ascii="宋体" w:hAnsi="宋体" w:eastAsia="宋体"/>
          <w:b/>
          <w:color w:val="000000"/>
          <w:sz w:val="32"/>
          <w:szCs w:val="32"/>
        </w:rPr>
      </w:pPr>
      <w:r>
        <w:rPr>
          <w:rFonts w:hint="eastAsia" w:ascii="宋体" w:hAnsi="宋体" w:eastAsia="宋体"/>
          <w:b/>
          <w:color w:val="000000"/>
          <w:sz w:val="32"/>
          <w:szCs w:val="32"/>
        </w:rPr>
        <w:t xml:space="preserve">六、</w:t>
      </w:r>
      <w:r>
        <w:rPr>
          <w:rFonts w:hint="eastAsia" w:ascii="宋体" w:hAnsi="宋体" w:eastAsia="宋体"/>
          <w:b/>
          <w:color w:val="000000"/>
          <w:sz w:val="32"/>
          <w:szCs w:val="32"/>
        </w:rPr>
        <w:t xml:space="preserve">分项报价表（分包号：**）（货物类）</w:t>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序号</w:t>
            </w:r>
            <w:r/>
          </w:p>
        </w:tc>
        <w:tc>
          <w:tcPr>
            <w:tcW w:w="103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96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41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78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980"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5</w:t>
            </w:r>
            <w:r/>
          </w:p>
        </w:tc>
        <w:tc>
          <w:tcPr>
            <w:tcW w:w="727"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6</w:t>
            </w:r>
            <w:r/>
          </w:p>
        </w:tc>
        <w:tc>
          <w:tcPr>
            <w:tcW w:w="1372"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7</w:t>
            </w:r>
            <w:r/>
          </w:p>
        </w:tc>
        <w:tc>
          <w:tcPr>
            <w:tcW w:w="124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8</w:t>
            </w:r>
            <w:r/>
          </w:p>
        </w:tc>
      </w:tr>
      <w:tr>
        <w:trPr>
          <w:cantSplit/>
          <w:trHeight w:val="294"/>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103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产品</w:t>
            </w:r>
            <w:r/>
          </w:p>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名称</w:t>
            </w:r>
            <w:r/>
          </w:p>
        </w:tc>
        <w:tc>
          <w:tcPr>
            <w:tcW w:w="96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品牌</w:t>
            </w:r>
            <w:r/>
          </w:p>
        </w:tc>
        <w:tc>
          <w:tcPr>
            <w:tcW w:w="141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规格</w:t>
            </w:r>
            <w:r/>
          </w:p>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型号</w:t>
            </w:r>
            <w:r/>
          </w:p>
        </w:tc>
        <w:tc>
          <w:tcPr>
            <w:tcW w:w="78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产地</w:t>
            </w:r>
            <w:r/>
          </w:p>
        </w:tc>
        <w:tc>
          <w:tcPr>
            <w:tcW w:w="980"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交付期</w:t>
            </w:r>
            <w:r/>
          </w:p>
        </w:tc>
        <w:tc>
          <w:tcPr>
            <w:tcW w:w="727"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数量</w:t>
            </w:r>
            <w:r/>
          </w:p>
        </w:tc>
        <w:tc>
          <w:tcPr>
            <w:tcW w:w="1372"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分项单价</w:t>
            </w:r>
            <w:r/>
          </w:p>
        </w:tc>
        <w:tc>
          <w:tcPr>
            <w:tcW w:w="124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分项总价</w:t>
            </w:r>
            <w:r/>
          </w:p>
        </w:tc>
      </w:tr>
      <w:tr>
        <w:trPr>
          <w:cantSplit/>
          <w:trHeight w:val="696"/>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724"/>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640"/>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580"/>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ascii="宋体" w:hAnsi="宋体" w:eastAsia="宋体"/>
                <w:color w:val="000000"/>
                <w:sz w:val="24"/>
                <w:szCs w:val="24"/>
              </w:rPr>
              <w:t xml:space="preserve">…</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ascii="宋体" w:hAnsi="宋体" w:eastAsia="宋体"/>
                <w:color w:val="000000"/>
                <w:sz w:val="24"/>
                <w:szCs w:val="24"/>
              </w:rPr>
              <w:t xml:space="preserve">……</w:t>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1030"/>
        </w:trPr>
        <w:tc>
          <w:tcPr>
            <w:gridSpan w:val="8"/>
            <w:tcW w:w="7835"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总报价（人民币：元）</w:t>
            </w:r>
            <w:r/>
          </w:p>
        </w:tc>
        <w:tc>
          <w:tcPr>
            <w:tcW w:w="1246" w:type="dxa"/>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bl>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pStyle w:val="1046"/>
        <w:jc w:val="center"/>
        <w:spacing w:line="360" w:lineRule="auto"/>
        <w:rPr>
          <w:rFonts w:hint="eastAsia"/>
          <w:b/>
          <w:bCs/>
          <w:iCs/>
          <w:szCs w:val="32"/>
        </w:rPr>
        <w:outlineLvl w:val="1"/>
      </w:pPr>
      <w:r>
        <w:rPr>
          <w:rFonts w:hint="eastAsia" w:asciiTheme="minorEastAsia" w:hAnsiTheme="minorEastAsia" w:eastAsiaTheme="minorEastAsia"/>
          <w:b/>
          <w:bCs/>
          <w:iCs/>
          <w:szCs w:val="32"/>
        </w:rPr>
        <w:t xml:space="preserve">七、</w:t>
      </w:r>
      <w:r>
        <w:rPr>
          <w:rFonts w:hint="eastAsia"/>
          <w:b/>
          <w:bCs/>
          <w:iCs/>
          <w:szCs w:val="32"/>
        </w:rPr>
        <w:t xml:space="preserve">中小企业声明函</w:t>
      </w:r>
      <w:r/>
    </w:p>
    <w:p>
      <w:pPr>
        <w:pStyle w:val="1045"/>
        <w:jc w:val="center"/>
        <w:spacing w:line="360" w:lineRule="auto"/>
        <w:rPr>
          <w:rFonts w:hint="eastAsia" w:ascii="宋体" w:hAnsi="宋体"/>
          <w:b/>
          <w:sz w:val="36"/>
          <w:szCs w:val="36"/>
        </w:rPr>
      </w:pPr>
      <w:r>
        <w:rPr>
          <w:rFonts w:hint="eastAsia" w:ascii="宋体" w:hAnsi="宋体"/>
          <w:b/>
          <w:sz w:val="36"/>
          <w:szCs w:val="36"/>
        </w:rPr>
        <w:t xml:space="preserve">中小企业声明函（货物）</w:t>
      </w:r>
      <w:r/>
    </w:p>
    <w:p>
      <w:pPr>
        <w:pStyle w:val="1045"/>
        <w:jc w:val="left"/>
        <w:spacing w:line="360" w:lineRule="auto"/>
        <w:rPr>
          <w:rFonts w:hint="eastAsia" w:ascii="宋体" w:hAnsi="宋体"/>
          <w:b/>
          <w:sz w:val="32"/>
          <w:szCs w:val="32"/>
        </w:rPr>
      </w:pPr>
      <w:r>
        <w:rPr>
          <w:rFonts w:hint="eastAsia" w:ascii="宋体" w:hAnsi="宋体"/>
          <w:b/>
          <w:sz w:val="32"/>
          <w:szCs w:val="32"/>
        </w:rPr>
      </w:r>
      <w:r/>
    </w:p>
    <w:p>
      <w:pPr>
        <w:pStyle w:val="1045"/>
        <w:ind w:firstLine="480"/>
        <w:jc w:val="left"/>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w:t>
      </w:r>
      <w:r>
        <w:rPr>
          <w:rFonts w:hint="eastAsia" w:ascii="宋体" w:hAnsi="宋体"/>
          <w:sz w:val="24"/>
          <w:szCs w:val="24"/>
          <w:u w:val="single"/>
        </w:rPr>
        <w:t xml:space="preserve">单位名称  </w:t>
      </w:r>
      <w:r>
        <w:rPr>
          <w:rFonts w:hint="eastAsia" w:ascii="宋体" w:hAnsi="宋体"/>
          <w:sz w:val="24"/>
          <w:szCs w:val="24"/>
        </w:rPr>
        <w:t xml:space="preserve">的</w:t>
      </w:r>
      <w:r>
        <w:rPr>
          <w:rFonts w:hint="eastAsia" w:ascii="宋体" w:hAnsi="宋体"/>
          <w:sz w:val="24"/>
          <w:szCs w:val="24"/>
        </w:rPr>
        <w:t xml:space="preserve">（</w:t>
      </w:r>
      <w:r>
        <w:rPr>
          <w:rFonts w:hint="eastAsia" w:ascii="宋体" w:hAnsi="宋体"/>
          <w:sz w:val="24"/>
          <w:szCs w:val="24"/>
          <w:u w:val="single"/>
        </w:rPr>
        <w:t xml:space="preserve">项目名称）</w:t>
      </w:r>
      <w:r>
        <w:rPr>
          <w:rFonts w:hint="eastAsia" w:ascii="宋体" w:hAnsi="宋体"/>
          <w:sz w:val="24"/>
          <w:szCs w:val="24"/>
        </w:rPr>
        <w:t xml:space="preserve"> 采购活动，提供的货物全部由符合政策要求的中小企业制造。相关企业（含联合体中的中小企业、签订分包意向协议的中小企业）的具体情况如下：</w:t>
      </w:r>
      <w:r/>
    </w:p>
    <w:p>
      <w:pPr>
        <w:pStyle w:val="1045"/>
        <w:ind w:firstLine="480"/>
        <w:jc w:val="left"/>
        <w:spacing w:line="360" w:lineRule="auto"/>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45"/>
        <w:ind w:firstLine="480"/>
        <w:jc w:val="left"/>
        <w:spacing w:line="360" w:lineRule="auto"/>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45"/>
        <w:ind w:firstLine="480"/>
        <w:jc w:val="left"/>
        <w:spacing w:line="360" w:lineRule="auto"/>
        <w:rPr>
          <w:rFonts w:hint="eastAsia" w:ascii="宋体" w:hAnsi="宋体"/>
          <w:sz w:val="24"/>
          <w:szCs w:val="24"/>
        </w:rPr>
      </w:pPr>
      <w:r>
        <w:rPr>
          <w:rFonts w:ascii="宋体" w:hAnsi="宋体"/>
          <w:sz w:val="24"/>
          <w:szCs w:val="24"/>
        </w:rPr>
        <w:t xml:space="preserve">……</w:t>
      </w:r>
      <w:r/>
    </w:p>
    <w:p>
      <w:pPr>
        <w:pStyle w:val="1045"/>
        <w:ind w:firstLine="480"/>
        <w:jc w:val="left"/>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45"/>
        <w:ind w:firstLine="480"/>
        <w:jc w:val="left"/>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45"/>
        <w:ind w:firstLine="480"/>
        <w:jc w:val="center"/>
        <w:spacing w:line="360" w:lineRule="auto"/>
        <w:rPr>
          <w:rFonts w:hint="eastAsia" w:ascii="宋体" w:hAnsi="宋体"/>
          <w:sz w:val="24"/>
          <w:szCs w:val="24"/>
        </w:rPr>
      </w:pPr>
      <w:r>
        <w:rPr>
          <w:rFonts w:hint="eastAsia" w:ascii="宋体" w:hAnsi="宋体"/>
          <w:sz w:val="24"/>
          <w:szCs w:val="24"/>
        </w:rPr>
      </w:r>
      <w:r/>
    </w:p>
    <w:p>
      <w:pPr>
        <w:pStyle w:val="1045"/>
        <w:ind w:firstLine="480"/>
        <w:jc w:val="left"/>
        <w:spacing w:line="360" w:lineRule="auto"/>
        <w:rPr>
          <w:rFonts w:hint="eastAsia" w:ascii="宋体" w:hAnsi="宋体"/>
          <w:sz w:val="24"/>
          <w:szCs w:val="24"/>
        </w:rPr>
      </w:pPr>
      <w:r>
        <w:rPr>
          <w:rFonts w:hint="eastAsia" w:ascii="宋体" w:hAnsi="宋体"/>
          <w:sz w:val="24"/>
          <w:szCs w:val="24"/>
        </w:rPr>
        <w:t xml:space="preserve">企业名称（加盖CA电子公章）：</w:t>
      </w:r>
      <w:r/>
    </w:p>
    <w:p>
      <w:pPr>
        <w:pStyle w:val="1045"/>
        <w:ind w:firstLine="480"/>
        <w:jc w:val="left"/>
        <w:spacing w:line="360" w:lineRule="auto"/>
        <w:rPr>
          <w:rFonts w:hint="eastAsia" w:ascii="宋体" w:hAnsi="宋体"/>
          <w:sz w:val="24"/>
          <w:szCs w:val="24"/>
        </w:rPr>
      </w:pPr>
      <w:r>
        <w:rPr>
          <w:rFonts w:hint="eastAsia" w:ascii="宋体" w:hAnsi="宋体"/>
          <w:sz w:val="24"/>
          <w:szCs w:val="24"/>
        </w:rPr>
        <w:t xml:space="preserve">日期：</w:t>
      </w:r>
      <w:r/>
    </w:p>
    <w:p>
      <w:pPr>
        <w:pStyle w:val="1045"/>
        <w:ind w:firstLine="560"/>
        <w:spacing w:line="360" w:lineRule="auto"/>
        <w:rPr>
          <w:rFonts w:hint="eastAsia" w:ascii="宋体" w:hAnsi="宋体"/>
          <w:sz w:val="28"/>
          <w:szCs w:val="28"/>
        </w:rPr>
      </w:pPr>
      <w:r>
        <w:rPr>
          <w:rFonts w:hint="eastAsia" w:ascii="宋体" w:hAnsi="宋体"/>
          <w:sz w:val="28"/>
          <w:szCs w:val="28"/>
        </w:rPr>
      </w:r>
      <w:r/>
    </w:p>
    <w:p>
      <w:pPr>
        <w:pStyle w:val="1045"/>
        <w:ind w:firstLine="360"/>
        <w:spacing w:line="360" w:lineRule="auto"/>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45"/>
        <w:jc w:val="center"/>
        <w:spacing w:line="360" w:lineRule="auto"/>
        <w:rPr>
          <w:rFonts w:hint="eastAsia" w:ascii="宋体" w:hAnsi="宋体"/>
          <w:b/>
          <w:sz w:val="36"/>
          <w:szCs w:val="36"/>
        </w:rPr>
      </w:pPr>
      <w:r>
        <w:rPr>
          <w:rFonts w:hint="eastAsia" w:ascii="宋体" w:hAnsi="宋体"/>
          <w:b/>
          <w:sz w:val="36"/>
          <w:szCs w:val="36"/>
        </w:rPr>
      </w:r>
      <w:r/>
    </w:p>
    <w:p>
      <w:pPr>
        <w:pStyle w:val="1045"/>
        <w:spacing w:line="360" w:lineRule="auto"/>
        <w:rPr>
          <w:rFonts w:hint="eastAsia" w:ascii="宋体" w:hAnsi="宋体"/>
          <w:b/>
          <w:sz w:val="36"/>
          <w:szCs w:val="36"/>
        </w:rPr>
      </w:pPr>
      <w:r>
        <w:rPr>
          <w:rFonts w:hint="eastAsia" w:ascii="宋体" w:hAnsi="宋体"/>
          <w:b/>
          <w:sz w:val="36"/>
          <w:szCs w:val="36"/>
        </w:rPr>
      </w:r>
      <w:r/>
    </w:p>
    <w:p>
      <w:pPr>
        <w:pStyle w:val="1045"/>
        <w:jc w:val="center"/>
        <w:spacing w:line="360" w:lineRule="auto"/>
        <w:rPr>
          <w:rFonts w:hint="eastAsia" w:ascii="宋体" w:hAnsi="宋体"/>
          <w:b/>
          <w:sz w:val="36"/>
          <w:szCs w:val="36"/>
        </w:rPr>
      </w:pPr>
      <w:r>
        <w:rPr>
          <w:rFonts w:hint="eastAsia" w:ascii="宋体" w:hAnsi="宋体"/>
          <w:b/>
          <w:sz w:val="36"/>
          <w:szCs w:val="36"/>
        </w:rPr>
      </w:r>
      <w:r/>
    </w:p>
    <w:p>
      <w:pPr>
        <w:pStyle w:val="1045"/>
        <w:spacing w:line="360" w:lineRule="auto"/>
        <w:rPr>
          <w:rFonts w:hint="eastAsia" w:ascii="宋体" w:hAnsi="宋体"/>
          <w:b/>
          <w:sz w:val="36"/>
          <w:szCs w:val="36"/>
        </w:rPr>
      </w:pPr>
      <w:r>
        <w:rPr>
          <w:rFonts w:hint="eastAsia" w:ascii="宋体" w:hAnsi="宋体"/>
          <w:b/>
          <w:sz w:val="36"/>
          <w:szCs w:val="36"/>
        </w:rPr>
      </w:r>
      <w:r/>
    </w:p>
    <w:p>
      <w:pPr>
        <w:pStyle w:val="1045"/>
        <w:jc w:val="center"/>
        <w:spacing w:line="360" w:lineRule="auto"/>
        <w:rPr>
          <w:rFonts w:hint="eastAsia" w:ascii="宋体" w:hAnsi="宋体"/>
          <w:b/>
          <w:sz w:val="36"/>
          <w:szCs w:val="36"/>
        </w:rPr>
      </w:pPr>
      <w:r>
        <w:rPr>
          <w:rFonts w:hint="eastAsia" w:ascii="宋体" w:hAnsi="宋体"/>
          <w:b/>
          <w:sz w:val="36"/>
          <w:szCs w:val="36"/>
        </w:rPr>
        <w:t xml:space="preserve">中小企业声明函（工程、服务）</w:t>
      </w:r>
      <w:r/>
    </w:p>
    <w:p>
      <w:pPr>
        <w:pStyle w:val="1045"/>
        <w:jc w:val="left"/>
        <w:spacing w:line="360" w:lineRule="auto"/>
        <w:rPr>
          <w:rFonts w:hint="eastAsia" w:ascii="宋体" w:hAnsi="宋体"/>
          <w:b/>
          <w:sz w:val="32"/>
          <w:szCs w:val="32"/>
        </w:rPr>
      </w:pPr>
      <w:r>
        <w:rPr>
          <w:rFonts w:hint="eastAsia" w:ascii="宋体" w:hAnsi="宋体"/>
          <w:b/>
          <w:sz w:val="32"/>
          <w:szCs w:val="32"/>
        </w:rPr>
      </w:r>
      <w:r/>
    </w:p>
    <w:p>
      <w:pPr>
        <w:pStyle w:val="1045"/>
        <w:ind w:firstLine="480"/>
        <w:jc w:val="left"/>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w:t>
      </w:r>
      <w:r>
        <w:rPr>
          <w:rFonts w:hint="eastAsia" w:ascii="宋体" w:hAnsi="宋体"/>
          <w:sz w:val="24"/>
          <w:szCs w:val="24"/>
          <w:u w:val="single"/>
        </w:rPr>
        <w:t xml:space="preserve">单位名称  </w:t>
      </w:r>
      <w:r>
        <w:rPr>
          <w:rFonts w:hint="eastAsia" w:ascii="宋体" w:hAnsi="宋体"/>
          <w:sz w:val="24"/>
          <w:szCs w:val="24"/>
        </w:rPr>
        <w:t xml:space="preserve">的</w:t>
      </w:r>
      <w:r>
        <w:rPr>
          <w:rFonts w:hint="eastAsia" w:ascii="宋体" w:hAnsi="宋体"/>
          <w:sz w:val="24"/>
          <w:szCs w:val="24"/>
        </w:rPr>
        <w:t xml:space="preserve">（</w:t>
      </w:r>
      <w:r>
        <w:rPr>
          <w:rFonts w:hint="eastAsia" w:ascii="宋体" w:hAnsi="宋体"/>
          <w:sz w:val="24"/>
          <w:szCs w:val="24"/>
          <w:u w:val="single"/>
        </w:rPr>
        <w:t xml:space="preserve">项目名称）</w:t>
      </w:r>
      <w:r>
        <w:rPr>
          <w:rFonts w:hint="eastAsia" w:ascii="宋体" w:hAnsi="宋体"/>
          <w:sz w:val="24"/>
          <w:szCs w:val="24"/>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1045"/>
        <w:ind w:firstLine="480"/>
        <w:jc w:val="left"/>
        <w:spacing w:line="360" w:lineRule="auto"/>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45"/>
        <w:ind w:firstLine="480"/>
        <w:jc w:val="left"/>
        <w:spacing w:line="360" w:lineRule="auto"/>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45"/>
        <w:ind w:firstLine="480"/>
        <w:jc w:val="left"/>
        <w:spacing w:line="360" w:lineRule="auto"/>
        <w:rPr>
          <w:rFonts w:hint="eastAsia" w:ascii="宋体" w:hAnsi="宋体"/>
          <w:sz w:val="24"/>
          <w:szCs w:val="24"/>
        </w:rPr>
      </w:pPr>
      <w:r>
        <w:rPr>
          <w:rFonts w:ascii="宋体" w:hAnsi="宋体"/>
          <w:sz w:val="24"/>
          <w:szCs w:val="24"/>
        </w:rPr>
        <w:t xml:space="preserve">……</w:t>
      </w:r>
      <w:r/>
    </w:p>
    <w:p>
      <w:pPr>
        <w:pStyle w:val="1045"/>
        <w:ind w:firstLine="480"/>
        <w:jc w:val="left"/>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45"/>
        <w:ind w:firstLine="480"/>
        <w:jc w:val="left"/>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45"/>
        <w:ind w:firstLine="480"/>
        <w:jc w:val="center"/>
        <w:spacing w:line="360" w:lineRule="auto"/>
        <w:rPr>
          <w:rFonts w:hint="eastAsia" w:ascii="宋体" w:hAnsi="宋体"/>
          <w:sz w:val="24"/>
          <w:szCs w:val="24"/>
        </w:rPr>
      </w:pPr>
      <w:r>
        <w:rPr>
          <w:rFonts w:hint="eastAsia" w:ascii="宋体" w:hAnsi="宋体"/>
          <w:sz w:val="24"/>
          <w:szCs w:val="24"/>
        </w:rPr>
      </w:r>
      <w:r/>
    </w:p>
    <w:p>
      <w:pPr>
        <w:pStyle w:val="1045"/>
        <w:ind w:firstLine="480"/>
        <w:jc w:val="left"/>
        <w:spacing w:line="360" w:lineRule="auto"/>
        <w:rPr>
          <w:rFonts w:hint="eastAsia" w:ascii="宋体" w:hAnsi="宋体"/>
          <w:sz w:val="24"/>
          <w:szCs w:val="24"/>
        </w:rPr>
      </w:pPr>
      <w:r>
        <w:rPr>
          <w:rFonts w:hint="eastAsia" w:ascii="宋体" w:hAnsi="宋体"/>
          <w:sz w:val="24"/>
          <w:szCs w:val="24"/>
        </w:rPr>
        <w:t xml:space="preserve">企业名称（加盖CA电子公章）：</w:t>
      </w:r>
      <w:r/>
    </w:p>
    <w:p>
      <w:pPr>
        <w:pStyle w:val="1045"/>
        <w:ind w:firstLine="480"/>
        <w:jc w:val="left"/>
        <w:spacing w:line="360" w:lineRule="auto"/>
        <w:rPr>
          <w:rFonts w:hint="eastAsia" w:ascii="宋体" w:hAnsi="宋体"/>
          <w:sz w:val="24"/>
          <w:szCs w:val="24"/>
        </w:rPr>
      </w:pPr>
      <w:r>
        <w:rPr>
          <w:rFonts w:hint="eastAsia" w:ascii="宋体" w:hAnsi="宋体"/>
          <w:sz w:val="24"/>
          <w:szCs w:val="24"/>
        </w:rPr>
        <w:t xml:space="preserve">日期：</w:t>
      </w:r>
      <w:r/>
    </w:p>
    <w:p>
      <w:pPr>
        <w:pStyle w:val="1045"/>
        <w:ind w:firstLine="480"/>
        <w:spacing w:line="360" w:lineRule="auto"/>
        <w:rPr>
          <w:rFonts w:hint="eastAsia" w:ascii="宋体" w:hAnsi="宋体"/>
          <w:sz w:val="24"/>
          <w:szCs w:val="24"/>
        </w:rPr>
      </w:pPr>
      <w:r>
        <w:rPr>
          <w:rFonts w:hint="eastAsia" w:ascii="宋体" w:hAnsi="宋体"/>
          <w:sz w:val="24"/>
          <w:szCs w:val="24"/>
        </w:rPr>
      </w:r>
      <w:r/>
    </w:p>
    <w:p>
      <w:pPr>
        <w:pStyle w:val="1045"/>
        <w:ind w:firstLine="360"/>
        <w:spacing w:line="360" w:lineRule="auto"/>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45"/>
        <w:jc w:val="center"/>
        <w:spacing w:before="151" w:after="151" w:line="360" w:lineRule="auto"/>
        <w:rPr>
          <w:rFonts w:hint="eastAsia" w:ascii="宋体" w:hAnsi="宋体"/>
          <w:b/>
          <w:bCs/>
          <w:sz w:val="32"/>
          <w:szCs w:val="32"/>
        </w:rPr>
      </w:pPr>
      <w:r>
        <w:rPr>
          <w:rFonts w:hint="eastAsia" w:ascii="宋体" w:hAnsi="宋体"/>
          <w:b/>
          <w:bCs/>
          <w:sz w:val="32"/>
          <w:szCs w:val="32"/>
        </w:rPr>
      </w:r>
      <w:r/>
    </w:p>
    <w:p>
      <w:pPr>
        <w:pStyle w:val="1045"/>
        <w:spacing w:before="151" w:after="151" w:line="360" w:lineRule="auto"/>
        <w:rPr>
          <w:rFonts w:hint="eastAsia" w:ascii="宋体" w:hAnsi="宋体"/>
          <w:b/>
          <w:bCs/>
          <w:sz w:val="32"/>
          <w:szCs w:val="32"/>
        </w:rPr>
      </w:pPr>
      <w:r>
        <w:rPr>
          <w:rFonts w:hint="eastAsia" w:ascii="宋体" w:hAnsi="宋体"/>
          <w:b/>
          <w:bCs/>
          <w:sz w:val="32"/>
          <w:szCs w:val="32"/>
        </w:rPr>
      </w:r>
      <w:r/>
    </w:p>
    <w:p>
      <w:pPr>
        <w:pStyle w:val="1045"/>
        <w:spacing w:line="360" w:lineRule="auto"/>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1045"/>
        <w:spacing w:line="360" w:lineRule="auto"/>
        <w:rPr>
          <w:rFonts w:hint="eastAsia" w:ascii="宋体" w:hAnsi="宋体"/>
          <w:b/>
          <w:sz w:val="36"/>
          <w:szCs w:val="36"/>
        </w:rPr>
      </w:pPr>
      <w:r>
        <w:rPr>
          <w:rFonts w:hint="eastAsia" w:ascii="宋体" w:hAnsi="宋体"/>
          <w:b/>
          <w:sz w:val="36"/>
          <w:szCs w:val="36"/>
        </w:rPr>
      </w:r>
      <w:r/>
    </w:p>
    <w:p>
      <w:pPr>
        <w:pStyle w:val="1047"/>
        <w:jc w:val="center"/>
        <w:spacing w:before="151" w:after="151" w:line="360" w:lineRule="auto"/>
        <w:rPr>
          <w:rFonts w:hint="eastAsia" w:ascii="宋体" w:hAnsi="宋体"/>
          <w:b/>
          <w:bCs/>
          <w:sz w:val="32"/>
          <w:szCs w:val="32"/>
        </w:rPr>
      </w:pPr>
      <w:r>
        <w:rPr>
          <w:rFonts w:hint="eastAsia" w:ascii="宋体" w:hAnsi="宋体"/>
          <w:b/>
          <w:bCs/>
          <w:sz w:val="32"/>
          <w:szCs w:val="32"/>
        </w:rPr>
        <w:t xml:space="preserve">残疾人福利性单位声明函</w:t>
      </w:r>
      <w:r/>
    </w:p>
    <w:p>
      <w:pPr>
        <w:pStyle w:val="1048"/>
        <w:spacing w:line="360" w:lineRule="auto"/>
        <w:rPr>
          <w:rFonts w:hint="eastAsia" w:ascii="宋体" w:hAnsi="宋体"/>
          <w:b/>
          <w:spacing w:val="6"/>
          <w:sz w:val="30"/>
          <w:szCs w:val="30"/>
        </w:rPr>
      </w:pPr>
      <w:r>
        <w:rPr>
          <w:rFonts w:hint="eastAsia" w:ascii="宋体" w:hAnsi="宋体"/>
          <w:b/>
          <w:spacing w:val="6"/>
          <w:sz w:val="30"/>
          <w:szCs w:val="30"/>
        </w:rPr>
      </w:r>
      <w:r/>
    </w:p>
    <w:p>
      <w:pPr>
        <w:pStyle w:val="1047"/>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w:t>
      </w:r>
      <w:r>
        <w:rPr>
          <w:rFonts w:ascii="宋体" w:hAnsi="宋体"/>
          <w:sz w:val="24"/>
        </w:rPr>
        <w:t xml:space="preserve">2017</w:t>
      </w:r>
      <w:r>
        <w:rPr>
          <w:rFonts w:hint="eastAsia" w:ascii="宋体" w:hAnsi="宋体"/>
          <w:sz w:val="24"/>
        </w:rPr>
        <w:t xml:space="preserve">〕</w:t>
      </w:r>
      <w:r>
        <w:rPr>
          <w:rFonts w:ascii="宋体" w:hAnsi="宋体"/>
          <w:sz w:val="24"/>
        </w:rPr>
        <w:t xml:space="preserve">141</w:t>
      </w:r>
      <w:r>
        <w:rPr>
          <w:rFonts w:hint="eastAsia" w:ascii="宋体" w:hAnsi="宋体"/>
          <w:sz w:val="24"/>
        </w:rPr>
        <w:t xml:space="preserve">号）的规定，本单位为符合条件的残疾人福利性单位，且本单位参加</w:t>
      </w:r>
      <w:r>
        <w:rPr>
          <w:rFonts w:hint="eastAsia" w:ascii="宋体" w:hAnsi="宋体"/>
          <w:sz w:val="24"/>
          <w:u w:val="single"/>
        </w:rPr>
        <w:t xml:space="preserve">          </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项目采购活动提供本单位制造的货物（由本单位承担工程/提供服务），或者提供其他残疾人福利性单位制造的货物（不包括使用非残疾人福利性单位注册商标的货物）。</w:t>
      </w:r>
      <w:r/>
    </w:p>
    <w:p>
      <w:pPr>
        <w:pStyle w:val="1047"/>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1049"/>
        <w:ind w:firstLine="3810"/>
        <w:spacing w:line="360" w:lineRule="auto"/>
        <w:rPr>
          <w:rFonts w:hint="eastAsia" w:ascii="宋体" w:hAnsi="宋体"/>
          <w:spacing w:val="6"/>
          <w:sz w:val="24"/>
          <w:szCs w:val="24"/>
        </w:rPr>
      </w:pPr>
      <w:r>
        <w:rPr>
          <w:rFonts w:hint="eastAsia" w:ascii="宋体" w:hAnsi="宋体"/>
          <w:spacing w:val="6"/>
          <w:sz w:val="24"/>
          <w:szCs w:val="24"/>
        </w:rPr>
      </w:r>
      <w:r/>
    </w:p>
    <w:p>
      <w:pPr>
        <w:pStyle w:val="1049"/>
        <w:ind w:firstLine="3629"/>
        <w:jc w:val="left"/>
        <w:spacing w:line="360" w:lineRule="auto"/>
        <w:rPr>
          <w:rFonts w:hint="eastAsia" w:ascii="宋体" w:hAnsi="宋体"/>
          <w:sz w:val="24"/>
        </w:rPr>
      </w:pPr>
      <w:r>
        <w:rPr>
          <w:rFonts w:hint="eastAsia" w:ascii="宋体" w:hAnsi="宋体"/>
          <w:sz w:val="24"/>
        </w:rPr>
      </w:r>
      <w:r/>
    </w:p>
    <w:p>
      <w:pPr>
        <w:pStyle w:val="1049"/>
        <w:ind w:firstLine="480"/>
        <w:jc w:val="left"/>
        <w:spacing w:line="360" w:lineRule="auto"/>
        <w:rPr>
          <w:rFonts w:hint="eastAsia"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（加盖CA电子公章）</w:t>
      </w:r>
      <w:r/>
    </w:p>
    <w:p>
      <w:pPr>
        <w:pStyle w:val="1045"/>
        <w:ind w:firstLine="480"/>
        <w:jc w:val="left"/>
        <w:spacing w:line="360" w:lineRule="auto"/>
        <w:rPr>
          <w:rFonts w:hint="eastAsia" w:ascii="宋体" w:hAnsi="宋体"/>
          <w:sz w:val="24"/>
          <w:szCs w:val="20"/>
        </w:rPr>
      </w:pPr>
      <w:r>
        <w:rPr>
          <w:rFonts w:hint="eastAsia" w:ascii="宋体" w:hAnsi="宋体"/>
          <w:sz w:val="24"/>
          <w:szCs w:val="20"/>
        </w:rPr>
        <w:t xml:space="preserve">日期：  </w:t>
      </w:r>
      <w:r>
        <w:rPr>
          <w:rFonts w:hint="eastAsia" w:ascii="宋体" w:hAnsi="宋体"/>
          <w:sz w:val="24"/>
          <w:szCs w:val="20"/>
        </w:rPr>
        <w:t xml:space="preserve">年  月</w:t>
      </w:r>
      <w:r>
        <w:rPr>
          <w:rFonts w:hint="eastAsia" w:ascii="宋体" w:hAnsi="宋体"/>
          <w:sz w:val="24"/>
          <w:szCs w:val="20"/>
        </w:rPr>
        <w:t xml:space="preserve">  日</w:t>
      </w:r>
      <w:r/>
    </w:p>
    <w:p>
      <w:pPr>
        <w:pStyle w:val="1048"/>
        <w:ind w:right="1560" w:firstLine="480"/>
        <w:jc w:val="center"/>
        <w:spacing w:line="360" w:lineRule="auto"/>
        <w:tabs>
          <w:tab w:val="left" w:pos="4860" w:leader="none"/>
        </w:tabs>
        <w:rPr>
          <w:rFonts w:hint="eastAsia" w:ascii="宋体" w:hAnsi="宋体" w:cs="Arial"/>
          <w:sz w:val="24"/>
          <w:szCs w:val="24"/>
        </w:rPr>
      </w:pPr>
      <w:r>
        <w:rPr>
          <w:rFonts w:hint="eastAsia" w:ascii="宋体" w:hAnsi="宋体" w:cs="Arial"/>
          <w:sz w:val="24"/>
          <w:szCs w:val="24"/>
        </w:rPr>
      </w:r>
      <w:r/>
    </w:p>
    <w:p>
      <w:pPr>
        <w:pStyle w:val="1050"/>
        <w:ind w:left="357" w:firstLine="0"/>
        <w:spacing w:line="360" w:lineRule="auto"/>
        <w:rPr>
          <w:rFonts w:hint="eastAsia" w:ascii="宋体" w:hAnsi="宋体" w:cs="Arial"/>
          <w:sz w:val="24"/>
          <w:szCs w:val="24"/>
        </w:rPr>
      </w:pPr>
      <w:r>
        <w:rPr>
          <w:rFonts w:hint="eastAsia" w:ascii="宋体" w:hAnsi="宋体" w:cs="Arial"/>
          <w:sz w:val="24"/>
          <w:szCs w:val="24"/>
        </w:rPr>
      </w:r>
      <w:r/>
    </w:p>
    <w:p>
      <w:pPr>
        <w:pStyle w:val="1047"/>
        <w:ind w:firstLine="445"/>
        <w:spacing w:before="151" w:after="151" w:line="360" w:lineRule="auto"/>
        <w:rPr>
          <w:rFonts w:hint="eastAsia" w:ascii="宋体" w:hAnsi="宋体"/>
          <w:sz w:val="24"/>
        </w:rPr>
      </w:pPr>
      <w:r>
        <w:rPr>
          <w:rFonts w:hint="eastAsia" w:ascii="宋体" w:hAnsi="宋体"/>
          <w:sz w:val="24"/>
        </w:rPr>
        <w:t xml:space="preserve">注：非残疾人福利性单位不需提供此函。</w:t>
      </w:r>
      <w:r/>
    </w:p>
    <w:p>
      <w:pPr>
        <w:pStyle w:val="1047"/>
        <w:ind w:firstLine="445"/>
        <w:spacing w:before="151" w:after="151" w:line="360" w:lineRule="auto"/>
        <w:rPr>
          <w:rFonts w:hint="eastAsia" w:ascii="宋体" w:hAnsi="宋体"/>
          <w:sz w:val="24"/>
        </w:rPr>
      </w:pPr>
      <w:r>
        <w:rPr>
          <w:rFonts w:hint="eastAsia" w:ascii="宋体" w:hAnsi="宋体"/>
          <w:sz w:val="24"/>
        </w:rPr>
      </w:r>
      <w:r/>
    </w:p>
    <w:p>
      <w:pPr>
        <w:pStyle w:val="1047"/>
        <w:ind w:firstLine="445"/>
        <w:spacing w:before="151" w:after="151" w:line="360" w:lineRule="auto"/>
        <w:rPr>
          <w:rFonts w:hint="eastAsia" w:ascii="宋体" w:hAnsi="宋体"/>
          <w:sz w:val="24"/>
        </w:rPr>
      </w:pPr>
      <w:r>
        <w:rPr>
          <w:rFonts w:hint="eastAsia" w:ascii="宋体" w:hAnsi="宋体"/>
          <w:sz w:val="24"/>
        </w:rPr>
      </w:r>
      <w:r/>
    </w:p>
    <w:p>
      <w:pPr>
        <w:pStyle w:val="1047"/>
        <w:ind w:firstLine="445"/>
        <w:spacing w:before="151" w:after="151" w:line="360" w:lineRule="auto"/>
        <w:rPr>
          <w:rFonts w:hint="eastAsia" w:ascii="宋体" w:hAnsi="宋体"/>
          <w:sz w:val="24"/>
        </w:rPr>
      </w:pPr>
      <w:r>
        <w:rPr>
          <w:rFonts w:hint="eastAsia" w:ascii="宋体" w:hAnsi="宋体"/>
          <w:sz w:val="24"/>
        </w:rPr>
      </w:r>
      <w:r/>
    </w:p>
    <w:p>
      <w:pPr>
        <w:pStyle w:val="1047"/>
        <w:ind w:firstLine="445"/>
        <w:spacing w:before="151" w:after="151" w:line="360" w:lineRule="auto"/>
        <w:rPr>
          <w:rFonts w:hint="eastAsia" w:ascii="宋体" w:hAnsi="宋体"/>
          <w:sz w:val="24"/>
        </w:rPr>
      </w:pPr>
      <w:r>
        <w:rPr>
          <w:rFonts w:hint="eastAsia" w:ascii="宋体" w:hAnsi="宋体"/>
          <w:sz w:val="24"/>
        </w:rPr>
      </w:r>
      <w:r/>
    </w:p>
    <w:p>
      <w:pPr>
        <w:pStyle w:val="1047"/>
        <w:ind w:firstLine="445"/>
        <w:spacing w:before="151" w:after="151" w:line="360" w:lineRule="auto"/>
        <w:rPr>
          <w:rFonts w:hint="eastAsia" w:ascii="宋体" w:hAnsi="宋体"/>
          <w:sz w:val="24"/>
        </w:rPr>
      </w:pPr>
      <w:r>
        <w:rPr>
          <w:rFonts w:hint="eastAsia" w:ascii="宋体" w:hAnsi="宋体"/>
          <w:sz w:val="24"/>
        </w:rPr>
      </w:r>
      <w:r/>
    </w:p>
    <w:p>
      <w:pPr>
        <w:pStyle w:val="1047"/>
        <w:ind w:firstLine="445"/>
        <w:spacing w:before="151" w:after="151" w:line="360" w:lineRule="auto"/>
        <w:rPr>
          <w:rFonts w:hint="eastAsia" w:ascii="宋体" w:hAnsi="宋体"/>
          <w:sz w:val="24"/>
        </w:rPr>
      </w:pPr>
      <w:r>
        <w:rPr>
          <w:rFonts w:hint="eastAsia" w:ascii="宋体" w:hAnsi="宋体"/>
          <w:sz w:val="24"/>
        </w:rPr>
      </w:r>
      <w:r/>
    </w:p>
    <w:p>
      <w:pPr>
        <w:pStyle w:val="1047"/>
        <w:ind w:firstLine="445"/>
        <w:spacing w:before="151" w:after="151" w:line="360" w:lineRule="auto"/>
        <w:rPr>
          <w:rFonts w:hint="eastAsia" w:ascii="宋体" w:hAnsi="宋体"/>
          <w:sz w:val="24"/>
        </w:rPr>
      </w:pPr>
      <w:r>
        <w:rPr>
          <w:rFonts w:hint="eastAsia" w:ascii="宋体" w:hAnsi="宋体"/>
          <w:sz w:val="24"/>
        </w:rPr>
      </w:r>
      <w:r/>
    </w:p>
    <w:p>
      <w:pPr>
        <w:pStyle w:val="1047"/>
        <w:ind w:firstLine="445"/>
        <w:spacing w:before="151" w:after="151" w:line="360" w:lineRule="auto"/>
        <w:rPr>
          <w:rFonts w:hint="eastAsia" w:ascii="宋体" w:hAnsi="宋体"/>
          <w:sz w:val="24"/>
        </w:rPr>
      </w:pPr>
      <w:r>
        <w:rPr>
          <w:rFonts w:hint="eastAsia" w:ascii="宋体" w:hAnsi="宋体"/>
          <w:sz w:val="24"/>
        </w:rPr>
      </w:r>
      <w:r/>
    </w:p>
    <w:p>
      <w:pPr>
        <w:jc w:val="center"/>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b/>
          <w:color w:val="ff0000"/>
          <w:sz w:val="24"/>
          <w:szCs w:val="24"/>
        </w:rPr>
        <w:t xml:space="preserve">关于符合本国产品标准的声明函（采购包号：**）</w:t>
      </w:r>
      <w:r/>
    </w:p>
    <w:p>
      <w:pPr>
        <w:pStyle w:val="851"/>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51"/>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1"/>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5"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73600;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6" name="直接箭头连接符 3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72576;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71552;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8" name="直接箭头连接符 2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052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9" name="直接箭头连接符 2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9504;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10" name="直接箭头连接符 2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64384;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11" name="直接箭头连接符 2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63360;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2" name="直接箭头连接符 20"/>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2336;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857"/>
          <w:rFonts w:hint="eastAsia" w:ascii="方正魏碑_GBK" w:hAnsi="方正魏碑_GBK" w:eastAsia="方正魏碑_GBK" w:cs="方正魏碑_GBK"/>
          <w:i w:val="0"/>
          <w:color w:val="ff0000"/>
          <w:u w:val="single"/>
          <w:shd w:val="clear" w:color="auto" w:fill="ffffff"/>
        </w:rPr>
        <w:t xml:space="preserve">（产品名称1）</w:t>
      </w:r>
      <w:r>
        <w:rPr>
          <w:rStyle w:val="857"/>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857"/>
          <w:rFonts w:hint="eastAsia" w:ascii="方正魏碑_GBK" w:hAnsi="方正魏碑_GBK" w:eastAsia="方正魏碑_GBK" w:cs="方正魏碑_GBK"/>
          <w:i w:val="0"/>
          <w:color w:val="ff0000"/>
          <w:u w:val="single"/>
          <w:shd w:val="clear" w:color="auto" w:fill="ffffff"/>
        </w:rPr>
        <w:t xml:space="preserve">（厂名）</w:t>
      </w:r>
      <w:r>
        <w:rPr>
          <w:rStyle w:val="857"/>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857"/>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857"/>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857"/>
          <w:rFonts w:hint="eastAsia" w:ascii="方正魏碑_GBK" w:hAnsi="方正魏碑_GBK" w:eastAsia="方正魏碑_GBK" w:cs="方正魏碑_GBK"/>
          <w:i w:val="0"/>
          <w:color w:val="ff0000"/>
          <w:u w:val="single"/>
          <w:shd w:val="clear" w:color="auto" w:fill="ffffff"/>
        </w:rPr>
        <w:t xml:space="preserve">（规定</w:t>
      </w:r>
      <w:r>
        <w:rPr>
          <w:rStyle w:val="857"/>
          <w:rFonts w:ascii="方正魏碑_GBK" w:hAnsi="方正魏碑_GBK" w:eastAsia="方正魏碑_GBK" w:cs="方正魏碑_GBK"/>
          <w:i w:val="0"/>
          <w:color w:val="ff0000"/>
          <w:u w:val="single"/>
          <w:shd w:val="clear" w:color="auto" w:fill="ffffff"/>
        </w:rPr>
        <w:t xml:space="preserve">比例</w:t>
      </w:r>
      <w:r>
        <w:rPr>
          <w:rStyle w:val="857"/>
          <w:rFonts w:hint="eastAsia" w:ascii="方正魏碑_GBK" w:hAnsi="方正魏碑_GBK" w:eastAsia="方正魏碑_GBK" w:cs="方正魏碑_GBK"/>
          <w:i w:val="0"/>
          <w:color w:val="ff0000"/>
          <w:u w:val="single"/>
          <w:shd w:val="clear" w:color="auto" w:fill="ffffff"/>
        </w:rPr>
        <w:t xml:space="preserve">）</w:t>
      </w:r>
      <w:r>
        <w:rPr>
          <w:rStyle w:val="857"/>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857"/>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57"/>
          <w:rFonts w:hint="eastAsia" w:ascii="方正魏碑_GBK" w:hAnsi="方正魏碑_GBK" w:eastAsia="方正魏碑_GBK" w:cs="方正魏碑_GBK"/>
          <w:i w:val="0"/>
          <w:color w:val="ff0000"/>
          <w:u w:val="single"/>
          <w:shd w:val="clear" w:color="auto" w:fill="ffffff"/>
        </w:rPr>
        <w:t xml:space="preserve">（关键</w:t>
      </w:r>
      <w:r>
        <w:rPr>
          <w:rStyle w:val="857"/>
          <w:rFonts w:ascii="方正魏碑_GBK" w:hAnsi="方正魏碑_GBK" w:eastAsia="方正魏碑_GBK" w:cs="方正魏碑_GBK"/>
          <w:i w:val="0"/>
          <w:color w:val="ff0000"/>
          <w:u w:val="single"/>
          <w:shd w:val="clear" w:color="auto" w:fill="ffffff"/>
        </w:rPr>
        <w:t xml:space="preserve">组件</w:t>
      </w:r>
      <w:r>
        <w:rPr>
          <w:rStyle w:val="857"/>
          <w:rFonts w:hint="eastAsia" w:ascii="方正魏碑_GBK" w:hAnsi="方正魏碑_GBK" w:eastAsia="方正魏碑_GBK" w:cs="方正魏碑_GBK"/>
          <w:i w:val="0"/>
          <w:color w:val="ff0000"/>
          <w:u w:val="single"/>
          <w:shd w:val="clear" w:color="auto" w:fill="ffffff"/>
        </w:rPr>
        <w:t xml:space="preserve">）</w:t>
      </w:r>
      <w:r>
        <w:rPr>
          <w:rStyle w:val="857"/>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857"/>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57"/>
          <w:rFonts w:hint="eastAsia" w:ascii="方正魏碑_GBK" w:hAnsi="方正魏碑_GBK" w:eastAsia="方正魏碑_GBK" w:cs="方正魏碑_GBK"/>
          <w:i w:val="0"/>
          <w:color w:val="ff0000"/>
          <w:u w:val="single"/>
          <w:shd w:val="clear" w:color="auto" w:fill="ffffff"/>
        </w:rPr>
        <w:t xml:space="preserve">（关键工序）</w:t>
      </w:r>
      <w:r>
        <w:rPr>
          <w:rStyle w:val="857"/>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851"/>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6672;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769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5648;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7462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7"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6" o:spid="_x0000_s16" o:spt="32" type="#_x0000_t32" style="position:absolute;z-index:251667456;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8" name="直接箭头连接符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7" o:spid="_x0000_s17" o:spt="32" type="#_x0000_t32" style="position:absolute;z-index:251668480;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9" name="直接箭头连接符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8" o:spid="_x0000_s18" o:spt="32" type="#_x0000_t32" style="position:absolute;z-index:251666432;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20" name="直接箭头连接符 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9" o:spid="_x0000_s19" o:spt="32" type="#_x0000_t32" style="position:absolute;z-index:251665408;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857"/>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857"/>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857"/>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857"/>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857"/>
          <w:rFonts w:hint="eastAsia" w:ascii="方正魏碑_GBK" w:hAnsi="方正魏碑_GBK" w:eastAsia="方正魏碑_GBK" w:cs="方正魏碑_GBK"/>
          <w:i w:val="0"/>
          <w:color w:val="ff0000"/>
          <w:u w:val="single"/>
          <w:shd w:val="clear" w:color="auto" w:fill="ffffff"/>
        </w:rPr>
        <w:t xml:space="preserve">（规定</w:t>
      </w:r>
      <w:r>
        <w:rPr>
          <w:rStyle w:val="857"/>
          <w:rFonts w:ascii="方正魏碑_GBK" w:hAnsi="方正魏碑_GBK" w:eastAsia="方正魏碑_GBK" w:cs="方正魏碑_GBK"/>
          <w:i w:val="0"/>
          <w:color w:val="ff0000"/>
          <w:u w:val="single"/>
          <w:shd w:val="clear" w:color="auto" w:fill="ffffff"/>
        </w:rPr>
        <w:t xml:space="preserve">比例</w:t>
      </w:r>
      <w:r>
        <w:rPr>
          <w:rStyle w:val="857"/>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857"/>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857"/>
          <w:rFonts w:hint="eastAsia" w:ascii="方正魏碑_GBK" w:hAnsi="方正魏碑_GBK" w:eastAsia="方正魏碑_GBK" w:cs="方正魏碑_GBK"/>
          <w:i w:val="0"/>
          <w:color w:val="ff0000"/>
          <w:u w:val="single"/>
          <w:shd w:val="clear" w:color="auto" w:fill="ffffff"/>
        </w:rPr>
        <w:t xml:space="preserve">（关键</w:t>
      </w:r>
      <w:r>
        <w:rPr>
          <w:rStyle w:val="857"/>
          <w:rFonts w:ascii="方正魏碑_GBK" w:hAnsi="方正魏碑_GBK" w:eastAsia="方正魏碑_GBK" w:cs="方正魏碑_GBK"/>
          <w:i w:val="0"/>
          <w:color w:val="ff0000"/>
          <w:u w:val="single"/>
          <w:shd w:val="clear" w:color="auto" w:fill="ffffff"/>
        </w:rPr>
        <w:t xml:space="preserve">组件</w:t>
      </w:r>
      <w:r>
        <w:rPr>
          <w:rStyle w:val="857"/>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857"/>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57"/>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851"/>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851"/>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851"/>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51"/>
        <w:ind w:right="480" w:firstLine="37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p>
    <w:p>
      <w:pPr>
        <w:pStyle w:val="851"/>
        <w:jc w:val="center"/>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851"/>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p>
    <w:p>
      <w:pPr>
        <w:pStyle w:val="851"/>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851"/>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851"/>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851"/>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851"/>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851"/>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p>
    <w:p>
      <w:pPr>
        <w:pStyle w:val="1047"/>
        <w:ind w:firstLine="445"/>
        <w:spacing w:before="151" w:after="151" w:line="360" w:lineRule="auto"/>
        <w:rPr>
          <w:rFonts w:hint="eastAsia" w:ascii="宋体" w:hAnsi="宋体"/>
          <w:sz w:val="24"/>
        </w:rPr>
      </w:pPr>
      <w:r>
        <w:rPr>
          <w:rFonts w:hint="eastAsia" w:ascii="宋体" w:hAnsi="宋体"/>
          <w:sz w:val="24"/>
        </w:rPr>
      </w:r>
      <w:r/>
    </w:p>
    <w:p>
      <w:pPr>
        <w:jc w:val="left"/>
        <w:keepLines/>
        <w:spacing w:before="120" w:after="120" w:line="360" w:lineRule="auto"/>
        <w:rPr>
          <w:rFonts w:eastAsia="黑体"/>
          <w:b/>
          <w:sz w:val="32"/>
          <w:szCs w:val="32"/>
        </w:rPr>
        <w:outlineLvl w:val="1"/>
      </w:pPr>
      <w:r>
        <w:rPr>
          <w:rFonts w:eastAsia="黑体"/>
          <w:b/>
          <w:sz w:val="32"/>
          <w:szCs w:val="32"/>
        </w:rPr>
        <w:br w:type="page" w:clear="all"/>
      </w:r>
      <w:r>
        <w:rPr>
          <w:rFonts w:hint="eastAsia" w:eastAsia="黑体"/>
          <w:b/>
          <w:sz w:val="32"/>
          <w:szCs w:val="32"/>
        </w:rPr>
        <w:t xml:space="preserve">八、技术及商务要求响应及偏离表（分包号：</w:t>
      </w:r>
      <w:r>
        <w:rPr>
          <w:rFonts w:hint="eastAsia" w:eastAsia="黑体"/>
          <w:b/>
          <w:sz w:val="32"/>
          <w:szCs w:val="32"/>
        </w:rPr>
        <w:t xml:space="preserve">**</w:t>
      </w:r>
      <w:r>
        <w:rPr>
          <w:rFonts w:hint="eastAsia" w:eastAsia="黑体"/>
          <w:b/>
          <w:sz w:val="32"/>
          <w:szCs w:val="32"/>
        </w:rPr>
        <w:t xml:space="preserve">）</w:t>
      </w:r>
      <w:r/>
    </w:p>
    <w:p>
      <w:pPr>
        <w:jc w:val="center"/>
        <w:spacing w:line="360" w:lineRule="auto"/>
        <w:widowControl/>
        <w:rPr>
          <w:rFonts w:hint="eastAsia" w:ascii="宋体" w:hAnsi="宋体" w:eastAsia="宋体" w:cs="宋体"/>
          <w:sz w:val="24"/>
          <w:szCs w:val="24"/>
        </w:rPr>
      </w:pPr>
      <w:r>
        <w:rPr>
          <w:rFonts w:hint="eastAsia" w:ascii="黑体" w:hAnsi="黑体" w:eastAsia="黑体" w:cs="宋体"/>
          <w:b/>
          <w:bCs/>
          <w:color w:val="000000"/>
          <w:sz w:val="32"/>
          <w:szCs w:val="32"/>
        </w:rPr>
        <w:t xml:space="preserve">技术要求响应及偏离表</w:t>
      </w:r>
      <w:r/>
    </w:p>
    <w:tbl>
      <w:tblPr>
        <w:tblW w:w="0" w:type="auto"/>
        <w:tblCellSpacing w:w="0" w:type="dxa"/>
        <w:tblLook w:val="04A0" w:firstRow="1" w:lastRow="0" w:firstColumn="1" w:lastColumn="0" w:noHBand="0" w:noVBand="1"/>
      </w:tblPr>
      <w:tblGrid>
        <w:gridCol w:w="538"/>
        <w:gridCol w:w="2925"/>
        <w:gridCol w:w="2515"/>
        <w:gridCol w:w="1226"/>
        <w:gridCol w:w="1076"/>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bl>
    <w:p>
      <w:pP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center"/>
        <w:spacing w:line="360" w:lineRule="auto"/>
        <w:rPr>
          <w:rFonts w:eastAsia="黑体"/>
          <w:b/>
          <w:sz w:val="36"/>
          <w:szCs w:val="21"/>
        </w:rPr>
      </w:pPr>
      <w:r>
        <w:rPr>
          <w:rFonts w:eastAsia="黑体"/>
          <w:b/>
          <w:sz w:val="36"/>
          <w:szCs w:val="21"/>
        </w:rPr>
      </w:r>
      <w:r/>
    </w:p>
    <w:p>
      <w:pPr>
        <w:pStyle w:val="824"/>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824"/>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824"/>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824"/>
        <w:rPr>
          <w:rFonts w:eastAsia="黑体"/>
          <w:b/>
          <w:sz w:val="36"/>
          <w:szCs w:val="21"/>
        </w:rPr>
      </w:pPr>
      <w:r>
        <w:rPr>
          <w:rFonts w:eastAsia="黑体"/>
          <w:b/>
          <w:sz w:val="36"/>
          <w:szCs w:val="21"/>
        </w:rPr>
      </w:r>
      <w:r/>
    </w:p>
    <w:p>
      <w:r/>
      <w:r/>
    </w:p>
    <w:p>
      <w:pPr>
        <w:pStyle w:val="824"/>
        <w:spacing w:line="360" w:lineRule="auto"/>
      </w:pPr>
      <w:r/>
      <w:r/>
    </w:p>
    <w:p>
      <w:pPr>
        <w:spacing w:line="360" w:lineRule="auto"/>
      </w:pPr>
      <w:r/>
      <w:r/>
    </w:p>
    <w:p>
      <w:pPr>
        <w:pStyle w:val="824"/>
        <w:spacing w:line="360" w:lineRule="auto"/>
      </w:pPr>
      <w:r/>
      <w:r/>
    </w:p>
    <w:p>
      <w:pPr>
        <w:pStyle w:val="824"/>
        <w:spacing w:line="360" w:lineRule="auto"/>
      </w:pPr>
      <w:r/>
      <w:r/>
    </w:p>
    <w:p>
      <w:pPr>
        <w:jc w:val="center"/>
        <w:spacing w:line="360" w:lineRule="auto"/>
        <w:widowControl/>
        <w:rPr>
          <w:rFonts w:hint="eastAsia" w:ascii="宋体" w:hAnsi="宋体" w:eastAsia="宋体" w:cs="宋体"/>
          <w:sz w:val="24"/>
          <w:szCs w:val="24"/>
        </w:rPr>
      </w:pPr>
      <w:r>
        <w:rPr>
          <w:rFonts w:hint="eastAsia" w:ascii="黑体" w:hAnsi="黑体" w:eastAsia="黑体" w:cs="宋体"/>
          <w:b/>
          <w:bCs/>
          <w:color w:val="000000"/>
          <w:sz w:val="32"/>
          <w:szCs w:val="32"/>
        </w:rPr>
        <w:t xml:space="preserve">商务要求响应及偏离表</w:t>
      </w:r>
      <w:r/>
    </w:p>
    <w:tbl>
      <w:tblPr>
        <w:tblW w:w="0" w:type="auto"/>
        <w:tblCellSpacing w:w="0" w:type="dxa"/>
        <w:tblLook w:val="04A0" w:firstRow="1" w:lastRow="0" w:firstColumn="1" w:lastColumn="0" w:noHBand="0" w:noVBand="1"/>
      </w:tblPr>
      <w:tblGrid>
        <w:gridCol w:w="539"/>
        <w:gridCol w:w="2927"/>
        <w:gridCol w:w="2516"/>
        <w:gridCol w:w="1224"/>
        <w:gridCol w:w="1074"/>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bl>
    <w:p>
      <w:pP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left"/>
        <w:spacing w:line="360" w:lineRule="auto"/>
        <w:widowControl/>
        <w:rPr>
          <w:rFonts w:eastAsia="黑体" w:cs="黑体"/>
          <w:b/>
          <w:sz w:val="32"/>
          <w:szCs w:val="24"/>
        </w:rPr>
        <w:outlineLvl w:val="1"/>
      </w:pPr>
      <w:r>
        <w:rPr>
          <w:rFonts w:eastAsia="黑体" w:cs="黑体"/>
          <w:b/>
          <w:sz w:val="32"/>
          <w:szCs w:val="24"/>
        </w:rPr>
      </w:r>
      <w:r/>
    </w:p>
    <w:p>
      <w:pPr>
        <w:jc w:val="left"/>
        <w:spacing w:line="360" w:lineRule="auto"/>
        <w:widowControl/>
        <w:rPr>
          <w:rFonts w:eastAsia="黑体" w:cs="黑体"/>
          <w:b/>
          <w:sz w:val="32"/>
          <w:szCs w:val="24"/>
        </w:rPr>
        <w:outlineLvl w:val="1"/>
      </w:pPr>
      <w:r>
        <w:rPr>
          <w:rFonts w:eastAsia="黑体" w:cs="黑体"/>
          <w:b/>
          <w:sz w:val="32"/>
          <w:szCs w:val="24"/>
        </w:rPr>
      </w:r>
      <w:r/>
    </w:p>
    <w:p>
      <w:pPr>
        <w:jc w:val="left"/>
        <w:spacing w:line="360" w:lineRule="auto"/>
        <w:widowControl/>
        <w:rPr>
          <w:rFonts w:eastAsia="黑体" w:cs="黑体"/>
          <w:b/>
          <w:sz w:val="32"/>
          <w:szCs w:val="24"/>
        </w:rPr>
        <w:outlineLvl w:val="1"/>
      </w:pPr>
      <w:r>
        <w:rPr>
          <w:rFonts w:eastAsia="黑体" w:cs="黑体"/>
          <w:b/>
          <w:sz w:val="32"/>
          <w:szCs w:val="24"/>
        </w:rPr>
      </w:r>
      <w:r/>
    </w:p>
    <w:p>
      <w:pPr>
        <w:pStyle w:val="824"/>
        <w:spacing w:line="360" w:lineRule="auto"/>
      </w:pPr>
      <w:r/>
      <w:r/>
    </w:p>
    <w:p>
      <w:pPr>
        <w:spacing w:line="360" w:lineRule="auto"/>
      </w:pPr>
      <w:r/>
      <w:r/>
    </w:p>
    <w:p>
      <w:pPr>
        <w:pStyle w:val="824"/>
        <w:spacing w:line="360" w:lineRule="auto"/>
      </w:pPr>
      <w:r/>
      <w:r/>
    </w:p>
    <w:p>
      <w:pPr>
        <w:spacing w:line="360" w:lineRule="auto"/>
      </w:pPr>
      <w:r/>
      <w:r/>
    </w:p>
    <w:p>
      <w:pPr>
        <w:pStyle w:val="824"/>
        <w:spacing w:line="360" w:lineRule="auto"/>
      </w:pPr>
      <w:r/>
      <w:r/>
    </w:p>
    <w:p>
      <w:pPr>
        <w:spacing w:line="360" w:lineRule="auto"/>
      </w:pPr>
      <w:r/>
      <w:r/>
    </w:p>
    <w:p>
      <w:pPr>
        <w:pStyle w:val="824"/>
        <w:spacing w:line="360" w:lineRule="auto"/>
      </w:pPr>
      <w:r/>
      <w:r/>
    </w:p>
    <w:p>
      <w:pPr>
        <w:spacing w:line="360" w:lineRule="auto"/>
      </w:pPr>
      <w:r/>
      <w:r/>
    </w:p>
    <w:p>
      <w:pPr>
        <w:pStyle w:val="824"/>
        <w:spacing w:line="360" w:lineRule="auto"/>
      </w:pPr>
      <w:r/>
      <w:r/>
    </w:p>
    <w:p>
      <w:pPr>
        <w:jc w:val="left"/>
        <w:spacing w:line="360" w:lineRule="auto"/>
        <w:widowControl/>
        <w:rPr>
          <w:rFonts w:eastAsia="黑体" w:cs="黑体"/>
          <w:b/>
          <w:sz w:val="32"/>
          <w:szCs w:val="24"/>
        </w:rPr>
        <w:outlineLvl w:val="1"/>
      </w:pPr>
      <w:r>
        <w:rPr>
          <w:rFonts w:hint="eastAsia" w:eastAsia="黑体" w:cs="黑体"/>
          <w:b/>
          <w:sz w:val="32"/>
          <w:szCs w:val="24"/>
        </w:rPr>
        <w:t xml:space="preserve">九、</w:t>
      </w:r>
      <w:r>
        <w:rPr>
          <w:rFonts w:eastAsia="黑体" w:cs="黑体"/>
          <w:b/>
          <w:sz w:val="32"/>
          <w:szCs w:val="24"/>
        </w:rPr>
        <w:t xml:space="preserve">项目组人员</w:t>
      </w:r>
      <w:r>
        <w:rPr>
          <w:rFonts w:hint="eastAsia" w:eastAsia="黑体" w:cs="黑体"/>
          <w:b/>
          <w:sz w:val="32"/>
          <w:szCs w:val="24"/>
        </w:rPr>
        <w:t xml:space="preserve">（如有）</w:t>
      </w:r>
      <w:r/>
    </w:p>
    <w:p>
      <w:pPr>
        <w:jc w:val="center"/>
        <w:spacing w:before="100" w:beforeAutospacing="1" w:after="100" w:afterAutospacing="1" w:line="360" w:lineRule="auto"/>
        <w:widowControl/>
        <w:rPr>
          <w:rFonts w:eastAsia="宋体" w:cs="宋体"/>
          <w:b/>
          <w:bCs/>
          <w:sz w:val="32"/>
          <w:szCs w:val="32"/>
        </w:rPr>
      </w:pPr>
      <w:r>
        <w:rPr>
          <w:rFonts w:hint="eastAsia" w:eastAsia="宋体" w:cs="宋体"/>
          <w:b/>
          <w:bCs/>
          <w:sz w:val="32"/>
          <w:szCs w:val="32"/>
        </w:rPr>
        <w:t xml:space="preserve">项目组成员</w:t>
      </w:r>
      <w:r/>
    </w:p>
    <w:tbl>
      <w:tblPr>
        <w:tblpPr w:horzAnchor="margin" w:tblpXSpec="center" w:vertAnchor="text" w:tblpY="74"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360" w:lineRule="auto"/>
              <w:widowControl/>
              <w:rPr>
                <w:rFonts w:eastAsia="仿宋_GB2312" w:cs="仿宋_GB2312"/>
                <w:sz w:val="28"/>
                <w:szCs w:val="28"/>
              </w:rPr>
            </w:pPr>
            <w:r>
              <w:rPr>
                <w:rFonts w:eastAsia="仿宋_GB2312" w:cs="仿宋_GB2312"/>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360" w:lineRule="auto"/>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line="360" w:lineRule="auto"/>
              <w:widowControl/>
              <w:rPr>
                <w:rFonts w:eastAsia="宋体" w:cs="宋体"/>
                <w:sz w:val="20"/>
              </w:rPr>
            </w:pPr>
            <w:r>
              <w:rPr>
                <w:rFonts w:hint="eastAsia" w:eastAsia="仿宋_GB2312" w:cs="仿宋_GB2312"/>
                <w:sz w:val="28"/>
                <w:szCs w:val="28"/>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bl>
    <w:p>
      <w:pPr>
        <w:ind w:firstLine="398"/>
        <w:jc w:val="left"/>
        <w:spacing w:before="100" w:beforeAutospacing="1" w:after="100" w:afterAutospacing="1" w:line="360" w:lineRule="auto"/>
        <w:widowControl/>
        <w:rPr>
          <w:rFonts w:eastAsia="仿宋_GB2312" w:cs="仿宋_GB2312"/>
          <w:sz w:val="24"/>
          <w:szCs w:val="24"/>
        </w:rPr>
      </w:pPr>
      <w:r>
        <w:rPr>
          <w:rFonts w:eastAsia="仿宋_GB2312" w:cs="仿宋_GB2312"/>
          <w:b/>
          <w:sz w:val="24"/>
          <w:szCs w:val="24"/>
        </w:rPr>
        <w:t xml:space="preserve">注：如供应商中标，项目组成员必须按本表承诺人员操作，不得随意更换。按投标文件要求附相关人员证书。</w:t>
      </w:r>
      <w:r/>
    </w:p>
    <w:p>
      <w:pPr>
        <w:ind w:firstLine="280"/>
        <w:jc w:val="left"/>
        <w:spacing w:before="100" w:beforeAutospacing="1" w:after="100" w:afterAutospacing="1" w:line="360" w:lineRule="auto"/>
        <w:widowControl/>
        <w:rPr>
          <w:rFonts w:eastAsia="仿宋_GB2312" w:cs="仿宋_GB2312"/>
          <w:sz w:val="24"/>
          <w:szCs w:val="24"/>
        </w:rPr>
      </w:pPr>
      <w:r>
        <w:rPr>
          <w:rFonts w:eastAsia="仿宋_GB2312" w:cs="仿宋_GB2312"/>
          <w:sz w:val="24"/>
          <w:szCs w:val="24"/>
        </w:rPr>
      </w:r>
      <w:r/>
    </w:p>
    <w:p>
      <w:pPr>
        <w:spacing w:line="360" w:lineRule="auto"/>
        <w:rPr>
          <w:rFonts w:eastAsia="宋体"/>
          <w:sz w:val="21"/>
          <w:szCs w:val="24"/>
        </w:rPr>
      </w:pPr>
      <w:r>
        <w:rPr>
          <w:rFonts w:eastAsia="宋体"/>
          <w:sz w:val="21"/>
          <w:szCs w:val="24"/>
        </w:rPr>
        <w:br w:type="page" w:clear="all"/>
      </w:r>
      <w:bookmarkStart w:id="58" w:name="_Toc11176"/>
      <w:r>
        <w:rPr>
          <w:rFonts w:hint="eastAsia" w:eastAsia="黑体" w:cs="黑体"/>
          <w:b/>
          <w:sz w:val="32"/>
          <w:szCs w:val="24"/>
        </w:rPr>
        <w:t xml:space="preserve">十、</w:t>
      </w:r>
      <w:bookmarkEnd w:id="58"/>
      <w:r>
        <w:rPr>
          <w:rFonts w:hint="eastAsia" w:eastAsia="黑体" w:cs="黑体"/>
          <w:b/>
          <w:sz w:val="32"/>
          <w:szCs w:val="24"/>
        </w:rPr>
        <w:t xml:space="preserve">企业业绩（如有）</w:t>
      </w:r>
      <w:r/>
    </w:p>
    <w:p>
      <w:pPr>
        <w:jc w:val="center"/>
        <w:spacing w:line="360" w:lineRule="auto"/>
        <w:rPr>
          <w:rFonts w:eastAsia="宋体"/>
          <w:b/>
          <w:sz w:val="32"/>
          <w:szCs w:val="32"/>
        </w:rPr>
      </w:pPr>
      <w:r>
        <w:rPr>
          <w:rFonts w:hint="eastAsia" w:eastAsia="宋体"/>
          <w:b/>
          <w:sz w:val="32"/>
          <w:szCs w:val="32"/>
        </w:rPr>
        <w:t xml:space="preserve">投标人承担类似项目业绩一览表</w:t>
      </w:r>
      <w:r/>
    </w:p>
    <w:tbl>
      <w:tblPr>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360" w:lineRule="auto"/>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25"/>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bl>
    <w:p>
      <w:pPr>
        <w:spacing w:line="360" w:lineRule="auto"/>
        <w:rPr>
          <w:rFonts w:eastAsia="宋体"/>
          <w:sz w:val="21"/>
          <w:szCs w:val="22"/>
        </w:rPr>
      </w:pPr>
      <w:r>
        <w:rPr>
          <w:rFonts w:hint="eastAsia" w:eastAsia="仿宋_GB2312"/>
          <w:b/>
          <w:sz w:val="24"/>
          <w:szCs w:val="22"/>
        </w:rPr>
        <w:t xml:space="preserve">注：请填写此表，并按要求上传业绩资料电子件。</w:t>
      </w:r>
      <w:r/>
    </w:p>
    <w:p>
      <w:pPr>
        <w:jc w:val="left"/>
        <w:spacing w:line="360" w:lineRule="auto"/>
        <w:widowControl/>
        <w:rPr>
          <w:rFonts w:eastAsia="黑体" w:cs="黑体"/>
          <w:b/>
          <w:sz w:val="32"/>
          <w:szCs w:val="24"/>
        </w:rPr>
        <w:outlineLvl w:val="1"/>
      </w:pPr>
      <w:r>
        <w:rPr>
          <w:rFonts w:eastAsia="黑体" w:cs="黑体"/>
          <w:b/>
          <w:sz w:val="32"/>
          <w:szCs w:val="24"/>
        </w:rPr>
        <w:br w:type="page" w:clear="all"/>
      </w:r>
      <w:bookmarkStart w:id="59" w:name="_Toc28140"/>
      <w:r>
        <w:rPr>
          <w:rFonts w:hint="eastAsia" w:eastAsia="黑体" w:cs="黑体"/>
          <w:b/>
          <w:sz w:val="32"/>
          <w:szCs w:val="24"/>
        </w:rPr>
        <w:t xml:space="preserve">十一</w:t>
      </w:r>
      <w:r>
        <w:rPr>
          <w:rFonts w:eastAsia="黑体" w:cs="黑体"/>
          <w:b/>
          <w:sz w:val="32"/>
          <w:szCs w:val="24"/>
        </w:rPr>
        <w:t xml:space="preserve">、投标所需其他材料</w:t>
      </w:r>
      <w:bookmarkEnd w:id="59"/>
      <w:r/>
      <w:r/>
    </w:p>
    <w:p>
      <w:pPr>
        <w:ind w:firstLine="560"/>
        <w:spacing w:line="360" w:lineRule="auto"/>
        <w:rPr>
          <w:rFonts w:eastAsia="仿宋_GB2312"/>
          <w:sz w:val="28"/>
          <w:szCs w:val="28"/>
        </w:rPr>
      </w:pPr>
      <w:r>
        <w:rPr>
          <w:rFonts w:hint="eastAsia" w:eastAsia="仿宋_GB2312"/>
          <w:sz w:val="28"/>
          <w:szCs w:val="28"/>
        </w:rPr>
        <w:t xml:space="preserve">请在此文档中增加投标所需其他相关内容（包括资格要求、评分办法、采购需求中涉及的证件证明及其它投标人认为有必要提供的资料），如没有请将此空文档上传。</w:t>
      </w:r>
      <w:r/>
    </w:p>
    <w:p>
      <w:pPr>
        <w:spacing w:line="360" w:lineRule="auto"/>
        <w:rPr>
          <w:rFonts w:eastAsia="宋体"/>
          <w:sz w:val="20"/>
          <w:szCs w:val="21"/>
        </w:rPr>
      </w:pPr>
      <w:r>
        <w:rPr>
          <w:rFonts w:hint="eastAsia" w:eastAsia="宋体"/>
          <w:sz w:val="20"/>
          <w:szCs w:val="21"/>
        </w:rPr>
        <w:t xml:space="preserve"> </w:t>
      </w:r>
      <w:r/>
    </w:p>
    <w:p>
      <w:pPr>
        <w:spacing w:line="360" w:lineRule="auto"/>
        <w:rPr>
          <w:rFonts w:eastAsia="宋体"/>
          <w:sz w:val="21"/>
          <w:szCs w:val="21"/>
        </w:rPr>
      </w:pPr>
      <w:r>
        <w:rPr>
          <w:rFonts w:eastAsia="宋体"/>
          <w:sz w:val="21"/>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bookmarkEnd w:id="54"/>
      <w:r/>
      <w:r/>
    </w:p>
    <w:p>
      <w:pPr>
        <w:spacing w:line="360" w:lineRule="auto"/>
        <w:rPr>
          <w:rFonts w:eastAsia="宋体"/>
          <w:sz w:val="24"/>
          <w:szCs w:val="21"/>
        </w:rPr>
      </w:pPr>
      <w:r>
        <w:rPr>
          <w:rFonts w:eastAsia="宋体"/>
          <w:sz w:val="24"/>
          <w:szCs w:val="21"/>
        </w:rPr>
      </w:r>
      <w:r/>
    </w:p>
    <w:p>
      <w:pPr>
        <w:spacing w:line="360" w:lineRule="auto"/>
        <w:rPr>
          <w:rFonts w:eastAsia="宋体"/>
          <w:sz w:val="30"/>
          <w:szCs w:val="21"/>
        </w:rPr>
      </w:pPr>
      <w:r>
        <w:rPr>
          <w:rFonts w:eastAsia="宋体"/>
          <w:sz w:val="30"/>
          <w:szCs w:val="21"/>
        </w:rPr>
      </w:r>
      <w:r/>
    </w:p>
    <w:p>
      <w:pPr>
        <w:spacing w:line="360" w:lineRule="auto"/>
        <w:rPr>
          <w:rFonts w:eastAsia="宋体"/>
          <w:sz w:val="24"/>
          <w:szCs w:val="21"/>
        </w:rPr>
      </w:pPr>
      <w:r/>
      <w:bookmarkStart w:id="60" w:name="_Hlt26955066"/>
      <w:r/>
      <w:bookmarkStart w:id="61" w:name="_Hlt26671374"/>
      <w:r/>
      <w:bookmarkStart w:id="62" w:name="_Hlt26609389"/>
      <w:r/>
      <w:bookmarkStart w:id="63" w:name="_Toc462564146"/>
      <w:r/>
      <w:bookmarkEnd w:id="60"/>
      <w:r/>
      <w:bookmarkEnd w:id="61"/>
      <w:r/>
      <w:bookmarkEnd w:id="62"/>
      <w:r/>
      <w:r/>
    </w:p>
    <w:p>
      <w:pPr>
        <w:spacing w:line="360" w:lineRule="auto"/>
        <w:rPr>
          <w:rFonts w:eastAsia="宋体"/>
          <w:sz w:val="24"/>
          <w:szCs w:val="21"/>
        </w:rPr>
      </w:pPr>
      <w:r>
        <w:rPr>
          <w:rFonts w:eastAsia="宋体"/>
          <w:sz w:val="24"/>
          <w:szCs w:val="21"/>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spacing w:line="360" w:lineRule="auto"/>
        <w:rPr>
          <w:rFonts w:eastAsia="黑体"/>
          <w:b/>
          <w:sz w:val="32"/>
          <w:szCs w:val="32"/>
        </w:rPr>
      </w:pPr>
      <w:r/>
      <w:bookmarkStart w:id="64" w:name="_格式2__法定代表人授权书"/>
      <w:r/>
      <w:bookmarkEnd w:id="63"/>
      <w:r/>
      <w:bookmarkEnd w:id="64"/>
      <w:r/>
      <w:r/>
    </w:p>
    <w:p>
      <w:pPr>
        <w:spacing w:line="360" w:lineRule="auto"/>
        <w:rPr>
          <w:rFonts w:eastAsia="黑体"/>
          <w:b/>
          <w:sz w:val="32"/>
          <w:szCs w:val="32"/>
        </w:rPr>
      </w:pPr>
      <w:r>
        <w:rPr>
          <w:rFonts w:eastAsia="黑体"/>
          <w:b/>
          <w:sz w:val="32"/>
          <w:szCs w:val="32"/>
        </w:rPr>
      </w:r>
      <w:r/>
    </w:p>
    <w:p>
      <w:pPr>
        <w:jc w:val="center"/>
        <w:spacing w:line="360" w:lineRule="auto"/>
        <w:rPr>
          <w:rFonts w:eastAsia="宋体" w:cs="仿宋"/>
          <w:b/>
          <w:bCs/>
          <w:sz w:val="32"/>
          <w:szCs w:val="32"/>
        </w:rPr>
      </w:pPr>
      <w:r>
        <w:rPr>
          <w:rFonts w:eastAsia="宋体" w:cs="仿宋"/>
          <w:b/>
          <w:bCs/>
          <w:sz w:val="32"/>
          <w:szCs w:val="32"/>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ajorEastAsia" w:hAnsiTheme="majorEastAsia" w:eastAsiaTheme="majorEastAsia"/>
          <w:sz w:val="32"/>
          <w:szCs w:val="32"/>
        </w:rPr>
      </w:pPr>
      <w:r>
        <w:rPr>
          <w:rFonts w:hint="eastAsia" w:asciiTheme="majorEastAsia" w:hAnsiTheme="majorEastAsia" w:eastAsiaTheme="majorEastAsia"/>
          <w:sz w:val="32"/>
          <w:szCs w:val="32"/>
        </w:rPr>
        <w:t xml:space="preserve">十二、资格证明文件（参考格式）</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（说明：投标人须按“招标公告”的要求，并按下列格式提供相应的资格证明文件）　　　</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rPr>
          <w:rFonts w:asciiTheme="minorEastAsia" w:hAnsiTheme="minorEastAsia" w:eastAsiaTheme="minorEastAsia"/>
          <w:sz w:val="24"/>
          <w:szCs w:val="24"/>
        </w:rPr>
        <w:t xml:space="preserve">法人或者其他组织的营业执照等证明文件，自然人的身份证明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rPr>
          <w:rFonts w:asciiTheme="minorEastAsia" w:hAnsiTheme="minorEastAsia" w:eastAsiaTheme="minorEastAsia"/>
          <w:sz w:val="24"/>
          <w:szCs w:val="24"/>
        </w:rPr>
        <w:t xml:space="preserve">依法缴纳税收和社会保障资金的相关材料</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格式四：具备履行合同所必需的设备和专业技术能力的书面声明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rPr>
          <w:rFonts w:asciiTheme="minorEastAsia" w:hAnsiTheme="minorEastAsia" w:eastAsiaTheme="minorEastAsia"/>
          <w:sz w:val="24"/>
          <w:szCs w:val="24"/>
        </w:rPr>
        <w:t xml:space="preserve">参加政府采购活动前3年内在经营活动中没有重大违法记录的书面声明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格式六：投标人</w:t>
      </w:r>
      <w:r>
        <w:rPr>
          <w:rFonts w:asciiTheme="minorEastAsia" w:hAnsiTheme="minorEastAsia" w:eastAsiaTheme="minorEastAsia"/>
          <w:sz w:val="24"/>
          <w:szCs w:val="24"/>
        </w:rPr>
        <w:t xml:space="preserve">及</w:t>
      </w:r>
      <w:r>
        <w:rPr>
          <w:rFonts w:hint="eastAsia" w:asciiTheme="minorEastAsia" w:hAnsiTheme="minorEastAsia" w:eastAsiaTheme="minorEastAsia"/>
          <w:sz w:val="24"/>
          <w:szCs w:val="24"/>
        </w:rPr>
        <w:t xml:space="preserve">投标产品（货物/</w:t>
      </w:r>
      <w:r>
        <w:rPr>
          <w:rFonts w:asciiTheme="minorEastAsia" w:hAnsiTheme="minorEastAsia" w:eastAsiaTheme="minorEastAsia"/>
          <w:sz w:val="24"/>
          <w:szCs w:val="24"/>
        </w:rPr>
        <w:t xml:space="preserve">服务</w:t>
      </w:r>
      <w:r>
        <w:rPr>
          <w:rFonts w:hint="eastAsia" w:asciiTheme="minorEastAsia" w:hAnsiTheme="minorEastAsia" w:eastAsiaTheme="minorEastAsia"/>
          <w:sz w:val="24"/>
          <w:szCs w:val="24"/>
        </w:rPr>
        <w:t xml:space="preserve">）资质证书（复印件）</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格式七*****（本项目要求的其他资格条件）</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法人或者其他组织的营业执照等证明文件，自然人的身份证明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名称</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5"/>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注册资本</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实收资本</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全部资产总值</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37"/>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固定资产总值</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71"/>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3"/>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平均流动资产余额</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4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1"/>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流动负债</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年末所有者权益</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营业收入</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1"/>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6"/>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现金净流量</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流动比率%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（流动资产/流动负债）</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速动比率%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（速动资产/流动负债）</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9"/>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资产负债率%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（总负债/总资产）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应收账款周转率%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（收入总额/平均应收账款）</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17</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存货周转率%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（销售成本/平均存货）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资产报酬率%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19</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净资产收益率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（净利润/平均净资产）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依法</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缴纳税收” 和</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社会保障资金”的相关材料</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提供投标人参加本次政府采购活动前6个月内至少一个月缴纳税收及缴纳社会保障资金的证明材料。投标人依法享受缓缴、免缴税收、社会保障资金的提供证明材料；</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具备履行合同所必需的设备和专业技术能力的书面声明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主要设备有</w:t>
      </w:r>
      <w:r>
        <w:rPr>
          <w:rFonts w:hint="eastAsia" w:asciiTheme="minorEastAsia" w:hAnsiTheme="minorEastAsia" w:eastAsiaTheme="minorEastAsia"/>
          <w:sz w:val="24"/>
          <w:szCs w:val="24"/>
        </w:rPr>
        <w:t xml:space="preserve">：。</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主要专业技术能力有</w:t>
      </w:r>
      <w:r>
        <w:rPr>
          <w:rFonts w:hint="eastAsia" w:asciiTheme="minorEastAsia" w:hAnsiTheme="minorEastAsia" w:eastAsiaTheme="minorEastAsia"/>
          <w:sz w:val="24"/>
          <w:szCs w:val="24"/>
        </w:rPr>
        <w:t xml:space="preserve">：。</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 __年月日</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参加政府采购活动前 3 年内在经营活动中没有重大违法记录的书面声明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声  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日期：___年月日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br w:type="page" w:clear="all"/>
      </w:r>
      <w:r/>
    </w:p>
    <w:p>
      <w:pPr>
        <w:spacing w:line="360" w:lineRule="auto"/>
      </w:pPr>
      <w:r>
        <w:rPr>
          <w:rFonts w:hint="eastAsia"/>
        </w:rPr>
        <w:t xml:space="preserve">格式六</w:t>
      </w:r>
      <w:r/>
    </w:p>
    <w:p>
      <w:pPr>
        <w:spacing w:line="360" w:lineRule="auto"/>
      </w:pPr>
      <w:r>
        <w:rPr>
          <w:rFonts w:hint="eastAsia"/>
        </w:rPr>
        <w:t xml:space="preserve">资质证书（复印件）</w:t>
      </w:r>
      <w:r/>
    </w:p>
    <w:p>
      <w:pPr>
        <w:spacing w:line="360" w:lineRule="auto"/>
      </w:pPr>
      <w:r/>
      <w:r/>
    </w:p>
    <w:p>
      <w:pPr>
        <w:spacing w:line="360" w:lineRule="auto"/>
      </w:pPr>
      <w:r/>
      <w:r/>
    </w:p>
    <w:p>
      <w:pPr>
        <w:pStyle w:val="1017"/>
        <w:ind w:firstLine="240"/>
        <w:spacing w:line="360" w:lineRule="auto"/>
        <w:rPr>
          <w:rFonts w:hint="eastAsia" w:cs="仿宋" w:asciiTheme="minorEastAsia" w:hAnsiTheme="minorEastAsia" w:eastAsiaTheme="minorEastAsia"/>
        </w:rPr>
      </w:pPr>
      <w:r>
        <w:rPr>
          <w:rFonts w:hint="eastAsia" w:cs="仿宋" w:asciiTheme="minorEastAsia" w:hAnsiTheme="minorEastAsia" w:eastAsiaTheme="minorEastAsia"/>
        </w:rPr>
      </w:r>
      <w:r/>
    </w:p>
    <w:p>
      <w:pPr>
        <w:spacing w:line="360" w:lineRule="auto"/>
      </w:pPr>
      <w:r/>
      <w:r/>
    </w:p>
    <w:p>
      <w:pPr>
        <w:spacing w:line="360" w:lineRule="auto"/>
      </w:pPr>
      <w:r/>
      <w:r/>
    </w:p>
    <w:p>
      <w:pPr>
        <w:pStyle w:val="1017"/>
        <w:ind w:firstLine="240"/>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sectPr>
      <w:footerReference w:type="default" r:id="rId12"/>
      <w:footerReference w:type="first" r:id="rId13"/>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MS Mincho">
    <w:panose1 w:val="02020603050405090304"/>
  </w:font>
  <w:font w:name="Symbol">
    <w:panose1 w:val="05050102010706020507"/>
  </w:font>
  <w:font w:name="Wingdings">
    <w:panose1 w:val="05000000000000000000"/>
  </w:font>
  <w:font w:name="黑体">
    <w:panose1 w:val="02010609060101010101"/>
  </w:font>
  <w:font w:name="仿宋_GB2312">
    <w:panose1 w:val="02010609060101010101"/>
  </w:font>
  <w:font w:name="仿宋">
    <w:panose1 w:val="02010609060101010101"/>
  </w:font>
  <w:font w:name="Cambria">
    <w:panose1 w:val="02040503050406030204"/>
  </w:font>
  <w:font w:name="Courier New">
    <w:panose1 w:val="02070309020205020404"/>
  </w:font>
  <w:font w:name="Calibri">
    <w:panose1 w:val="020F05020202040302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42608854"/>
      <w:rPr/>
    </w:sdtPr>
    <w:sdtContent>
      <w:p>
        <w:pPr>
          <w:pStyle w:val="837"/>
          <w:jc w:val="center"/>
        </w:pPr>
        <w:r>
          <w:fldChar w:fldCharType="begin"/>
        </w:r>
        <w:r>
          <w:instrText xml:space="preserve">PAGE   \* MERGEFORMAT</w:instrText>
        </w:r>
        <w:r>
          <w:fldChar w:fldCharType="separate"/>
        </w:r>
        <w:r>
          <w:rPr>
            <w:lang w:val="zh-CN"/>
          </w:rPr>
          <w:t xml:space="preserve">6</w:t>
        </w:r>
        <w:r>
          <w:rPr>
            <w:lang w:val="zh-CN"/>
          </w:rPr>
          <w:t xml:space="preserve">2</w:t>
        </w:r>
        <w:r>
          <w:rPr>
            <w:lang w:val="zh-CN"/>
          </w:rPr>
          <w:fldChar w:fldCharType="end"/>
        </w:r>
        <w:r/>
      </w:p>
    </w:sdtContent>
  </w:sdt>
  <w:p>
    <w:pPr>
      <w:pStyle w:val="10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51117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a:effectLst/>
                    </wps:spPr>
                    <wps:txbx>
                      <w:txbxContent>
                        <w:p>
                          <w:pPr>
                            <w:pStyle w:val="10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0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65735" cy="189865"/>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65735" cy="189865"/>
                      </a:xfrm>
                      <a:prstGeom prst="rect">
                        <a:avLst/>
                      </a:prstGeom>
                      <a:noFill/>
                      <a:ln w="6350">
                        <a:noFill/>
                      </a:ln>
                    </wps:spPr>
                    <wps:txbx>
                      <w:txbxContent>
                        <w:p>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3.0pt;height:14.9pt;mso-wrap-distance-left:9.0pt;mso-wrap-distance-top:0.0pt;mso-wrap-distance-right:9.0pt;mso-wrap-distance-bottom:0.0pt;v-text-anchor:top;visibility:visible;" filled="f" stroked="f" strokeweight="0.50pt">
              <v:textbox inset="0,0,0,0">
                <w:txbxContent>
                  <w:p>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both"/>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720"/>
      </w:pPr>
      <w:rPr>
        <w:rFonts w:hint="default" w:ascii="Times New Roman" w:hAnsi="Times New Roman" w:eastAsia="楷体_GB2312" w:cs="Times New Roman"/>
        <w:sz w:val="26"/>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decimal"/>
      <w:isLgl w:val="false"/>
      <w:suff w:val="tab"/>
      <w:lvlText w:val="%1、"/>
      <w:lvlJc w:val="left"/>
      <w:pPr>
        <w:ind w:left="435" w:hanging="43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35" w:hanging="43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7">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isLgl w:val="false"/>
      <w:suff w:val="tab"/>
      <w:lvlText w:val="□"/>
      <w:lvlJc w:val="left"/>
      <w:pPr>
        <w:ind w:left="360" w:hanging="360"/>
      </w:pPr>
      <w:rPr>
        <w:rFonts w:hint="eastAsia" w:ascii="宋体" w:hAnsi="宋体" w:eastAsia="宋体" w:cs="Times New Roman"/>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8"/>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3"/>
  </w:num>
  <w:num w:numId="5">
    <w:abstractNumId w:val="9"/>
  </w:num>
  <w:num w:numId="6">
    <w:abstractNumId w:val="2"/>
  </w:num>
  <w:num w:numId="7">
    <w:abstractNumId w:val="4"/>
  </w:num>
  <w:num w:numId="8">
    <w:abstractNumId w:val="1"/>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5">
    <w:name w:val="Heading 1 Char"/>
    <w:basedOn w:val="821"/>
    <w:link w:val="812"/>
    <w:uiPriority w:val="9"/>
    <w:rPr>
      <w:rFonts w:ascii="Arial" w:hAnsi="Arial" w:eastAsia="Arial" w:cs="Arial"/>
      <w:sz w:val="40"/>
      <w:szCs w:val="40"/>
    </w:rPr>
  </w:style>
  <w:style w:type="character" w:styleId="776">
    <w:name w:val="Heading 2 Char"/>
    <w:basedOn w:val="821"/>
    <w:link w:val="813"/>
    <w:uiPriority w:val="9"/>
    <w:rPr>
      <w:rFonts w:ascii="Arial" w:hAnsi="Arial" w:eastAsia="Arial" w:cs="Arial"/>
      <w:sz w:val="34"/>
    </w:rPr>
  </w:style>
  <w:style w:type="character" w:styleId="777">
    <w:name w:val="Heading 3 Char"/>
    <w:basedOn w:val="821"/>
    <w:link w:val="814"/>
    <w:uiPriority w:val="9"/>
    <w:rPr>
      <w:rFonts w:ascii="Arial" w:hAnsi="Arial" w:eastAsia="Arial" w:cs="Arial"/>
      <w:sz w:val="30"/>
      <w:szCs w:val="30"/>
    </w:rPr>
  </w:style>
  <w:style w:type="character" w:styleId="778">
    <w:name w:val="Heading 4 Char"/>
    <w:basedOn w:val="821"/>
    <w:link w:val="815"/>
    <w:uiPriority w:val="9"/>
    <w:rPr>
      <w:rFonts w:ascii="Arial" w:hAnsi="Arial" w:eastAsia="Arial" w:cs="Arial"/>
      <w:b/>
      <w:bCs/>
      <w:sz w:val="26"/>
      <w:szCs w:val="26"/>
    </w:rPr>
  </w:style>
  <w:style w:type="character" w:styleId="779">
    <w:name w:val="Heading 5 Char"/>
    <w:basedOn w:val="821"/>
    <w:link w:val="816"/>
    <w:uiPriority w:val="9"/>
    <w:rPr>
      <w:rFonts w:ascii="Arial" w:hAnsi="Arial" w:eastAsia="Arial" w:cs="Arial"/>
      <w:b/>
      <w:bCs/>
      <w:sz w:val="24"/>
      <w:szCs w:val="24"/>
    </w:rPr>
  </w:style>
  <w:style w:type="character" w:styleId="780">
    <w:name w:val="Heading 6 Char"/>
    <w:basedOn w:val="821"/>
    <w:link w:val="817"/>
    <w:uiPriority w:val="9"/>
    <w:rPr>
      <w:rFonts w:ascii="Arial" w:hAnsi="Arial" w:eastAsia="Arial" w:cs="Arial"/>
      <w:b/>
      <w:bCs/>
      <w:sz w:val="22"/>
      <w:szCs w:val="22"/>
    </w:rPr>
  </w:style>
  <w:style w:type="character" w:styleId="781">
    <w:name w:val="Heading 7 Char"/>
    <w:basedOn w:val="821"/>
    <w:link w:val="818"/>
    <w:uiPriority w:val="9"/>
    <w:rPr>
      <w:rFonts w:ascii="Arial" w:hAnsi="Arial" w:eastAsia="Arial" w:cs="Arial"/>
      <w:b/>
      <w:bCs/>
      <w:i/>
      <w:iCs/>
      <w:sz w:val="22"/>
      <w:szCs w:val="22"/>
    </w:rPr>
  </w:style>
  <w:style w:type="character" w:styleId="782">
    <w:name w:val="Heading 8 Char"/>
    <w:basedOn w:val="821"/>
    <w:link w:val="819"/>
    <w:uiPriority w:val="9"/>
    <w:rPr>
      <w:rFonts w:ascii="Arial" w:hAnsi="Arial" w:eastAsia="Arial" w:cs="Arial"/>
      <w:i/>
      <w:iCs/>
      <w:sz w:val="22"/>
      <w:szCs w:val="22"/>
    </w:rPr>
  </w:style>
  <w:style w:type="character" w:styleId="783">
    <w:name w:val="Heading 9 Char"/>
    <w:basedOn w:val="821"/>
    <w:link w:val="820"/>
    <w:uiPriority w:val="9"/>
    <w:rPr>
      <w:rFonts w:ascii="Arial" w:hAnsi="Arial" w:eastAsia="Arial" w:cs="Arial"/>
      <w:i/>
      <w:iCs/>
      <w:sz w:val="21"/>
      <w:szCs w:val="21"/>
    </w:rPr>
  </w:style>
  <w:style w:type="character" w:styleId="784">
    <w:name w:val="Title Char"/>
    <w:basedOn w:val="821"/>
    <w:link w:val="852"/>
    <w:uiPriority w:val="10"/>
    <w:rPr>
      <w:sz w:val="48"/>
      <w:szCs w:val="48"/>
    </w:rPr>
  </w:style>
  <w:style w:type="character" w:styleId="785">
    <w:name w:val="Subtitle Char"/>
    <w:basedOn w:val="821"/>
    <w:link w:val="844"/>
    <w:uiPriority w:val="11"/>
    <w:rPr>
      <w:sz w:val="24"/>
      <w:szCs w:val="24"/>
    </w:rPr>
  </w:style>
  <w:style w:type="character" w:styleId="786">
    <w:name w:val="Quote Char"/>
    <w:link w:val="875"/>
    <w:uiPriority w:val="29"/>
    <w:rPr>
      <w:i/>
    </w:rPr>
  </w:style>
  <w:style w:type="character" w:styleId="787">
    <w:name w:val="Intense Quote Char"/>
    <w:link w:val="877"/>
    <w:uiPriority w:val="30"/>
    <w:rPr>
      <w:i/>
    </w:rPr>
  </w:style>
  <w:style w:type="character" w:styleId="788">
    <w:name w:val="Caption Char"/>
    <w:basedOn w:val="827"/>
    <w:link w:val="837"/>
    <w:uiPriority w:val="99"/>
  </w:style>
  <w:style w:type="table" w:styleId="789">
    <w:name w:val="Plain Table 1"/>
    <w:basedOn w:val="8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2"/>
    <w:basedOn w:val="8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3"/>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name w:val="Plain Table 4"/>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name w:val="Plain Table 5"/>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4">
    <w:name w:val="Grid Table 1 Light"/>
    <w:basedOn w:val="8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5">
    <w:name w:val="Grid Table 2"/>
    <w:basedOn w:val="8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6">
    <w:name w:val="Grid Table 3"/>
    <w:basedOn w:val="8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4"/>
    <w:basedOn w:val="8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name w:val="Grid Table 5 Dark"/>
    <w:basedOn w:val="8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6 Colorful"/>
    <w:basedOn w:val="8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0">
    <w:name w:val="Grid Table 7 Colorful"/>
    <w:basedOn w:val="8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List Table 1 Light"/>
    <w:basedOn w:val="8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2"/>
    <w:basedOn w:val="8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3"/>
    <w:basedOn w:val="8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w:basedOn w:val="8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5 Dark"/>
    <w:basedOn w:val="8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6 Colorful"/>
    <w:basedOn w:val="8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7">
    <w:name w:val="List Table 7 Colorful"/>
    <w:basedOn w:val="8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8">
    <w:name w:val="Footnote Text Char"/>
    <w:link w:val="845"/>
    <w:uiPriority w:val="99"/>
    <w:rPr>
      <w:sz w:val="18"/>
    </w:rPr>
  </w:style>
  <w:style w:type="character" w:styleId="809">
    <w:name w:val="Endnote Text Char"/>
    <w:link w:val="835"/>
    <w:uiPriority w:val="99"/>
    <w:rPr>
      <w:sz w:val="20"/>
    </w:rPr>
  </w:style>
  <w:style w:type="paragraph" w:styleId="810">
    <w:name w:val="TOC Heading"/>
    <w:uiPriority w:val="39"/>
    <w:unhideWhenUsed/>
  </w:style>
  <w:style w:type="paragraph" w:styleId="811" w:default="1">
    <w:name w:val="Normal"/>
    <w:next w:val="824"/>
    <w:qFormat/>
    <w:pPr>
      <w:jc w:val="both"/>
      <w:widowControl w:val="off"/>
    </w:pPr>
    <w:rPr>
      <w:rFonts w:eastAsia="楷体_GB2312"/>
      <w:sz w:val="26"/>
    </w:rPr>
  </w:style>
  <w:style w:type="paragraph" w:styleId="812">
    <w:name w:val="Heading 1"/>
    <w:basedOn w:val="811"/>
    <w:next w:val="811"/>
    <w:link w:val="862"/>
    <w:qFormat/>
    <w:pPr>
      <w:jc w:val="center"/>
      <w:keepLines/>
      <w:keepNext/>
      <w:spacing w:line="360" w:lineRule="auto"/>
      <w:outlineLvl w:val="0"/>
    </w:pPr>
    <w:rPr>
      <w:rFonts w:eastAsia="宋体"/>
      <w:b/>
      <w:sz w:val="32"/>
    </w:rPr>
  </w:style>
  <w:style w:type="paragraph" w:styleId="813">
    <w:name w:val="Heading 2"/>
    <w:basedOn w:val="811"/>
    <w:next w:val="811"/>
    <w:link w:val="863"/>
    <w:uiPriority w:val="9"/>
    <w:unhideWhenUsed/>
    <w:qFormat/>
    <w:pPr>
      <w:keepLines/>
      <w:keepNext/>
      <w:spacing w:before="360" w:after="200"/>
      <w:outlineLvl w:val="1"/>
    </w:pPr>
    <w:rPr>
      <w:rFonts w:ascii="Arial" w:hAnsi="Arial" w:eastAsia="Arial" w:cs="Arial"/>
      <w:sz w:val="34"/>
    </w:rPr>
  </w:style>
  <w:style w:type="paragraph" w:styleId="814">
    <w:name w:val="Heading 3"/>
    <w:basedOn w:val="811"/>
    <w:next w:val="811"/>
    <w:link w:val="864"/>
    <w:uiPriority w:val="9"/>
    <w:unhideWhenUsed/>
    <w:qFormat/>
    <w:pPr>
      <w:keepLines/>
      <w:keepNext/>
      <w:spacing w:before="320" w:after="200"/>
      <w:outlineLvl w:val="2"/>
    </w:pPr>
    <w:rPr>
      <w:rFonts w:ascii="Arial" w:hAnsi="Arial" w:eastAsia="Arial" w:cs="Arial"/>
      <w:sz w:val="30"/>
      <w:szCs w:val="30"/>
    </w:rPr>
  </w:style>
  <w:style w:type="paragraph" w:styleId="815">
    <w:name w:val="Heading 4"/>
    <w:basedOn w:val="811"/>
    <w:next w:val="811"/>
    <w:link w:val="865"/>
    <w:uiPriority w:val="9"/>
    <w:unhideWhenUsed/>
    <w:qFormat/>
    <w:pPr>
      <w:keepLines/>
      <w:keepNext/>
      <w:spacing w:before="320" w:after="200"/>
      <w:outlineLvl w:val="3"/>
    </w:pPr>
    <w:rPr>
      <w:rFonts w:ascii="Arial" w:hAnsi="Arial" w:eastAsia="Arial" w:cs="Arial"/>
      <w:b/>
      <w:bCs/>
      <w:szCs w:val="26"/>
    </w:rPr>
  </w:style>
  <w:style w:type="paragraph" w:styleId="816">
    <w:name w:val="Heading 5"/>
    <w:basedOn w:val="811"/>
    <w:next w:val="811"/>
    <w:link w:val="866"/>
    <w:uiPriority w:val="9"/>
    <w:unhideWhenUsed/>
    <w:qFormat/>
    <w:pPr>
      <w:keepLines/>
      <w:keepNext/>
      <w:spacing w:before="320" w:after="200"/>
      <w:outlineLvl w:val="4"/>
    </w:pPr>
    <w:rPr>
      <w:rFonts w:ascii="Arial" w:hAnsi="Arial" w:eastAsia="Arial" w:cs="Arial"/>
      <w:b/>
      <w:bCs/>
      <w:sz w:val="24"/>
      <w:szCs w:val="24"/>
    </w:rPr>
  </w:style>
  <w:style w:type="paragraph" w:styleId="817">
    <w:name w:val="Heading 6"/>
    <w:basedOn w:val="811"/>
    <w:next w:val="811"/>
    <w:link w:val="867"/>
    <w:uiPriority w:val="9"/>
    <w:unhideWhenUsed/>
    <w:qFormat/>
    <w:pPr>
      <w:keepLines/>
      <w:keepNext/>
      <w:spacing w:before="320" w:after="200"/>
      <w:outlineLvl w:val="5"/>
    </w:pPr>
    <w:rPr>
      <w:rFonts w:ascii="Arial" w:hAnsi="Arial" w:eastAsia="Arial" w:cs="Arial"/>
      <w:b/>
      <w:bCs/>
      <w:sz w:val="22"/>
      <w:szCs w:val="22"/>
    </w:rPr>
  </w:style>
  <w:style w:type="paragraph" w:styleId="818">
    <w:name w:val="Heading 7"/>
    <w:basedOn w:val="811"/>
    <w:next w:val="811"/>
    <w:link w:val="868"/>
    <w:uiPriority w:val="9"/>
    <w:unhideWhenUsed/>
    <w:qFormat/>
    <w:pPr>
      <w:keepLines/>
      <w:keepNext/>
      <w:spacing w:before="320" w:after="200"/>
      <w:outlineLvl w:val="6"/>
    </w:pPr>
    <w:rPr>
      <w:rFonts w:ascii="Arial" w:hAnsi="Arial" w:eastAsia="Arial" w:cs="Arial"/>
      <w:b/>
      <w:bCs/>
      <w:i/>
      <w:iCs/>
      <w:sz w:val="22"/>
      <w:szCs w:val="22"/>
    </w:rPr>
  </w:style>
  <w:style w:type="paragraph" w:styleId="819">
    <w:name w:val="Heading 8"/>
    <w:basedOn w:val="811"/>
    <w:next w:val="811"/>
    <w:link w:val="869"/>
    <w:uiPriority w:val="9"/>
    <w:unhideWhenUsed/>
    <w:qFormat/>
    <w:pPr>
      <w:keepLines/>
      <w:keepNext/>
      <w:spacing w:before="320" w:after="200"/>
      <w:outlineLvl w:val="7"/>
    </w:pPr>
    <w:rPr>
      <w:rFonts w:ascii="Arial" w:hAnsi="Arial" w:eastAsia="Arial" w:cs="Arial"/>
      <w:i/>
      <w:iCs/>
      <w:sz w:val="22"/>
      <w:szCs w:val="22"/>
    </w:rPr>
  </w:style>
  <w:style w:type="paragraph" w:styleId="820">
    <w:name w:val="Heading 9"/>
    <w:basedOn w:val="811"/>
    <w:next w:val="811"/>
    <w:link w:val="870"/>
    <w:uiPriority w:val="9"/>
    <w:unhideWhenUsed/>
    <w:qFormat/>
    <w:pPr>
      <w:keepLines/>
      <w:keepNext/>
      <w:spacing w:before="320" w:after="200"/>
      <w:outlineLvl w:val="8"/>
    </w:pPr>
    <w:rPr>
      <w:rFonts w:ascii="Arial" w:hAnsi="Arial" w:eastAsia="Arial" w:cs="Arial"/>
      <w:i/>
      <w:iCs/>
      <w:sz w:val="21"/>
      <w:szCs w:val="21"/>
    </w:rPr>
  </w:style>
  <w:style w:type="character" w:styleId="821" w:default="1">
    <w:name w:val="Default Paragraph Font"/>
    <w:uiPriority w:val="1"/>
    <w:semiHidden/>
    <w:unhideWhenUsed/>
  </w:style>
  <w:style w:type="table" w:styleId="822" w:default="1">
    <w:name w:val="Normal Table"/>
    <w:uiPriority w:val="99"/>
    <w:semiHidden/>
    <w:unhideWhenUsed/>
    <w:tblPr>
      <w:tblInd w:w="0" w:type="dxa"/>
      <w:tblCellMar>
        <w:left w:w="108" w:type="dxa"/>
        <w:top w:w="0" w:type="dxa"/>
        <w:right w:w="108" w:type="dxa"/>
        <w:bottom w:w="0" w:type="dxa"/>
      </w:tblCellMar>
    </w:tblPr>
  </w:style>
  <w:style w:type="numbering" w:styleId="823" w:default="1">
    <w:name w:val="No List"/>
    <w:uiPriority w:val="99"/>
    <w:semiHidden/>
    <w:unhideWhenUsed/>
  </w:style>
  <w:style w:type="paragraph" w:styleId="824">
    <w:name w:val="Body Text"/>
    <w:basedOn w:val="811"/>
    <w:next w:val="811"/>
    <w:qFormat/>
    <w:rPr>
      <w:rFonts w:ascii="楷体_GB2312" w:hAnsi="Arial"/>
      <w:sz w:val="28"/>
    </w:rPr>
  </w:style>
  <w:style w:type="paragraph" w:styleId="825">
    <w:name w:val="toc 7"/>
    <w:basedOn w:val="811"/>
    <w:next w:val="811"/>
    <w:uiPriority w:val="39"/>
    <w:unhideWhenUsed/>
    <w:qFormat/>
    <w:pPr>
      <w:ind w:left="1701"/>
      <w:spacing w:after="57"/>
    </w:pPr>
  </w:style>
  <w:style w:type="paragraph" w:styleId="826">
    <w:name w:val="Normal Indent"/>
    <w:basedOn w:val="811"/>
    <w:next w:val="811"/>
    <w:qFormat/>
    <w:pPr>
      <w:ind w:firstLine="200"/>
    </w:pPr>
  </w:style>
  <w:style w:type="paragraph" w:styleId="827">
    <w:name w:val="Caption"/>
    <w:basedOn w:val="811"/>
    <w:next w:val="811"/>
    <w:uiPriority w:val="35"/>
    <w:semiHidden/>
    <w:unhideWhenUsed/>
    <w:qFormat/>
    <w:pPr>
      <w:spacing w:line="276" w:lineRule="auto"/>
    </w:pPr>
    <w:rPr>
      <w:b/>
      <w:bCs/>
      <w:color w:val="4f81bd"/>
      <w:sz w:val="18"/>
      <w:szCs w:val="18"/>
    </w:rPr>
  </w:style>
  <w:style w:type="paragraph" w:styleId="828">
    <w:name w:val="annotation text"/>
    <w:basedOn w:val="811"/>
    <w:link w:val="1044"/>
    <w:uiPriority w:val="99"/>
    <w:semiHidden/>
    <w:unhideWhenUsed/>
    <w:qFormat/>
    <w:pPr>
      <w:jc w:val="left"/>
    </w:pPr>
  </w:style>
  <w:style w:type="paragraph" w:styleId="829">
    <w:name w:val="Body Text Indent"/>
    <w:basedOn w:val="811"/>
    <w:qFormat/>
    <w:pPr>
      <w:ind w:firstLine="645"/>
    </w:pPr>
    <w:rPr>
      <w:rFonts w:ascii="楷体_GB2312" w:hAnsi="Calibri"/>
      <w:sz w:val="32"/>
      <w:szCs w:val="22"/>
    </w:rPr>
  </w:style>
  <w:style w:type="paragraph" w:styleId="830">
    <w:name w:val="Block Text"/>
    <w:basedOn w:val="811"/>
    <w:qFormat/>
    <w:pPr>
      <w:ind w:left="525" w:right="-1" w:firstLine="525"/>
      <w:spacing w:line="312" w:lineRule="atLeast"/>
    </w:pPr>
    <w:rPr>
      <w:sz w:val="28"/>
      <w:szCs w:val="28"/>
    </w:rPr>
  </w:style>
  <w:style w:type="paragraph" w:styleId="831">
    <w:name w:val="toc 5"/>
    <w:basedOn w:val="811"/>
    <w:next w:val="811"/>
    <w:uiPriority w:val="39"/>
    <w:unhideWhenUsed/>
    <w:qFormat/>
    <w:pPr>
      <w:ind w:left="1134"/>
      <w:spacing w:after="57"/>
    </w:pPr>
  </w:style>
  <w:style w:type="paragraph" w:styleId="832">
    <w:name w:val="toc 3"/>
    <w:basedOn w:val="811"/>
    <w:next w:val="811"/>
    <w:uiPriority w:val="39"/>
    <w:unhideWhenUsed/>
    <w:qFormat/>
    <w:pPr>
      <w:ind w:left="567"/>
      <w:spacing w:after="57"/>
    </w:pPr>
  </w:style>
  <w:style w:type="paragraph" w:styleId="833">
    <w:name w:val="Plain Text"/>
    <w:basedOn w:val="811"/>
    <w:next w:val="826"/>
    <w:qFormat/>
    <w:rPr>
      <w:rFonts w:ascii="宋体"/>
    </w:rPr>
  </w:style>
  <w:style w:type="paragraph" w:styleId="834">
    <w:name w:val="toc 8"/>
    <w:basedOn w:val="811"/>
    <w:next w:val="811"/>
    <w:uiPriority w:val="39"/>
    <w:unhideWhenUsed/>
    <w:qFormat/>
    <w:pPr>
      <w:ind w:left="1984"/>
      <w:spacing w:after="57"/>
    </w:pPr>
  </w:style>
  <w:style w:type="paragraph" w:styleId="835">
    <w:name w:val="endnote text"/>
    <w:basedOn w:val="811"/>
    <w:link w:val="1008"/>
    <w:uiPriority w:val="99"/>
    <w:semiHidden/>
    <w:unhideWhenUsed/>
    <w:qFormat/>
    <w:rPr>
      <w:sz w:val="20"/>
    </w:rPr>
  </w:style>
  <w:style w:type="paragraph" w:styleId="836">
    <w:name w:val="Balloon Text"/>
    <w:basedOn w:val="811"/>
    <w:link w:val="1040"/>
    <w:uiPriority w:val="99"/>
    <w:semiHidden/>
    <w:unhideWhenUsed/>
    <w:qFormat/>
    <w:rPr>
      <w:sz w:val="18"/>
      <w:szCs w:val="18"/>
    </w:rPr>
  </w:style>
  <w:style w:type="paragraph" w:styleId="837">
    <w:name w:val="Footer"/>
    <w:basedOn w:val="811"/>
    <w:link w:val="881"/>
    <w:uiPriority w:val="99"/>
    <w:unhideWhenUsed/>
    <w:qFormat/>
    <w:pPr>
      <w:tabs>
        <w:tab w:val="center" w:pos="7143" w:leader="none"/>
        <w:tab w:val="right" w:pos="14287" w:leader="none"/>
      </w:tabs>
    </w:pPr>
  </w:style>
  <w:style w:type="paragraph" w:styleId="838">
    <w:name w:val="envelope return"/>
    <w:basedOn w:val="839"/>
    <w:uiPriority w:val="99"/>
    <w:unhideWhenUsed/>
    <w:qFormat/>
    <w:rPr>
      <w:rFonts w:ascii="Arial" w:hAnsi="Arial"/>
    </w:rPr>
  </w:style>
  <w:style w:type="paragraph" w:styleId="839" w:customStyle="1">
    <w:name w:val="Normal_19"/>
    <w:next w:val="840"/>
    <w:qFormat/>
    <w:pPr>
      <w:jc w:val="both"/>
      <w:widowControl w:val="off"/>
    </w:pPr>
    <w:rPr>
      <w:sz w:val="21"/>
      <w:szCs w:val="24"/>
    </w:rPr>
  </w:style>
  <w:style w:type="paragraph" w:styleId="840" w:customStyle="1">
    <w:name w:val="正文文本缩进1"/>
    <w:basedOn w:val="811"/>
    <w:next w:val="838"/>
    <w:unhideWhenUsed/>
    <w:qFormat/>
    <w:pPr>
      <w:ind w:firstLine="570"/>
    </w:pPr>
    <w:rPr>
      <w:rFonts w:ascii="宋体" w:eastAsia="宋体"/>
      <w:sz w:val="28"/>
    </w:rPr>
  </w:style>
  <w:style w:type="paragraph" w:styleId="841">
    <w:name w:val="Header"/>
    <w:basedOn w:val="811"/>
    <w:link w:val="1010"/>
    <w:qFormat/>
    <w:pPr>
      <w:jc w:val="center"/>
      <w:tabs>
        <w:tab w:val="center" w:pos="4153" w:leader="none"/>
        <w:tab w:val="right" w:pos="8306" w:leader="none"/>
      </w:tabs>
    </w:pPr>
    <w:rPr>
      <w:sz w:val="18"/>
      <w:szCs w:val="18"/>
    </w:rPr>
  </w:style>
  <w:style w:type="paragraph" w:styleId="842">
    <w:name w:val="toc 1"/>
    <w:basedOn w:val="811"/>
    <w:next w:val="811"/>
    <w:uiPriority w:val="39"/>
    <w:unhideWhenUsed/>
    <w:qFormat/>
    <w:pPr>
      <w:spacing w:after="57"/>
    </w:pPr>
  </w:style>
  <w:style w:type="paragraph" w:styleId="843">
    <w:name w:val="toc 4"/>
    <w:basedOn w:val="811"/>
    <w:next w:val="811"/>
    <w:uiPriority w:val="39"/>
    <w:unhideWhenUsed/>
    <w:qFormat/>
    <w:pPr>
      <w:ind w:left="850"/>
      <w:spacing w:after="57"/>
    </w:pPr>
  </w:style>
  <w:style w:type="paragraph" w:styleId="844">
    <w:name w:val="Subtitle"/>
    <w:basedOn w:val="811"/>
    <w:next w:val="811"/>
    <w:link w:val="874"/>
    <w:uiPriority w:val="11"/>
    <w:qFormat/>
    <w:pPr>
      <w:spacing w:before="200" w:after="200"/>
    </w:pPr>
    <w:rPr>
      <w:sz w:val="24"/>
      <w:szCs w:val="24"/>
    </w:rPr>
  </w:style>
  <w:style w:type="paragraph" w:styleId="845">
    <w:name w:val="footnote text"/>
    <w:basedOn w:val="811"/>
    <w:link w:val="1007"/>
    <w:uiPriority w:val="99"/>
    <w:semiHidden/>
    <w:unhideWhenUsed/>
    <w:qFormat/>
    <w:pPr>
      <w:spacing w:after="40"/>
    </w:pPr>
    <w:rPr>
      <w:sz w:val="18"/>
    </w:rPr>
  </w:style>
  <w:style w:type="paragraph" w:styleId="846">
    <w:name w:val="toc 6"/>
    <w:basedOn w:val="811"/>
    <w:next w:val="811"/>
    <w:uiPriority w:val="39"/>
    <w:unhideWhenUsed/>
    <w:qFormat/>
    <w:pPr>
      <w:ind w:left="1417"/>
      <w:spacing w:after="57"/>
    </w:pPr>
  </w:style>
  <w:style w:type="paragraph" w:styleId="847">
    <w:name w:val="table of figures"/>
    <w:basedOn w:val="811"/>
    <w:next w:val="811"/>
    <w:uiPriority w:val="99"/>
    <w:unhideWhenUsed/>
    <w:qFormat/>
  </w:style>
  <w:style w:type="paragraph" w:styleId="848">
    <w:name w:val="toc 2"/>
    <w:basedOn w:val="811"/>
    <w:next w:val="811"/>
    <w:uiPriority w:val="39"/>
    <w:unhideWhenUsed/>
    <w:qFormat/>
    <w:pPr>
      <w:ind w:left="283"/>
      <w:spacing w:after="57"/>
    </w:pPr>
  </w:style>
  <w:style w:type="paragraph" w:styleId="849">
    <w:name w:val="toc 9"/>
    <w:basedOn w:val="811"/>
    <w:next w:val="811"/>
    <w:uiPriority w:val="39"/>
    <w:unhideWhenUsed/>
    <w:qFormat/>
    <w:pPr>
      <w:ind w:left="2268"/>
      <w:spacing w:after="57"/>
    </w:pPr>
  </w:style>
  <w:style w:type="paragraph" w:styleId="850">
    <w:name w:val="HTML Preformatted"/>
    <w:basedOn w:val="811"/>
    <w:link w:val="1052"/>
    <w:uiPriority w:val="99"/>
    <w:semiHidden/>
    <w:unhideWhenUsed/>
    <w:qFormat/>
    <w:rPr>
      <w:rFonts w:ascii="Courier New" w:hAnsi="Courier New" w:cs="Courier New"/>
      <w:sz w:val="20"/>
    </w:rPr>
  </w:style>
  <w:style w:type="paragraph" w:styleId="851">
    <w:name w:val="Normal (Web)"/>
    <w:basedOn w:val="811"/>
    <w:uiPriority w:val="99"/>
    <w:qFormat/>
    <w:pPr>
      <w:jc w:val="left"/>
      <w:spacing w:before="100" w:beforeAutospacing="1" w:after="100" w:afterAutospacing="1"/>
      <w:widowControl/>
    </w:pPr>
    <w:rPr>
      <w:rFonts w:ascii="宋体" w:hAnsi="宋体"/>
      <w:color w:val="000000"/>
      <w:sz w:val="24"/>
      <w:szCs w:val="24"/>
    </w:rPr>
  </w:style>
  <w:style w:type="paragraph" w:styleId="852">
    <w:name w:val="Title"/>
    <w:basedOn w:val="811"/>
    <w:next w:val="811"/>
    <w:link w:val="873"/>
    <w:uiPriority w:val="10"/>
    <w:qFormat/>
    <w:pPr>
      <w:contextualSpacing/>
      <w:spacing w:before="300" w:after="200"/>
    </w:pPr>
    <w:rPr>
      <w:sz w:val="48"/>
      <w:szCs w:val="48"/>
    </w:rPr>
  </w:style>
  <w:style w:type="paragraph" w:styleId="853">
    <w:name w:val="Body Text First Indent"/>
    <w:basedOn w:val="824"/>
    <w:next w:val="854"/>
    <w:qFormat/>
    <w:pPr>
      <w:ind w:firstLine="420"/>
    </w:pPr>
  </w:style>
  <w:style w:type="paragraph" w:styleId="854">
    <w:name w:val="Body Text First Indent 2"/>
    <w:basedOn w:val="829"/>
    <w:uiPriority w:val="99"/>
    <w:unhideWhenUsed/>
    <w:qFormat/>
    <w:pPr>
      <w:ind w:firstLine="200"/>
    </w:pPr>
  </w:style>
  <w:style w:type="table" w:styleId="855">
    <w:name w:val="Table Grid"/>
    <w:basedOn w:val="82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6">
    <w:name w:val="endnote reference"/>
    <w:uiPriority w:val="99"/>
    <w:semiHidden/>
    <w:unhideWhenUsed/>
    <w:qFormat/>
    <w:rPr>
      <w:vertAlign w:val="superscript"/>
    </w:rPr>
  </w:style>
  <w:style w:type="character" w:styleId="857">
    <w:name w:val="Emphasis"/>
    <w:qFormat/>
    <w:rPr>
      <w:rFonts w:ascii="Times New Roman" w:hAnsi="Times New Roman" w:eastAsia="宋体" w:cs="Times New Roman"/>
      <w:i/>
    </w:rPr>
  </w:style>
  <w:style w:type="character" w:styleId="858">
    <w:name w:val="Hyperlink"/>
    <w:uiPriority w:val="99"/>
    <w:unhideWhenUsed/>
    <w:qFormat/>
    <w:rPr>
      <w:color w:val="0563c1"/>
      <w:u w:val="single"/>
    </w:rPr>
  </w:style>
  <w:style w:type="character" w:styleId="859">
    <w:name w:val="annotation reference"/>
    <w:basedOn w:val="821"/>
    <w:uiPriority w:val="99"/>
    <w:semiHidden/>
    <w:unhideWhenUsed/>
    <w:qFormat/>
    <w:rPr>
      <w:sz w:val="21"/>
      <w:szCs w:val="21"/>
    </w:rPr>
  </w:style>
  <w:style w:type="character" w:styleId="860">
    <w:name w:val="footnote reference"/>
    <w:uiPriority w:val="99"/>
    <w:unhideWhenUsed/>
    <w:qFormat/>
    <w:rPr>
      <w:vertAlign w:val="superscript"/>
    </w:rPr>
  </w:style>
  <w:style w:type="paragraph" w:styleId="861" w:customStyle="1">
    <w:name w:val="标题 31"/>
    <w:basedOn w:val="811"/>
    <w:next w:val="811"/>
    <w:qFormat/>
    <w:pPr>
      <w:keepLines/>
      <w:keepNext/>
      <w:spacing w:before="260" w:after="260" w:line="416" w:lineRule="auto"/>
      <w:outlineLvl w:val="2"/>
    </w:pPr>
    <w:rPr>
      <w:b/>
      <w:bCs/>
      <w:sz w:val="32"/>
      <w:szCs w:val="32"/>
    </w:rPr>
  </w:style>
  <w:style w:type="character" w:styleId="862" w:customStyle="1">
    <w:name w:val="标题 1 字符"/>
    <w:link w:val="812"/>
    <w:qFormat/>
    <w:rPr>
      <w:rFonts w:ascii="Arial" w:hAnsi="Arial" w:eastAsia="Arial" w:cs="Arial"/>
      <w:sz w:val="40"/>
      <w:szCs w:val="40"/>
    </w:rPr>
  </w:style>
  <w:style w:type="character" w:styleId="863" w:customStyle="1">
    <w:name w:val="标题 2 字符"/>
    <w:link w:val="813"/>
    <w:uiPriority w:val="9"/>
    <w:qFormat/>
    <w:rPr>
      <w:rFonts w:ascii="Arial" w:hAnsi="Arial" w:eastAsia="Arial" w:cs="Arial"/>
      <w:sz w:val="34"/>
    </w:rPr>
  </w:style>
  <w:style w:type="character" w:styleId="864" w:customStyle="1">
    <w:name w:val="标题 3 字符"/>
    <w:link w:val="814"/>
    <w:uiPriority w:val="9"/>
    <w:qFormat/>
    <w:rPr>
      <w:rFonts w:ascii="Arial" w:hAnsi="Arial" w:eastAsia="Arial" w:cs="Arial"/>
      <w:sz w:val="30"/>
      <w:szCs w:val="30"/>
    </w:rPr>
  </w:style>
  <w:style w:type="character" w:styleId="865" w:customStyle="1">
    <w:name w:val="标题 4 字符"/>
    <w:link w:val="815"/>
    <w:uiPriority w:val="9"/>
    <w:qFormat/>
    <w:rPr>
      <w:rFonts w:ascii="Arial" w:hAnsi="Arial" w:eastAsia="Arial" w:cs="Arial"/>
      <w:b/>
      <w:bCs/>
      <w:sz w:val="26"/>
      <w:szCs w:val="26"/>
    </w:rPr>
  </w:style>
  <w:style w:type="character" w:styleId="866" w:customStyle="1">
    <w:name w:val="标题 5 字符"/>
    <w:link w:val="816"/>
    <w:uiPriority w:val="9"/>
    <w:qFormat/>
    <w:rPr>
      <w:rFonts w:ascii="Arial" w:hAnsi="Arial" w:eastAsia="Arial" w:cs="Arial"/>
      <w:b/>
      <w:bCs/>
      <w:sz w:val="24"/>
      <w:szCs w:val="24"/>
    </w:rPr>
  </w:style>
  <w:style w:type="character" w:styleId="867" w:customStyle="1">
    <w:name w:val="标题 6 字符"/>
    <w:link w:val="817"/>
    <w:uiPriority w:val="9"/>
    <w:qFormat/>
    <w:rPr>
      <w:rFonts w:ascii="Arial" w:hAnsi="Arial" w:eastAsia="Arial" w:cs="Arial"/>
      <w:b/>
      <w:bCs/>
      <w:sz w:val="22"/>
      <w:szCs w:val="22"/>
    </w:rPr>
  </w:style>
  <w:style w:type="character" w:styleId="868" w:customStyle="1">
    <w:name w:val="标题 7 字符"/>
    <w:link w:val="818"/>
    <w:uiPriority w:val="9"/>
    <w:qFormat/>
    <w:rPr>
      <w:rFonts w:ascii="Arial" w:hAnsi="Arial" w:eastAsia="Arial" w:cs="Arial"/>
      <w:b/>
      <w:bCs/>
      <w:i/>
      <w:iCs/>
      <w:sz w:val="22"/>
      <w:szCs w:val="22"/>
    </w:rPr>
  </w:style>
  <w:style w:type="character" w:styleId="869" w:customStyle="1">
    <w:name w:val="标题 8 字符"/>
    <w:link w:val="819"/>
    <w:uiPriority w:val="9"/>
    <w:qFormat/>
    <w:rPr>
      <w:rFonts w:ascii="Arial" w:hAnsi="Arial" w:eastAsia="Arial" w:cs="Arial"/>
      <w:i/>
      <w:iCs/>
      <w:sz w:val="22"/>
      <w:szCs w:val="22"/>
    </w:rPr>
  </w:style>
  <w:style w:type="character" w:styleId="870" w:customStyle="1">
    <w:name w:val="标题 9 字符"/>
    <w:link w:val="820"/>
    <w:uiPriority w:val="9"/>
    <w:qFormat/>
    <w:rPr>
      <w:rFonts w:ascii="Arial" w:hAnsi="Arial" w:eastAsia="Arial" w:cs="Arial"/>
      <w:i/>
      <w:iCs/>
      <w:sz w:val="21"/>
      <w:szCs w:val="21"/>
    </w:rPr>
  </w:style>
  <w:style w:type="paragraph" w:styleId="871">
    <w:name w:val="List Paragraph"/>
    <w:basedOn w:val="811"/>
    <w:qFormat/>
    <w:pPr>
      <w:ind w:firstLine="420"/>
    </w:pPr>
  </w:style>
  <w:style w:type="paragraph" w:styleId="872">
    <w:name w:val="No Spacing"/>
    <w:uiPriority w:val="1"/>
    <w:qFormat/>
  </w:style>
  <w:style w:type="character" w:styleId="873" w:customStyle="1">
    <w:name w:val="标题 字符"/>
    <w:link w:val="852"/>
    <w:uiPriority w:val="10"/>
    <w:qFormat/>
    <w:rPr>
      <w:sz w:val="48"/>
      <w:szCs w:val="48"/>
    </w:rPr>
  </w:style>
  <w:style w:type="character" w:styleId="874" w:customStyle="1">
    <w:name w:val="副标题 字符"/>
    <w:link w:val="844"/>
    <w:uiPriority w:val="11"/>
    <w:qFormat/>
    <w:rPr>
      <w:sz w:val="24"/>
      <w:szCs w:val="24"/>
    </w:rPr>
  </w:style>
  <w:style w:type="paragraph" w:styleId="875">
    <w:name w:val="Quote"/>
    <w:basedOn w:val="811"/>
    <w:next w:val="811"/>
    <w:link w:val="876"/>
    <w:uiPriority w:val="29"/>
    <w:qFormat/>
    <w:pPr>
      <w:ind w:left="720" w:right="720"/>
    </w:pPr>
    <w:rPr>
      <w:i/>
    </w:rPr>
  </w:style>
  <w:style w:type="character" w:styleId="876" w:customStyle="1">
    <w:name w:val="引用 字符"/>
    <w:link w:val="875"/>
    <w:uiPriority w:val="29"/>
    <w:qFormat/>
    <w:rPr>
      <w:i/>
    </w:rPr>
  </w:style>
  <w:style w:type="paragraph" w:styleId="877">
    <w:name w:val="Intense Quote"/>
    <w:basedOn w:val="811"/>
    <w:next w:val="811"/>
    <w:link w:val="8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8" w:customStyle="1">
    <w:name w:val="明显引用 字符"/>
    <w:link w:val="877"/>
    <w:uiPriority w:val="30"/>
    <w:qFormat/>
    <w:rPr>
      <w:i/>
    </w:rPr>
  </w:style>
  <w:style w:type="character" w:styleId="879" w:customStyle="1">
    <w:name w:val="Header Char"/>
    <w:uiPriority w:val="99"/>
    <w:qFormat/>
  </w:style>
  <w:style w:type="character" w:styleId="880" w:customStyle="1">
    <w:name w:val="Footer Char"/>
    <w:uiPriority w:val="99"/>
    <w:qFormat/>
  </w:style>
  <w:style w:type="character" w:styleId="881" w:customStyle="1">
    <w:name w:val="页脚 字符"/>
    <w:link w:val="837"/>
    <w:uiPriority w:val="99"/>
    <w:qFormat/>
  </w:style>
  <w:style w:type="table" w:styleId="88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85" w:customStyle="1">
    <w:name w:val="无格式表格 31"/>
    <w:uiPriority w:val="99"/>
    <w:qFormat/>
    <w:tblPr>
      <w:tblCellMar>
        <w:left w:w="0" w:type="dxa"/>
        <w:top w:w="0" w:type="dxa"/>
        <w:right w:w="0" w:type="dxa"/>
        <w:bottom w:w="0" w:type="dxa"/>
      </w:tblCellMar>
    </w:tblPr>
  </w:style>
  <w:style w:type="table" w:styleId="886" w:customStyle="1">
    <w:name w:val="无格式表格 41"/>
    <w:uiPriority w:val="99"/>
    <w:qFormat/>
    <w:tblPr>
      <w:tblCellMar>
        <w:left w:w="0" w:type="dxa"/>
        <w:top w:w="0" w:type="dxa"/>
        <w:right w:w="0" w:type="dxa"/>
        <w:bottom w:w="0" w:type="dxa"/>
      </w:tblCellMar>
    </w:tblPr>
  </w:style>
  <w:style w:type="table" w:styleId="887" w:customStyle="1">
    <w:name w:val="无格式表格 51"/>
    <w:uiPriority w:val="99"/>
    <w:qFormat/>
    <w:tblPr>
      <w:tblCellMar>
        <w:left w:w="0" w:type="dxa"/>
        <w:top w:w="0" w:type="dxa"/>
        <w:right w:w="0" w:type="dxa"/>
        <w:bottom w:w="0" w:type="dxa"/>
      </w:tblCellMar>
    </w:tblPr>
  </w:style>
  <w:style w:type="table" w:styleId="888"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8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95"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9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2"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9"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1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1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1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1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1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2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0"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7" w:customStyle="1">
    <w:name w:val="清单表 1 浅色1"/>
    <w:uiPriority w:val="99"/>
    <w:qFormat/>
    <w:tblPr>
      <w:tblCellMar>
        <w:left w:w="0" w:type="dxa"/>
        <w:top w:w="0" w:type="dxa"/>
        <w:right w:w="0" w:type="dxa"/>
        <w:bottom w:w="0" w:type="dxa"/>
      </w:tblCellMar>
    </w:tblPr>
  </w:style>
  <w:style w:type="table" w:styleId="938" w:customStyle="1">
    <w:name w:val="List Table 1 Light - Accent 1"/>
    <w:uiPriority w:val="99"/>
    <w:qFormat/>
    <w:tblPr>
      <w:tblCellMar>
        <w:left w:w="0" w:type="dxa"/>
        <w:top w:w="0" w:type="dxa"/>
        <w:right w:w="0" w:type="dxa"/>
        <w:bottom w:w="0" w:type="dxa"/>
      </w:tblCellMar>
    </w:tblPr>
  </w:style>
  <w:style w:type="table" w:styleId="939" w:customStyle="1">
    <w:name w:val="List Table 1 Light - Accent 2"/>
    <w:uiPriority w:val="99"/>
    <w:qFormat/>
    <w:tblPr>
      <w:tblCellMar>
        <w:left w:w="0" w:type="dxa"/>
        <w:top w:w="0" w:type="dxa"/>
        <w:right w:w="0" w:type="dxa"/>
        <w:bottom w:w="0" w:type="dxa"/>
      </w:tblCellMar>
    </w:tblPr>
  </w:style>
  <w:style w:type="table" w:styleId="940" w:customStyle="1">
    <w:name w:val="List Table 1 Light - Accent 3"/>
    <w:uiPriority w:val="99"/>
    <w:qFormat/>
    <w:tblPr>
      <w:tblCellMar>
        <w:left w:w="0" w:type="dxa"/>
        <w:top w:w="0" w:type="dxa"/>
        <w:right w:w="0" w:type="dxa"/>
        <w:bottom w:w="0" w:type="dxa"/>
      </w:tblCellMar>
    </w:tblPr>
  </w:style>
  <w:style w:type="table" w:styleId="941" w:customStyle="1">
    <w:name w:val="List Table 1 Light - Accent 4"/>
    <w:uiPriority w:val="99"/>
    <w:qFormat/>
    <w:tblPr>
      <w:tblCellMar>
        <w:left w:w="0" w:type="dxa"/>
        <w:top w:w="0" w:type="dxa"/>
        <w:right w:w="0" w:type="dxa"/>
        <w:bottom w:w="0" w:type="dxa"/>
      </w:tblCellMar>
    </w:tblPr>
  </w:style>
  <w:style w:type="table" w:styleId="942" w:customStyle="1">
    <w:name w:val="List Table 1 Light - Accent 5"/>
    <w:uiPriority w:val="99"/>
    <w:qFormat/>
    <w:tblPr>
      <w:tblCellMar>
        <w:left w:w="0" w:type="dxa"/>
        <w:top w:w="0" w:type="dxa"/>
        <w:right w:w="0" w:type="dxa"/>
        <w:bottom w:w="0" w:type="dxa"/>
      </w:tblCellMar>
    </w:tblPr>
  </w:style>
  <w:style w:type="table" w:styleId="943" w:customStyle="1">
    <w:name w:val="List Table 1 Light - Accent 6"/>
    <w:uiPriority w:val="99"/>
    <w:qFormat/>
    <w:tblPr>
      <w:tblCellMar>
        <w:left w:w="0" w:type="dxa"/>
        <w:top w:w="0" w:type="dxa"/>
        <w:right w:w="0" w:type="dxa"/>
        <w:bottom w:w="0" w:type="dxa"/>
      </w:tblCellMar>
    </w:tblPr>
  </w:style>
  <w:style w:type="table" w:styleId="944"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4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4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4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4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4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5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5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5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5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5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5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5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5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5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5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6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6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6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6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6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6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6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6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6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6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7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7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72"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7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7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7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7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7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7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79"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8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8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8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8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8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8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86" w:customStyle="1">
    <w:name w:val="Lined - Accent"/>
    <w:uiPriority w:val="99"/>
    <w:qFormat/>
    <w:rPr>
      <w:color w:val="404040"/>
    </w:rPr>
    <w:tblPr>
      <w:tblCellMar>
        <w:left w:w="0" w:type="dxa"/>
        <w:top w:w="0" w:type="dxa"/>
        <w:right w:w="0" w:type="dxa"/>
        <w:bottom w:w="0" w:type="dxa"/>
      </w:tblCellMar>
    </w:tblPr>
  </w:style>
  <w:style w:type="table" w:styleId="987" w:customStyle="1">
    <w:name w:val="Lined - Accent 1"/>
    <w:uiPriority w:val="99"/>
    <w:qFormat/>
    <w:rPr>
      <w:color w:val="404040"/>
    </w:rPr>
    <w:tblPr>
      <w:tblCellMar>
        <w:left w:w="0" w:type="dxa"/>
        <w:top w:w="0" w:type="dxa"/>
        <w:right w:w="0" w:type="dxa"/>
        <w:bottom w:w="0" w:type="dxa"/>
      </w:tblCellMar>
    </w:tblPr>
  </w:style>
  <w:style w:type="table" w:styleId="988" w:customStyle="1">
    <w:name w:val="Lined - Accent 2"/>
    <w:uiPriority w:val="99"/>
    <w:qFormat/>
    <w:rPr>
      <w:color w:val="404040"/>
    </w:rPr>
    <w:tblPr>
      <w:tblCellMar>
        <w:left w:w="0" w:type="dxa"/>
        <w:top w:w="0" w:type="dxa"/>
        <w:right w:w="0" w:type="dxa"/>
        <w:bottom w:w="0" w:type="dxa"/>
      </w:tblCellMar>
    </w:tblPr>
  </w:style>
  <w:style w:type="table" w:styleId="989" w:customStyle="1">
    <w:name w:val="Lined - Accent 3"/>
    <w:uiPriority w:val="99"/>
    <w:qFormat/>
    <w:rPr>
      <w:color w:val="404040"/>
    </w:rPr>
    <w:tblPr>
      <w:tblCellMar>
        <w:left w:w="0" w:type="dxa"/>
        <w:top w:w="0" w:type="dxa"/>
        <w:right w:w="0" w:type="dxa"/>
        <w:bottom w:w="0" w:type="dxa"/>
      </w:tblCellMar>
    </w:tblPr>
  </w:style>
  <w:style w:type="table" w:styleId="990" w:customStyle="1">
    <w:name w:val="Lined - Accent 4"/>
    <w:uiPriority w:val="99"/>
    <w:qFormat/>
    <w:rPr>
      <w:color w:val="404040"/>
    </w:rPr>
    <w:tblPr>
      <w:tblCellMar>
        <w:left w:w="0" w:type="dxa"/>
        <w:top w:w="0" w:type="dxa"/>
        <w:right w:w="0" w:type="dxa"/>
        <w:bottom w:w="0" w:type="dxa"/>
      </w:tblCellMar>
    </w:tblPr>
  </w:style>
  <w:style w:type="table" w:styleId="991" w:customStyle="1">
    <w:name w:val="Lined - Accent 5"/>
    <w:uiPriority w:val="99"/>
    <w:qFormat/>
    <w:rPr>
      <w:color w:val="404040"/>
    </w:rPr>
    <w:tblPr>
      <w:tblCellMar>
        <w:left w:w="0" w:type="dxa"/>
        <w:top w:w="0" w:type="dxa"/>
        <w:right w:w="0" w:type="dxa"/>
        <w:bottom w:w="0" w:type="dxa"/>
      </w:tblCellMar>
    </w:tblPr>
  </w:style>
  <w:style w:type="table" w:styleId="992" w:customStyle="1">
    <w:name w:val="Lined - Accent 6"/>
    <w:uiPriority w:val="99"/>
    <w:qFormat/>
    <w:rPr>
      <w:color w:val="404040"/>
    </w:rPr>
    <w:tblPr>
      <w:tblCellMar>
        <w:left w:w="0" w:type="dxa"/>
        <w:top w:w="0" w:type="dxa"/>
        <w:right w:w="0" w:type="dxa"/>
        <w:bottom w:w="0" w:type="dxa"/>
      </w:tblCellMar>
    </w:tblPr>
  </w:style>
  <w:style w:type="table" w:styleId="99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9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9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9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9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9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9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0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0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0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0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0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0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0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07" w:customStyle="1">
    <w:name w:val="脚注文本 字符"/>
    <w:link w:val="845"/>
    <w:uiPriority w:val="99"/>
    <w:qFormat/>
    <w:rPr>
      <w:sz w:val="18"/>
    </w:rPr>
  </w:style>
  <w:style w:type="character" w:styleId="1008" w:customStyle="1">
    <w:name w:val="尾注文本 字符"/>
    <w:link w:val="835"/>
    <w:uiPriority w:val="99"/>
    <w:qFormat/>
    <w:rPr>
      <w:sz w:val="20"/>
    </w:rPr>
  </w:style>
  <w:style w:type="paragraph" w:styleId="1009" w:customStyle="1">
    <w:name w:val="TOC 标题1"/>
    <w:uiPriority w:val="39"/>
    <w:unhideWhenUsed/>
    <w:qFormat/>
  </w:style>
  <w:style w:type="character" w:styleId="1010" w:customStyle="1">
    <w:name w:val="页眉 字符"/>
    <w:link w:val="841"/>
    <w:qFormat/>
    <w:rPr>
      <w:rFonts w:ascii="Times New Roman" w:hAnsi="Times New Roman" w:eastAsia="楷体_GB2312"/>
      <w:sz w:val="18"/>
      <w:szCs w:val="18"/>
    </w:rPr>
  </w:style>
  <w:style w:type="paragraph" w:styleId="1011" w:customStyle="1">
    <w:name w:val="索引 41"/>
    <w:basedOn w:val="811"/>
    <w:next w:val="811"/>
    <w:qFormat/>
    <w:pPr>
      <w:ind w:left="600"/>
    </w:pPr>
    <w:rPr>
      <w:szCs w:val="21"/>
    </w:rPr>
  </w:style>
  <w:style w:type="paragraph" w:styleId="1012" w:customStyle="1">
    <w:name w:val="正文首行缩进 21"/>
    <w:basedOn w:val="840"/>
    <w:uiPriority w:val="99"/>
    <w:unhideWhenUsed/>
    <w:qFormat/>
    <w:pPr>
      <w:ind w:firstLine="420"/>
    </w:pPr>
  </w:style>
  <w:style w:type="paragraph" w:styleId="1013" w:customStyle="1">
    <w:name w:val="目录 11"/>
    <w:basedOn w:val="811"/>
    <w:next w:val="811"/>
    <w:unhideWhenUsed/>
    <w:qFormat/>
    <w:pPr>
      <w:jc w:val="left"/>
    </w:pPr>
    <w:rPr>
      <w:sz w:val="24"/>
    </w:rPr>
  </w:style>
  <w:style w:type="paragraph" w:styleId="1014" w:customStyle="1">
    <w:name w:val="标题 21"/>
    <w:basedOn w:val="811"/>
    <w:next w:val="811"/>
    <w:qFormat/>
    <w:pPr>
      <w:keepLines/>
      <w:keepNext/>
      <w:spacing w:before="260" w:after="260" w:line="416" w:lineRule="auto"/>
      <w:outlineLvl w:val="1"/>
    </w:pPr>
    <w:rPr>
      <w:rFonts w:ascii="Cambria" w:hAnsi="Cambria" w:eastAsia="宋体"/>
      <w:b/>
      <w:bCs/>
      <w:sz w:val="32"/>
      <w:szCs w:val="32"/>
    </w:rPr>
  </w:style>
  <w:style w:type="paragraph" w:styleId="1015" w:customStyle="1">
    <w:name w:val="Default"/>
    <w:qFormat/>
    <w:pPr>
      <w:widowControl w:val="off"/>
    </w:pPr>
    <w:rPr>
      <w:rFonts w:ascii="仿宋" w:eastAsia="仿宋" w:cs="仿宋"/>
      <w:color w:val="000000"/>
      <w:sz w:val="24"/>
      <w:szCs w:val="24"/>
    </w:rPr>
  </w:style>
  <w:style w:type="paragraph" w:styleId="1016" w:customStyle="1">
    <w:name w:val="纯文本1111"/>
    <w:basedOn w:val="811"/>
    <w:next w:val="1017"/>
    <w:unhideWhenUsed/>
    <w:qFormat/>
    <w:rPr>
      <w:rFonts w:ascii="宋体" w:hAnsi="Courier New"/>
    </w:rPr>
  </w:style>
  <w:style w:type="paragraph" w:styleId="1017" w:customStyle="1">
    <w:name w:val="正文缩进1"/>
    <w:basedOn w:val="811"/>
    <w:unhideWhenUsed/>
    <w:qFormat/>
    <w:pPr>
      <w:ind w:firstLine="420"/>
      <w:jc w:val="left"/>
    </w:pPr>
    <w:rPr>
      <w:sz w:val="24"/>
    </w:rPr>
  </w:style>
  <w:style w:type="paragraph" w:styleId="1018" w:customStyle="1">
    <w:name w:val="首行缩进"/>
    <w:basedOn w:val="811"/>
    <w:qFormat/>
    <w:pPr>
      <w:ind w:firstLine="480"/>
      <w:spacing w:line="360" w:lineRule="auto"/>
    </w:pPr>
    <w:rPr>
      <w:rFonts w:hAnsi="宋体" w:eastAsia="宋体" w:cs="宋体"/>
      <w:sz w:val="24"/>
      <w:szCs w:val="24"/>
    </w:rPr>
  </w:style>
  <w:style w:type="paragraph" w:styleId="1019" w:customStyle="1">
    <w:name w:val="Char"/>
    <w:basedOn w:val="811"/>
    <w:qFormat/>
  </w:style>
  <w:style w:type="paragraph" w:styleId="1020" w:customStyle="1">
    <w:name w:val="标题 11"/>
    <w:basedOn w:val="811"/>
    <w:next w:val="811"/>
    <w:qFormat/>
    <w:pPr>
      <w:keepLines/>
      <w:keepNext/>
      <w:spacing w:before="340" w:after="330" w:line="578" w:lineRule="auto"/>
      <w:outlineLvl w:val="0"/>
    </w:pPr>
    <w:rPr>
      <w:b/>
      <w:sz w:val="44"/>
    </w:rPr>
  </w:style>
  <w:style w:type="paragraph" w:styleId="1021" w:customStyle="1">
    <w:name w:val="纯文本1"/>
    <w:basedOn w:val="811"/>
    <w:qFormat/>
    <w:rPr>
      <w:rFonts w:ascii="宋体" w:hAnsi="Courier New"/>
    </w:rPr>
  </w:style>
  <w:style w:type="paragraph" w:styleId="1022" w:customStyle="1">
    <w:name w:val="正文2"/>
    <w:basedOn w:val="811"/>
    <w:qFormat/>
    <w:pPr>
      <w:ind w:firstLine="510"/>
      <w:spacing w:before="156" w:line="360" w:lineRule="auto"/>
    </w:pPr>
    <w:rPr>
      <w:sz w:val="24"/>
    </w:rPr>
  </w:style>
  <w:style w:type="character" w:styleId="1023" w:customStyle="1">
    <w:name w:val="要点1"/>
    <w:qFormat/>
    <w:rPr>
      <w:b/>
      <w:bCs/>
    </w:rPr>
  </w:style>
  <w:style w:type="paragraph" w:styleId="1024" w:customStyle="1">
    <w:name w:val="普通(网站)1"/>
    <w:basedOn w:val="811"/>
    <w:unhideWhenUsed/>
    <w:qFormat/>
    <w:pPr>
      <w:jc w:val="left"/>
      <w:spacing w:before="100" w:beforeAutospacing="1" w:after="100" w:afterAutospacing="1"/>
      <w:widowControl/>
    </w:pPr>
    <w:rPr>
      <w:rFonts w:ascii="宋体" w:hAnsi="宋体" w:cs="宋体"/>
      <w:sz w:val="24"/>
    </w:rPr>
  </w:style>
  <w:style w:type="paragraph" w:styleId="1025" w:customStyle="1">
    <w:name w:val="正文文本缩进 21"/>
    <w:basedOn w:val="811"/>
    <w:unhideWhenUsed/>
    <w:qFormat/>
    <w:pPr>
      <w:ind w:left="420"/>
      <w:spacing w:after="120" w:line="480" w:lineRule="auto"/>
    </w:pPr>
  </w:style>
  <w:style w:type="paragraph" w:styleId="1026" w:customStyle="1">
    <w:name w:val="纯文本11"/>
    <w:basedOn w:val="811"/>
    <w:uiPriority w:val="99"/>
    <w:qFormat/>
    <w:rPr>
      <w:rFonts w:ascii="宋体" w:hAnsi="Courier New"/>
    </w:rPr>
  </w:style>
  <w:style w:type="paragraph" w:styleId="1027" w:customStyle="1">
    <w:name w:val="索引 11"/>
    <w:basedOn w:val="811"/>
    <w:next w:val="811"/>
    <w:unhideWhenUsed/>
    <w:qFormat/>
    <w:pPr>
      <w:jc w:val="center"/>
      <w:spacing w:line="220" w:lineRule="exact"/>
    </w:pPr>
    <w:rPr>
      <w:rFonts w:ascii="仿宋_GB2312" w:eastAsia="仿宋_GB2312"/>
      <w:szCs w:val="21"/>
    </w:rPr>
  </w:style>
  <w:style w:type="paragraph" w:styleId="1028" w:customStyle="1">
    <w:name w:val="正文文本1"/>
    <w:basedOn w:val="811"/>
    <w:unhideWhenUsed/>
    <w:qFormat/>
    <w:rPr>
      <w:rFonts w:ascii="楷体_GB2312"/>
      <w:b/>
      <w:bCs/>
      <w:sz w:val="28"/>
    </w:rPr>
  </w:style>
  <w:style w:type="paragraph" w:styleId="1029" w:customStyle="1">
    <w:name w:val="页眉1"/>
    <w:basedOn w:val="811"/>
    <w:unhideWhenUsed/>
    <w:qFormat/>
    <w:pPr>
      <w:jc w:val="center"/>
      <w:tabs>
        <w:tab w:val="center" w:pos="4153" w:leader="none"/>
        <w:tab w:val="right" w:pos="8306" w:leader="none"/>
      </w:tabs>
      <w:pBdr>
        <w:bottom w:val="single" w:color="000000" w:sz="6" w:space="1"/>
      </w:pBdr>
    </w:pPr>
    <w:rPr>
      <w:sz w:val="18"/>
    </w:rPr>
  </w:style>
  <w:style w:type="paragraph" w:styleId="1030" w:customStyle="1">
    <w:name w:val="页脚1"/>
    <w:basedOn w:val="811"/>
    <w:unhideWhenUsed/>
    <w:qFormat/>
    <w:pPr>
      <w:jc w:val="left"/>
      <w:tabs>
        <w:tab w:val="center" w:pos="4153" w:leader="none"/>
        <w:tab w:val="right" w:pos="8306" w:leader="none"/>
      </w:tabs>
    </w:pPr>
    <w:rPr>
      <w:sz w:val="18"/>
    </w:rPr>
  </w:style>
  <w:style w:type="character" w:styleId="1031" w:customStyle="1">
    <w:name w:val="font81"/>
    <w:qFormat/>
    <w:rPr>
      <w:rFonts w:ascii="Times New Roman" w:hAnsi="Times New Roman" w:cs="Times New Roman"/>
      <w:color w:val="000000"/>
      <w:sz w:val="22"/>
      <w:szCs w:val="22"/>
      <w:u w:val="none"/>
    </w:rPr>
  </w:style>
  <w:style w:type="character" w:styleId="1032" w:customStyle="1">
    <w:name w:val="font11"/>
    <w:qFormat/>
    <w:rPr>
      <w:rFonts w:hint="eastAsia" w:ascii="仿宋" w:hAnsi="仿宋" w:eastAsia="仿宋" w:cs="仿宋"/>
      <w:color w:val="000000"/>
      <w:sz w:val="22"/>
      <w:szCs w:val="22"/>
      <w:u w:val="none"/>
    </w:rPr>
  </w:style>
  <w:style w:type="character" w:styleId="1033" w:customStyle="1">
    <w:name w:val="font101"/>
    <w:qFormat/>
    <w:rPr>
      <w:rFonts w:ascii="Arial" w:hAnsi="Arial" w:cs="Arial"/>
      <w:color w:val="000000"/>
      <w:sz w:val="22"/>
      <w:szCs w:val="22"/>
      <w:u w:val="none"/>
    </w:rPr>
  </w:style>
  <w:style w:type="paragraph" w:styleId="1034" w:customStyle="1">
    <w:name w:val="List Paragraph_f0420307-4c65-4cf4-ac34-e8950b7bacb1"/>
    <w:basedOn w:val="811"/>
    <w:qFormat/>
    <w:pPr>
      <w:ind w:firstLine="420"/>
    </w:pPr>
    <w:rPr>
      <w:rFonts w:eastAsia="宋体"/>
      <w:sz w:val="21"/>
      <w:szCs w:val="21"/>
    </w:rPr>
  </w:style>
  <w:style w:type="character" w:styleId="1035" w:customStyle="1">
    <w:name w:val="font51"/>
    <w:basedOn w:val="821"/>
    <w:qFormat/>
    <w:rPr>
      <w:rFonts w:hint="default" w:ascii="Times New Roman" w:hAnsi="Times New Roman" w:cs="Times New Roman"/>
      <w:color w:val="000000"/>
      <w:sz w:val="21"/>
      <w:szCs w:val="21"/>
      <w:u w:val="none"/>
    </w:rPr>
  </w:style>
  <w:style w:type="character" w:styleId="1036" w:customStyle="1">
    <w:name w:val="font31"/>
    <w:basedOn w:val="821"/>
    <w:qFormat/>
    <w:rPr>
      <w:rFonts w:hint="eastAsia" w:ascii="宋体" w:hAnsi="宋体" w:eastAsia="宋体" w:cs="宋体"/>
      <w:color w:val="000000"/>
      <w:sz w:val="21"/>
      <w:szCs w:val="21"/>
      <w:u w:val="none"/>
    </w:rPr>
  </w:style>
  <w:style w:type="character" w:styleId="1037" w:customStyle="1">
    <w:name w:val="font21"/>
    <w:basedOn w:val="821"/>
    <w:qFormat/>
    <w:rPr>
      <w:rFonts w:hint="default" w:ascii="Times New Roman" w:hAnsi="Times New Roman" w:cs="Times New Roman"/>
      <w:color w:val="000000"/>
      <w:sz w:val="21"/>
      <w:szCs w:val="21"/>
      <w:u w:val="none"/>
    </w:rPr>
  </w:style>
  <w:style w:type="character" w:styleId="1038" w:customStyle="1">
    <w:name w:val="font61"/>
    <w:basedOn w:val="821"/>
    <w:qFormat/>
    <w:rPr>
      <w:rFonts w:hint="eastAsia" w:ascii="宋体" w:hAnsi="宋体" w:eastAsia="宋体" w:cs="宋体"/>
      <w:color w:val="000000"/>
      <w:sz w:val="21"/>
      <w:szCs w:val="21"/>
      <w:u w:val="none"/>
    </w:rPr>
  </w:style>
  <w:style w:type="character" w:styleId="1039" w:customStyle="1">
    <w:name w:val="font41"/>
    <w:basedOn w:val="821"/>
    <w:qFormat/>
    <w:rPr>
      <w:rFonts w:hint="default" w:ascii="Times New Roman" w:hAnsi="Times New Roman" w:cs="Times New Roman"/>
      <w:color w:val="000000"/>
      <w:sz w:val="20"/>
      <w:szCs w:val="20"/>
      <w:u w:val="none"/>
    </w:rPr>
  </w:style>
  <w:style w:type="character" w:styleId="1040" w:customStyle="1">
    <w:name w:val="批注框文本 字符"/>
    <w:basedOn w:val="821"/>
    <w:link w:val="836"/>
    <w:uiPriority w:val="99"/>
    <w:semiHidden/>
    <w:qFormat/>
    <w:rPr>
      <w:rFonts w:eastAsia="楷体_GB2312"/>
      <w:sz w:val="18"/>
      <w:szCs w:val="18"/>
    </w:rPr>
  </w:style>
  <w:style w:type="table" w:styleId="1041" w:customStyle="1">
    <w:name w:val="Table Normal"/>
    <w:semiHidden/>
    <w:unhideWhenUsed/>
    <w:qFormat/>
    <w:tblPr>
      <w:tblCellMar>
        <w:left w:w="0" w:type="dxa"/>
        <w:top w:w="0" w:type="dxa"/>
        <w:right w:w="0" w:type="dxa"/>
        <w:bottom w:w="0" w:type="dxa"/>
      </w:tblCellMar>
    </w:tblPr>
  </w:style>
  <w:style w:type="paragraph" w:styleId="1042" w:customStyle="1">
    <w:name w:val="样式 首行缩进:  2 字符"/>
    <w:basedOn w:val="811"/>
    <w:link w:val="1043"/>
    <w:qFormat/>
    <w:pPr>
      <w:ind w:firstLine="480"/>
      <w:spacing w:line="360" w:lineRule="auto"/>
    </w:pPr>
    <w:rPr>
      <w:rFonts w:eastAsia="宋体"/>
      <w:sz w:val="24"/>
    </w:rPr>
  </w:style>
  <w:style w:type="character" w:styleId="1043" w:customStyle="1">
    <w:name w:val="样式 首行缩进:  2 字符 Char Char"/>
    <w:link w:val="1042"/>
    <w:qFormat/>
    <w:rPr>
      <w:sz w:val="24"/>
    </w:rPr>
  </w:style>
  <w:style w:type="character" w:styleId="1044" w:customStyle="1">
    <w:name w:val="批注文字 字符"/>
    <w:basedOn w:val="821"/>
    <w:link w:val="828"/>
    <w:uiPriority w:val="99"/>
    <w:semiHidden/>
    <w:qFormat/>
    <w:rPr>
      <w:rFonts w:eastAsia="楷体_GB2312"/>
      <w:sz w:val="26"/>
    </w:rPr>
  </w:style>
  <w:style w:type="paragraph" w:styleId="1045" w:customStyle="1">
    <w:name w:val="Normal_17_1"/>
    <w:qFormat/>
    <w:pPr>
      <w:jc w:val="both"/>
      <w:widowControl w:val="off"/>
    </w:pPr>
    <w:rPr>
      <w:rFonts w:ascii="Calibri" w:hAnsi="Calibri"/>
      <w:sz w:val="21"/>
      <w:szCs w:val="22"/>
    </w:rPr>
  </w:style>
  <w:style w:type="paragraph" w:styleId="1046" w:customStyle="1">
    <w:name w:val="Normal_16_1"/>
    <w:qFormat/>
    <w:rPr>
      <w:rFonts w:ascii="宋体" w:hAnsi="宋体"/>
      <w:sz w:val="32"/>
      <w:szCs w:val="24"/>
    </w:rPr>
  </w:style>
  <w:style w:type="paragraph" w:styleId="1047" w:customStyle="1">
    <w:name w:val="正文_9_0_1"/>
    <w:qFormat/>
    <w:pPr>
      <w:jc w:val="both"/>
      <w:widowControl w:val="off"/>
    </w:pPr>
    <w:rPr>
      <w:rFonts w:ascii="Calibri" w:hAnsi="Calibri"/>
      <w:sz w:val="21"/>
      <w:szCs w:val="22"/>
    </w:rPr>
  </w:style>
  <w:style w:type="paragraph" w:styleId="1048" w:customStyle="1">
    <w:name w:val="正文_8_1_1"/>
    <w:qFormat/>
    <w:pPr>
      <w:jc w:val="both"/>
      <w:widowControl w:val="off"/>
    </w:pPr>
    <w:rPr>
      <w:rFonts w:ascii="Calibri" w:hAnsi="Calibri"/>
      <w:sz w:val="21"/>
      <w:szCs w:val="22"/>
    </w:rPr>
  </w:style>
  <w:style w:type="paragraph" w:styleId="1049" w:customStyle="1">
    <w:name w:val="正文_1_0_0_0_0_0"/>
    <w:qFormat/>
    <w:pPr>
      <w:jc w:val="both"/>
      <w:widowControl w:val="off"/>
    </w:pPr>
    <w:rPr>
      <w:sz w:val="21"/>
    </w:rPr>
  </w:style>
  <w:style w:type="paragraph" w:styleId="1050" w:customStyle="1">
    <w:name w:val="列出段落_2"/>
    <w:basedOn w:val="1048"/>
    <w:uiPriority w:val="34"/>
    <w:qFormat/>
    <w:pPr>
      <w:ind w:firstLine="420"/>
    </w:pPr>
  </w:style>
  <w:style w:type="paragraph" w:styleId="1051" w:customStyle="1">
    <w:name w:val="Other|1"/>
    <w:basedOn w:val="811"/>
    <w:qFormat/>
    <w:rPr>
      <w:rFonts w:ascii="宋体" w:hAnsi="宋体" w:eastAsia="宋体" w:cs="宋体"/>
      <w:sz w:val="21"/>
      <w:lang w:val="zh-TW" w:eastAsia="zh-TW" w:bidi="zh-TW"/>
    </w:rPr>
  </w:style>
  <w:style w:type="character" w:styleId="1052" w:customStyle="1">
    <w:name w:val="HTML 预设格式 字符"/>
    <w:basedOn w:val="821"/>
    <w:link w:val="850"/>
    <w:uiPriority w:val="99"/>
    <w:semiHidden/>
    <w:qFormat/>
    <w:rPr>
      <w:rFonts w:ascii="Courier New" w:hAnsi="Courier New" w:eastAsia="楷体_GB2312" w:cs="Courier New"/>
    </w:rPr>
  </w:style>
  <w:style w:type="paragraph" w:styleId="1053">
    <w:name w:val="annotation subject"/>
    <w:basedOn w:val="828"/>
    <w:next w:val="828"/>
    <w:link w:val="1054"/>
    <w:uiPriority w:val="99"/>
    <w:semiHidden/>
    <w:unhideWhenUsed/>
    <w:rPr>
      <w:b/>
      <w:bCs/>
    </w:rPr>
  </w:style>
  <w:style w:type="character" w:styleId="1054" w:customStyle="1">
    <w:name w:val="批注主题 字符"/>
    <w:basedOn w:val="1044"/>
    <w:link w:val="1053"/>
    <w:uiPriority w:val="99"/>
    <w:semiHidden/>
    <w:rPr>
      <w:rFonts w:eastAsia="楷体_GB2312"/>
      <w:b/>
      <w:bCs/>
      <w:sz w:val="26"/>
    </w:rPr>
  </w:style>
  <w:style w:type="paragraph" w:styleId="1055">
    <w:name w:val="Revision"/>
    <w:hidden/>
    <w:uiPriority w:val="99"/>
    <w:unhideWhenUsed/>
    <w:rPr>
      <w:rFonts w:eastAsia="楷体_GB2312"/>
      <w:sz w:val="2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hyperlink" Target="http://jszfcg.jsczt.cn/&#65289;&#33719;&#21462;&#25307;&#26631;&#25991;&#20214;&#65292;&#24182;&#20110;2023&#24180;11&#26376;" TargetMode="External"/><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Info spid="_x0000_s1025"/>
    <customShpInfo spid="_x0000_s2050"/>
    <customShpInfo spid="_x0000_s2066"/>
    <customShpInfo spid="_x0000_s2065"/>
    <customShpInfo spid="_x0000_s2064"/>
    <customShpInfo spid="_x0000_s2063"/>
    <customShpInfo spid="_x0000_s2062"/>
    <customShpInfo spid="_x0000_s2061"/>
    <customShpInfo spid="_x0000_s2060"/>
    <customShpInfo spid="_x0000_s2059"/>
    <customShpInfo spid="_x0000_s2058"/>
    <customShpInfo spid="_x0000_s2057"/>
    <customShpInfo spid="_x0000_s2056"/>
    <customShpInfo spid="_x0000_s2055"/>
    <customShpInfo spid="_x0000_s2054"/>
    <customShpInfo spid="_x0000_s2053"/>
    <customShpInfo spid="_x0000_s2052"/>
    <customShpInfo spid="_x0000_s2051"/>
  </customShpExts>
</s:customData>
</file>

<file path=customXml/itemProps1.xml><?xml version="1.0" encoding="utf-8"?>
<ds:datastoreItem xmlns:ds="http://schemas.openxmlformats.org/officeDocument/2006/customXml" ds:itemID="{41D22A62-C1DF-45E0-9E3C-5938A1EE719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dc:creator>
  <cp:keywords/>
  <dc:description/>
  <cp:lastModifiedBy>马君端</cp:lastModifiedBy>
  <cp:revision>8</cp:revision>
  <dcterms:created xsi:type="dcterms:W3CDTF">2026-08-11T05:29:00Z</dcterms:created>
  <dcterms:modified xsi:type="dcterms:W3CDTF">2026-09-01T06:12:36Z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7033B05C256F43C29A7C94C5A5B8F603_13</vt:lpwstr>
  </property>
  <property fmtid="{D5CDD505-2E9C-101B-9397-08002B2CF9AE}" pid="4" name="KSOTemplateDocerSaveRecord">
    <vt:lpwstr>eyJoZGlkIjoiMTQwZWQ3N2E0MjdiZDkzZDhkYmZlMTUwNDhjYzhlOTIiLCJ1c2VySWQiOiI3NDk3MDYyNTQifQ==</vt:lpwstr>
  </property>
</Properties>
</file>