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spacing w:before="120" w:beforeAutospacing="0" w:after="120" w:afterAutospacing="0" w:line="360" w:lineRule="auto"/>
        <w:rPr>
          <w:highlight w:val="none"/>
        </w:rPr>
      </w:pPr>
      <w:r>
        <w:rPr>
          <w:highlight w:val="none"/>
        </w:rPr>
        <w:t xml:space="preserve"> </w:t>
      </w:r>
      <w:r/>
    </w:p>
    <w:p>
      <w:pPr>
        <w:pStyle w:val="87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7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0"/>
        <w:keepLines w:val="0"/>
        <w:keepNext w:val="0"/>
        <w:pageBreakBefore w:val="0"/>
        <w:spacing w:before="120" w:beforeAutospacing="0" w:after="120" w:afterAutospacing="0" w:line="36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70"/>
        <w:keepLines w:val="0"/>
        <w:keepNext w:val="0"/>
        <w:pageBreakBefore w:val="0"/>
        <w:spacing w:before="120" w:beforeAutospacing="0" w:after="120" w:afterAutospacing="0" w:line="360" w:lineRule="auto"/>
        <w:widowControl w:val="off"/>
        <w:rPr>
          <w:color w:val="auto"/>
          <w:highlight w:val="none"/>
        </w:rPr>
      </w:pPr>
      <w:r>
        <w:rPr>
          <w:rFonts w:ascii="Arial" w:hAnsi="Arial" w:cs="Arial"/>
          <w:b/>
          <w:color w:val="000000"/>
          <w:sz w:val="32"/>
          <w:szCs w:val="32"/>
          <w:highlight w:val="none"/>
        </w:rPr>
        <w:t xml:space="preserve">项目名称：</w:t>
      </w:r>
      <w:r>
        <w:rPr>
          <w:rFonts w:hint="eastAsia" w:ascii="Arial" w:hAnsi="Arial" w:cs="Arial"/>
          <w:b/>
          <w:color w:val="auto"/>
          <w:sz w:val="32"/>
          <w:szCs w:val="32"/>
          <w:highlight w:val="none"/>
        </w:rPr>
        <w:t xml:space="preserve">江苏滨海经济开发区沿海工业园地下水污染风险管控项目</w:t>
      </w:r>
      <w:r/>
    </w:p>
    <w:p>
      <w:pPr>
        <w:pStyle w:val="870"/>
        <w:ind w:firstLine="2249"/>
        <w:spacing w:before="120" w:beforeAutospacing="0" w:after="120" w:afterAutospacing="0" w:line="360" w:lineRule="auto"/>
        <w:rPr>
          <w:highlight w:val="none"/>
        </w:rPr>
      </w:pPr>
      <w:r>
        <w:rPr>
          <w:highlight w:val="none"/>
        </w:rPr>
      </w:r>
      <w:r/>
    </w:p>
    <w:p>
      <w:pPr>
        <w:pStyle w:val="870"/>
        <w:jc w:val="both"/>
        <w:spacing w:beforeAutospacing="0" w:afterAutospacing="0"/>
        <w:rPr>
          <w:rFonts w:hint="eastAsia" w:eastAsiaTheme="minorEastAsia"/>
          <w:highlight w:val="none"/>
          <w:lang w:val="en-US"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ab/>
      </w:r>
      <w:r>
        <w:rPr>
          <w:rFonts w:hint="eastAsia" w:ascii="Times New Roman" w:hAnsi="Times New Roman"/>
          <w:b/>
          <w:color w:val="000000"/>
          <w:sz w:val="32"/>
          <w:szCs w:val="32"/>
          <w:highlight w:val="none"/>
        </w:rPr>
        <w:t xml:space="preserve">JSZC-320922-YTGC-G2026-0026</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spacing w:beforeAutospacing="0" w:afterAutospacing="0" w:line="360" w:lineRule="auto"/>
        <w:rPr>
          <w:highlight w:val="none"/>
        </w:rPr>
      </w:pPr>
      <w:r>
        <w:rPr>
          <w:highlight w:val="none"/>
        </w:rPr>
        <w:t xml:space="preserve"> </w:t>
      </w:r>
      <w:r/>
    </w:p>
    <w:p>
      <w:pPr>
        <w:pStyle w:val="870"/>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auto"/>
          <w:sz w:val="32"/>
          <w:szCs w:val="32"/>
          <w:highlight w:val="none"/>
          <w:lang w:val="en-US" w:eastAsia="zh-CN"/>
        </w:rPr>
        <w:t xml:space="preserve">江苏滨海经济开发区沿海工业园管理委员会</w:t>
      </w:r>
      <w:r/>
    </w:p>
    <w:p>
      <w:pPr>
        <w:pStyle w:val="870"/>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p>
    <w:p>
      <w:pPr>
        <w:pStyle w:val="870"/>
        <w:spacing w:before="120" w:beforeAutospacing="0" w:after="120" w:afterAutospacing="0" w:line="360" w:lineRule="auto"/>
        <w:rPr>
          <w:highlight w:val="none"/>
        </w:rPr>
      </w:pPr>
      <w:r>
        <w:rPr>
          <w:rFonts w:ascii="Arial" w:hAnsi="Arial" w:cs="Arial"/>
          <w:color w:val="000000"/>
          <w:highlight w:val="none"/>
        </w:rPr>
        <w:t xml:space="preserve">                        </w:t>
      </w:r>
      <w:r/>
    </w:p>
    <w:p>
      <w:pPr>
        <w:pStyle w:val="870"/>
        <w:jc w:val="center"/>
        <w:spacing w:before="120" w:beforeAutospacing="0" w:after="120" w:afterAutospacing="0" w:line="360" w:lineRule="auto"/>
        <w:rPr>
          <w:highlight w:val="none"/>
        </w:rPr>
      </w:pPr>
      <w:r>
        <w:rPr>
          <w:highlight w:val="none"/>
        </w:rPr>
        <w:t xml:space="preserve"> </w:t>
      </w:r>
      <w:r/>
    </w:p>
    <w:p>
      <w:pPr>
        <w:pStyle w:val="870"/>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523127445"/>
      <w:r/>
      <w:bookmarkStart w:id="2" w:name="_Toc479757206"/>
      <w:r/>
      <w:bookmarkStart w:id="3" w:name="_Toc513029200"/>
      <w:r/>
      <w:bookmarkStart w:id="4" w:name="_Toc120614210"/>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70"/>
        <w:jc w:val="both"/>
        <w:spacing w:beforeAutospacing="0" w:afterAutospacing="0" w:line="480" w:lineRule="auto"/>
        <w:rPr>
          <w:highlight w:val="none"/>
        </w:rPr>
      </w:pPr>
      <w:r>
        <w:rPr>
          <w:highlight w:val="none"/>
        </w:rPr>
        <w:t xml:space="preserve"> </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eastAsia="zh-CN"/>
        </w:rPr>
        <w:t xml:space="preserve">第二章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投标人须知 </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eastAsia="zh-CN"/>
        </w:rPr>
        <w:t xml:space="preserve">第三章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合同文本</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eastAsia="zh-CN"/>
        </w:rPr>
        <w:t xml:space="preserve">第四章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采购需求</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eastAsia="zh-CN"/>
        </w:rPr>
        <w:t xml:space="preserve">第五章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评标方法与评标标准</w:t>
      </w:r>
      <w:r/>
    </w:p>
    <w:p>
      <w:pPr>
        <w:pStyle w:val="870"/>
        <w:ind w:left="2160" w:hanging="1440"/>
        <w:jc w:val="both"/>
        <w:keepLines w:val="0"/>
        <w:keepNext w:val="0"/>
        <w:pageBreakBefore w:val="0"/>
        <w:spacing w:beforeAutospacing="0" w:afterAutospacing="0" w:line="720" w:lineRule="auto"/>
        <w:widowControl w:val="off"/>
        <w:tabs>
          <w:tab w:val="left" w:pos="1441" w:leader="none"/>
        </w:tabs>
        <w:rPr>
          <w:highlight w:val="none"/>
        </w:rPr>
      </w:pPr>
      <w:r>
        <w:rPr>
          <w:rFonts w:hint="eastAsia" w:ascii="黑体" w:hAnsi="宋体" w:eastAsia="黑体" w:cs="黑体"/>
          <w:color w:val="000000"/>
          <w:sz w:val="36"/>
          <w:szCs w:val="36"/>
          <w:highlight w:val="none"/>
          <w:lang w:eastAsia="zh-CN"/>
        </w:rPr>
        <w:t xml:space="preserve">第六章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投标文件格式</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both"/>
        <w:spacing w:beforeAutospacing="0" w:afterAutospacing="0"/>
        <w:rPr>
          <w:highlight w:val="none"/>
        </w:rPr>
      </w:pPr>
      <w:r>
        <w:rPr>
          <w:highlight w:val="none"/>
        </w:rPr>
        <w:t xml:space="preserve"> </w:t>
      </w:r>
      <w:r/>
    </w:p>
    <w:p>
      <w:pPr>
        <w:pStyle w:val="870"/>
        <w:jc w:val="center"/>
        <w:spacing w:beforeAutospacing="0" w:afterAutospacing="0"/>
        <w:rPr>
          <w:highlight w:val="none"/>
        </w:rPr>
      </w:pPr>
      <w:r>
        <w:rPr>
          <w:rFonts w:hint="eastAsia" w:ascii="黑体" w:hAnsi="宋体" w:eastAsia="黑体" w:cs="黑体"/>
          <w:color w:val="000000"/>
          <w:sz w:val="36"/>
          <w:szCs w:val="36"/>
          <w:highlight w:val="none"/>
        </w:rPr>
        <w:t xml:space="preserve">第一章 </w:t>
      </w:r>
      <w:r>
        <w:rPr>
          <w:rFonts w:hint="eastAsia" w:ascii="黑体" w:hAnsi="宋体" w:eastAsia="黑体" w:cs="黑体"/>
          <w:color w:val="000000"/>
          <w:sz w:val="36"/>
          <w:szCs w:val="36"/>
          <w:highlight w:val="none"/>
          <w:lang w:val="en-US" w:eastAsia="zh-CN"/>
        </w:rPr>
        <w:t xml:space="preserve">招标公告</w:t>
      </w:r>
      <w:r>
        <w:rPr>
          <w:highlight w:val="none"/>
        </w:rPr>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江苏滨海经济开发区沿海工业园地下水污染风险管控项目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01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lang w:eastAsia="zh-CN"/>
        </w:rPr>
        <w:t xml:space="preserve">时</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6" w:name="_Toc28359002"/>
      <w:r/>
      <w:bookmarkStart w:id="7" w:name="_Toc38985263"/>
      <w:r/>
      <w:bookmarkStart w:id="8" w:name="_Toc35393790"/>
      <w:r/>
      <w:bookmarkStart w:id="9" w:name="_Toc28359079"/>
      <w:r/>
      <w:bookmarkStart w:id="10" w:name="_Hlk24379207"/>
      <w:r/>
      <w:bookmarkStart w:id="11" w:name="_Toc35393621"/>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1.项目编号：JSZC-320922-YTGC-G2026-0026</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2.项目名称：江苏滨海经济开发区沿海工业园地下水污染风险管控项目</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.预算金额：6026.26万元</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6026.26万元</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根据生态环境部《化工园地下水污染专项整治工作方案》要求和园区地下水调查评估结果，江苏滨海经济开发区沿海工业园亟需开展地下水污染风险管控及相关配套服务等工作。具体包括：仅超标但风险可接受区域，实施长期监测预警；土水风险不可接受区域，采取治理或管控措施；经污染地下水迁移模拟，污染物存在潜在迁移扩散风险的区域，采取源削减措施。（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rPr>
        <w:t xml:space="preserve">自合同签订之日起至2027年12月31日前完成全部服务工作（不含地下水治理效果评估期）</w:t>
      </w:r>
      <w:r>
        <w:rPr>
          <w:rFonts w:hint="eastAsia" w:ascii="宋体" w:hAnsi="宋体" w:eastAsia="宋体" w:cs="宋体"/>
          <w:color w:val="auto"/>
          <w:sz w:val="24"/>
          <w:szCs w:val="24"/>
          <w:highlight w:val="none"/>
          <w:lang w:eastAsia="zh-CN"/>
        </w:rPr>
        <w:t xml:space="preserve">。</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eastAsia="zh-CN"/>
        </w:rPr>
        <w:t xml:space="preserve">投</w:t>
      </w:r>
      <w:r>
        <w:rPr>
          <w:rFonts w:hint="eastAsia" w:ascii="宋体" w:hAnsi="宋体" w:eastAsia="宋体" w:cs="宋体"/>
          <w:color w:val="000000"/>
          <w:sz w:val="24"/>
          <w:szCs w:val="24"/>
          <w:highlight w:val="none"/>
          <w:lang w:val="en-US" w:eastAsia="zh-CN"/>
        </w:rPr>
        <w:t xml:space="preserve">标。</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2" w:name="_Toc28359003"/>
      <w:r/>
      <w:bookmarkStart w:id="13" w:name="_Toc35393791"/>
      <w:r/>
      <w:bookmarkStart w:id="14" w:name="_Toc28359080"/>
      <w:r/>
      <w:bookmarkStart w:id="15" w:name="_Toc38985264"/>
      <w:r/>
      <w:bookmarkStart w:id="16" w:name="_Toc35393622"/>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投标供应商具备有效的建设行政主管部门核发的环保工程专业承包一级及以上资质等级，并取得有效的安全生产许可证。</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35393793"/>
      <w:r/>
      <w:bookmarkStart w:id="19" w:name="_Toc28359082"/>
      <w:r/>
      <w:bookmarkStart w:id="20" w:name="_Toc28359005"/>
      <w:r/>
      <w:bookmarkStart w:id="21"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时间：2026年9月01日9时00分00秒（北京时间）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22" w:name="_Toc35393794"/>
      <w:r/>
      <w:bookmarkStart w:id="23" w:name="_Toc38985267"/>
      <w:r/>
      <w:bookmarkStart w:id="24" w:name="_Toc35393625"/>
      <w:r/>
      <w:bookmarkStart w:id="25" w:name="_Toc28359084"/>
      <w:r/>
      <w:bookmarkStart w:id="26" w:name="_Toc2835900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6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江苏滨海经济开发区沿海工业园管理委员会</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w:t>
      </w:r>
      <w:r>
        <w:rPr>
          <w:rFonts w:ascii="宋体" w:hAnsi="宋体" w:eastAsia="宋体" w:cs="宋体"/>
          <w:sz w:val="24"/>
          <w:szCs w:val="24"/>
        </w:rPr>
        <w:t xml:space="preserve">滨海县滨淮镇东罾大道1号</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联系人：郑先生              </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联系方式：13961946499            </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称：江苏雨田工程咨询集团有限公司</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址：滨海县大学生创业园电谷A226室</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联系人：王女士                     </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13914632376       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项目联系人：郑先生、王女士</w:t>
      </w:r>
      <w:r/>
    </w:p>
    <w:p>
      <w:pPr>
        <w:pStyle w:val="87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联系方式：13961946499、13914632376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ind w:right="840"/>
        <w:jc w:val="both"/>
        <w:pageBreakBefore w:val="0"/>
        <w:spacing w:beforeAutospacing="0" w:afterAutospacing="0" w:line="360" w:lineRule="auto"/>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870"/>
        <w:ind w:firstLine="3253"/>
        <w:jc w:val="both"/>
        <w:keepLines/>
        <w:keepNext/>
        <w:pageBreakBefore w:val="0"/>
        <w:spacing w:before="260" w:beforeAutospacing="0" w:after="260" w:afterAutospacing="0" w:line="360" w:lineRule="auto"/>
        <w:rPr>
          <w:sz w:val="36"/>
          <w:szCs w:val="36"/>
          <w:highlight w:val="none"/>
        </w:rPr>
      </w:pPr>
      <w:r/>
      <w:bookmarkStart w:id="35" w:name="_Toc120614211"/>
      <w:r>
        <w:rPr>
          <w:rFonts w:hint="eastAsia" w:ascii="黑体" w:hAnsi="宋体" w:eastAsia="黑体" w:cs="黑体"/>
          <w:b/>
          <w:color w:val="000000"/>
          <w:sz w:val="36"/>
          <w:szCs w:val="36"/>
          <w:highlight w:val="none"/>
        </w:rPr>
        <w:t xml:space="preserve">第二章  </w:t>
      </w:r>
      <w:bookmarkEnd w:id="35"/>
      <w:r/>
      <w:bookmarkStart w:id="36" w:name="_Toc513029202"/>
      <w:r/>
      <w:bookmarkStart w:id="37" w:name="_Toc16938518"/>
      <w:r/>
      <w:bookmarkStart w:id="38" w:name="_Toc20823274"/>
      <w:r/>
      <w:bookmarkStart w:id="39" w:name="_Toc120614213"/>
      <w:r>
        <w:rPr>
          <w:rFonts w:hint="eastAsia" w:ascii="黑体" w:hAnsi="宋体" w:eastAsia="黑体" w:cs="黑体"/>
          <w:b/>
          <w:color w:val="000000"/>
          <w:sz w:val="36"/>
          <w:szCs w:val="36"/>
          <w:highlight w:val="none"/>
        </w:rPr>
        <w:t xml:space="preserve">投标人须知</w:t>
      </w:r>
      <w:bookmarkEnd w:id="36"/>
      <w:r/>
      <w:bookmarkEnd w:id="37"/>
      <w:r/>
      <w:bookmarkEnd w:id="38"/>
      <w:r/>
      <w:bookmarkEnd w:id="39"/>
      <w:r/>
      <w:r/>
    </w:p>
    <w:p>
      <w:pPr>
        <w:pStyle w:val="870"/>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49" w:name="_Toc513029205"/>
      <w:r/>
      <w:bookmarkStart w:id="50" w:name="_Toc16938521"/>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pageBreakBefore w:val="0"/>
        <w:spacing w:line="360" w:lineRule="auto"/>
        <w:rPr>
          <w:rFonts w:hint="eastAsia" w:ascii="方正魏碑_GBK" w:hAnsi="方正魏碑_GBK" w:eastAsia="方正魏碑_GBK" w:cs="方正魏碑_GBK"/>
          <w:color w:val="auto"/>
          <w:sz w:val="24"/>
          <w:szCs w:val="21"/>
        </w:rPr>
      </w:pPr>
      <w:r/>
      <w:bookmarkStart w:id="52" w:name="_Toc20823278"/>
      <w:r/>
      <w:bookmarkStart w:id="53" w:name="_Toc16938522"/>
      <w:r/>
      <w:bookmarkStart w:id="54" w:name="_Toc513029206"/>
      <w:r/>
      <w:bookmarkStart w:id="55" w:name="_Toc16938523"/>
      <w:r/>
      <w:bookmarkStart w:id="56" w:name="_Toc513029207"/>
      <w:r/>
      <w:bookmarkStart w:id="57" w:name="_Toc462564067"/>
      <w:r/>
      <w:bookmarkStart w:id="58" w:name="_Toc20823279"/>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70"/>
        <w:ind w:firstLine="42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采购人和采购代理机构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870"/>
        <w:ind w:firstLine="420"/>
        <w:jc w:val="both"/>
        <w:pageBreakBefore w:val="0"/>
        <w:spacing w:beforeAutospacing="0" w:afterAutospacing="0" w:line="360" w:lineRule="auto"/>
        <w:rPr>
          <w:rFonts w:hint="default" w:ascii="宋体" w:hAnsi="宋体" w:eastAsia="宋体" w:cs="宋体"/>
          <w:b/>
          <w:color w:val="000000"/>
          <w:sz w:val="24"/>
          <w:szCs w:val="24"/>
          <w:highlight w:val="none"/>
          <w:lang w:val="en-US" w:eastAsia="zh-CN"/>
        </w:rPr>
      </w:pPr>
      <w:r>
        <w:rPr>
          <w:rFonts w:hint="eastAsia" w:ascii="宋体" w:hAnsi="宋体" w:eastAsia="宋体" w:cs="宋体"/>
          <w:color w:val="000000"/>
        </w:rPr>
        <w:t xml:space="preserve">4.2</w:t>
      </w:r>
      <w:r>
        <w:rPr>
          <w:rFonts w:hint="eastAsia" w:ascii="宋体" w:hAnsi="宋体" w:eastAsia="宋体" w:cs="宋体"/>
        </w:rPr>
        <w:t xml:space="preserve">本项目招标代理服务费依据《江苏省政府采购代理服务收费指导意见》的通知（苏政采〔2024〕20号）执行，采购人约定由中标人向招标代理机构一次性代为支付招标代理服务费人民币</w:t>
      </w:r>
      <w:r>
        <w:rPr>
          <w:rFonts w:hint="eastAsia" w:ascii="宋体" w:hAnsi="宋体" w:eastAsia="宋体" w:cs="宋体"/>
          <w:lang w:val="en-US" w:eastAsia="zh-CN"/>
        </w:rPr>
        <w:t xml:space="preserve">90</w:t>
      </w:r>
      <w:r>
        <w:rPr>
          <w:rFonts w:hint="eastAsia" w:ascii="宋体" w:hAnsi="宋体" w:eastAsia="宋体" w:cs="宋体"/>
        </w:rPr>
        <w:t xml:space="preserve">000元，投标人须将此费用纳入投标报价中，招标人不另行支付。</w:t>
      </w:r>
      <w:r/>
    </w:p>
    <w:p>
      <w:pPr>
        <w:pStyle w:val="870"/>
        <w:ind w:firstLine="48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70"/>
        <w:ind w:firstLine="321"/>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59" w:name="_Toc120614215"/>
      <w:r/>
      <w:bookmarkStart w:id="60" w:name="_Toc16938525"/>
      <w:r/>
      <w:bookmarkStart w:id="61" w:name="_Toc20823281"/>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0"/>
        <w:ind w:firstLine="56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6" w:name="_Toc20823283"/>
      <w:r/>
      <w:bookmarkStart w:id="67" w:name="_Toc16938527"/>
      <w:r/>
      <w:bookmarkStart w:id="68" w:name="_Toc462564070"/>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870"/>
        <w:ind w:firstLine="56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0" w:name="_Toc462564071"/>
      <w:r/>
      <w:bookmarkStart w:id="71" w:name="_Toc20823284"/>
      <w:r/>
      <w:bookmarkStart w:id="72" w:name="_Toc513029212"/>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可以对招标文件进行修改。</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70"/>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16938529"/>
      <w:r/>
      <w:bookmarkStart w:id="76" w:name="_Toc462564072"/>
      <w:r/>
      <w:bookmarkStart w:id="77" w:name="_Toc20823285"/>
      <w:r/>
      <w:bookmarkStart w:id="78" w:name="_Toc120614216"/>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70"/>
        <w:ind w:firstLine="56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9" w:name="_Toc20823286"/>
      <w:r/>
      <w:bookmarkStart w:id="80" w:name="_Toc16938530"/>
      <w:r/>
      <w:bookmarkStart w:id="81" w:name="_Toc513029214"/>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83" w:name="_Toc16938531"/>
      <w:r/>
      <w:bookmarkStart w:id="84" w:name="_Toc20823287"/>
      <w:r/>
      <w:bookmarkStart w:id="85" w:name="_Toc462564074"/>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87" w:name="_Toc513029216"/>
      <w:r/>
      <w:bookmarkStart w:id="88" w:name="_Toc513029219"/>
      <w:r/>
      <w:bookmarkStart w:id="89" w:name="_Toc14577354"/>
      <w:r/>
      <w:bookmarkStart w:id="90" w:name="_Toc49090509"/>
      <w:r/>
      <w:bookmarkStart w:id="91" w:name="_Toc49090507"/>
      <w:r/>
      <w:bookmarkStart w:id="92" w:name="_Toc14577357"/>
      <w:r/>
      <w:bookmarkStart w:id="93" w:name="_Hlt26670360"/>
      <w:r/>
      <w:bookmarkStart w:id="94" w:name="_Hlt26954838"/>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70"/>
        <w:jc w:val="both"/>
        <w:pageBreakBefore w:val="0"/>
        <w:spacing w:beforeAutospacing="0" w:afterAutospacing="0" w:line="360" w:lineRule="auto"/>
        <w:rPr>
          <w:rFonts w:hint="eastAsia" w:ascii="宋体" w:hAnsi="宋体" w:eastAsia="宋体" w:cs="宋体"/>
          <w:sz w:val="24"/>
          <w:szCs w:val="24"/>
          <w:highlight w:val="none"/>
        </w:rPr>
      </w:pPr>
      <w:r/>
      <w:bookmarkStart w:id="96" w:name="_Toc49090508"/>
      <w:r/>
      <w:bookmarkStart w:id="97"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01" w:name="_Hlt26668983"/>
      <w:r/>
      <w:bookmarkStart w:id="102" w:name="_Hlt26670486"/>
      <w:r/>
      <w:bookmarkStart w:id="103" w:name="_Hlt26954844"/>
      <w:r/>
      <w:bookmarkStart w:id="104" w:name="_Hlt26954842"/>
      <w:r/>
      <w:bookmarkStart w:id="105" w:name="_Hlt26670403"/>
      <w:r/>
      <w:bookmarkStart w:id="106" w:name="_Hlt26670425"/>
      <w:r/>
      <w:bookmarkStart w:id="107" w:name="_Hlt26954846"/>
      <w:r/>
      <w:bookmarkStart w:id="108" w:name="_Hlt26954731"/>
      <w:r/>
      <w:bookmarkStart w:id="109" w:name="_Hlt26954848"/>
      <w:r/>
      <w:bookmarkStart w:id="110" w:name="_Hlt26670482"/>
      <w:r>
        <w:rPr>
          <w:rFonts w:hint="eastAsia" w:ascii="宋体" w:hAnsi="宋体" w:eastAsia="宋体" w:cs="宋体"/>
          <w:color w:val="000000"/>
          <w:sz w:val="24"/>
          <w:szCs w:val="24"/>
          <w:highlight w:val="none"/>
        </w:rPr>
        <w:t xml:space="preserve">13、技术要求响应及偏离表、商务要求响应及偏离表</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70"/>
        <w:ind w:firstLine="480"/>
        <w:jc w:val="both"/>
        <w:pageBreakBefore w:val="0"/>
        <w:spacing w:beforeAutospacing="0" w:afterAutospacing="0" w:line="360"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11" w:name="_Toc49090510"/>
      <w:r/>
      <w:bookmarkStart w:id="112" w:name="_Toc14577359"/>
      <w:r>
        <w:rPr>
          <w:rFonts w:hint="eastAsia" w:ascii="宋体" w:hAnsi="宋体" w:eastAsia="宋体" w:cs="宋体"/>
          <w:color w:val="000000"/>
          <w:sz w:val="24"/>
          <w:szCs w:val="24"/>
          <w:highlight w:val="none"/>
        </w:rPr>
        <w:t xml:space="preserve">14、投标函和开标一览表</w:t>
      </w:r>
      <w:bookmarkEnd w:id="111"/>
      <w:r/>
      <w:bookmarkEnd w:id="112"/>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eastAsia="宋体" w:cs="宋体"/>
          <w:color w:val="000000"/>
          <w:sz w:val="24"/>
          <w:szCs w:val="24"/>
          <w:highlight w:val="none"/>
        </w:rPr>
        <w:t xml:space="preserve">15、投标有效期</w:t>
      </w:r>
      <w:bookmarkEnd w:id="113"/>
      <w:r/>
      <w:bookmarkEnd w:id="114"/>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0"/>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18" w:name="_Toc16938540"/>
      <w:r/>
      <w:bookmarkStart w:id="119" w:name="_Toc20823296"/>
      <w:r/>
      <w:bookmarkStart w:id="120" w:name="_Toc120614217"/>
      <w:r/>
      <w:bookmarkStart w:id="121" w:name="_Toc513029224"/>
      <w:r/>
      <w:bookmarkStart w:id="122" w:name="_Hlt26954852"/>
      <w:r/>
      <w:bookmarkStart w:id="123" w:name="_Hlt26954739"/>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70"/>
        <w:ind w:firstLine="56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24" w:name="_Toc513029225"/>
      <w:r/>
      <w:bookmarkStart w:id="125" w:name="_Toc20823297"/>
      <w:r/>
      <w:bookmarkStart w:id="126" w:name="_Toc462564084"/>
      <w:r/>
      <w:bookmarkStart w:id="127" w:name="_Toc16938541"/>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70"/>
        <w:ind w:left="52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70"/>
        <w:ind w:firstLine="420"/>
        <w:jc w:val="both"/>
        <w:keepLines/>
        <w:keepNext/>
        <w:pageBreakBefore w:val="0"/>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1" w:name="_Toc513029227"/>
      <w:r/>
      <w:bookmarkStart w:id="132" w:name="_Toc16938543"/>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4" w:name="_Toc20823300"/>
      <w:r/>
      <w:bookmarkStart w:id="135" w:name="_Toc513029228"/>
      <w:r/>
      <w:bookmarkStart w:id="136" w:name="_Toc16938544"/>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70"/>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37" w:name="_Toc513029229"/>
      <w:r/>
      <w:bookmarkStart w:id="138" w:name="_Toc20823301"/>
      <w:r/>
      <w:bookmarkStart w:id="139" w:name="_Toc16938545"/>
      <w:r/>
      <w:bookmarkStart w:id="140" w:name="_Toc120614218"/>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70"/>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870"/>
        <w:ind w:firstLine="36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70"/>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47" w:name="_Toc513029232"/>
      <w:r/>
      <w:bookmarkStart w:id="148" w:name="_Toc20823304"/>
      <w:r/>
      <w:bookmarkStart w:id="149" w:name="_Toc16938548"/>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70"/>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50" w:name="_Toc513029233"/>
      <w:r/>
      <w:bookmarkStart w:id="151" w:name="_Toc16938549"/>
      <w:r/>
      <w:bookmarkStart w:id="152" w:name="_Toc20823305"/>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0"/>
        <w:ind w:firstLine="420"/>
        <w:jc w:val="both"/>
        <w:pageBreakBefore w:val="0"/>
        <w:spacing w:beforeAutospacing="0" w:afterAutospacing="0" w:line="360" w:lineRule="auto"/>
        <w:rPr>
          <w:rFonts w:hint="eastAsia" w:ascii="宋体" w:hAnsi="宋体" w:eastAsia="宋体" w:cs="宋体"/>
          <w:color w:val="auto"/>
          <w:sz w:val="24"/>
          <w:szCs w:val="24"/>
          <w:highlight w:val="none"/>
        </w:rPr>
      </w:pPr>
      <w:r/>
      <w:bookmarkStart w:id="153" w:name="_Toc16938550"/>
      <w:r/>
      <w:bookmarkStart w:id="154" w:name="_Toc513029234"/>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70"/>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bookmarkStart w:id="156" w:name="_Toc16938551"/>
      <w:r/>
      <w:bookmarkStart w:id="157" w:name="_Toc20823307"/>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70"/>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70"/>
        <w:ind w:firstLine="480"/>
        <w:jc w:val="both"/>
        <w:pageBreakBefore w:val="0"/>
        <w:spacing w:beforeAutospacing="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（一）评审过程中出现下列情形之一的，评标委员会应当启动异常低价投标审查程序：</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3.投标（响应）报价低于采购项目最高限价65%的，即投标（响应）报价&lt;采购项目最高限价×65%；</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auto"/>
          <w:sz w:val="24"/>
          <w:szCs w:val="24"/>
          <w:highlight w:val="none"/>
          <w:lang w:val="en-US" w:eastAsia="zh-CN" w:bidi="ar-SA"/>
        </w:rPr>
        <w:t xml:space="preserve">。</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相关法律法规对供应商报价有规定的，从其规定。</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0"/>
        <w:ind w:left="0" w:right="0" w:firstLine="480"/>
        <w:jc w:val="both"/>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70"/>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70"/>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70"/>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70"/>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60" w:name="_Toc20823310"/>
      <w:r/>
      <w:bookmarkStart w:id="161" w:name="_Toc16938554"/>
      <w:r/>
      <w:bookmarkStart w:id="162" w:name="_Toc513029238"/>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70"/>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0"/>
        <w:ind w:firstLine="48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lang w:val="en-US" w:eastAsia="zh-CN" w:bidi="ar-SA"/>
        </w:rPr>
        <w:t xml:space="preserve">不接受未填写快递运单的快件。质疑接收地址详见招标公告联系方式。  </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70"/>
        <w:ind w:firstLine="468"/>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70"/>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70"/>
        <w:ind w:firstLine="60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0"/>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70"/>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64" w:name="_Toc120614220"/>
      <w:r/>
      <w:bookmarkStart w:id="165" w:name="_Toc513029236"/>
      <w:r/>
      <w:bookmarkStart w:id="166" w:name="_Toc20823308"/>
      <w:r/>
      <w:bookmarkStart w:id="167" w:name="_Toc16938552"/>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70"/>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68" w:name="_Toc20823309"/>
      <w:r/>
      <w:bookmarkStart w:id="169" w:name="_Toc513029237"/>
      <w:r/>
      <w:bookmarkStart w:id="170" w:name="_Toc16938553"/>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70"/>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70"/>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70"/>
        <w:ind w:firstLine="60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70"/>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0"/>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70"/>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70"/>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left"/>
        <w:keepLines w:val="0"/>
        <w:keepNext w:val="0"/>
        <w:pageBreakBefore w:val="0"/>
        <w:spacing w:line="360" w:lineRule="auto"/>
        <w:widowControl w:val="off"/>
        <w:rPr>
          <w:rFonts w:hint="eastAsia" w:ascii="黑体" w:hAnsi="宋体" w:eastAsia="黑体" w:cs="黑体"/>
          <w:b/>
          <w:color w:val="000000"/>
          <w:sz w:val="36"/>
          <w:szCs w:val="36"/>
          <w:highlight w:val="none"/>
          <w:lang w:val="en-US" w:eastAsia="zh-CN" w:bidi="ar-SA"/>
        </w:rPr>
      </w:pPr>
      <w:r>
        <w:rPr>
          <w:rFonts w:hint="eastAsia" w:ascii="黑体" w:hAnsi="宋体" w:eastAsia="黑体" w:cs="黑体"/>
          <w:b/>
          <w:color w:val="000000"/>
          <w:sz w:val="36"/>
          <w:szCs w:val="36"/>
          <w:highlight w:val="none"/>
          <w:lang w:val="en-US" w:eastAsia="zh-CN" w:bidi="ar-SA"/>
        </w:rPr>
      </w:r>
      <w:r/>
    </w:p>
    <w:p>
      <w:pPr>
        <w:jc w:val="center"/>
        <w:keepLines w:val="0"/>
        <w:keepNext w:val="0"/>
        <w:pageBreakBefore w:val="0"/>
        <w:spacing w:line="360" w:lineRule="auto"/>
        <w:widowControl w:val="off"/>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36"/>
          <w:szCs w:val="36"/>
          <w:highlight w:val="none"/>
          <w:lang w:val="en-US" w:eastAsia="zh-CN" w:bidi="ar-SA"/>
        </w:rPr>
        <w:t xml:space="preserve">第三章  合同文本</w:t>
      </w:r>
      <w:r/>
    </w:p>
    <w:p>
      <w:pPr>
        <w:pStyle w:val="870"/>
        <w:ind w:firstLine="480"/>
        <w:jc w:val="both"/>
        <w:keepLines w:val="0"/>
        <w:keepNext w:val="0"/>
        <w:pageBreakBefore w:val="0"/>
        <w:spacing w:beforeAutospacing="0" w:afterAutospacing="0" w:line="360" w:lineRule="auto"/>
        <w:widowControl w:val="off"/>
        <w:rPr>
          <w:sz w:val="24"/>
          <w:szCs w:val="24"/>
          <w:highlight w:val="none"/>
        </w:rPr>
      </w:pPr>
      <w:r/>
      <w:bookmarkStart w:id="171" w:name="_Toc513029243"/>
      <w:r/>
      <w:bookmarkStart w:id="172" w:name="_Toc20823315"/>
      <w:r/>
      <w:bookmarkStart w:id="173"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70"/>
        <w:jc w:val="center"/>
        <w:keepLines w:val="0"/>
        <w:keepNext w:val="0"/>
        <w:pageBreakBefore w:val="0"/>
        <w:spacing w:before="145" w:beforeAutospacing="0" w:after="145" w:afterAutospacing="0" w:line="360" w:lineRule="auto"/>
        <w:widowControl w:val="off"/>
        <w:rPr>
          <w:sz w:val="24"/>
          <w:szCs w:val="24"/>
          <w:highlight w:val="none"/>
        </w:rPr>
      </w:pPr>
      <w:r>
        <w:rPr>
          <w:sz w:val="24"/>
          <w:szCs w:val="24"/>
          <w:highlight w:val="none"/>
        </w:rPr>
        <w:t xml:space="preserve"> </w:t>
      </w:r>
      <w:r/>
    </w:p>
    <w:p>
      <w:pPr>
        <w:pStyle w:val="870"/>
        <w:jc w:val="center"/>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bookmarkStart w:id="174" w:name="_Toc479757211"/>
      <w:r/>
      <w:bookmarkStart w:id="175" w:name="_Toc120614244"/>
      <w:r/>
      <w:bookmarkStart w:id="176" w:name="_Toc20823346"/>
      <w:r/>
      <w:bookmarkStart w:id="177" w:name="_Toc462564139"/>
      <w:r/>
      <w:bookmarkStart w:id="178" w:name="_Toc16938590"/>
      <w:r/>
      <w:bookmarkStart w:id="179" w:name="_Hlt16619350"/>
      <w:r/>
      <w:bookmarkStart w:id="180" w:name="_Hlt16619369"/>
      <w:r>
        <w:rPr>
          <w:rFonts w:hint="eastAsia" w:ascii="宋体" w:hAnsi="宋体" w:eastAsia="宋体" w:cs="宋体"/>
          <w:color w:val="auto"/>
          <w:sz w:val="24"/>
          <w:szCs w:val="24"/>
          <w:highlight w:val="none"/>
        </w:rPr>
        <w:t xml:space="preserve">甲方（采购方）：</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乙方（供应方）：</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江苏滨海经济开发区沿海工业园管理委员会</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JSZC-320922-YTGC-G2026-0026</w:t>
      </w:r>
      <w:r>
        <w:rPr>
          <w:rFonts w:hint="eastAsia" w:ascii="宋体" w:hAnsi="宋体" w:eastAsia="宋体" w:cs="宋体"/>
          <w:color w:val="auto"/>
          <w:sz w:val="24"/>
          <w:szCs w:val="24"/>
          <w:highlight w:val="none"/>
        </w:rPr>
        <w:t xml:space="preserve">）的招标文件及该文件的投标文件和中标通知书，甲乙双方就甲方聘用乙方从事</w:t>
      </w:r>
      <w:r>
        <w:rPr>
          <w:rFonts w:hint="eastAsia" w:ascii="宋体" w:hAnsi="宋体" w:eastAsia="宋体" w:cs="宋体"/>
          <w:color w:val="auto"/>
          <w:sz w:val="24"/>
          <w:szCs w:val="24"/>
          <w:highlight w:val="none"/>
          <w:u w:val="single"/>
        </w:rPr>
        <w:t xml:space="preserve">江苏滨海经济开发区沿海工业园地下水污染风险管控项目</w:t>
      </w:r>
      <w:r>
        <w:rPr>
          <w:rFonts w:hint="eastAsia" w:ascii="宋体" w:hAnsi="宋体" w:eastAsia="宋体" w:cs="宋体"/>
          <w:color w:val="auto"/>
          <w:sz w:val="24"/>
          <w:szCs w:val="24"/>
          <w:highlight w:val="none"/>
        </w:rPr>
        <w:t xml:space="preserve">，依据《中华人民共和国民法典》和其他有关法规，为明确甲方和乙方服务过程中的权利、义务和经济责任，经双方友好协商，签订以下条款，以兹共同遵守。</w:t>
      </w:r>
      <w:r/>
    </w:p>
    <w:p>
      <w:pPr>
        <w:numPr>
          <w:ilvl w:val="0"/>
          <w:numId w:val="2"/>
        </w:num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定义</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1.风险管控方案：项目招标前，由业主委托的咨询单位编制的《江苏滨海经济开发区沿海工业园地下水污染风险管控方案》。</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2.总体竣工验收：指乙方完成项目合同约定内的全部风险管控服务后，由甲方组织对服务完成情况进行的验收工作。</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3.效果评估：通过资料回顾与现场踏勘、布点采样与实验室检测，综合评估园区地下水风险管控是否达到风险管控方案提出的目标。</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4.风险管控服务期：指乙方根据项目招标文件、合同和风险管控方案开展风险管控服务工作的周期。</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5.效果评估监测期：风险管控服务竣工后，根据《污染地块风险管控与土壤修复效果评估技术导则》（HJ25.5）,由效果评估单位开展监测的周期，原则上不少于4个批次，每季度采集一次。</w:t>
      </w:r>
      <w:r/>
    </w:p>
    <w:p>
      <w:pPr>
        <w:numPr>
          <w:ilvl w:val="0"/>
          <w:numId w:val="2"/>
        </w:num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合同的标的物</w:t>
      </w:r>
      <w:r/>
    </w:p>
    <w:p>
      <w:p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1.采购的服务内容概述：</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根据《江苏滨海经济开发区沿海工业园地下水污染风险管控方案》对本地块开展风险管控服务。主要包括以下内容：</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（1）结合前期已有调查报告、风险评估报告、运移模拟报告和管控方案等基础资料，编制总体服务方案（施工组织设计方案）。</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技术导则和风险管控方案要求，编制A区（公共区域中土水超标10倍及园区边界处超标但风险可接受区域）地下水监测方案；对A区已有40口地下水监测井及井台保护设施进行日常维护，若损坏及时新建；根据监测方案进行样品采样，不少于一年两次，两次间隔时间大于2个月；对采样数据进行分析，编制年度监测报告提交建设单位审核。本项工作服务期为2026年和2027年。</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（3）根据技术导则和风险管控方案要求，对B区（土水风险不可接受区域）人体健康风险不可接受的8个土壤点位进行治理或管控。其中，针对有机污染土壤（治理方量约7318.9m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）采用原位化学氧化技术进行治理，针对重金属污染土壤（治理方量约12133.78m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），采用原位固化稳定化技术进行风险管控。对B区人体健康风险不可接受的5个潜水点位（潜水治理方量约6022.64m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）采用地下水抽出-处理（辅以微生物或化学氧化措施）技术进行治理，确保</w:t>
      </w:r>
      <w:bookmarkStart w:id="181" w:name="OLE_LINK10"/>
      <w:r>
        <w:rPr>
          <w:rFonts w:hint="eastAsia" w:ascii="宋体" w:hAnsi="宋体" w:eastAsia="宋体" w:cs="宋体"/>
          <w:color w:val="auto"/>
          <w:sz w:val="24"/>
          <w:szCs w:val="24"/>
          <w:highlight w:val="none"/>
        </w:rPr>
        <w:t xml:space="preserve">达到风险管控方案制定的相关目标。</w:t>
      </w:r>
      <w:bookmarkEnd w:id="181"/>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（4）根据技术导则和风险管控方案要求，对C区（存在潜在迁移扩散风险的区域），潜水治理方量约124995.45m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，采用地下水抽出-处理（辅以微生物或化学氧化措施）技术进行削源和管控，确保达到风险管控方案制定的相关目标。</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2.服务地点：</w:t>
      </w:r>
      <w:r>
        <w:rPr>
          <w:rFonts w:hint="eastAsia" w:ascii="宋体" w:hAnsi="宋体" w:eastAsia="宋体" w:cs="宋体"/>
          <w:color w:val="auto"/>
          <w:sz w:val="24"/>
          <w:szCs w:val="24"/>
          <w:highlight w:val="none"/>
        </w:rPr>
        <w:t xml:space="preserve">江苏滨海经济开发区沿海工业园。</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3.服务限期：</w:t>
      </w:r>
      <w:bookmarkStart w:id="182" w:name="OLE_LINK6"/>
      <w:r>
        <w:rPr>
          <w:rFonts w:hint="eastAsia" w:ascii="宋体" w:hAnsi="宋体" w:eastAsia="宋体" w:cs="宋体"/>
          <w:color w:val="auto"/>
          <w:sz w:val="24"/>
          <w:szCs w:val="24"/>
          <w:highlight w:val="none"/>
        </w:rPr>
        <w:t xml:space="preserve">自合同签订之日起至2027年12月31日前完成全部服务工作（不含地下水治理效果评估期）。</w:t>
      </w:r>
      <w:bookmarkEnd w:id="182"/>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4.验收标准</w:t>
      </w:r>
      <w:r>
        <w:rPr>
          <w:rFonts w:hint="eastAsia" w:ascii="宋体" w:hAnsi="宋体" w:eastAsia="宋体" w:cs="宋体"/>
          <w:color w:val="auto"/>
          <w:sz w:val="24"/>
          <w:szCs w:val="24"/>
          <w:highlight w:val="none"/>
        </w:rPr>
        <w:t xml:space="preserve">：通过甲方委托的第三方组织的履约验收或效果评估。</w:t>
      </w:r>
      <w:r/>
    </w:p>
    <w:p>
      <w:pPr>
        <w:numPr>
          <w:ilvl w:val="0"/>
          <w:numId w:val="2"/>
        </w:num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合同金额</w:t>
      </w:r>
      <w:r/>
    </w:p>
    <w:p>
      <w:pPr>
        <w:numPr>
          <w:ilvl w:val="0"/>
          <w:numId w:val="3"/>
        </w:num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本项目合同金额为人民币 </w:t>
      </w:r>
      <w:r>
        <w:rPr>
          <w:rFonts w:hint="eastAsia" w:ascii="宋体" w:hAnsi="宋体" w:eastAsia="宋体" w:cs="宋体"/>
          <w:color w:val="auto"/>
          <w:sz w:val="24"/>
          <w:szCs w:val="24"/>
          <w:highlight w:val="none"/>
          <w:u w:val="single"/>
        </w:rPr>
        <w:t xml:space="preserve">大写         小写：（￥          .00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含税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p>
    <w:p>
      <w:pPr>
        <w:numPr>
          <w:ilvl w:val="0"/>
          <w:numId w:val="3"/>
        </w:num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本项目合同价格形式：</w:t>
      </w:r>
      <w:r>
        <w:rPr>
          <w:rFonts w:hint="eastAsia" w:ascii="宋体" w:hAnsi="宋体" w:eastAsia="宋体" w:cs="宋体"/>
          <w:color w:val="auto"/>
          <w:sz w:val="24"/>
          <w:szCs w:val="24"/>
          <w:highlight w:val="none"/>
          <w:u w:val="single"/>
          <w:lang w:val="en-US" w:eastAsia="zh-CN"/>
        </w:rPr>
        <w:t xml:space="preserve"> 固定总价合同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该合同价包含了为完成</w:t>
      </w:r>
      <w:r>
        <w:rPr>
          <w:rFonts w:hint="eastAsia" w:ascii="宋体" w:hAnsi="宋体" w:eastAsia="宋体" w:cs="宋体"/>
          <w:color w:val="auto"/>
          <w:sz w:val="24"/>
          <w:szCs w:val="24"/>
          <w:highlight w:val="none"/>
          <w:u w:val="single"/>
        </w:rPr>
        <w:t xml:space="preserve">风险管控方案</w:t>
      </w:r>
      <w:r>
        <w:rPr>
          <w:rFonts w:hint="eastAsia" w:ascii="宋体" w:hAnsi="宋体" w:eastAsia="宋体" w:cs="宋体"/>
          <w:color w:val="auto"/>
          <w:sz w:val="24"/>
          <w:szCs w:val="24"/>
          <w:highlight w:val="none"/>
          <w:u w:val="single"/>
        </w:rPr>
        <w:t xml:space="preserve">内以及本合同和招标文件约定的</w:t>
      </w:r>
      <w:r>
        <w:rPr>
          <w:rFonts w:hint="eastAsia" w:ascii="宋体" w:hAnsi="宋体" w:eastAsia="宋体" w:cs="宋体"/>
          <w:color w:val="auto"/>
          <w:sz w:val="24"/>
          <w:szCs w:val="24"/>
          <w:highlight w:val="none"/>
        </w:rPr>
        <w:t xml:space="preserve">工作内容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以通过第三方效果评估作为政府采购履约验收通过的标准，以通过第三方效果评估即视为本次采购内容全部完成并实现政府采购目的</w:t>
      </w:r>
      <w:r>
        <w:rPr>
          <w:rFonts w:hint="eastAsia" w:ascii="宋体" w:hAnsi="宋体" w:eastAsia="宋体" w:cs="宋体"/>
          <w:color w:val="auto"/>
          <w:sz w:val="24"/>
          <w:szCs w:val="24"/>
          <w:highlight w:val="none"/>
        </w:rPr>
        <w:t xml:space="preserve">。</w:t>
      </w:r>
      <w:r/>
    </w:p>
    <w:p>
      <w:pPr>
        <w:numPr>
          <w:ilvl w:val="0"/>
          <w:numId w:val="2"/>
        </w:num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合同价格支付：</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预付款：</w:t>
      </w:r>
      <w:r>
        <w:rPr>
          <w:rFonts w:hint="eastAsia" w:ascii="宋体" w:hAnsi="宋体" w:eastAsia="宋体" w:cs="宋体"/>
          <w:color w:val="auto"/>
          <w:sz w:val="24"/>
          <w:szCs w:val="24"/>
          <w:highlight w:val="none"/>
        </w:rPr>
        <w:t xml:space="preserve">合同签订后支付合同额的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%作为项目预付款（中标人向招标人提供等额预付款保函）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预付款部分在首次支付时予以抵扣，同时退还预付款保函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B区（土水风险不可接受区域）现场服务工作全部完成（经效果评估单位阶段性验收）后支付至合同额的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C区（存在潜在迁移扩散风险的区域）地下水抽出量达到设计量的50%（经监理单位确认）时支付至合同额的70%；</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现场全部服务工作完成时支付至合同额的90%；</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项目通过采购人组织的履约验收或效果评估后</w:t>
      </w:r>
      <w:r>
        <w:rPr>
          <w:rFonts w:hint="eastAsia" w:ascii="宋体" w:hAnsi="宋体" w:eastAsia="宋体" w:cs="宋体"/>
          <w:color w:val="auto"/>
          <w:sz w:val="24"/>
          <w:szCs w:val="24"/>
          <w:highlight w:val="none"/>
          <w:lang w:val="en-US" w:eastAsia="zh-CN"/>
        </w:rPr>
        <w:t xml:space="preserve">支付至95%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审计完成后按审计结论</w:t>
      </w:r>
      <w:r>
        <w:rPr>
          <w:rFonts w:hint="eastAsia" w:ascii="宋体" w:hAnsi="宋体" w:eastAsia="宋体" w:cs="宋体"/>
          <w:color w:val="auto"/>
          <w:sz w:val="24"/>
          <w:szCs w:val="24"/>
          <w:highlight w:val="none"/>
        </w:rPr>
        <w:t xml:space="preserve">一次性付清余款。</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每次付款前，乙方向甲方提供付款金额的等额税务发票</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B区现场服务工作全部完成是指乙方完成B区土壤及地下水治理及管控相关服务工作，经自检合格后向甲方和效果评估单位提出阶段性验收申请，并由乙方提供相应的土壤自检合格报告和地下水自检报告，效果评估单位提供相应的土壤阶段性检测报告和地下水检测报告，且自检和阶段性验收均达到风险管控方案制定的相关目标。</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（2）C区地下水抽出量达到设计量的50%是指经监理单位确认，现场C区抽提水量达到或超过62498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（3）现场全部服务工作完成是指现场服务全部完成且自检通过后，向甲方和效果评估单位提出效果评估申请，并由乙方提供全部的自检合格报告，甲方和监理方确认无误后，视为场全部服务工作完成。</w:t>
      </w:r>
      <w:r/>
    </w:p>
    <w:p>
      <w:pPr>
        <w:pStyle w:val="870"/>
        <w:ind w:left="426" w:firstLine="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、履约保证金</w:t>
      </w:r>
      <w:r/>
    </w:p>
    <w:p>
      <w:pPr>
        <w:pStyle w:val="870"/>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.1乙方</w:t>
      </w:r>
      <w:r>
        <w:rPr>
          <w:rFonts w:hint="eastAsia" w:ascii="宋体" w:hAnsi="宋体" w:eastAsia="宋体" w:cs="宋体"/>
          <w:color w:val="000000"/>
          <w:sz w:val="24"/>
          <w:szCs w:val="24"/>
          <w:highlight w:val="none"/>
          <w:lang w:val="en-US" w:eastAsia="zh-CN"/>
        </w:rPr>
        <w:t xml:space="preserve">合同金额的</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rPr>
        <w:t xml:space="preserve">作为本合同的履约保证金。</w:t>
      </w:r>
      <w:r/>
    </w:p>
    <w:p>
      <w:pPr>
        <w:pStyle w:val="870"/>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87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7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7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 如以履约保函（保险）形式缴纳履约保证金，供应商可通过政府采购电子履约保函（保险）平台（www.jsdzbh.com）在线申请履约保函（保险）。</w:t>
      </w:r>
      <w:r/>
    </w:p>
    <w:p>
      <w:pPr>
        <w:pStyle w:val="870"/>
        <w:ind w:left="428" w:firstLine="14"/>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工期</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1.开工日期为  年  月  日。因甲方原因未按计划开工日期开工的、因甲方原因或不可抗力等导致工期延误需要修订施工进度计划的，甲方应给予乙方修改施工进度计划的时间。</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2.在确保项目工程质量的前提下，乙方须在2027年12月31日前完成项目竣工验收，同时配合第三方效果评估单位在2028年12月31日前完成项目效果评估验收工作。若开工时间顺延则上述日期相应顺延。</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工程师及现场其他管理人员</w:t>
      </w:r>
      <w:r/>
    </w:p>
    <w:p>
      <w:p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1.甲方及监理单位项目负责人</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（1）甲方派驻的项目负责人</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甲方委派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为驻工地代表，按照以下要求，行使职权：</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代表甲方行使本合同约定的甲方权利以及监理人需要取得甲方批准的权利；对工程质量、进度、成本、安全及文明施工进行监督，工程存在质量问题或安全问题或施工进度不符合要求的，现场代表有权要求施工单位采取整改措施；</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b．甲方代表可委派有关具体管理人员，承担自己部分权力和职责，并可在任何时候撤回并重新委派，委派和撤回均应提前3个工作日通知乙方；</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甲方代表的指令、通知及签证须由其本人签字并加盖甲方印章（仅有本人签字未有印章的，甲方追认，则对甲方有效，甲方不予追认的，对甲方不具有效力），以书面形式交给乙方现场代表（或合同约定签收人），乙方代表在回执上签署姓名和收到时间。当乙方代表不在施工现场时，甲方可要求属于乙方其它管理人员代签，签字后即可视为乙方代表已签收。</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（2）监理单位委派的项目负责人（若有）</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1）负责本项目的环境监理单位及任命的环境监理师</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环境监理单位：</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任命为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总环境监理师，联络通讯地址与方式如下：</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职权范围：</w:t>
      </w:r>
      <w:r>
        <w:rPr>
          <w:rFonts w:hint="eastAsia" w:ascii="宋体" w:hAnsi="宋体" w:eastAsia="宋体" w:cs="宋体"/>
          <w:color w:val="auto"/>
          <w:sz w:val="24"/>
          <w:szCs w:val="24"/>
          <w:highlight w:val="none"/>
          <w:u w:val="single"/>
        </w:rPr>
        <w:t xml:space="preserve">风险管控服务项目质量控制和监督，现场施工管理监督与检查；二次污染防控；工程款支付前的审查。</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2）负责本项目的工程监理单位及任命的工程监理师</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工程监理单位：</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任命为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总工程监理师，联络通讯地址与方式如下：</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职权范围：</w:t>
      </w:r>
      <w:r>
        <w:rPr>
          <w:rFonts w:hint="eastAsia" w:ascii="宋体" w:hAnsi="宋体" w:eastAsia="宋体" w:cs="宋体"/>
          <w:color w:val="auto"/>
          <w:sz w:val="24"/>
          <w:szCs w:val="24"/>
          <w:highlight w:val="none"/>
          <w:u w:val="single"/>
        </w:rPr>
        <w:t xml:space="preserve">工程进度、安全控制和监督，现场施工管理监督与检查；工程款支付前的审查。</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环境监理及工程监理需要取得甲方批准才能行使的职权：</w:t>
      </w:r>
      <w:r>
        <w:rPr>
          <w:rFonts w:hint="eastAsia" w:ascii="宋体" w:hAnsi="宋体" w:eastAsia="宋体" w:cs="宋体"/>
          <w:color w:val="auto"/>
          <w:sz w:val="24"/>
          <w:szCs w:val="24"/>
          <w:highlight w:val="none"/>
          <w:u w:val="single"/>
        </w:rPr>
        <w:t xml:space="preserve">涉及设计变更、工期顺延、材料价格、停/复工令、工程索赔等可能影响工程价款或工期的签证需经甲方签证同意后，签证才有效。</w:t>
      </w:r>
      <w:r/>
    </w:p>
    <w:p>
      <w:pPr>
        <w:ind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2.乙方项目负责人及其他负责人</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（1）乙方任命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为本项目负责人，任命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为技术负责人，未经甲方同意，乙方不得擅自更换上述人员，乙方擅自更换的，除按合同要求派驻人员外，每变更一人次还需按合同总价的5‰向甲方支付违约金。如确需变更人员的，乙方须提前10个工作日提出书面申请，经甲方同意后变更。</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（2）乙方派驻施工现场人员有下列情形之一的，甲方有权提出更换，乙方须在甲方提出要求后24小时内用资格和经验可为甲方接受的人员代替，由此发生的一切费用由乙方承担：</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a.现场人员不胜任岗位的；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b.不能积极配合监理人员及甲方的；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c.违反甲方工地现场管理规定的；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d.无证上岗的（适用于按规定必须有上岗证）；</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e.与本合同规定人员名称不符的；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f.与本工程施工无关的人员。</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（3）乙方现场施工项目部人员到岗率须达到85%以上，其中项目负责人、安全专职人员到岗率须达到100 %。</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（4）项目负责人、技术负责人、安全专职人员必须参加每次工程例会，因故不能到工地或不能参加例会，应提前24小时向甲方请假并在获得批准后方可缺席。</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（5）乙方委派的上述人员均为乙方代表，按以下要求行使合同约定的权力，履行合同约定的职责：</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a．按经批准的风险管控方案、总体服务方案、监测方案等组织服务工作，对工程质量、安全、进度负责；</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b．乙方的要求、请求和通知，以书面形式由项目负责人或驻施工现场代表签字加盖公章后送交甲方代表，甲方在回执上签署姓名和收到时间。</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甲方权利与义务</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甲方应按约定的时间和要求完成以下工作：</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1.甲方协助乙方为顺利完整项目提供必要的支持，包括但不限于：提供场地及周边环境基本情况，召集相关单位就施工现场的接水、接电、市政排水等相关协调工作，帮助乙方协调施工期间周边单位及居民关系。</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2.甲方按合同约定及时支付乙方费用。</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3.负责组织验收工作，及时与上级管理部门、审批部门沟通协调。</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4.如实施中涉及到地下管线、河堤驳岸等障碍物，负责到有关部门办理相关审批手续。</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5.负责办理现场技术变更。</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九、</w:t>
      </w:r>
      <w:r>
        <w:rPr>
          <w:rFonts w:hint="eastAsia" w:ascii="宋体" w:hAnsi="宋体" w:eastAsia="宋体" w:cs="宋体"/>
          <w:b/>
          <w:bCs/>
          <w:color w:val="auto"/>
          <w:sz w:val="24"/>
          <w:szCs w:val="24"/>
          <w:highlight w:val="none"/>
        </w:rPr>
        <w:t xml:space="preserve">乙方权利与义务</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1.负责平整施工场地等工作，使施工场地具备施工条件。</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2.根据前期技术成果，编制详尽的总体服务方案(含安全措施、环保措施)，组织专家评审通过后，报环境监理、工程监理审批。</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3.按合同工期要求编制详细的总进度计划和月度进度计划。</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4.施工期间应严格按照招标文件、投标文件及（经批准的）风险管控方案、总体服务方案要求进行。如有保护不周而至毁坏、死亡者，乙方依法定规定进行补偿或赔偿。</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5.施工场地保持场内、场外、交通进出口的安全和清洁卫生。协助甲方以及管理部门落实施工期间相关外来检查及接待布置。</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6.施工期间保证场内相邻道路的畅通，安全防护减少噪音干扰和灰尘处理。</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负责施工现场安全防护和应急措施并承担项目实施期间的全部风险和责任，严格遵守相关安全管理规定，落实安全措施，防止造成二次污染和扰民事件的发生，妥善处理好与项目所在地周围人民群众的关系，做好周边群众舆情管理。</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8.乙方承包的工程完工交付甲方之前，乙方应做好已完工程保护工作，甲方对已完工程保护有特殊要求的，应按甲方要求采取相应保护措施。</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9.乙方没有按合同要求完成工作，造成工期延误的，责任由乙方负责。</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10.乙方需全力协助和配合相关单位对本项目开展中央相关污染防治资金和江苏省生态环境保护专项资金等申报工作，该义务为乙方履行本合同的附随义务，并不额外收取相关费用。</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rPr>
        <w:t xml:space="preserve">工程质量</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对工程质量有争议，双方同意提交有资质的检测机构鉴定，所需费用及因此造成的损失，由责任方承担，双方都有责任由双方根据责任分别承担。双方对工程质量有争议，选择检测机构达不成一致意见的，甲方有单方选择有资质的检测机构的权利，检测结果对乙方有约束力。</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需验收而未验收就进入下一道工序的，承包方每次需向发包方支付违约金壹万元，未验收影响项目施工质量的，甲方有权要求进行补充验收，因补充验收导致已完成项目需重做或发生局部破坏的，相关损失和风险由乙方承担。</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十一、</w:t>
      </w:r>
      <w:r>
        <w:rPr>
          <w:rFonts w:hint="eastAsia" w:ascii="宋体" w:hAnsi="宋体" w:eastAsia="宋体" w:cs="宋体"/>
          <w:b/>
          <w:bCs/>
          <w:color w:val="auto"/>
          <w:sz w:val="24"/>
          <w:szCs w:val="24"/>
          <w:highlight w:val="none"/>
        </w:rPr>
        <w:t xml:space="preserve">安全施工</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1.乙方由于违反安全操作规范，被政府有关部门处罚，如通报批评、警告和罚款等，乙方承担一切责任。</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2.施工期间发生安全事故，导致人员伤亡或财产损失的，乙方承担一切责任。</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3.甲方、监理工程师（若有）有权对乙方的安全施工状况进行检查，发现有违反安全施工情况的，有权提出整改要求，乙方须按要求进行整改，并出具书面整改报告。</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4.乙方必须严格做好对周边环境的保护工作，管控方案及总体服务方案中对环境保护提出要求及标准，施工前乙方需向甲方提交环境保护、安全防护措施，经甲方认可后方可施工。</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5.乙方应配备专职安全员，全面负责施工现场的安全施工。投标文件拟派本项目人员配备情况中应包含安全员。</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十二、</w:t>
      </w:r>
      <w:r>
        <w:rPr>
          <w:rFonts w:hint="eastAsia" w:ascii="宋体" w:hAnsi="宋体" w:eastAsia="宋体" w:cs="宋体"/>
          <w:b/>
          <w:bCs/>
          <w:color w:val="auto"/>
          <w:sz w:val="24"/>
          <w:szCs w:val="24"/>
          <w:highlight w:val="none"/>
        </w:rPr>
        <w:t xml:space="preserve">关于变更估价的约定</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2.国家的法律、法规、规章和政策发生变化影响工程造价的，应按省级或行业建设部门或其授权的工程造价管理机构发布的文件调整合同价款。</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3.有两项以上施工内容组成的清单项目，当其中的部分项出现变更时，仅调整变更项的单价，其余不变。</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分部分项工程量清单漏项或非承包人原因的工程变更，造成总体服务方案变更，引起措施项目发生变化时，措施项目费应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代建人）确认后调整。</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5.材料、机械等要素的市场价格波动产生的差价按工程造价政策文件调整。</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已标价工程量清单中有适用于变更工作的子目，采用该子目的单价计算变更费用；无适用于变更工作的子目，但有类似子目，可参照类似子目的单价；已标价工程量清单中无适用或类似子目的单价，重新组价，按投标下浮率下浮。</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十三、</w:t>
      </w:r>
      <w:r>
        <w:rPr>
          <w:rFonts w:hint="eastAsia" w:ascii="宋体" w:hAnsi="宋体" w:eastAsia="宋体" w:cs="宋体"/>
          <w:b/>
          <w:bCs/>
          <w:color w:val="auto"/>
          <w:sz w:val="24"/>
          <w:szCs w:val="24"/>
          <w:highlight w:val="none"/>
        </w:rPr>
        <w:t xml:space="preserve">施工竣工验收</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1.乙方完成承包范围内的全部服务后，向甲方提交项目总体验收报告，同时根据甲方档案管理规定及备案要求，提交完整的竣工验收资料4套，甲方组织乙方、监理单位、效果评估单位进行竣工验收。</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收到乙方提交的竣工验收申请报告及完整的验收资料后20天内组织验收，若项目验收时，竣工验收资料尚不完整，或不完全符合主管部门要求的导致项目无法通过验收的，一切责任由乙方承担且甲方有权暂不予支付约定的款项，并不视为甲方违约；如不影响项目验收，项目验收通过后，乙方仍应按要求提交完整的符合要求的全套资料。</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3.竣工验收通过的，以实际通过验收之日为实际竣工日期，项目经整改后验收通过的，以整改后通过验收之日为工程实际竣工日期。</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十四、</w:t>
      </w:r>
      <w:r>
        <w:rPr>
          <w:rFonts w:hint="eastAsia" w:ascii="宋体" w:hAnsi="宋体" w:eastAsia="宋体" w:cs="宋体"/>
          <w:b/>
          <w:bCs/>
          <w:color w:val="auto"/>
          <w:sz w:val="24"/>
          <w:szCs w:val="24"/>
          <w:highlight w:val="none"/>
        </w:rPr>
        <w:t xml:space="preserve">风险管控效果评估</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乙方完成承包范围内的全部风险管控服务后，向甲方提交工程竣工验收报告，同时提交完整的竣工验收资料4套，由甲方委托独立第三方进行效果评估，乙方、环境监理等相关单位协助效果评估。</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十五、</w:t>
      </w:r>
      <w:r>
        <w:rPr>
          <w:rFonts w:hint="eastAsia" w:ascii="宋体" w:hAnsi="宋体" w:eastAsia="宋体" w:cs="宋体"/>
          <w:b/>
          <w:bCs/>
          <w:color w:val="auto"/>
          <w:sz w:val="24"/>
          <w:szCs w:val="24"/>
          <w:highlight w:val="none"/>
        </w:rPr>
        <w:t xml:space="preserve">管控工作工程量统计</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管控服务工作范围及工程量详见《江苏滨海经济开发区沿海工业园地下水污染风险管控方案》范围内工作内容及工程量。</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十六、</w:t>
      </w:r>
      <w:r>
        <w:rPr>
          <w:rFonts w:hint="eastAsia" w:ascii="宋体" w:hAnsi="宋体" w:eastAsia="宋体" w:cs="宋体"/>
          <w:b/>
          <w:bCs/>
          <w:color w:val="auto"/>
          <w:sz w:val="24"/>
          <w:szCs w:val="24"/>
          <w:highlight w:val="none"/>
        </w:rPr>
        <w:t xml:space="preserve">违约责任</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1.乙方如将本项目转包的，甲方有权立即终止合同并追究乙方违约责任，乙方需按合同金额的20%赔偿甲方违约金。因乙方转包导致甲方损失的，乙方还应赔偿甲方损失。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2.如乙方在履行合同过程中发生重大安全作业事故、媒体曝光、拖欠员工工资等违规现象之一的，甲方有权即行中止合同，乙方必须无条件配合。</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3.甲方未按约支付应付进度款超过60日的，自第61日开始，每逾期一日，甲方按应付未付进度款的 </w:t>
      </w:r>
      <w:r>
        <w:rPr>
          <w:rFonts w:hint="eastAsia" w:ascii="宋体" w:hAnsi="宋体" w:eastAsia="宋体" w:cs="宋体"/>
          <w:color w:val="auto"/>
          <w:sz w:val="24"/>
          <w:szCs w:val="24"/>
          <w:highlight w:val="none"/>
          <w:u w:val="single"/>
        </w:rPr>
        <w:t xml:space="preserve"> 万分之三  </w:t>
      </w:r>
      <w:r>
        <w:rPr>
          <w:rFonts w:hint="eastAsia" w:ascii="宋体" w:hAnsi="宋体" w:eastAsia="宋体" w:cs="宋体"/>
          <w:color w:val="auto"/>
          <w:sz w:val="24"/>
          <w:szCs w:val="24"/>
          <w:highlight w:val="none"/>
        </w:rPr>
        <w:t xml:space="preserve">向乙方支付违约金，但乙方不得以甲方拖欠进度款为由暂停施工或延缓施工进度（项目进度）。</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4.项目未在合同约定工期（含节点工期）或签证顺延工期内完工的，乙方按下列标准支付违约金：逾期竣工</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天以内（含30天）的，每逾期一日，乙方按项目总造价的</w:t>
      </w:r>
      <w:r>
        <w:rPr>
          <w:rFonts w:hint="eastAsia" w:ascii="宋体" w:hAnsi="宋体" w:eastAsia="宋体" w:cs="宋体"/>
          <w:color w:val="auto"/>
          <w:sz w:val="24"/>
          <w:szCs w:val="24"/>
          <w:highlight w:val="none"/>
          <w:u w:val="single"/>
        </w:rPr>
        <w:t xml:space="preserve">万分之五 </w:t>
      </w:r>
      <w:r>
        <w:rPr>
          <w:rFonts w:hint="eastAsia" w:ascii="宋体" w:hAnsi="宋体" w:eastAsia="宋体" w:cs="宋体"/>
          <w:color w:val="auto"/>
          <w:sz w:val="24"/>
          <w:szCs w:val="24"/>
          <w:highlight w:val="none"/>
        </w:rPr>
        <w:t xml:space="preserve">向甲方支付违约金；逾期完工</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天以上的，每逾期一日，乙方按项目总造价的</w:t>
      </w:r>
      <w:r>
        <w:rPr>
          <w:rFonts w:hint="eastAsia" w:ascii="宋体" w:hAnsi="宋体" w:eastAsia="宋体" w:cs="宋体"/>
          <w:color w:val="auto"/>
          <w:sz w:val="24"/>
          <w:szCs w:val="24"/>
          <w:highlight w:val="none"/>
          <w:u w:val="single"/>
        </w:rPr>
        <w:t xml:space="preserve">万分之十 </w:t>
      </w:r>
      <w:r>
        <w:rPr>
          <w:rFonts w:hint="eastAsia" w:ascii="宋体" w:hAnsi="宋体" w:eastAsia="宋体" w:cs="宋体"/>
          <w:color w:val="auto"/>
          <w:sz w:val="24"/>
          <w:szCs w:val="24"/>
          <w:highlight w:val="none"/>
        </w:rPr>
        <w:t xml:space="preserve">向甲方支付违约金，且甲方有权解除合同。</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5.乙方应妥善保护甲方提供的设备及现场堆放的工程成品（若有），如造成损失，赔偿损失。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6.施工中未经甲方同意或有关部门批准，乙方不得随意拆改原建筑物结构及各种设备管线，乙方擅自拆改原建筑物结构或设备管线，由此发生的损失或事故（包括罚款），由乙方负责并赔偿损失。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7.乙方依约应承担的违约金和损失，甲方有权在合同价款中直接扣除。</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8.乙方未通过风险管控项目竣工验收或效果评估，乙方应根据甲方要求限期整改，费用由乙方承担，并自乙方合同约定竣工日期次日起，每逾期一日，乙方按合同总造价的</w:t>
      </w:r>
      <w:r>
        <w:rPr>
          <w:rFonts w:hint="eastAsia" w:ascii="宋体" w:hAnsi="宋体" w:eastAsia="宋体" w:cs="宋体"/>
          <w:color w:val="auto"/>
          <w:sz w:val="24"/>
          <w:szCs w:val="24"/>
          <w:highlight w:val="none"/>
          <w:u w:val="single"/>
        </w:rPr>
        <w:t xml:space="preserve">万分之五 </w:t>
      </w:r>
      <w:r>
        <w:rPr>
          <w:rFonts w:hint="eastAsia" w:ascii="宋体" w:hAnsi="宋体" w:eastAsia="宋体" w:cs="宋体"/>
          <w:color w:val="auto"/>
          <w:sz w:val="24"/>
          <w:szCs w:val="24"/>
          <w:highlight w:val="none"/>
        </w:rPr>
        <w:t xml:space="preserve">向甲方支付违约金。若乙方未完成限期整改或未通过甲方组织的第二次验收，甲方有权解除合同，并拒绝支付剩余款项。</w:t>
      </w:r>
      <w:r/>
    </w:p>
    <w:p>
      <w:pPr>
        <w:ind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9.乙方全权负责完成本项目有关上级资金申报工作，直至资金落实。若上级资金最终未落实，甲方有权暂停支付合同款项或调整支付比例。</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十七、</w:t>
      </w:r>
      <w:r>
        <w:rPr>
          <w:rFonts w:hint="eastAsia" w:ascii="宋体" w:hAnsi="宋体" w:eastAsia="宋体" w:cs="宋体"/>
          <w:b/>
          <w:bCs/>
          <w:color w:val="auto"/>
          <w:sz w:val="24"/>
          <w:szCs w:val="24"/>
          <w:highlight w:val="none"/>
        </w:rPr>
        <w:t xml:space="preserve">不可抗力</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1.不可抗力是指合同当事人在签订合同时不可预见，在合同履行过程中不可避免且不能克服的自然灾害和社会性突发事件，如地震、海啸、瘟疫、骚乱、戒严、暴动、战争和国家或地方政府的政策</w:t>
      </w:r>
      <w:r>
        <w:rPr>
          <w:rFonts w:hint="eastAsia" w:ascii="宋体" w:hAnsi="宋体" w:eastAsia="宋体" w:cs="宋体"/>
          <w:color w:val="auto"/>
          <w:sz w:val="24"/>
          <w:szCs w:val="24"/>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2.不可抗力发生后，甲乙双方应收集证明不可抗力发生及不可抗力造成损失的证据，并及时认真统计所造成的损失。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3.不可抗力发生前已完成的工程应当按照本合同约定进行计量支付。</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4.不可抗力导致的人员伤亡、财产损失、费用增加和（或）工期延误等后果，由合同当事人按以下原则承担：</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（1）甲方和乙方承担各自人员伤亡和财产的损失；</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（2）因不可抗力影响乙方履行合同约定的义务，已经引起或将引起工期延误的，应当顺延工期，由此导致乙方停工的费用损失由甲方和乙方合理分担。</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（3）因不可抗力引起工期延误，甲方要求赶工的，由此增加的赶工费用由甲方承担；</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（4）乙方在停工期间按照甲方要求照管、清理和管控工程的费用由甲方承担。</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可抗力发生后，合同当事人均应采取措施尽量避免和减少损失的扩大，任何一方当事人没有采取有效措施导致损失扩大的，应对扩大的损失承担责任。因合同一方迟延履行合同义务，在迟延履行期间遭遇不可抗力的，不免除其违约责任。</w:t>
      </w:r>
      <w:r/>
    </w:p>
    <w:p>
      <w:pPr>
        <w:ind w:firstLine="42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6.因不可抗力导致合同无法履行累计超过30天的，甲方和乙方均有权解除合同。</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十八、</w:t>
      </w:r>
      <w:r>
        <w:rPr>
          <w:rFonts w:hint="eastAsia" w:ascii="宋体" w:hAnsi="宋体" w:eastAsia="宋体" w:cs="宋体"/>
          <w:b/>
          <w:bCs/>
          <w:color w:val="auto"/>
          <w:sz w:val="24"/>
          <w:szCs w:val="24"/>
          <w:highlight w:val="none"/>
        </w:rPr>
        <w:t xml:space="preserve">索赔</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1.甲方有权根据当地权威检测检验机构或其他有权部门出具的检验检测结果意见证书向乙方提出索赔。</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2.在本合同规定的检验期限内，如果乙方对甲方提出的索赔或差异有责任，则乙方应按甲方同意的方式解决索赔事宜。</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4.以上条款适用乙方对甲方的索赔程序及结果。</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十九、</w:t>
      </w:r>
      <w:r>
        <w:rPr>
          <w:rFonts w:hint="eastAsia" w:ascii="宋体" w:hAnsi="宋体" w:eastAsia="宋体" w:cs="宋体"/>
          <w:b/>
          <w:bCs/>
          <w:color w:val="auto"/>
          <w:sz w:val="24"/>
          <w:szCs w:val="24"/>
          <w:highlight w:val="none"/>
        </w:rPr>
        <w:t xml:space="preserve">合同的解除和转让</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2.合同的部分和全部都不得转让。</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二十、</w:t>
      </w:r>
      <w:r>
        <w:rPr>
          <w:rFonts w:hint="eastAsia" w:ascii="宋体" w:hAnsi="宋体" w:eastAsia="宋体" w:cs="宋体"/>
          <w:b/>
          <w:bCs/>
          <w:color w:val="auto"/>
          <w:sz w:val="24"/>
          <w:szCs w:val="24"/>
          <w:highlight w:val="none"/>
        </w:rPr>
        <w:t xml:space="preserve">合同效力</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本合同自双方签字并加盖公章后，合同正式生效，至第三方效果评估通过，双方的全部义务履行完毕后终止。</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二十一、</w:t>
      </w:r>
      <w:r>
        <w:rPr>
          <w:rFonts w:hint="eastAsia" w:ascii="宋体" w:hAnsi="宋体" w:eastAsia="宋体" w:cs="宋体"/>
          <w:b/>
          <w:bCs/>
          <w:color w:val="auto"/>
          <w:sz w:val="24"/>
          <w:szCs w:val="24"/>
          <w:highlight w:val="none"/>
        </w:rPr>
        <w:t xml:space="preserve">争议的解决</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在执行本合同过程中所发生的或与本合同有关的一切争端，甲、乙双方应通过友好协商的办法进行解决。如协商仍不能解决，则向甲方所在地人民法院起诉。</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二十二、</w:t>
      </w:r>
      <w:r>
        <w:rPr>
          <w:rFonts w:hint="eastAsia" w:ascii="宋体" w:hAnsi="宋体" w:eastAsia="宋体" w:cs="宋体"/>
          <w:b/>
          <w:bCs/>
          <w:color w:val="auto"/>
          <w:sz w:val="24"/>
          <w:szCs w:val="24"/>
          <w:highlight w:val="none"/>
        </w:rPr>
        <w:t xml:space="preserve">保密要求</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乙方对在工作过程中接触到的甲方的任何资料、文件、数据，以及对为甲方服务形成的任何交付物，负有为甲方保密的责任。未经甲方书面同意，乙方不得以任何方式向任何第三方提供或透露。</w:t>
      </w:r>
      <w:r/>
    </w:p>
    <w:p>
      <w:pPr>
        <w:numPr>
          <w:ilvl w:val="0"/>
          <w:numId w:val="0"/>
        </w:numPr>
        <w:ind w:firstLine="241"/>
        <w:keepLines w:val="0"/>
        <w:keepNext w:val="0"/>
        <w:pageBreakBefore w:val="0"/>
        <w:spacing w:after="0"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二十三、</w:t>
      </w:r>
      <w:r>
        <w:rPr>
          <w:rFonts w:hint="eastAsia" w:ascii="宋体" w:hAnsi="宋体" w:eastAsia="宋体" w:cs="宋体"/>
          <w:b/>
          <w:bCs/>
          <w:color w:val="auto"/>
          <w:sz w:val="24"/>
          <w:szCs w:val="24"/>
          <w:highlight w:val="none"/>
        </w:rPr>
        <w:t xml:space="preserve">附则</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1.合同双方可以就本合同主要内容以外的事项进行协商。</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2.本合同若有未尽事宜，双方可协商解决。</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3.合同份数：本合同一式柒份，甲乙双方各执叁份，代理机构执壹份。</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履行过程中产生的纪要、协议以及中标通知书、投标文件和招标文件为本合同的附件，与合同具有同等效力。以上文件的优先顺序为：（1）合同履行过程中的纪要、签证；（2）本合同书；（3）中标通知书；（4）投标文件及投标人承诺、声明、书面澄清；（5）招标文件及招标人澄清、答疑。</w:t>
      </w:r>
      <w:r/>
    </w:p>
    <w:p>
      <w:pPr>
        <w:ind w:firstLine="420"/>
        <w:jc w:val="cente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               </w:t>
      </w:r>
      <w:r/>
    </w:p>
    <w:p>
      <w:pPr>
        <w:ind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           法定代表人或授权代理人：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keepLines w:val="0"/>
        <w:keepNext w:val="0"/>
        <w:pageBreakBefore w:val="0"/>
        <w:spacing w:line="360" w:lineRule="auto"/>
        <w:widowControl w:val="off"/>
        <w:rPr>
          <w:color w:val="auto"/>
          <w:sz w:val="28"/>
          <w:szCs w:val="28"/>
          <w:highlight w:val="none"/>
        </w:rPr>
      </w:pPr>
      <w:r>
        <w:rPr>
          <w:color w:val="auto"/>
          <w:sz w:val="28"/>
          <w:szCs w:val="28"/>
          <w:highlight w:val="none"/>
        </w:rPr>
        <w:br w:type="page" w:clear="all"/>
      </w:r>
      <w:r/>
    </w:p>
    <w:p>
      <w:pPr>
        <w:pStyle w:val="870"/>
        <w:jc w:val="center"/>
        <w:keepLines w:val="0"/>
        <w:keepNext w:val="0"/>
        <w:pageBreakBefore w:val="0"/>
        <w:spacing w:before="120" w:beforeAutospacing="0" w:after="120" w:afterAutospacing="0" w:line="360" w:lineRule="auto"/>
        <w:widowControl w:val="off"/>
        <w:rPr>
          <w:highlight w:val="none"/>
        </w:rPr>
      </w:pP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36"/>
          <w:szCs w:val="36"/>
          <w:highlight w:val="none"/>
        </w:rPr>
        <w:t xml:space="preserve">第</w:t>
      </w:r>
      <w:bookmarkEnd w:id="174"/>
      <w:r>
        <w:rPr>
          <w:rFonts w:hint="eastAsia" w:ascii="黑体" w:hAnsi="宋体" w:eastAsia="黑体" w:cs="黑体"/>
          <w:color w:val="000000"/>
          <w:sz w:val="36"/>
          <w:szCs w:val="36"/>
          <w:highlight w:val="none"/>
        </w:rPr>
        <w:t xml:space="preserve">四章 采购需求</w:t>
      </w:r>
      <w:bookmarkEnd w:id="175"/>
      <w:r/>
      <w:bookmarkEnd w:id="176"/>
      <w:r/>
      <w:bookmarkEnd w:id="177"/>
      <w:r/>
      <w:bookmarkEnd w:id="178"/>
      <w:r/>
      <w:bookmarkEnd w:id="179"/>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bookmarkStart w:id="183" w:name="_Toc26554093"/>
      <w:r/>
      <w:bookmarkStart w:id="184" w:name="_Toc49090575"/>
      <w:r>
        <w:rPr>
          <w:rFonts w:hint="eastAsia" w:ascii="宋体" w:hAnsi="宋体" w:eastAsia="宋体" w:cs="宋体"/>
          <w:color w:val="000000"/>
          <w:sz w:val="24"/>
          <w:szCs w:val="24"/>
          <w:highlight w:val="none"/>
        </w:rPr>
        <w:t xml:space="preserve">项目属性:服务类项目。</w:t>
      </w:r>
      <w:bookmarkEnd w:id="183"/>
      <w:r/>
      <w:bookmarkEnd w:id="184"/>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一、项目概述及要求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1．采购标的项目简述：</w:t>
      </w:r>
      <w:r>
        <w:rPr>
          <w:rFonts w:ascii="Times New Roman" w:hAnsi="Times New Roman" w:eastAsia="宋体" w:cs="Times New Roman"/>
          <w:color w:val="auto"/>
          <w:sz w:val="24"/>
          <w:szCs w:val="24"/>
          <w:highlight w:val="none"/>
          <w:u w:val="single"/>
        </w:rPr>
        <w:t xml:space="preserve">根据生态环境部《化工园地下水污染专项整治工作方案》要求和园区地下水调查评估结果，江苏滨海经济开发区沿海工业园亟需开展地下水污染风险管控及相关配套服务等工作。具体包括：</w:t>
      </w:r>
      <w:r>
        <w:rPr>
          <w:rFonts w:hint="eastAsia" w:ascii="Times New Roman" w:hAnsi="Times New Roman" w:eastAsia="宋体" w:cs="Times New Roman"/>
          <w:color w:val="auto"/>
          <w:sz w:val="24"/>
          <w:szCs w:val="24"/>
          <w:highlight w:val="none"/>
          <w:u w:val="single"/>
        </w:rPr>
        <w:t xml:space="preserve">仅超标</w:t>
      </w:r>
      <w:r>
        <w:rPr>
          <w:rFonts w:ascii="Times New Roman" w:hAnsi="Times New Roman" w:eastAsia="宋体" w:cs="Times New Roman"/>
          <w:color w:val="auto"/>
          <w:sz w:val="24"/>
          <w:szCs w:val="24"/>
          <w:highlight w:val="none"/>
          <w:u w:val="single"/>
        </w:rPr>
        <w:t xml:space="preserve">但风险可接受区域，实施长期监测预警；土水风险不可接受区域，采取治理或管控措施；经污染地下水迁移模拟，污染物存在潜在迁移扩散风险的区域，采取源削减措施。</w:t>
      </w:r>
      <w:r/>
    </w:p>
    <w:p>
      <w:pPr>
        <w:ind w:firstLine="480"/>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color w:val="auto"/>
          <w:sz w:val="24"/>
          <w:szCs w:val="24"/>
          <w:highlight w:val="none"/>
        </w:rPr>
        <w:t xml:space="preserve">2．采购标的服务期要求：</w:t>
      </w:r>
      <w:r>
        <w:rPr>
          <w:rFonts w:hint="eastAsia" w:ascii="Times New Roman" w:hAnsi="Times New Roman" w:eastAsia="宋体" w:cs="Times New Roman"/>
          <w:strike w:val="0"/>
          <w:color w:val="auto"/>
          <w:sz w:val="24"/>
          <w:szCs w:val="24"/>
          <w:highlight w:val="none"/>
        </w:rPr>
        <w:t xml:space="preserve">自合同签订之日起至</w:t>
      </w:r>
      <w:r>
        <w:rPr>
          <w:rFonts w:ascii="Times New Roman" w:hAnsi="Times New Roman" w:eastAsia="宋体" w:cs="Times New Roman"/>
          <w:strike w:val="0"/>
          <w:color w:val="auto"/>
          <w:sz w:val="24"/>
          <w:szCs w:val="24"/>
          <w:highlight w:val="none"/>
        </w:rPr>
        <w:t xml:space="preserve">2027</w:t>
      </w:r>
      <w:r>
        <w:rPr>
          <w:rFonts w:hint="eastAsia" w:ascii="Times New Roman" w:hAnsi="Times New Roman" w:eastAsia="宋体" w:cs="Times New Roman"/>
          <w:strike w:val="0"/>
          <w:color w:val="auto"/>
          <w:sz w:val="24"/>
          <w:szCs w:val="24"/>
          <w:highlight w:val="none"/>
        </w:rPr>
        <w:t xml:space="preserve">年</w:t>
      </w:r>
      <w:r>
        <w:rPr>
          <w:rFonts w:ascii="Times New Roman" w:hAnsi="Times New Roman" w:eastAsia="宋体" w:cs="Times New Roman"/>
          <w:strike w:val="0"/>
          <w:color w:val="auto"/>
          <w:sz w:val="24"/>
          <w:szCs w:val="24"/>
          <w:highlight w:val="none"/>
        </w:rPr>
        <w:t xml:space="preserve">12</w:t>
      </w:r>
      <w:r>
        <w:rPr>
          <w:rFonts w:hint="eastAsia" w:ascii="Times New Roman" w:hAnsi="Times New Roman" w:eastAsia="宋体" w:cs="Times New Roman"/>
          <w:strike w:val="0"/>
          <w:color w:val="auto"/>
          <w:sz w:val="24"/>
          <w:szCs w:val="24"/>
          <w:highlight w:val="none"/>
        </w:rPr>
        <w:t xml:space="preserve">月</w:t>
      </w:r>
      <w:r>
        <w:rPr>
          <w:rFonts w:ascii="Times New Roman" w:hAnsi="Times New Roman" w:eastAsia="宋体" w:cs="Times New Roman"/>
          <w:strike w:val="0"/>
          <w:color w:val="auto"/>
          <w:sz w:val="24"/>
          <w:szCs w:val="24"/>
          <w:highlight w:val="none"/>
        </w:rPr>
        <w:t xml:space="preserve">31</w:t>
      </w:r>
      <w:r>
        <w:rPr>
          <w:rFonts w:hint="eastAsia" w:ascii="Times New Roman" w:hAnsi="Times New Roman" w:eastAsia="宋体" w:cs="Times New Roman"/>
          <w:strike w:val="0"/>
          <w:color w:val="auto"/>
          <w:sz w:val="24"/>
          <w:szCs w:val="24"/>
          <w:highlight w:val="none"/>
        </w:rPr>
        <w:t xml:space="preserve">日前完成全部服务工作（不含地下水治理效果评估期）。</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3.采购标的验收标准：</w:t>
      </w:r>
      <w:r>
        <w:rPr>
          <w:rFonts w:ascii="Times New Roman" w:hAnsi="Times New Roman" w:eastAsia="宋体" w:cs="Times New Roman"/>
          <w:color w:val="auto"/>
          <w:sz w:val="24"/>
          <w:szCs w:val="24"/>
          <w:highlight w:val="none"/>
          <w:u w:val="single"/>
        </w:rPr>
        <w:t xml:space="preserve">通过招标人组织的</w:t>
      </w:r>
      <w:r>
        <w:rPr>
          <w:rFonts w:hint="eastAsia" w:ascii="Times New Roman" w:hAnsi="Times New Roman" w:eastAsia="宋体" w:cs="Times New Roman"/>
          <w:color w:val="auto"/>
          <w:sz w:val="24"/>
          <w:szCs w:val="24"/>
          <w:highlight w:val="none"/>
          <w:u w:val="single"/>
          <w:lang w:val="en-US" w:eastAsia="zh-CN"/>
        </w:rPr>
        <w:t xml:space="preserve">第三方效果评估</w:t>
      </w:r>
      <w:r>
        <w:rPr>
          <w:rFonts w:ascii="Times New Roman" w:hAnsi="Times New Roman"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4.采购标的服务要求：</w:t>
      </w:r>
      <w:r>
        <w:rPr>
          <w:rFonts w:ascii="Times New Roman" w:hAnsi="Times New Roman" w:eastAsia="宋体" w:cs="Times New Roman"/>
          <w:color w:val="auto"/>
          <w:sz w:val="24"/>
          <w:szCs w:val="24"/>
          <w:highlight w:val="none"/>
          <w:u w:val="single"/>
        </w:rPr>
        <w:t xml:space="preserve">详见“二、采购需求及服务内容”</w:t>
      </w:r>
      <w:r>
        <w:rPr>
          <w:rFonts w:ascii="Times New Roman" w:hAnsi="Times New Roman"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5.采购标的质量要求：</w:t>
      </w:r>
      <w:r>
        <w:rPr>
          <w:rFonts w:ascii="Times New Roman" w:hAnsi="Times New Roman" w:eastAsia="宋体" w:cs="Times New Roman"/>
          <w:color w:val="auto"/>
          <w:sz w:val="24"/>
          <w:szCs w:val="24"/>
          <w:highlight w:val="none"/>
          <w:u w:val="single"/>
        </w:rPr>
        <w:t xml:space="preserve">合格</w:t>
      </w:r>
      <w:r>
        <w:rPr>
          <w:rFonts w:ascii="Times New Roman" w:hAnsi="Times New Roman" w:eastAsia="宋体" w:cs="Times New Roman"/>
          <w:color w:val="auto"/>
          <w:sz w:val="24"/>
          <w:szCs w:val="24"/>
          <w:highlight w:val="none"/>
        </w:rPr>
        <w:t xml:space="preserve">。（同招标公告要求）</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二、采购需求及服务内容</w:t>
      </w:r>
      <w:r/>
    </w:p>
    <w:p>
      <w:pPr>
        <w:ind w:firstLine="48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1.服务范围：</w:t>
      </w:r>
      <w:r>
        <w:rPr>
          <w:rFonts w:hint="eastAsia" w:ascii="Times New Roman" w:hAnsi="Times New Roman" w:eastAsia="宋体" w:cs="Times New Roman"/>
          <w:color w:val="auto"/>
          <w:sz w:val="24"/>
          <w:szCs w:val="24"/>
          <w:highlight w:val="none"/>
        </w:rPr>
        <w:t xml:space="preserve">根据生态环境部《化工园地下水污染专项整治工作方案》要求和园区地下水调查评估结果，江苏滨海经济开发区沿海工业园需要开展地下水污染风险管控及相关配套服务等工作。具体包括：公共区域中土水超标10倍及园区边界处超标但风险可接受区域（A区），制定长期监控方案，开展监测自然衰减；公共区域土水风险不可接受区域（B区），采取治理或管控措施；经污染地下水迁移模拟，污染物存在潜在迁移扩散风险的区域（C区），采取源削减措施。</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需根据《建设用地土壤修复技术导则》（HJ25.4-2019）、《污染地块地下水修复和风险管控技术导则》（HJ25.6-2019）、《污染地块地下水修复和风险管控技术导则》（HJ25.6-2019）等关于土壤和地下水修复及风险管控相关规定要求，开展治理、管控及源削减等工作；投标人应具备土壤地下水修复管控相关管理支撑和技术研发能力，能够为园区土壤地下水环境管理、污染防治、项目申报、环境工程等提供专业技术支持。</w:t>
      </w:r>
      <w:r/>
    </w:p>
    <w:p>
      <w:pPr>
        <w:ind w:firstLine="48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2.服务内容：</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（1）结合前期已有调查报告、风险评估报告、运移模拟报告和管控方案等基础资料，编制总体服务方案。</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2）根据技术导则和风险管控方案要求，编制A区地下水监测方案；对A区已有地下水监测井及井台保护设施进行日常维护，若损坏及时新建；根据监测方案进行样品采样，不少于一年两次，两次间隔时间大于2个月；对采样数据进行分析，编制年度监测报告提交招标单位审核。本项工作服务期为2026年和2027年。</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3）根据技术导则和风险管控方案要求，对B区人体健康风险不可接受的8个土壤点位进行治理或管控。其中，针对有机污染土壤采用原位化学氧化技术进行治理，针对重金属污染土壤，采用原位固化稳定化技术进行风险管控。对B区人体健康风险不可接受的5个潜水点位采用地下水抽出-处理（辅以微生物或化学氧化措施）技术进行治理，确保达到风险管控方案制定的相关目标。</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（4）根据技术导则和风险管控方案要求，对C区采用地下水抽出-处理（辅以微生物或化学氧化措施）技术进行削源和管控，确保达到风险管控方案制定的相关目标。</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（5）投标人应做好现场踏勘和相关管理方协调工作，服务过程中需采用扰动相对较小的施工工法，控制污染羽范围，避免造成污染羽扩散。</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（6）投标人在服务过程中应做好二次污染防治工作，并按照技术导则和风险管控方案要求，开展环境监测和修复或管控效果自检。</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（7）根据项目需求组建专职专家团队，为本项目损害鉴定评估与修复效果评估、土壤及地下水的风险管控服务提供专业的专家技术支持，根据招标人需求为招标人提供必要的咨询、论证等技术服务。</w:t>
      </w:r>
      <w:r/>
    </w:p>
    <w:p>
      <w:pPr>
        <w:pStyle w:val="879"/>
        <w:ind w:firstLine="568"/>
        <w:keepLines w:val="0"/>
        <w:keepNext w:val="0"/>
        <w:pageBreakBefore w:val="0"/>
        <w:spacing w:after="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（8）根据项目现状的复杂性、投标人应匹配组建相应各类专业的人员以确保满足招标人项目需求。</w:t>
      </w:r>
      <w:r/>
    </w:p>
    <w:p>
      <w:pPr>
        <w:pStyle w:val="879"/>
        <w:ind w:firstLine="568"/>
        <w:keepLines w:val="0"/>
        <w:keepNext w:val="0"/>
        <w:pageBreakBefore w:val="0"/>
        <w:spacing w:after="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（9）协助采购人对本项目有关的上级资金申报工作。</w:t>
      </w:r>
      <w:r/>
    </w:p>
    <w:p>
      <w:pPr>
        <w:pStyle w:val="879"/>
        <w:ind w:firstLine="568"/>
        <w:keepLines w:val="0"/>
        <w:keepNext w:val="0"/>
        <w:pageBreakBefore w:val="0"/>
        <w:spacing w:after="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（10）运用自有研发平台、专业技术人员为园区可能申报或计划申报的专项资金项目或奖补资金项目或科研创新项目或生态环境导向开发项目或项目申报奖项提供协助、技术支撑和服务支撑。</w:t>
      </w:r>
      <w:r/>
    </w:p>
    <w:p>
      <w:pPr>
        <w:ind w:firstLine="48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3.服务要求：</w:t>
      </w:r>
      <w:r>
        <w:rPr>
          <w:rFonts w:ascii="Times New Roman" w:hAnsi="Times New Roman" w:eastAsia="宋体" w:cs="Times New Roman"/>
          <w:color w:val="auto"/>
          <w:sz w:val="24"/>
          <w:szCs w:val="24"/>
          <w:highlight w:val="none"/>
        </w:rPr>
        <w:t xml:space="preserve">按照国家、江苏省和盐城市土壤和地下水修复治理和风险管控等相关规范、规定，完成要求工作。</w:t>
      </w:r>
      <w:r/>
    </w:p>
    <w:p>
      <w:pPr>
        <w:ind w:firstLine="48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4.项目</w:t>
      </w:r>
      <w:r>
        <w:rPr>
          <w:rFonts w:hint="eastAsia" w:ascii="Times New Roman" w:hAnsi="Times New Roman" w:eastAsia="宋体" w:cs="Times New Roman"/>
          <w:b/>
          <w:bCs/>
          <w:color w:val="auto"/>
          <w:sz w:val="24"/>
          <w:szCs w:val="24"/>
          <w:highlight w:val="none"/>
        </w:rPr>
        <w:t xml:space="preserve">参考</w:t>
      </w:r>
      <w:r>
        <w:rPr>
          <w:rFonts w:ascii="Times New Roman" w:hAnsi="Times New Roman" w:eastAsia="宋体" w:cs="Times New Roman"/>
          <w:b/>
          <w:bCs/>
          <w:color w:val="auto"/>
          <w:sz w:val="24"/>
          <w:szCs w:val="24"/>
          <w:highlight w:val="none"/>
        </w:rPr>
        <w:t xml:space="preserve">依据：</w:t>
      </w:r>
      <w:r>
        <w:rPr>
          <w:rFonts w:ascii="Times New Roman" w:hAnsi="Times New Roman" w:eastAsia="宋体" w:cs="Times New Roman"/>
          <w:color w:val="auto"/>
          <w:sz w:val="24"/>
          <w:szCs w:val="24"/>
          <w:highlight w:val="none"/>
        </w:rPr>
        <w:t xml:space="preserve">《建设用地土壤污染风险管控和修复监测技术导则》（HJ25.2-2019）、《建设用地土壤修复技术导则》（HJ25.4-2019）、</w:t>
      </w:r>
      <w:r>
        <w:rPr>
          <w:rFonts w:hint="eastAsia" w:ascii="Times New Roman" w:hAnsi="Times New Roman" w:eastAsia="宋体" w:cs="Times New Roman"/>
          <w:color w:val="auto"/>
          <w:sz w:val="24"/>
          <w:szCs w:val="24"/>
          <w:highlight w:val="none"/>
        </w:rPr>
        <w:t xml:space="preserve">《污染地块地下水修复和风险管控技术导则》（HJ25.6-2019）、</w:t>
      </w:r>
      <w:r>
        <w:rPr>
          <w:rFonts w:ascii="Times New Roman" w:hAnsi="Times New Roman" w:eastAsia="宋体" w:cs="Times New Roman"/>
          <w:color w:val="auto"/>
          <w:sz w:val="24"/>
          <w:szCs w:val="24"/>
          <w:highlight w:val="none"/>
        </w:rPr>
        <w:t xml:space="preserve">《地下水环境监测技术规范》（HJ164-2020）、《地下水质量标准》（GB/T 14848-2017）、《土壤环境质量 建设用地土壤污染风险管控标准（试行）》（GB 36600-2018）等文件。</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注：如项目实施期间国家或地方或行业发布最新标准的，按最新标准执行，且不增加任何费用（政策另有要求的除外），中标人包干，相关政策及成本风险自行考量自行承担。</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5.工作成果</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主要</w:t>
      </w:r>
      <w:r>
        <w:rPr>
          <w:rFonts w:ascii="Times New Roman" w:hAnsi="Times New Roman" w:eastAsia="宋体" w:cs="Times New Roman"/>
          <w:color w:val="auto"/>
          <w:sz w:val="24"/>
          <w:szCs w:val="24"/>
          <w:highlight w:val="none"/>
        </w:rPr>
        <w:t xml:space="preserve">包括：</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（1）总体服务方案；</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（2）地下水监测方案；</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（3）</w:t>
      </w:r>
      <w:r>
        <w:rPr>
          <w:rFonts w:hint="eastAsia" w:ascii="Times New Roman" w:hAnsi="Times New Roman" w:eastAsia="宋体" w:cs="Times New Roman"/>
          <w:b/>
          <w:bCs/>
          <w:color w:val="auto"/>
          <w:sz w:val="24"/>
          <w:szCs w:val="24"/>
          <w:highlight w:val="none"/>
          <w:lang w:val="en-US" w:eastAsia="zh-CN"/>
        </w:rPr>
        <w:t xml:space="preserve">A区</w:t>
      </w:r>
      <w:r>
        <w:rPr>
          <w:rFonts w:hint="eastAsia" w:ascii="Times New Roman" w:hAnsi="Times New Roman" w:eastAsia="宋体" w:cs="Times New Roman"/>
          <w:b/>
          <w:bCs/>
          <w:color w:val="auto"/>
          <w:sz w:val="24"/>
          <w:szCs w:val="24"/>
          <w:highlight w:val="none"/>
        </w:rPr>
        <w:t xml:space="preserve">地下水</w:t>
      </w:r>
      <w:r>
        <w:rPr>
          <w:rFonts w:ascii="Times New Roman" w:hAnsi="Times New Roman" w:eastAsia="宋体" w:cs="Times New Roman"/>
          <w:b/>
          <w:bCs/>
          <w:color w:val="auto"/>
          <w:sz w:val="24"/>
          <w:szCs w:val="24"/>
          <w:highlight w:val="none"/>
        </w:rPr>
        <w:t xml:space="preserve">监测报告；</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（4）项目总体竣工报告；</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（5）风险管控服务工作通过效果评估验收；</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（6）其他项目实施有关书面资料成果及招标人要求提供的有关服务成果。</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三、</w:t>
      </w:r>
      <w:bookmarkStart w:id="185" w:name="_Toc2646"/>
      <w:r>
        <w:rPr>
          <w:rFonts w:ascii="Times New Roman" w:hAnsi="Times New Roman" w:eastAsia="宋体" w:cs="Times New Roman"/>
          <w:b/>
          <w:bCs/>
          <w:color w:val="auto"/>
          <w:sz w:val="24"/>
          <w:szCs w:val="24"/>
          <w:highlight w:val="none"/>
        </w:rPr>
        <w:t xml:space="preserve">服务保障</w:t>
      </w:r>
      <w:bookmarkEnd w:id="185"/>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1、供应商应对照采购文件要求，说明所提供已对招标人的需求做出了实质性的响应，或申明与需求的偏差和例外。</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2、供应商可以在投标文件中提出不同的服务标准和保障承诺，使评标委员会相信替代服务相同于或优于原需求，对于具体参数要求的指标，供应商必须提供具体参数值。</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3、如果发生因供应商工作失职造成安全事故或其他财产损失和人身伤害，均由供应商承担相关经济和法律责任。</w:t>
      </w:r>
      <w:bookmarkStart w:id="186" w:name="_Toc28983"/>
      <w:r/>
      <w:bookmarkStart w:id="187" w:name="_Toc28510"/>
      <w:r/>
      <w:bookmarkStart w:id="188" w:name="_Toc48143584"/>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四、其他管理要求</w:t>
      </w:r>
      <w:bookmarkEnd w:id="186"/>
      <w:r/>
      <w:bookmarkEnd w:id="187"/>
      <w:r/>
      <w:bookmarkEnd w:id="188"/>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中标人应自行承担项目实施期间所产生的交通费、食宿费、通讯费、各种资料的编制、打印、复印和传递费、办公设备和用品费、为当地提供的设施和服务所付的费用）和不可预见费（指在酬金和可报销费用之外，在执行本项目服务任务的过程中所发生的额外的其它所有费用）等一切费用。</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2、中标人在服务期间须遵守下列廉洁执业规则：</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①不得收受和索取企业的任何报酬、礼品、土特产。</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②不得在现场工作期间与企业开展项目洽谈、产品推销、争取赞助等活动。</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③不得在现场工作期间接受企业接待，工作期间一律不得饮酒。</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④不得泄露企业的技术和商业秘密。</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3、成交供应商不得利用服务区域内的招标人房产、服务、水电等资源从事其他经营或非法活动，不能改变其服务性质。</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五、服务开展的原则及奖惩条款</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下列条款投标无须单独出具承诺材料，投标即视为承诺相关内容，中标后遵照执行：</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拟投入本项目人员须专门服务于本项目，且原则上不得更换。中标后，承诺拟投入的人员未按承诺到位或中标单位未经采购单位批准私自更换的，一经发现处罚20000元/人·次，同时中标单位仍应按投标响应文件中承诺的将人员配备到位。（投标时无须单独出具承诺材料，投标即视为承诺相关内容。）</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2．中标单位如需更换项目人员，应向招标人提出书面申请，经招标人批准后方可进行更换，所更换人员资格不得低于其投标文件承诺；中标后由于项目人员现场管理工作不到位，或无法起到应有的作用，视为不称职，招标人将要求中标单位更换项目人员，且所更换人员不得低于其投标响应文件承诺。无论中标单位申请更换或因不称职更换项目组人员均视为中标单位违约行为，招标人将向中标单位收取违约金，项目负责人20000元/人·次；其他相关人员5000元/人·次。（投标时无须单独出具承诺材料，投标即视为承诺相关内容。）</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3．中标单位的项目负责人原则上应当提供驻场服务和工作指导，如无法全勤驻场的，应当及时主动向招标人出具相关申请材料，经招标人同意予以调整或增加现场驻场联系员或现场负责人，否则一经发现，招标人有权处罚20000元/人·次。（投标时无须单独出具承诺材料，投标即视为承诺相关内容。）</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4．本项目服务周期较长，服务项目点位分散，投标人中标后应当在服务区域内设立配置固定的办公场所，配置相应的软硬件设施以满足项目需求，人员办公地点集中化便于人员管理。否则，招标人有权处罚20000元/次。（投标时无须单独出具承诺材料，投标即视为承诺相关内容。）</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5．投标单位对招标人提供的数据、材料及检测结果、调查评估结果具有保密义务，如发现投标单位有任何形式的泄密行为，招标人有权解除合同并追究其相关责任。</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6．投标单位根据招标人的具体要求开展委托工作，并对招标人负责；完成指定项目后，应按招标人要求及时出具相关书面材料，并拟定费用明细，经招标人审核后作为结算凭据。</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7．投标单位根据招标人的要求开展风险管控服务工作，并做好质量控制。在服务过程中如发现由于客观原因而严重影响项目进度的，由投标单位提出延长项目完成时间的书面申请，经招标人核准后给予时间调整。</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8．投标单位应加强对分包单位的管理。投标单位需按照国家现行法律法规组织并协调分包单位开展相关服务工作，导致服务过程不佳的，由投标单位承担总体责任，招标人将对投标单位予以警告（同时予以20000元/次的处罚）直至不再对其进行委托或解除合同，并追究造成招标人损失的责任。</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9．投标单位应加强对项目服务过程中相关资料的保管，服务工作全面完成后，投标单位应按相关文件及招标人要求备案电子与纸质资料；其余资料，投标单位应按招标人要求存档保管，并应及时响应招标人对评估资料进行调用、审核等要求，纸质材料保管时间为至少三年，电子版材料保管时间至少十年。对档案管理不完善造成资料遗失的供应商，招标人将予以警告直至不再对其进行委托或解除合同。</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10．投标单位及其委托的分包单位须按照招标人要求配合完成风险管控服务全流程的信息化相关工作并对其负责，包括数据收集、录入、上传、运维及招标人要求的其他相关工作。</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11．投标单位应积极主动配合招标人、监理、效果评估单位的有关工作，服从管理调配。如服务过程中投标单位不配合招标人、监理和效果评估单位工作的，处罚款10000元/次。</w:t>
      </w:r>
      <w:r/>
    </w:p>
    <w:p>
      <w:pPr>
        <w:pStyle w:val="879"/>
        <w:ind w:firstLine="560"/>
        <w:keepLines w:val="0"/>
        <w:keepNext w:val="0"/>
        <w:pageBreakBefore w:val="0"/>
        <w:spacing w:after="0" w:line="360" w:lineRule="auto"/>
        <w:widowControl w:val="off"/>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12．投标单位应对本项目的所有成果材料及请款材料的合法性、规范性、真实性、准确性、完整性负责，加强内容审核，提交至招标人的材料原则上不予替换。由于投标单位原因导致材料需重新提交的，招标人将予以警告直至不再对其进行委托。涉及总体服务方案等方案编制的，方案需依据国家、江苏省、盐城市、滨海县相关文件要求开展，且须通过专家论证后备案，作为后续工作的依据。</w:t>
      </w:r>
      <w:r/>
    </w:p>
    <w:p>
      <w:pPr>
        <w:pStyle w:val="879"/>
        <w:ind w:firstLine="560"/>
        <w:keepLines w:val="0"/>
        <w:keepNext w:val="0"/>
        <w:pageBreakBefore w:val="0"/>
        <w:spacing w:after="0" w:line="360" w:lineRule="auto"/>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13.招标人根据现场管理情况会同监理单位拟定的各类现场管理条例及规章制度、工作规范、考勤要求等，投标单位须无条件服从管理。</w:t>
      </w:r>
      <w:r/>
    </w:p>
    <w:p>
      <w:pPr>
        <w:pStyle w:val="879"/>
        <w:ind w:firstLine="560"/>
        <w:keepLines w:val="0"/>
        <w:keepNext w:val="0"/>
        <w:pageBreakBefore w:val="0"/>
        <w:spacing w:after="0" w:line="360" w:lineRule="auto"/>
        <w:widowControl w:val="off"/>
        <w:rPr>
          <w:rFonts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六、服务清单</w:t>
      </w:r>
      <w:r/>
    </w:p>
    <w:p>
      <w:pPr>
        <w:pStyle w:val="879"/>
        <w:ind w:firstLine="0"/>
        <w:jc w:val="center"/>
        <w:keepLines w:val="0"/>
        <w:keepNext w:val="0"/>
        <w:pageBreakBefore w:val="0"/>
        <w:spacing w:line="360" w:lineRule="auto"/>
        <w:widowControl w:val="off"/>
        <w:rPr>
          <w:rFonts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项目服务清单</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622"/>
        <w:gridCol w:w="859"/>
        <w:gridCol w:w="1544"/>
        <w:gridCol w:w="5036"/>
      </w:tblGrid>
      <w:tr>
        <w:trPr>
          <w:trHeight w:val="397"/>
          <w:tblHeader/>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工程量</w:t>
            </w:r>
            <w:r/>
          </w:p>
        </w:tc>
        <w:tc>
          <w:tcPr>
            <w:tcW w:w="256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项目特征描述</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gridSpan w:val="4"/>
            <w:tcW w:w="4608"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A区服务内容</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监测方案编制</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1.根据相关导则规范要求，编制A区监测方案。</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监测井维护</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1.地下水监测井（利旧）及井台日常维护，若损坏及时新建；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2.服务期为2026年和2027年。</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采样分析</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w:t>
            </w:r>
            <w:r/>
          </w:p>
        </w:tc>
        <w:tc>
          <w:tcPr>
            <w:tcW w:w="2561"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1.按照相关导则规范要求，进行样品采样与数据分析；</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2.地下水监测频次不少于一年两次，两次间隔时间大于2个月；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3.服务期为2026年和2027年。</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过程</w:t>
            </w:r>
            <w:r>
              <w:rPr>
                <w:rFonts w:hint="eastAsia" w:ascii="宋体" w:hAnsi="宋体" w:eastAsia="宋体" w:cs="宋体"/>
                <w:color w:val="auto"/>
                <w:sz w:val="24"/>
                <w:szCs w:val="24"/>
                <w:highlight w:val="none"/>
              </w:rPr>
              <w:t xml:space="preserve">监测报告编制</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根据相关导则规范要求，编制</w:t>
            </w:r>
            <w:r>
              <w:rPr>
                <w:rFonts w:hint="eastAsia" w:ascii="宋体" w:hAnsi="宋体" w:eastAsia="宋体" w:cs="宋体"/>
                <w:color w:val="auto"/>
                <w:sz w:val="24"/>
                <w:szCs w:val="24"/>
                <w:highlight w:val="none"/>
                <w:lang w:val="en-US" w:eastAsia="zh-CN"/>
              </w:rPr>
              <w:t xml:space="preserve">过程</w:t>
            </w:r>
            <w:r>
              <w:rPr>
                <w:rFonts w:hint="eastAsia" w:ascii="宋体" w:hAnsi="宋体" w:eastAsia="宋体" w:cs="宋体"/>
                <w:color w:val="auto"/>
                <w:sz w:val="24"/>
                <w:szCs w:val="24"/>
                <w:highlight w:val="none"/>
              </w:rPr>
              <w:t xml:space="preserve">监测报告；</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gridSpan w:val="4"/>
            <w:tcW w:w="4608"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B区服务内容</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有机污染土壤（原位化学氧化）</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3</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7318.9</w:t>
            </w:r>
            <w:r/>
          </w:p>
        </w:tc>
        <w:tc>
          <w:tcPr>
            <w:tcW w:w="2561"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1.有机污染土壤（原位化学氧化）；</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2.包括不限于人员管理、机械进出场及施工、药剂购买及使用等；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3.可采用浅层搅拌、高压旋喷或注入井注入，具体应根据现场实际情况选择扰动较小的工法；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4.最大治理深度4m；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5.治理效果达到规定修复目标值；</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施工完成后需将地表恢复至原状；</w:t>
            </w:r>
            <w:r/>
          </w:p>
          <w:p>
            <w:pPr>
              <w:pStyle w:val="8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7.按照相关导则规范要求执行。</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重金属污染土壤（原位固化稳定化）</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3</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12133.78</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1.重金属污染土壤（原位固化稳定化）；</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2.包括不限于人员管理、机械进出场及施工、药剂购买及使用等；</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3.最大治理深度为8m；</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4.应根据现场实际情况选择扰动较小的工法；</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5.固化稳定化药剂投标人自行考虑；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6.治理效果达到规定的管控目标值；</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7.施工完成后需将地表恢复至原状；</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8.按照相关导则规范要求执行。</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污染地下水抽出-处理（辅以微生物或化学氧化措施）</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3</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6022.64</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1.污染地下水抽出-处理（辅以微生物或化学氧化措施）；</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2.包括不限于建井、管道建设、地下水抽提、污水转运、现场预处理、微生物或化学氧化辅助修复、处理后废水纳管排放等；</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3.抽出井/注入井平均井深8.8m（以实际地勘为准，潜水含水层），孔径Φ400mm，UPVC材质，井径为Φ200mm；</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4.微生物辅助修复工程量：按照处理水量的10%考虑；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5.化学氧化辅助修复工程量：按照处理水量的30%考虑；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6.需在抽提施工靠近在产企业和退役地块边界处进行水力控制，防止内部潜在污染扩散，具体设计形式投标单位自行考虑；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7.治理效果达到规定风险管控目标值；</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8.按照相关导则规范要求执行。</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gridSpan w:val="4"/>
            <w:tcW w:w="4608"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C区服务内容</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污染地下水抽出-处理（辅以微生物或化学氧化措施）</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3</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124995.45</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1.污染地下水抽出-处理（辅以微生物或化学氧化措施）；</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2.包括不限于建井、管道建设、地下水抽提、污水处理、微生物或化学氧化辅助修复、处理后废水回灌或纳管排放等；</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3.抽出井/注入井平均井深8.8m（以实际地勘为准，潜水含水层），孔径Φ400mm，UPVC材质，井径为Φ200mm；</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4.微生物辅助修复工程量：按照处理水量的10%考虑；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5.化学氧化辅助修复工程量：按照处理水量的30%考虑；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6.需在抽提施工靠近在产企业和退役地块边界处进行水力控制，防止内部潜在污染扩散，具体设计形式投标单位自行考虑；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7.治理效果达到规定削源目标值；</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8.按照相关导则规范要求执行。</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gridSpan w:val="4"/>
            <w:tcW w:w="4608"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临时设施建设及其他措施</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61"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1.临时设施；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2.包括不限于场地平整，办公区、水处理区、氧化及固化稳定化设备后台、仓库、临水临电接入、监控、大门建设等；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3.对园区地下水智慧管理平台进行运行和维护等；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4.满足相关规范及方案要求。</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B区和C区服务过程环境监测与检测</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1.B区、C区服务过程环境监测与检测；</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2.包括不限于含施工期环境监测（大气、水、噪声、固废等），治理效果自检（治理或管控后土壤，抽出处理后污水、削源后地下水）等；</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3.投标单位自行考虑，满足相关规范及监测方案要求。</w:t>
            </w:r>
            <w:r/>
          </w:p>
        </w:tc>
      </w:tr>
      <w:tr>
        <w:trPr>
          <w:trHeight w:val="397"/>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二次污染防治措施费</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1.二次污染防治；</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2.包括不限于：大气污染防治、水污染防治、固废污染防治、噪声污染防治等；</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3.防治方案由投标单位自行考虑，满足相关规范及方案要求。</w:t>
            </w:r>
            <w:r/>
          </w:p>
        </w:tc>
      </w:tr>
      <w:tr>
        <w:trPr>
          <w:trHeight w:val="2210"/>
        </w:trPr>
        <w:tc>
          <w:tcPr>
            <w:tcW w:w="39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安全文明施工措施费</w:t>
            </w:r>
            <w:r/>
          </w:p>
        </w:tc>
        <w:tc>
          <w:tcPr>
            <w:tcW w:w="43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61"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2.包括不限于：安全防护、施工机械及临电安全、安全管理体系建立、宣传展示标语等；</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3.安全文明施工方案由投标单位自行考虑，满足相关规范及方案要求。</w:t>
            </w:r>
            <w:r/>
          </w:p>
          <w:p>
            <w:pPr>
              <w:pStyle w:val="8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盐建建筑〔2018〕23号文件要求，本项目不适用盐城市安全文明施工措施费核定管理要求，投标时投标人依据施工内容自行考虑安全文明施工措施费报价，不再综合评价核定（考评），根据投标人报价全额计取。</w:t>
            </w:r>
            <w:r/>
          </w:p>
        </w:tc>
      </w:tr>
    </w:tbl>
    <w:p>
      <w:pPr>
        <w:pStyle w:val="881"/>
        <w:ind w:firstLine="0"/>
        <w:keepLines w:val="0"/>
        <w:keepNext w:val="0"/>
        <w:pageBreakBefore w:val="0"/>
        <w:spacing w:line="360" w:lineRule="auto"/>
        <w:widowControl w:val="off"/>
        <w:rPr>
          <w:rFonts w:eastAsia="宋体" w:cs="Times New Roman"/>
          <w:color w:val="auto"/>
          <w:highlight w:val="none"/>
        </w:rPr>
        <w:sectPr>
          <w:footerReference w:type="default" r:id="rId10"/>
          <w:footnotePr/>
          <w:endnotePr/>
          <w:type w:val="nextPage"/>
          <w:pgSz w:w="11906" w:h="16838" w:orient="portrait"/>
          <w:pgMar w:top="1440" w:right="1060" w:bottom="1440" w:left="1060" w:header="851" w:footer="992" w:gutter="170"/>
          <w:pgNumType w:start="1"/>
          <w:cols w:num="1" w:sep="0" w:space="425" w:equalWidth="1"/>
          <w:docGrid w:linePitch="360"/>
        </w:sectPr>
      </w:pPr>
      <w:r>
        <w:rPr>
          <w:rFonts w:eastAsia="宋体" w:cs="Times New Roman"/>
          <w:color w:val="auto"/>
          <w:highlight w:val="none"/>
        </w:rPr>
      </w:r>
      <w:r/>
    </w:p>
    <w:p>
      <w:pPr>
        <w:jc w:val="both"/>
        <w:keepLines w:val="0"/>
        <w:keepNext w:val="0"/>
        <w:pageBreakBefore w:val="0"/>
        <w:spacing w:line="360" w:lineRule="auto"/>
        <w:widowControl w:val="off"/>
        <w:rPr>
          <w:rFonts w:hint="eastAsia"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 xml:space="preserve">附：</w:t>
      </w:r>
      <w:r/>
    </w:p>
    <w:p>
      <w:pPr>
        <w:jc w:val="center"/>
        <w:keepLines w:val="0"/>
        <w:keepNext w:val="0"/>
        <w:pageBreakBefore w:val="0"/>
        <w:spacing w:line="360" w:lineRule="auto"/>
        <w:widowControl w:val="off"/>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采购标的背景资料</w:t>
      </w:r>
      <w:r/>
    </w:p>
    <w:p>
      <w:pPr>
        <w:pStyle w:val="881"/>
        <w:ind w:firstLine="562"/>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（一）项目背景</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江苏滨海经济开发区沿海工业园始建于2002年5月，位于江苏省东北部沿海的盐城市滨海县滨淮镇境内，滨海港经济区西端。2020年11月江苏省人民政府办公厅印发《省政府关于加强全省化工园区化工集中区规范化管理的通知》（苏政发〔2020〕94号），园区被认定为江苏省14家化工园区之一。“十四五”以来国家高度重视化工园区地下水污染防治工作，陆续发布《“十四五”土壤、地下水和农村生态环境保护规划》（环土壤</w:t>
      </w:r>
      <w:r>
        <w:rPr>
          <w:rFonts w:eastAsia="宋体" w:cs="Times New Roman"/>
          <w:color w:val="auto"/>
          <w:sz w:val="24"/>
          <w:szCs w:val="24"/>
          <w:highlight w:val="none"/>
        </w:rPr>
        <w:t xml:space="preserve">〔2021〕120号）、《化工园区地下水环境状况调查评估工作方案》（环办便函〔2021〕100号）、《深入打好净土保卫战实施方案》（苏政办发〔2022〕78号）等文件，明确要求开展化工园区地下水污染调查评估及管控工作。为深入贯彻国家、省、市相关政策文件要求，强化园区地下水环境污染防治，江苏滨海经济开发区沿海工业园管理委员会委托相关单位相继完成了园区地下水环境状况初步调查、详细调查、风险评估、污染运移模拟及风险管控方案编制工作，确定了按照问题导向、合理分区、分类施策的思路统筹推进园区地下水风险管控工作，以实现</w:t>
      </w:r>
      <w:r>
        <w:rPr>
          <w:rFonts w:hint="eastAsia" w:eastAsia="宋体" w:cs="Times New Roman"/>
          <w:color w:val="auto"/>
          <w:sz w:val="24"/>
          <w:szCs w:val="24"/>
          <w:highlight w:val="none"/>
        </w:rPr>
        <w:t xml:space="preserve">园区地下水污染</w:t>
      </w:r>
      <w:r>
        <w:rPr>
          <w:rFonts w:eastAsia="宋体" w:cs="Times New Roman"/>
          <w:color w:val="auto"/>
          <w:sz w:val="24"/>
          <w:szCs w:val="24"/>
          <w:highlight w:val="none"/>
        </w:rPr>
        <w:t xml:space="preserve">不加重</w:t>
      </w:r>
      <w:r>
        <w:rPr>
          <w:rFonts w:hint="eastAsia" w:eastAsia="宋体" w:cs="Times New Roman"/>
          <w:color w:val="auto"/>
          <w:sz w:val="24"/>
          <w:szCs w:val="24"/>
          <w:highlight w:val="none"/>
        </w:rPr>
        <w:t xml:space="preserve">、</w:t>
      </w:r>
      <w:r>
        <w:rPr>
          <w:rFonts w:eastAsia="宋体" w:cs="Times New Roman"/>
          <w:color w:val="auto"/>
          <w:sz w:val="24"/>
          <w:szCs w:val="24"/>
          <w:highlight w:val="none"/>
        </w:rPr>
        <w:t xml:space="preserve">不扩散</w:t>
      </w:r>
      <w:r>
        <w:rPr>
          <w:rFonts w:hint="eastAsia" w:eastAsia="宋体" w:cs="Times New Roman"/>
          <w:color w:val="auto"/>
          <w:sz w:val="24"/>
          <w:szCs w:val="24"/>
          <w:highlight w:val="none"/>
        </w:rPr>
        <w:t xml:space="preserve">为</w:t>
      </w:r>
      <w:r>
        <w:rPr>
          <w:rFonts w:eastAsia="宋体" w:cs="Times New Roman"/>
          <w:color w:val="auto"/>
          <w:sz w:val="24"/>
          <w:szCs w:val="24"/>
          <w:highlight w:val="none"/>
        </w:rPr>
        <w:t xml:space="preserve">阶段目标。</w:t>
      </w:r>
      <w:r/>
    </w:p>
    <w:p>
      <w:pPr>
        <w:pStyle w:val="881"/>
        <w:ind w:firstLine="562"/>
        <w:keepLines w:val="0"/>
        <w:keepNext w:val="0"/>
        <w:pageBreakBefore w:val="0"/>
        <w:spacing w:line="360" w:lineRule="auto"/>
        <w:widowControl w:val="off"/>
        <w:rPr>
          <w:rFonts w:eastAsia="宋体" w:cs="Times New Roman"/>
          <w:b/>
          <w:bCs/>
          <w:color w:val="auto"/>
          <w:sz w:val="24"/>
          <w:szCs w:val="24"/>
          <w:highlight w:val="none"/>
        </w:rPr>
      </w:pPr>
      <w:r/>
      <w:bookmarkStart w:id="189" w:name="_Toc218630893"/>
      <w:r>
        <w:rPr>
          <w:rFonts w:hint="eastAsia" w:eastAsia="宋体" w:cs="Times New Roman"/>
          <w:b/>
          <w:bCs/>
          <w:color w:val="auto"/>
          <w:sz w:val="24"/>
          <w:szCs w:val="24"/>
          <w:highlight w:val="none"/>
        </w:rPr>
        <w:t xml:space="preserve">（二）园区水文地质条件</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园区所在区域自上而下分述如下：①-1层杂填土、①-2层素填土、②层粉质黏土、③层淤泥质粉质黏土、④-1层粉土夹粉质黏土、④-2层粉质黏土、④-3层粉土夹粉质黏土、⑤层粉质黏土。</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潜水赋存于</w:t>
      </w:r>
      <w:r>
        <w:rPr>
          <w:rFonts w:ascii="Cambria Math" w:hAnsi="Cambria Math" w:eastAsia="宋体" w:cs="Cambria Math"/>
          <w:color w:val="auto"/>
          <w:sz w:val="24"/>
          <w:szCs w:val="24"/>
          <w:highlight w:val="none"/>
        </w:rPr>
        <w:t xml:space="preserve">①</w:t>
      </w:r>
      <w:r>
        <w:rPr>
          <w:rFonts w:eastAsia="宋体" w:cs="Times New Roman"/>
          <w:color w:val="auto"/>
          <w:sz w:val="24"/>
          <w:szCs w:val="24"/>
          <w:highlight w:val="none"/>
        </w:rPr>
        <w:t xml:space="preserve">层填土、</w:t>
      </w:r>
      <w:r>
        <w:rPr>
          <w:rFonts w:ascii="Cambria Math" w:hAnsi="Cambria Math" w:eastAsia="宋体" w:cs="Cambria Math"/>
          <w:color w:val="auto"/>
          <w:sz w:val="24"/>
          <w:szCs w:val="24"/>
          <w:highlight w:val="none"/>
        </w:rPr>
        <w:t xml:space="preserve">②</w:t>
      </w:r>
      <w:r>
        <w:rPr>
          <w:rFonts w:eastAsia="宋体" w:cs="Times New Roman"/>
          <w:color w:val="auto"/>
          <w:sz w:val="24"/>
          <w:szCs w:val="24"/>
          <w:highlight w:val="none"/>
        </w:rPr>
        <w:t xml:space="preserve">层粉质黏土、</w:t>
      </w:r>
      <w:r>
        <w:rPr>
          <w:rFonts w:ascii="Cambria Math" w:hAnsi="Cambria Math" w:eastAsia="宋体" w:cs="Cambria Math"/>
          <w:color w:val="auto"/>
          <w:sz w:val="24"/>
          <w:szCs w:val="24"/>
          <w:highlight w:val="none"/>
        </w:rPr>
        <w:t xml:space="preserve">③</w:t>
      </w:r>
      <w:r>
        <w:rPr>
          <w:rFonts w:eastAsia="宋体" w:cs="Times New Roman"/>
          <w:color w:val="auto"/>
          <w:sz w:val="24"/>
          <w:szCs w:val="24"/>
          <w:highlight w:val="none"/>
        </w:rPr>
        <w:t xml:space="preserve">层淤泥质粉质黏土中。层底标高-7.77～-4.28m，平均-5.87m；层底埋深7.50～10.80m，平均8.83m。勘察期间北区由西北向东南流动，南区主要由西北向东南方向缓慢径流。</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微承压水主要赋存于</w:t>
      </w:r>
      <w:r>
        <w:rPr>
          <w:rFonts w:ascii="Cambria Math" w:hAnsi="Cambria Math" w:eastAsia="宋体" w:cs="Cambria Math"/>
          <w:color w:val="auto"/>
          <w:sz w:val="24"/>
          <w:szCs w:val="24"/>
          <w:highlight w:val="none"/>
        </w:rPr>
        <w:t xml:space="preserve">④</w:t>
      </w:r>
      <w:r>
        <w:rPr>
          <w:rFonts w:eastAsia="宋体" w:cs="Times New Roman"/>
          <w:color w:val="auto"/>
          <w:sz w:val="24"/>
          <w:szCs w:val="24"/>
          <w:highlight w:val="none"/>
        </w:rPr>
        <w:t xml:space="preserve">-1层粉土夹粉质黏土中，厚度5.50～9.80m，平均7.87m；层底标高-15.67～-11.53m，平均-13.74m；层底埋深15.20～19.70m，平均16.70m。勘察期间</w:t>
      </w:r>
      <w:r>
        <w:rPr>
          <w:rFonts w:hint="eastAsia" w:eastAsia="宋体" w:cs="Times New Roman"/>
          <w:color w:val="auto"/>
          <w:sz w:val="24"/>
          <w:szCs w:val="24"/>
          <w:highlight w:val="none"/>
        </w:rPr>
        <w:t xml:space="preserve">北区由西北向东南方向缓慢径流。南区由东北向西南方向（后转西北方向）缓慢径流。</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I承压水主要赋存于</w:t>
      </w:r>
      <w:r>
        <w:rPr>
          <w:rFonts w:ascii="Cambria Math" w:hAnsi="Cambria Math" w:eastAsia="宋体" w:cs="Cambria Math"/>
          <w:color w:val="auto"/>
          <w:sz w:val="24"/>
          <w:szCs w:val="24"/>
          <w:highlight w:val="none"/>
        </w:rPr>
        <w:t xml:space="preserve">④</w:t>
      </w:r>
      <w:r>
        <w:rPr>
          <w:rFonts w:eastAsia="宋体" w:cs="Times New Roman"/>
          <w:color w:val="auto"/>
          <w:sz w:val="24"/>
          <w:szCs w:val="24"/>
          <w:highlight w:val="none"/>
        </w:rPr>
        <w:t xml:space="preserve">-3层粉土夹粉质黏土中，厚度4.10～15.80m，平均10.13m；层底标高-34.55～-21.47m，平均-27.65m；层底埋深24.60～37.20m，平均30.60m。</w:t>
      </w:r>
      <w:r>
        <w:rPr>
          <w:rFonts w:hint="eastAsia" w:eastAsia="宋体" w:cs="Times New Roman"/>
          <w:color w:val="auto"/>
          <w:sz w:val="24"/>
          <w:szCs w:val="24"/>
          <w:highlight w:val="none"/>
        </w:rPr>
        <w:t xml:space="preserve">勘察期间北区由南向北逐渐过渡到由东南向西北方向，向中山河入黄海方向缓慢径流。南区由东南向西北方向缓慢径流。</w:t>
      </w:r>
      <w:r/>
    </w:p>
    <w:p>
      <w:pPr>
        <w:pStyle w:val="881"/>
        <w:ind w:firstLine="562"/>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w:t>
      </w:r>
      <w:r>
        <w:rPr>
          <w:rFonts w:hint="eastAsia" w:eastAsia="宋体" w:cs="Times New Roman"/>
          <w:b/>
          <w:bCs/>
          <w:color w:val="auto"/>
          <w:sz w:val="24"/>
          <w:szCs w:val="24"/>
          <w:highlight w:val="none"/>
        </w:rPr>
        <w:t xml:space="preserve">三</w:t>
      </w:r>
      <w:r>
        <w:rPr>
          <w:rFonts w:eastAsia="宋体" w:cs="Times New Roman"/>
          <w:b/>
          <w:bCs/>
          <w:color w:val="auto"/>
          <w:sz w:val="24"/>
          <w:szCs w:val="24"/>
          <w:highlight w:val="none"/>
        </w:rPr>
        <w:t xml:space="preserve">）调查评估结果</w:t>
      </w:r>
      <w:bookmarkEnd w:id="189"/>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bookmarkStart w:id="190" w:name="_Toc218630894"/>
      <w:r>
        <w:rPr>
          <w:rFonts w:eastAsia="宋体" w:cs="Times New Roman"/>
          <w:color w:val="auto"/>
          <w:sz w:val="24"/>
          <w:szCs w:val="24"/>
          <w:highlight w:val="none"/>
        </w:rPr>
        <w:t xml:space="preserve">（1）调查结果</w:t>
      </w:r>
      <w:bookmarkEnd w:id="190"/>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bookmarkStart w:id="191" w:name="OLE_LINK4"/>
      <w:r>
        <w:rPr>
          <w:rFonts w:eastAsia="宋体" w:cs="Times New Roman"/>
          <w:color w:val="auto"/>
          <w:sz w:val="24"/>
          <w:szCs w:val="24"/>
          <w:highlight w:val="none"/>
        </w:rPr>
        <w:t xml:space="preserve">根据公共区域土壤污染调查结果，</w:t>
      </w:r>
      <w:bookmarkEnd w:id="191"/>
      <w:r>
        <w:rPr>
          <w:rFonts w:eastAsia="宋体" w:cs="Times New Roman"/>
          <w:color w:val="auto"/>
          <w:sz w:val="24"/>
          <w:szCs w:val="24"/>
          <w:highlight w:val="none"/>
        </w:rPr>
        <w:t xml:space="preserve">园区公共区域共计50个点位出现土壤超标，超标点位主要分布在南片区。检出指标中二氯二氟甲烷、氯乙烯、六氯苯、五氯苯酚、苯并(b)荧蒽、苯并(a)芘、钴、砷、锑等29种污染物的检出浓度超出《土壤环境质量 建设用地土壤污染风险管控标准（试行）》（GB 36600-2018）中第二类用地筛选值或选用的地方标准筛选值。</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根据公共区域地下水详细调查结果，潜水水质多为Ⅴ类，除感官指标外，超标指标主要包括总硬度、溶解性总固体、硫酸盐、氯化物、挥发性酚类、六氯苯、丙烯腈、石油烃（C</w:t>
      </w:r>
      <w:r>
        <w:rPr>
          <w:rFonts w:eastAsia="宋体" w:cs="Times New Roman"/>
          <w:color w:val="auto"/>
          <w:sz w:val="24"/>
          <w:szCs w:val="24"/>
          <w:highlight w:val="none"/>
          <w:vertAlign w:val="subscript"/>
        </w:rPr>
        <w:t xml:space="preserve">10</w:t>
      </w:r>
      <w:r>
        <w:rPr>
          <w:rFonts w:eastAsia="宋体" w:cs="Times New Roman"/>
          <w:color w:val="auto"/>
          <w:sz w:val="24"/>
          <w:szCs w:val="24"/>
          <w:highlight w:val="none"/>
        </w:rPr>
        <w:t xml:space="preserve">-C</w:t>
      </w:r>
      <w:r>
        <w:rPr>
          <w:rFonts w:eastAsia="宋体" w:cs="Times New Roman"/>
          <w:color w:val="auto"/>
          <w:sz w:val="24"/>
          <w:szCs w:val="24"/>
          <w:highlight w:val="none"/>
          <w:vertAlign w:val="subscript"/>
        </w:rPr>
        <w:t xml:space="preserve">40</w:t>
      </w:r>
      <w:r>
        <w:rPr>
          <w:rFonts w:eastAsia="宋体" w:cs="Times New Roman"/>
          <w:color w:val="auto"/>
          <w:sz w:val="24"/>
          <w:szCs w:val="24"/>
          <w:highlight w:val="none"/>
        </w:rPr>
        <w:t xml:space="preserve">）等54种；微承压水质多为Ⅴ类，除感官指标外，超标指标主要包括总硬度、溶解性总固体、硫酸盐、氯化物、挥发性酚类、阴离子表面活性剂、耗氧量、氯苯、氯乙烯、2,4,6-三氯苯酚、五氯酚、石油烃（C</w:t>
      </w:r>
      <w:r>
        <w:rPr>
          <w:rFonts w:eastAsia="宋体" w:cs="Times New Roman"/>
          <w:color w:val="auto"/>
          <w:sz w:val="24"/>
          <w:szCs w:val="24"/>
          <w:highlight w:val="none"/>
          <w:vertAlign w:val="subscript"/>
        </w:rPr>
        <w:t xml:space="preserve">10</w:t>
      </w:r>
      <w:r>
        <w:rPr>
          <w:rFonts w:eastAsia="宋体" w:cs="Times New Roman"/>
          <w:color w:val="auto"/>
          <w:sz w:val="24"/>
          <w:szCs w:val="24"/>
          <w:highlight w:val="none"/>
        </w:rPr>
        <w:t xml:space="preserve">-C</w:t>
      </w:r>
      <w:r>
        <w:rPr>
          <w:rFonts w:eastAsia="宋体" w:cs="Times New Roman"/>
          <w:color w:val="auto"/>
          <w:sz w:val="24"/>
          <w:szCs w:val="24"/>
          <w:highlight w:val="none"/>
          <w:vertAlign w:val="subscript"/>
        </w:rPr>
        <w:t xml:space="preserve">40</w:t>
      </w:r>
      <w:r>
        <w:rPr>
          <w:rFonts w:eastAsia="宋体" w:cs="Times New Roman"/>
          <w:color w:val="auto"/>
          <w:sz w:val="24"/>
          <w:szCs w:val="24"/>
          <w:highlight w:val="none"/>
        </w:rPr>
        <w:t xml:space="preserve">）等25种；Ⅰ承压水质多为Ⅴ类。除感官指标外，超标指标主要包括总硬度、溶解性总固体、硫酸盐、氯化物、挥发性酚类、耗氧量、氨氮、氟化物、碘化物、锰、铝、钠、1,1,2-三氯乙烷、1,2-二氯乙烷等14种。</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bookmarkStart w:id="192" w:name="_Toc218630897"/>
      <w:r>
        <w:rPr>
          <w:rFonts w:eastAsia="宋体" w:cs="Times New Roman"/>
          <w:color w:val="auto"/>
          <w:sz w:val="24"/>
          <w:szCs w:val="24"/>
          <w:highlight w:val="none"/>
        </w:rPr>
        <w:t xml:space="preserve">（2）风险评估结果</w:t>
      </w:r>
      <w:bookmarkEnd w:id="192"/>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bookmarkStart w:id="193" w:name="OLE_LINK1"/>
      <w:r>
        <w:rPr>
          <w:rFonts w:ascii="Times New Roman" w:hAnsi="Times New Roman" w:eastAsia="宋体" w:cs="Times New Roman"/>
          <w:color w:val="auto"/>
          <w:sz w:val="24"/>
          <w:szCs w:val="24"/>
          <w:highlight w:val="none"/>
        </w:rPr>
        <w:t xml:space="preserve">根据风险评估结果，在第二类用地方式下，园区公共区域8个点位中土壤关注污染物砷、钴、氯乙烯、苯、乙苯、1,2-二氯乙烷、1,1,2-三氯乙烷、苯并(b)荧蒽、苯并(a)芘的人体健康风险不可接受。</w:t>
      </w:r>
      <w:bookmarkStart w:id="194" w:name="OLE_LINK80"/>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公共区域5个点位潜水关注污染物中三氯甲烷、1,2-二氯乙烷、氯乙烯、丙烯腈的人体健康风险不可接受。</w:t>
      </w:r>
      <w:bookmarkEnd w:id="194"/>
      <w:r>
        <w:rPr>
          <w:rFonts w:ascii="Times New Roman" w:hAnsi="Times New Roman" w:eastAsia="宋体" w:cs="Times New Roman"/>
          <w:color w:val="auto"/>
          <w:sz w:val="24"/>
          <w:szCs w:val="24"/>
          <w:highlight w:val="none"/>
        </w:rPr>
        <w:t xml:space="preserve">微承压水、Ⅰ承压水关注污染物的人体健康风险均可接受。</w:t>
      </w:r>
      <w:bookmarkEnd w:id="193"/>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bookmarkStart w:id="195" w:name="_Toc218630898"/>
      <w:r>
        <w:rPr>
          <w:rFonts w:eastAsia="宋体" w:cs="Times New Roman"/>
          <w:color w:val="auto"/>
          <w:sz w:val="24"/>
          <w:szCs w:val="24"/>
          <w:highlight w:val="none"/>
        </w:rPr>
        <w:t xml:space="preserve">（3）运移模拟结果</w:t>
      </w:r>
      <w:bookmarkEnd w:id="195"/>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根据污染运移模拟报告及调查结果，园区南区存在地下水超标，并涉及污染物垂直下渗和水平扩散至园区外的风险。其中存在垂直下渗风险的区域主要位于南区</w:t>
      </w:r>
      <w:r>
        <w:rPr>
          <w:rFonts w:hint="eastAsia" w:eastAsia="宋体" w:cs="Times New Roman"/>
          <w:color w:val="auto"/>
          <w:sz w:val="24"/>
          <w:szCs w:val="24"/>
          <w:highlight w:val="none"/>
        </w:rPr>
        <w:t xml:space="preserve">，</w:t>
      </w:r>
      <w:r>
        <w:rPr>
          <w:rFonts w:eastAsia="宋体" w:cs="Times New Roman"/>
          <w:color w:val="auto"/>
          <w:sz w:val="24"/>
          <w:szCs w:val="24"/>
          <w:highlight w:val="none"/>
        </w:rPr>
        <w:t xml:space="preserve">水平扩散风险的区域主要位于南区南侧边界处</w:t>
      </w:r>
      <w:r>
        <w:rPr>
          <w:rFonts w:hint="eastAsia" w:eastAsia="宋体" w:cs="Times New Roman"/>
          <w:color w:val="auto"/>
          <w:sz w:val="24"/>
          <w:szCs w:val="24"/>
          <w:highlight w:val="none"/>
        </w:rPr>
        <w:t xml:space="preserve">。</w:t>
      </w:r>
      <w:r/>
    </w:p>
    <w:p>
      <w:pPr>
        <w:pStyle w:val="881"/>
        <w:ind w:firstLine="562"/>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w:t>
      </w:r>
      <w:r>
        <w:rPr>
          <w:rFonts w:hint="eastAsia" w:eastAsia="宋体" w:cs="Times New Roman"/>
          <w:b/>
          <w:bCs/>
          <w:color w:val="auto"/>
          <w:sz w:val="24"/>
          <w:szCs w:val="24"/>
          <w:highlight w:val="none"/>
        </w:rPr>
        <w:t xml:space="preserve">四</w:t>
      </w:r>
      <w:r>
        <w:rPr>
          <w:rFonts w:eastAsia="宋体" w:cs="Times New Roman"/>
          <w:b/>
          <w:bCs/>
          <w:color w:val="auto"/>
          <w:sz w:val="24"/>
          <w:szCs w:val="24"/>
          <w:highlight w:val="none"/>
        </w:rPr>
        <w:t xml:space="preserve">）风险管控路线</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（1）园区公共区域超标</w:t>
      </w:r>
      <w:r>
        <w:rPr>
          <w:rFonts w:hint="eastAsia" w:eastAsia="宋体" w:cs="Times New Roman"/>
          <w:color w:val="auto"/>
          <w:sz w:val="24"/>
          <w:szCs w:val="24"/>
          <w:highlight w:val="none"/>
        </w:rPr>
        <w:t xml:space="preserve">10倍</w:t>
      </w:r>
      <w:r>
        <w:rPr>
          <w:rFonts w:eastAsia="宋体" w:cs="Times New Roman"/>
          <w:color w:val="auto"/>
          <w:sz w:val="24"/>
          <w:szCs w:val="24"/>
          <w:highlight w:val="none"/>
        </w:rPr>
        <w:t xml:space="preserve">及边界</w:t>
      </w:r>
      <w:r>
        <w:rPr>
          <w:rFonts w:hint="eastAsia" w:eastAsia="宋体" w:cs="Times New Roman"/>
          <w:color w:val="auto"/>
          <w:sz w:val="24"/>
          <w:szCs w:val="24"/>
          <w:highlight w:val="none"/>
        </w:rPr>
        <w:t xml:space="preserve">处超标</w:t>
      </w:r>
      <w:r>
        <w:rPr>
          <w:rFonts w:eastAsia="宋体" w:cs="Times New Roman"/>
          <w:color w:val="auto"/>
          <w:sz w:val="24"/>
          <w:szCs w:val="24"/>
          <w:highlight w:val="none"/>
        </w:rPr>
        <w:t xml:space="preserve">但风险可接受区域（A区）</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选取</w:t>
      </w:r>
      <w:r>
        <w:rPr>
          <w:rFonts w:hint="eastAsia" w:eastAsia="宋体" w:cs="Times New Roman"/>
          <w:color w:val="auto"/>
          <w:sz w:val="24"/>
          <w:szCs w:val="24"/>
          <w:highlight w:val="none"/>
        </w:rPr>
        <w:t xml:space="preserve">园区公共区域超标10倍及边界处超标但风险可接受</w:t>
      </w:r>
      <w:r>
        <w:rPr>
          <w:rFonts w:eastAsia="宋体" w:cs="Times New Roman"/>
          <w:color w:val="auto"/>
          <w:sz w:val="24"/>
          <w:szCs w:val="24"/>
          <w:highlight w:val="none"/>
        </w:rPr>
        <w:t xml:space="preserve">的点位纳入本区域，共涉及40个点位，拟将其列为重点监管区，制定长期监控方案，</w:t>
      </w:r>
      <w:r>
        <w:rPr>
          <w:rFonts w:hint="eastAsia" w:eastAsia="宋体" w:cs="Times New Roman"/>
          <w:color w:val="auto"/>
          <w:sz w:val="24"/>
          <w:szCs w:val="24"/>
          <w:highlight w:val="none"/>
        </w:rPr>
        <w:t xml:space="preserve">开展监测自然衰减，</w:t>
      </w:r>
      <w:r>
        <w:rPr>
          <w:rFonts w:eastAsia="宋体" w:cs="Times New Roman"/>
          <w:color w:val="auto"/>
          <w:sz w:val="24"/>
          <w:szCs w:val="24"/>
          <w:highlight w:val="none"/>
        </w:rPr>
        <w:t xml:space="preserve">落实年度监测内容及计划，并</w:t>
      </w:r>
      <w:r>
        <w:rPr>
          <w:rFonts w:hint="eastAsia" w:eastAsia="宋体" w:cs="Times New Roman"/>
          <w:color w:val="auto"/>
          <w:sz w:val="24"/>
          <w:szCs w:val="24"/>
          <w:highlight w:val="none"/>
        </w:rPr>
        <w:t xml:space="preserve">维护</w:t>
      </w:r>
      <w:r>
        <w:rPr>
          <w:rFonts w:eastAsia="宋体" w:cs="Times New Roman"/>
          <w:color w:val="auto"/>
          <w:sz w:val="24"/>
          <w:szCs w:val="24"/>
          <w:highlight w:val="none"/>
        </w:rPr>
        <w:t xml:space="preserve">园区地下水智慧管理平台。</w:t>
      </w:r>
      <w:bookmarkStart w:id="196" w:name="_Hlk219365049"/>
      <w:r/>
      <w:bookmarkEnd w:id="196"/>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（2）园区公共区域中土水风险不可接受区域（B区）</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园区公共区域存有</w:t>
      </w:r>
      <w:bookmarkStart w:id="197" w:name="_Hlk219365138"/>
      <w:r>
        <w:rPr>
          <w:rFonts w:eastAsia="宋体" w:cs="Times New Roman"/>
          <w:color w:val="auto"/>
          <w:sz w:val="24"/>
          <w:szCs w:val="24"/>
          <w:highlight w:val="none"/>
        </w:rPr>
        <w:t xml:space="preserve">8个土壤点位人体健康风险不可接受（治理方量约19452.68 m</w:t>
      </w:r>
      <w:r>
        <w:rPr>
          <w:rFonts w:eastAsia="宋体" w:cs="Times New Roman"/>
          <w:color w:val="auto"/>
          <w:sz w:val="24"/>
          <w:szCs w:val="24"/>
          <w:highlight w:val="none"/>
          <w:vertAlign w:val="superscript"/>
        </w:rPr>
        <w:t xml:space="preserve">3</w:t>
      </w:r>
      <w:r>
        <w:rPr>
          <w:rFonts w:eastAsia="宋体" w:cs="Times New Roman"/>
          <w:color w:val="auto"/>
          <w:sz w:val="24"/>
          <w:szCs w:val="24"/>
          <w:highlight w:val="none"/>
        </w:rPr>
        <w:t xml:space="preserve">），拟针对有机污染土壤拟采用原位化学氧化技术进行治理，针对重金属污染土壤</w:t>
      </w:r>
      <w:r>
        <w:rPr>
          <w:rFonts w:hint="eastAsia" w:eastAsia="宋体" w:cs="Times New Roman"/>
          <w:color w:val="auto"/>
          <w:sz w:val="24"/>
          <w:szCs w:val="24"/>
          <w:highlight w:val="none"/>
        </w:rPr>
        <w:t xml:space="preserve">，</w:t>
      </w:r>
      <w:r>
        <w:rPr>
          <w:rFonts w:eastAsia="宋体" w:cs="Times New Roman"/>
          <w:color w:val="auto"/>
          <w:sz w:val="24"/>
          <w:szCs w:val="24"/>
          <w:highlight w:val="none"/>
        </w:rPr>
        <w:t xml:space="preserve">拟采用原位固化稳定化技术进行风险管控。</w:t>
      </w:r>
      <w:bookmarkEnd w:id="197"/>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园区公共区域存有</w:t>
      </w:r>
      <w:bookmarkStart w:id="198" w:name="_Hlk219365277"/>
      <w:r>
        <w:rPr>
          <w:rFonts w:eastAsia="宋体" w:cs="Times New Roman"/>
          <w:color w:val="auto"/>
          <w:sz w:val="24"/>
          <w:szCs w:val="24"/>
          <w:highlight w:val="none"/>
        </w:rPr>
        <w:t xml:space="preserve">5个潜水点位人体健康风险不可接受（潜水治理方量约6022.64 m</w:t>
      </w:r>
      <w:r>
        <w:rPr>
          <w:rFonts w:eastAsia="宋体" w:cs="Times New Roman"/>
          <w:color w:val="auto"/>
          <w:sz w:val="24"/>
          <w:szCs w:val="24"/>
          <w:highlight w:val="none"/>
          <w:vertAlign w:val="superscript"/>
        </w:rPr>
        <w:t xml:space="preserve">3</w:t>
      </w:r>
      <w:r>
        <w:rPr>
          <w:rFonts w:eastAsia="宋体" w:cs="Times New Roman"/>
          <w:color w:val="auto"/>
          <w:sz w:val="24"/>
          <w:szCs w:val="24"/>
          <w:highlight w:val="none"/>
        </w:rPr>
        <w:t xml:space="preserve">），拟在实施溯源调查摸清污染范围基础上，采用地下水抽出-处理（</w:t>
      </w:r>
      <w:r>
        <w:rPr>
          <w:rFonts w:hint="eastAsia" w:eastAsia="宋体" w:cs="Times New Roman"/>
          <w:color w:val="auto"/>
          <w:sz w:val="24"/>
          <w:szCs w:val="24"/>
          <w:highlight w:val="none"/>
        </w:rPr>
        <w:t xml:space="preserve">辅以微生物或化学氧化措施</w:t>
      </w:r>
      <w:r>
        <w:rPr>
          <w:rFonts w:eastAsia="宋体" w:cs="Times New Roman"/>
          <w:color w:val="auto"/>
          <w:sz w:val="24"/>
          <w:szCs w:val="24"/>
          <w:highlight w:val="none"/>
        </w:rPr>
        <w:t xml:space="preserve">）方式进行</w:t>
      </w:r>
      <w:r>
        <w:rPr>
          <w:rFonts w:hint="eastAsia" w:eastAsia="宋体" w:cs="Times New Roman"/>
          <w:color w:val="auto"/>
          <w:sz w:val="24"/>
          <w:szCs w:val="24"/>
          <w:highlight w:val="none"/>
        </w:rPr>
        <w:t xml:space="preserve">治理</w:t>
      </w:r>
      <w:r>
        <w:rPr>
          <w:rFonts w:eastAsia="宋体" w:cs="Times New Roman"/>
          <w:color w:val="auto"/>
          <w:sz w:val="24"/>
          <w:szCs w:val="24"/>
          <w:highlight w:val="none"/>
        </w:rPr>
        <w:t xml:space="preserve">。</w:t>
      </w:r>
      <w:bookmarkEnd w:id="198"/>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（3）潜在迁移扩散区域（C区）</w:t>
      </w:r>
      <w:r/>
    </w:p>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根据污染运移模拟报告及调查结果，园区南区存在地下水超标，并涉及污染物垂直下渗和水平扩散至园区外的</w:t>
      </w:r>
      <w:r>
        <w:rPr>
          <w:rFonts w:hint="eastAsia" w:eastAsia="宋体" w:cs="Times New Roman"/>
          <w:color w:val="auto"/>
          <w:sz w:val="24"/>
          <w:szCs w:val="24"/>
          <w:highlight w:val="none"/>
        </w:rPr>
        <w:t xml:space="preserve">风险</w:t>
      </w:r>
      <w:r>
        <w:rPr>
          <w:rFonts w:eastAsia="宋体" w:cs="Times New Roman"/>
          <w:color w:val="auto"/>
          <w:sz w:val="24"/>
          <w:szCs w:val="24"/>
          <w:highlight w:val="none"/>
        </w:rPr>
        <w:t xml:space="preserve">。其中</w:t>
      </w:r>
      <w:r>
        <w:rPr>
          <w:rFonts w:hint="eastAsia" w:eastAsia="宋体" w:cs="Times New Roman"/>
          <w:color w:val="auto"/>
          <w:sz w:val="24"/>
          <w:szCs w:val="24"/>
          <w:highlight w:val="none"/>
        </w:rPr>
        <w:t xml:space="preserve">存在</w:t>
      </w:r>
      <w:r>
        <w:rPr>
          <w:rFonts w:eastAsia="宋体" w:cs="Times New Roman"/>
          <w:color w:val="auto"/>
          <w:sz w:val="24"/>
          <w:szCs w:val="24"/>
          <w:highlight w:val="none"/>
        </w:rPr>
        <w:t xml:space="preserve">垂直下渗</w:t>
      </w:r>
      <w:r>
        <w:rPr>
          <w:rFonts w:hint="eastAsia" w:eastAsia="宋体" w:cs="Times New Roman"/>
          <w:color w:val="auto"/>
          <w:sz w:val="24"/>
          <w:szCs w:val="24"/>
          <w:highlight w:val="none"/>
        </w:rPr>
        <w:t xml:space="preserve">风险的</w:t>
      </w:r>
      <w:r>
        <w:rPr>
          <w:rFonts w:eastAsia="宋体" w:cs="Times New Roman"/>
          <w:color w:val="auto"/>
          <w:sz w:val="24"/>
          <w:szCs w:val="24"/>
          <w:highlight w:val="none"/>
        </w:rPr>
        <w:t xml:space="preserve">区域主要位于南区，该区域潜水</w:t>
      </w:r>
      <w:r>
        <w:rPr>
          <w:rFonts w:hint="eastAsia" w:eastAsia="宋体" w:cs="Times New Roman"/>
          <w:color w:val="auto"/>
          <w:sz w:val="24"/>
          <w:szCs w:val="24"/>
          <w:highlight w:val="none"/>
        </w:rPr>
        <w:t xml:space="preserve">管控</w:t>
      </w:r>
      <w:r>
        <w:rPr>
          <w:rFonts w:eastAsia="宋体" w:cs="Times New Roman"/>
          <w:color w:val="auto"/>
          <w:sz w:val="24"/>
          <w:szCs w:val="24"/>
          <w:highlight w:val="none"/>
        </w:rPr>
        <w:t xml:space="preserve">方量暂估约</w:t>
      </w:r>
      <w:r>
        <w:rPr>
          <w:rFonts w:hint="eastAsia" w:eastAsia="宋体" w:cs="Times New Roman"/>
          <w:color w:val="auto"/>
          <w:sz w:val="24"/>
          <w:szCs w:val="24"/>
          <w:highlight w:val="none"/>
        </w:rPr>
        <w:t xml:space="preserve">124995.45</w:t>
      </w:r>
      <w:r>
        <w:rPr>
          <w:rFonts w:eastAsia="宋体" w:cs="Times New Roman"/>
          <w:color w:val="auto"/>
          <w:sz w:val="24"/>
          <w:szCs w:val="24"/>
          <w:highlight w:val="none"/>
        </w:rPr>
        <w:t xml:space="preserve"> m</w:t>
      </w:r>
      <w:r>
        <w:rPr>
          <w:rFonts w:eastAsia="宋体" w:cs="Times New Roman"/>
          <w:color w:val="auto"/>
          <w:sz w:val="24"/>
          <w:szCs w:val="24"/>
          <w:highlight w:val="none"/>
          <w:vertAlign w:val="superscript"/>
        </w:rPr>
        <w:t xml:space="preserve">3</w:t>
      </w:r>
      <w:r>
        <w:rPr>
          <w:rFonts w:eastAsia="宋体" w:cs="Times New Roman"/>
          <w:color w:val="auto"/>
          <w:sz w:val="24"/>
          <w:szCs w:val="24"/>
          <w:highlight w:val="none"/>
        </w:rPr>
        <w:t xml:space="preserve">，拟采用地下水抽出-处理（</w:t>
      </w:r>
      <w:r>
        <w:rPr>
          <w:rFonts w:hint="eastAsia" w:eastAsia="宋体" w:cs="Times New Roman"/>
          <w:color w:val="auto"/>
          <w:sz w:val="24"/>
          <w:szCs w:val="24"/>
          <w:highlight w:val="none"/>
        </w:rPr>
        <w:t xml:space="preserve">辅以微生物或化学氧化措施</w:t>
      </w:r>
      <w:r>
        <w:rPr>
          <w:rFonts w:eastAsia="宋体" w:cs="Times New Roman"/>
          <w:color w:val="auto"/>
          <w:sz w:val="24"/>
          <w:szCs w:val="24"/>
          <w:highlight w:val="none"/>
        </w:rPr>
        <w:t xml:space="preserve">）</w:t>
      </w:r>
      <w:r>
        <w:rPr>
          <w:rFonts w:hint="eastAsia" w:eastAsia="宋体" w:cs="Times New Roman"/>
          <w:color w:val="auto"/>
          <w:sz w:val="24"/>
          <w:szCs w:val="24"/>
          <w:highlight w:val="none"/>
        </w:rPr>
        <w:t xml:space="preserve">技术</w:t>
      </w:r>
      <w:r>
        <w:rPr>
          <w:rFonts w:eastAsia="宋体" w:cs="Times New Roman"/>
          <w:color w:val="auto"/>
          <w:sz w:val="24"/>
          <w:szCs w:val="24"/>
          <w:highlight w:val="none"/>
        </w:rPr>
        <w:t xml:space="preserve">进行削源。</w:t>
      </w:r>
      <w:r>
        <w:rPr>
          <w:rFonts w:hint="eastAsia" w:eastAsia="宋体" w:cs="Times New Roman"/>
          <w:color w:val="auto"/>
          <w:sz w:val="24"/>
          <w:szCs w:val="24"/>
          <w:highlight w:val="none"/>
        </w:rPr>
        <w:t xml:space="preserve">存在</w:t>
      </w:r>
      <w:r>
        <w:rPr>
          <w:rFonts w:eastAsia="宋体" w:cs="Times New Roman"/>
          <w:color w:val="auto"/>
          <w:sz w:val="24"/>
          <w:szCs w:val="24"/>
          <w:highlight w:val="none"/>
        </w:rPr>
        <w:t xml:space="preserve">水平扩散</w:t>
      </w:r>
      <w:r>
        <w:rPr>
          <w:rFonts w:hint="eastAsia" w:eastAsia="宋体" w:cs="Times New Roman"/>
          <w:color w:val="auto"/>
          <w:sz w:val="24"/>
          <w:szCs w:val="24"/>
          <w:highlight w:val="none"/>
        </w:rPr>
        <w:t xml:space="preserve">风险的</w:t>
      </w:r>
      <w:r>
        <w:rPr>
          <w:rFonts w:eastAsia="宋体" w:cs="Times New Roman"/>
          <w:color w:val="auto"/>
          <w:sz w:val="24"/>
          <w:szCs w:val="24"/>
          <w:highlight w:val="none"/>
        </w:rPr>
        <w:t xml:space="preserve">区域主要位于南区南侧边界处</w:t>
      </w:r>
      <w:r>
        <w:rPr>
          <w:rFonts w:hint="eastAsia" w:eastAsia="宋体" w:cs="Times New Roman"/>
          <w:color w:val="auto"/>
          <w:sz w:val="24"/>
          <w:szCs w:val="24"/>
          <w:highlight w:val="none"/>
        </w:rPr>
        <w:t xml:space="preserve">，</w:t>
      </w:r>
      <w:bookmarkStart w:id="199" w:name="_Hlk219365462"/>
      <w:r>
        <w:rPr>
          <w:rFonts w:hint="eastAsia" w:eastAsia="宋体" w:cs="Times New Roman"/>
          <w:color w:val="auto"/>
          <w:sz w:val="24"/>
          <w:szCs w:val="24"/>
          <w:highlight w:val="none"/>
        </w:rPr>
        <w:t xml:space="preserve">纳入A区进行</w:t>
      </w:r>
      <w:r>
        <w:rPr>
          <w:rFonts w:eastAsia="宋体" w:cs="Times New Roman"/>
          <w:color w:val="auto"/>
          <w:sz w:val="24"/>
          <w:szCs w:val="24"/>
          <w:highlight w:val="none"/>
        </w:rPr>
        <w:t xml:space="preserve">长期监测</w:t>
      </w:r>
      <w:bookmarkEnd w:id="199"/>
      <w:r>
        <w:rPr>
          <w:rFonts w:hint="eastAsia" w:eastAsia="宋体" w:cs="Times New Roman"/>
          <w:color w:val="auto"/>
          <w:sz w:val="24"/>
          <w:szCs w:val="24"/>
          <w:highlight w:val="none"/>
        </w:rPr>
        <w:t xml:space="preserve">。</w:t>
      </w:r>
      <w:r/>
    </w:p>
    <w:p>
      <w:pPr>
        <w:pStyle w:val="881"/>
        <w:ind w:firstLine="0"/>
        <w:keepLines w:val="0"/>
        <w:keepNext w:val="0"/>
        <w:pageBreakBefore w:val="0"/>
        <w:spacing w:line="360" w:lineRule="auto"/>
        <w:widowControl w:val="off"/>
        <w:rPr>
          <w:rFonts w:eastAsia="宋体" w:cs="Times New Roman"/>
          <w:b/>
          <w:bCs/>
          <w:color w:val="auto"/>
          <w:sz w:val="24"/>
          <w:szCs w:val="24"/>
          <w:highlight w:val="none"/>
        </w:rPr>
      </w:pPr>
      <w:r/>
      <w:bookmarkStart w:id="200" w:name="_Toc218630900"/>
      <w:r>
        <w:rPr>
          <w:rFonts w:eastAsia="宋体" w:cs="Times New Roman"/>
          <w:b/>
          <w:bCs/>
          <w:color w:val="auto"/>
          <w:sz w:val="24"/>
          <w:szCs w:val="24"/>
          <w:highlight w:val="none"/>
        </w:rPr>
        <w:t xml:space="preserve">（</w:t>
      </w:r>
      <w:r>
        <w:rPr>
          <w:rFonts w:hint="eastAsia" w:eastAsia="宋体" w:cs="Times New Roman"/>
          <w:b/>
          <w:bCs/>
          <w:color w:val="auto"/>
          <w:sz w:val="24"/>
          <w:szCs w:val="24"/>
          <w:highlight w:val="none"/>
        </w:rPr>
        <w:t xml:space="preserve">五</w:t>
      </w:r>
      <w:r>
        <w:rPr>
          <w:rFonts w:eastAsia="宋体" w:cs="Times New Roman"/>
          <w:b/>
          <w:bCs/>
          <w:color w:val="auto"/>
          <w:sz w:val="24"/>
          <w:szCs w:val="24"/>
          <w:highlight w:val="none"/>
        </w:rPr>
        <w:t xml:space="preserve">）风险管控范围</w:t>
      </w:r>
      <w:bookmarkEnd w:id="200"/>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（1）A区</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监测点位：针对A区40个点位设置长期监测井（2口微承压水井，38口潜水井，可利旧改造），动态监测地下水中超标污染物浓度变化及污染趋势。</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监测频次：风险管控服务期间，地下水监测频次不少于一年两次，两次间隔时间大于2个月。当出现风险管控效果低于预期，局部区域修复和风险管控失效、污染扩散等不利情况，应适当提高监测频次。具体监测周期根据当地环境管理部门要求进行实时调整。</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监测指标：氨氮、挥发性酚类、氟化物、铜、汞、砷、镉、镍、钡、锑、钴、三氯甲烷、四氯化碳、1,1,2,2-四氯乙烷、1,1,2-三氯乙烷、1,1-二氯乙烷、1,2,3-三氯丙烷、1,2</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二氯苯、1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2-二氯丙烷、1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2-二氯乙烷、二氯甲烷、反-1,2-二氯乙烯氯苯、氯丁二烯、氯乙烯、三氯乙烯、顺-1,2-二氯乙烯、四氯乙烯、六氯苯、1,4-二氯苯、苯、甲苯、二甲苯、乙苯、苯乙烯、2,4-二氯酚、2,4,6-三氯苯酚、五氯酚、石油烃(C</w:t>
      </w:r>
      <w:r>
        <w:rPr>
          <w:rFonts w:ascii="Times New Roman" w:hAnsi="Times New Roman" w:eastAsia="宋体" w:cs="Times New Roman"/>
          <w:color w:val="auto"/>
          <w:sz w:val="24"/>
          <w:szCs w:val="24"/>
          <w:highlight w:val="none"/>
          <w:vertAlign w:val="subscript"/>
        </w:rPr>
        <w:t xml:space="preserve">10</w:t>
      </w:r>
      <w:r>
        <w:rPr>
          <w:rFonts w:ascii="Times New Roman" w:hAnsi="Times New Roman" w:eastAsia="宋体" w:cs="Times New Roman"/>
          <w:color w:val="auto"/>
          <w:sz w:val="24"/>
          <w:szCs w:val="24"/>
          <w:highlight w:val="none"/>
        </w:rPr>
        <w:t xml:space="preserve">-C</w:t>
      </w:r>
      <w:r>
        <w:rPr>
          <w:rFonts w:ascii="Times New Roman" w:hAnsi="Times New Roman" w:eastAsia="宋体" w:cs="Times New Roman"/>
          <w:color w:val="auto"/>
          <w:sz w:val="24"/>
          <w:szCs w:val="24"/>
          <w:highlight w:val="none"/>
          <w:vertAlign w:val="subscript"/>
        </w:rPr>
        <w:t xml:space="preserve">40</w:t>
      </w:r>
      <w:r>
        <w:rPr>
          <w:rFonts w:ascii="Times New Roman" w:hAnsi="Times New Roman" w:eastAsia="宋体" w:cs="Times New Roman"/>
          <w:color w:val="auto"/>
          <w:sz w:val="24"/>
          <w:szCs w:val="24"/>
          <w:highlight w:val="none"/>
        </w:rPr>
        <w:t xml:space="preserve">)、丙烯腈、2,6-二硝基甲苯等42项及GB/T14848-2017中表1推荐指标（微生物和放射性指标除外）。</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监测要求：统计地下水中关注污染物浓度，总结污染物浓度变化特征。若监控地下水中污染物浓度稳定或持续下降，则判断地下水污染扩散得到控制；若污染物检出浓度出现猛增或连续三次监测污染物检出浓度持续上升，则判断为污染扩散，应根据监测结果进行动态调整，及时查找污染扩散的原因，优化监测方案。</w:t>
      </w:r>
      <w:r/>
    </w:p>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eastAsia="宋体" w:cs="Times New Roman"/>
          <w:color w:val="auto"/>
          <w:sz w:val="24"/>
          <w:szCs w:val="24"/>
          <w:highlight w:val="none"/>
        </w:rPr>
        <mc:AlternateContent>
          <mc:Choice Requires="wpg">
            <w:drawing>
              <wp:inline xmlns:wp="http://schemas.openxmlformats.org/drawingml/2006/wordprocessingDrawing" distT="0" distB="0" distL="0" distR="0">
                <wp:extent cx="5039995" cy="6133465"/>
                <wp:effectExtent l="0" t="0" r="825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61789" name="图片 2"/>
                        <pic:cNvPicPr>
                          <a:picLocks noChangeAspect="1"/>
                        </pic:cNvPicPr>
                        <pic:nvPr/>
                      </pic:nvPicPr>
                      <pic:blipFill>
                        <a:blip r:embed="rId12"/>
                        <a:stretch/>
                      </pic:blipFill>
                      <pic:spPr bwMode="auto">
                        <a:xfrm>
                          <a:off x="0" y="0"/>
                          <a:ext cx="5040000" cy="61334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8pt;height:482.9pt;mso-wrap-distance-left:0.0pt;mso-wrap-distance-top:0.0pt;mso-wrap-distance-right:0.0pt;mso-wrap-distance-bottom:0.0pt;" stroked="f">
                <v:path textboxrect="0,0,0,0"/>
                <v:imagedata r:id="rId12" o:title=""/>
              </v:shape>
            </w:pict>
          </mc:Fallback>
        </mc:AlternateConten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图1 长期监测点位</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（2）B区</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bookmarkStart w:id="201" w:name="OLE_LINK14"/>
      <w:r>
        <w:rPr>
          <w:rFonts w:ascii="Cambria Math" w:hAnsi="Cambria Math" w:eastAsia="宋体" w:cs="Cambria Math"/>
          <w:color w:val="auto"/>
          <w:sz w:val="24"/>
          <w:szCs w:val="24"/>
          <w:highlight w:val="none"/>
        </w:rPr>
        <w:t xml:space="preserve">①</w:t>
      </w:r>
      <w:r>
        <w:rPr>
          <w:rFonts w:ascii="Times New Roman" w:hAnsi="Times New Roman" w:eastAsia="宋体" w:cs="Times New Roman"/>
          <w:color w:val="auto"/>
          <w:sz w:val="24"/>
          <w:szCs w:val="24"/>
          <w:highlight w:val="none"/>
        </w:rPr>
        <w:t xml:space="preserve">公共区域土壤污染治理或管控范围</w:t>
      </w:r>
      <w:bookmarkEnd w:id="201"/>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园区公共区域土壤治理目标污染物共9种，分别为砷、钴、苯、氯乙烯、1,2-二氯乙烷、1,1,2-三氯乙烷、乙苯、苯并(b)荧蒽、苯并(a)芘，涉及8个点位，土壤最大治理深度8m，总方量为</w:t>
      </w:r>
      <w:bookmarkStart w:id="202" w:name="OLE_LINK13"/>
      <w:r>
        <w:rPr>
          <w:rFonts w:ascii="Times New Roman" w:hAnsi="Times New Roman" w:eastAsia="宋体" w:cs="Times New Roman"/>
          <w:color w:val="auto"/>
          <w:sz w:val="24"/>
          <w:szCs w:val="24"/>
          <w:highlight w:val="none"/>
        </w:rPr>
        <w:t xml:space="preserve">19452.68 </w:t>
      </w:r>
      <w:bookmarkEnd w:id="202"/>
      <w:r>
        <w:rPr>
          <w:rFonts w:ascii="Times New Roman" w:hAnsi="Times New Roman" w:eastAsia="宋体" w:cs="Times New Roman"/>
          <w:color w:val="auto"/>
          <w:sz w:val="24"/>
          <w:szCs w:val="24"/>
          <w:highlight w:val="none"/>
        </w:rPr>
        <w:t xml:space="preserve">m</w:t>
      </w:r>
      <w:r>
        <w:rPr>
          <w:rFonts w:ascii="Times New Roman" w:hAnsi="Times New Roman" w:eastAsia="宋体" w:cs="Times New Roman"/>
          <w:color w:val="auto"/>
          <w:sz w:val="24"/>
          <w:szCs w:val="24"/>
          <w:highlight w:val="none"/>
          <w:vertAlign w:val="superscript"/>
        </w:rPr>
        <w:t xml:space="preserve">3</w:t>
      </w:r>
      <w:r>
        <w:rPr>
          <w:rFonts w:ascii="Times New Roman" w:hAnsi="Times New Roman" w:eastAsia="宋体" w:cs="Times New Roman"/>
          <w:color w:val="auto"/>
          <w:sz w:val="24"/>
          <w:szCs w:val="24"/>
          <w:highlight w:val="none"/>
        </w:rPr>
        <w:t xml:space="preserve">，各点位基本信息详见下图和下表。拟针对有机污染土壤拟采用原位化学氧化技术进行治理，针对重金属污染土壤、拟采用原位固化稳定化技术进行风险管控。因各点位多位于园区公共区域（如空地、绿化带等），地下管线密布，施工前需做好管线踏勘和相关管理方协调工作，施工过程中需采用扰动相对较小的施工工法，施工完成后需将地表恢复至原状。</w:t>
      </w:r>
      <w:r/>
    </w:p>
    <w:p>
      <w:pPr>
        <w:pStyle w:val="881"/>
        <w:ind w:firstLine="0"/>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表1 B区土壤治理或管控区域</w:t>
      </w:r>
      <w:r/>
    </w:p>
    <w:tbl>
      <w:tblPr>
        <w:tblStyle w:val="871"/>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2277"/>
        <w:gridCol w:w="1747"/>
        <w:gridCol w:w="1602"/>
        <w:gridCol w:w="1684"/>
      </w:tblGrid>
      <w:tr>
        <w:trPr>
          <w:jc w:val="center"/>
          <w:trHeight w:val="567"/>
          <w:tblHeader/>
        </w:trPr>
        <w:tc>
          <w:tcPr>
            <w:tcW w:w="711" w:type="pct"/>
            <w:vAlign w:val="center"/>
            <w:textDirection w:val="lrTb"/>
            <w:noWrap/>
          </w:tcPr>
          <w:p>
            <w:pPr>
              <w:pStyle w:val="884"/>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区域编号</w:t>
            </w:r>
            <w:r/>
          </w:p>
        </w:tc>
        <w:tc>
          <w:tcPr>
            <w:tcW w:w="1336" w:type="pct"/>
            <w:vAlign w:val="center"/>
            <w:textDirection w:val="lrTb"/>
            <w:noWrap/>
          </w:tcPr>
          <w:p>
            <w:pPr>
              <w:pStyle w:val="884"/>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超标指标</w:t>
            </w:r>
            <w:r/>
          </w:p>
        </w:tc>
        <w:tc>
          <w:tcPr>
            <w:tcW w:w="1025" w:type="pct"/>
            <w:vAlign w:val="center"/>
            <w:textDirection w:val="lrTb"/>
            <w:noWrap/>
          </w:tcPr>
          <w:p>
            <w:pPr>
              <w:pStyle w:val="884"/>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面积（m</w:t>
            </w:r>
            <w:r>
              <w:rPr>
                <w:rFonts w:eastAsia="宋体"/>
                <w:color w:val="auto"/>
                <w:sz w:val="24"/>
                <w:szCs w:val="24"/>
                <w:highlight w:val="none"/>
                <w:vertAlign w:val="superscript"/>
              </w:rPr>
              <w:t xml:space="preserve">2</w:t>
            </w:r>
            <w:r>
              <w:rPr>
                <w:rFonts w:eastAsia="宋体"/>
                <w:color w:val="auto"/>
                <w:sz w:val="24"/>
                <w:szCs w:val="24"/>
                <w:highlight w:val="none"/>
              </w:rPr>
              <w:t xml:space="preserve">）</w:t>
            </w:r>
            <w:r/>
          </w:p>
        </w:tc>
        <w:tc>
          <w:tcPr>
            <w:tcW w:w="940" w:type="pct"/>
            <w:vAlign w:val="center"/>
            <w:textDirection w:val="lrTb"/>
            <w:noWrap w:val="false"/>
          </w:tcPr>
          <w:p>
            <w:pPr>
              <w:pStyle w:val="884"/>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深度（m）</w:t>
            </w:r>
            <w:r/>
          </w:p>
        </w:tc>
        <w:tc>
          <w:tcPr>
            <w:tcW w:w="988" w:type="pct"/>
            <w:vAlign w:val="center"/>
            <w:textDirection w:val="lrTb"/>
            <w:noWrap w:val="false"/>
          </w:tcPr>
          <w:p>
            <w:pPr>
              <w:pStyle w:val="884"/>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方量（m</w:t>
            </w:r>
            <w:r>
              <w:rPr>
                <w:rFonts w:eastAsia="宋体"/>
                <w:color w:val="auto"/>
                <w:sz w:val="24"/>
                <w:szCs w:val="24"/>
                <w:highlight w:val="none"/>
                <w:vertAlign w:val="superscript"/>
              </w:rPr>
              <w:t xml:space="preserve">3</w:t>
            </w:r>
            <w:r>
              <w:rPr>
                <w:rFonts w:eastAsia="宋体"/>
                <w:color w:val="auto"/>
                <w:sz w:val="24"/>
                <w:szCs w:val="24"/>
                <w:highlight w:val="none"/>
              </w:rPr>
              <w:t xml:space="preserve">）</w:t>
            </w:r>
            <w:r/>
          </w:p>
        </w:tc>
      </w:tr>
      <w:tr>
        <w:trPr>
          <w:jc w:val="center"/>
          <w:trHeight w:val="764"/>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T1</w:t>
            </w:r>
            <w:r/>
          </w:p>
        </w:tc>
        <w:tc>
          <w:tcPr>
            <w:tcW w:w="1336"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苯并(b)荧蒽、苯并(a)芘</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1497.65</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0-2</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2995.30</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T2</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钴</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1429.62</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5-8</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4288.86</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T3</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砷</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1480.12</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0-2</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2960.24</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T4</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钴</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1024.90</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0-2</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2049.80</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T5</w:t>
            </w:r>
            <w:r/>
          </w:p>
        </w:tc>
        <w:tc>
          <w:tcPr>
            <w:tcW w:w="1336"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氯乙烯、1,2-二氯乙烷、1,1,2-三氯乙烷、乙苯</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1531.26</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0-2</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3062.52</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T6</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苯</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630.54</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2-4</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1261.08</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T7</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砷</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519.68</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0-4</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2078.72</w:t>
            </w:r>
            <w:r/>
          </w:p>
        </w:tc>
      </w:tr>
      <w:tr>
        <w:trPr>
          <w:jc w:val="center"/>
          <w:trHeight w:val="567"/>
        </w:trPr>
        <w:tc>
          <w:tcPr>
            <w:tcW w:w="711"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T8</w:t>
            </w:r>
            <w:r/>
          </w:p>
        </w:tc>
        <w:tc>
          <w:tcPr>
            <w:tcW w:w="1336"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砷</w:t>
            </w:r>
            <w:r/>
          </w:p>
        </w:tc>
        <w:tc>
          <w:tcPr>
            <w:tcW w:w="1025"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378.08</w:t>
            </w:r>
            <w:r/>
          </w:p>
        </w:tc>
        <w:tc>
          <w:tcPr>
            <w:tcW w:w="940"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0-2</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756.16</w:t>
            </w:r>
            <w:r/>
          </w:p>
        </w:tc>
      </w:tr>
      <w:tr>
        <w:trPr>
          <w:jc w:val="center"/>
          <w:trHeight w:val="567"/>
        </w:trPr>
        <w:tc>
          <w:tcPr>
            <w:gridSpan w:val="4"/>
            <w:tcW w:w="4012" w:type="pct"/>
            <w:vAlign w:val="center"/>
            <w:textDirection w:val="lrTb"/>
            <w:noWrap/>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合计</w:t>
            </w:r>
            <w:r/>
          </w:p>
        </w:tc>
        <w:tc>
          <w:tcPr>
            <w:tcW w:w="988" w:type="pct"/>
            <w:vAlign w:val="center"/>
            <w:textDirection w:val="lrTb"/>
            <w:noWrap w:val="false"/>
          </w:tcPr>
          <w:p>
            <w:pPr>
              <w:pStyle w:val="865"/>
              <w:ind w:firstLine="0"/>
              <w:jc w:val="center"/>
              <w:keepLines w:val="0"/>
              <w:keepNext w:val="0"/>
              <w:pageBreakBefore w:val="0"/>
              <w:spacing w:line="360" w:lineRule="auto"/>
              <w:widowControl w:val="off"/>
              <w:rPr>
                <w:rFonts w:ascii="Times New Roman"/>
                <w:color w:val="auto"/>
                <w:sz w:val="24"/>
                <w:szCs w:val="24"/>
                <w:highlight w:val="none"/>
              </w:rPr>
            </w:pPr>
            <w:r>
              <w:rPr>
                <w:rFonts w:ascii="Times New Roman"/>
                <w:color w:val="auto"/>
                <w:sz w:val="24"/>
                <w:szCs w:val="24"/>
                <w:highlight w:val="none"/>
              </w:rPr>
              <w:t xml:space="preserve">19452.68</w:t>
            </w:r>
            <w:r/>
          </w:p>
        </w:tc>
      </w:tr>
    </w:tbl>
    <w:p>
      <w:pPr>
        <w:ind w:firstLine="560"/>
        <w:keepLines w:val="0"/>
        <w:keepNext w:val="0"/>
        <w:pageBreakBefore w:val="0"/>
        <w:spacing w:line="360" w:lineRule="auto"/>
        <w:widowControl w:val="off"/>
        <w:rPr>
          <w:rFonts w:ascii="Times New Roman" w:hAnsi="Times New Roman" w:eastAsia="宋体" w:cs="Times New Roman"/>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s="Times New Roman"/>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olor w:val="auto"/>
          <w:sz w:val="24"/>
          <w:szCs w:val="24"/>
          <w:highlight w:val="none"/>
        </w:rPr>
        <mc:AlternateContent>
          <mc:Choice Requires="wpg">
            <w:drawing>
              <wp:inline xmlns:wp="http://schemas.openxmlformats.org/drawingml/2006/wordprocessingDrawing" distT="0" distB="0" distL="0" distR="0">
                <wp:extent cx="8350885" cy="4668520"/>
                <wp:effectExtent l="0" t="0" r="12065" b="177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31617" name="图片 3"/>
                        <pic:cNvPicPr>
                          <a:picLocks noChangeAspect="1"/>
                        </pic:cNvPicPr>
                        <pic:nvPr/>
                      </pic:nvPicPr>
                      <pic:blipFill>
                        <a:blip r:embed="rId13"/>
                        <a:stretch/>
                      </pic:blipFill>
                      <pic:spPr bwMode="auto">
                        <a:xfrm>
                          <a:off x="0" y="0"/>
                          <a:ext cx="8357227" cy="4672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57.5pt;height:367.6pt;mso-wrap-distance-left:0.0pt;mso-wrap-distance-top:0.0pt;mso-wrap-distance-right:0.0pt;mso-wrap-distance-bottom:0.0pt;" stroked="f">
                <v:path textboxrect="0,0,0,0"/>
                <v:imagedata r:id="rId13" o:title=""/>
              </v:shape>
            </w:pict>
          </mc:Fallback>
        </mc:AlternateContent>
      </w:r>
      <w:r>
        <w:rPr>
          <w:rFonts w:eastAsia="宋体" w:cs="Times New Roman"/>
          <w:b/>
          <w:bCs/>
          <w:color w:val="auto"/>
          <w:sz w:val="24"/>
          <w:szCs w:val="24"/>
          <w:highlight w:val="none"/>
        </w:rPr>
        <w:t xml:space="preserve">图</w:t>
      </w:r>
      <w:r>
        <w:rPr>
          <w:rFonts w:hint="eastAsia" w:eastAsia="宋体" w:cs="Times New Roman"/>
          <w:b/>
          <w:bCs/>
          <w:color w:val="auto"/>
          <w:sz w:val="24"/>
          <w:szCs w:val="24"/>
          <w:highlight w:val="none"/>
          <w:lang w:eastAsia="zh-CN"/>
        </w:rPr>
        <w:t xml:space="preserve">图</w:t>
      </w:r>
      <w:r>
        <w:rPr>
          <w:rFonts w:eastAsia="宋体" w:cs="Times New Roman"/>
          <w:b/>
          <w:bCs/>
          <w:color w:val="auto"/>
          <w:sz w:val="24"/>
          <w:szCs w:val="24"/>
          <w:highlight w:val="none"/>
        </w:rPr>
        <w:t xml:space="preserve">2 </w:t>
      </w:r>
      <w:r>
        <w:rPr>
          <w:rFonts w:hint="eastAsia" w:eastAsia="宋体" w:cs="Times New Roman"/>
          <w:b/>
          <w:bCs/>
          <w:color w:val="auto"/>
          <w:sz w:val="24"/>
          <w:szCs w:val="24"/>
          <w:highlight w:val="none"/>
        </w:rPr>
        <w:t xml:space="preserve">有机污染</w:t>
      </w:r>
      <w:r>
        <w:rPr>
          <w:rFonts w:eastAsia="宋体" w:cs="Times New Roman"/>
          <w:b/>
          <w:bCs/>
          <w:color w:val="auto"/>
          <w:sz w:val="24"/>
          <w:szCs w:val="24"/>
          <w:highlight w:val="none"/>
        </w:rPr>
        <w:t xml:space="preserve">土壤治理区域T1</w:t>
      </w:r>
      <w:r>
        <w:rPr>
          <w:rFonts w:hint="eastAsia" w:eastAsia="宋体" w:cs="Times New Roman"/>
          <w:b/>
          <w:bCs/>
          <w:color w:val="auto"/>
          <w:sz w:val="24"/>
          <w:szCs w:val="24"/>
          <w:highlight w:val="none"/>
        </w:rPr>
        <w:t xml:space="preserve">、T5、T6</w:t>
      </w:r>
      <w:r/>
    </w:p>
    <w:p>
      <w:pPr>
        <w:ind w:firstLine="560"/>
        <w:keepLines w:val="0"/>
        <w:keepNext w:val="0"/>
        <w:pageBreakBefore w:val="0"/>
        <w:spacing w:line="360" w:lineRule="auto"/>
        <w:widowControl w:val="off"/>
        <w:rPr>
          <w:rFonts w:ascii="Times New Roman" w:hAnsi="Times New Roman" w:eastAsia="宋体" w:cs="Times New Roman"/>
          <w:color w:val="auto"/>
          <w:sz w:val="24"/>
          <w:szCs w:val="24"/>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ascii="Times New Roman" w:hAnsi="Times New Roman" w:eastAsia="宋体" w:cs="Times New Roman"/>
          <w:color w:val="auto"/>
          <w:sz w:val="24"/>
          <w:szCs w:val="24"/>
          <w:highlight w:val="none"/>
        </w:rPr>
      </w:r>
      <w:r/>
    </w:p>
    <w:p>
      <w:pPr>
        <w:pStyle w:val="881"/>
        <w:ind w:firstLine="562"/>
        <w:jc w:val="center"/>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mc:AlternateContent>
          <mc:Choice Requires="wpg">
            <w:drawing>
              <wp:inline xmlns:wp="http://schemas.openxmlformats.org/drawingml/2006/wordprocessingDrawing" distT="0" distB="0" distL="0" distR="0">
                <wp:extent cx="7902575" cy="4785360"/>
                <wp:effectExtent l="0" t="0" r="3175" b="152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55853" name="图片 4"/>
                        <pic:cNvPicPr>
                          <a:picLocks noChangeAspect="1"/>
                        </pic:cNvPicPr>
                        <pic:nvPr/>
                      </pic:nvPicPr>
                      <pic:blipFill>
                        <a:blip r:embed="rId14"/>
                        <a:stretch/>
                      </pic:blipFill>
                      <pic:spPr bwMode="auto">
                        <a:xfrm>
                          <a:off x="0" y="0"/>
                          <a:ext cx="7911224" cy="4790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2pt;height:376.8pt;mso-wrap-distance-left:0.0pt;mso-wrap-distance-top:0.0pt;mso-wrap-distance-right:0.0pt;mso-wrap-distance-bottom:0.0pt;" stroked="f">
                <v:path textboxrect="0,0,0,0"/>
                <v:imagedata r:id="rId14" o:title=""/>
              </v:shape>
            </w:pict>
          </mc:Fallback>
        </mc:AlternateConten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5843270</wp:posOffset>
                </wp:positionH>
                <wp:positionV relativeFrom="paragraph">
                  <wp:posOffset>671195</wp:posOffset>
                </wp:positionV>
                <wp:extent cx="1494790" cy="572770"/>
                <wp:effectExtent l="0" t="0" r="10160" b="17780"/>
                <wp:wrapNone/>
                <wp:docPr id="5" name="文本框 27"/>
                <wp:cNvGraphicFramePr/>
                <a:graphic xmlns:a="http://schemas.openxmlformats.org/drawingml/2006/main">
                  <a:graphicData uri="http://schemas.microsoft.com/office/word/2010/wordprocessingShape">
                    <wps:wsp>
                      <wps:cNvPr id="0" name=""/>
                      <wps:cNvSpPr txBox="1"/>
                      <wps:spPr bwMode="auto">
                        <a:xfrm>
                          <a:off x="0" y="0"/>
                          <a:ext cx="1494845" cy="572494"/>
                        </a:xfrm>
                        <a:prstGeom prst="rect">
                          <a:avLst/>
                        </a:prstGeom>
                        <a:solidFill>
                          <a:schemeClr val="lt1"/>
                        </a:solidFill>
                        <a:ln w="6350">
                          <a:noFill/>
                        </a:ln>
                      </wps:spPr>
                      <wps:txbx>
                        <w:txbxContent>
                          <w:p>
                            <w:pPr>
                              <w:rPr>
                                <w:rFonts w:hint="eastAsia"/>
                              </w:rPr>
                            </w:pPr>
                            <w:r>
                              <w:rPr>
                                <w:rFonts w:hint="eastAsia"/>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text;margin-left:460.1pt;mso-position-horizontal:absolute;mso-position-vertical-relative:text;margin-top:52.8pt;mso-position-vertical:absolute;width:117.7pt;height:45.1pt;mso-wrap-distance-left:9.0pt;mso-wrap-distance-top:0.0pt;mso-wrap-distance-right:9.0pt;mso-wrap-distance-bottom:0.0pt;v-text-anchor:top;visibility:visible;" fillcolor="#FFFFFF" stroked="f" strokeweight="0.50pt">
                <v:textbox inset="0,0,0,0">
                  <w:txbxContent>
                    <w:p>
                      <w:pPr>
                        <w:rPr>
                          <w:rFonts w:hint="eastAsia"/>
                        </w:rPr>
                      </w:pPr>
                      <w:r>
                        <w:rPr>
                          <w:rFonts w:hint="eastAsia"/>
                        </w:rPr>
                      </w:r>
                      <w:r/>
                    </w:p>
                  </w:txbxContent>
                </v:textbox>
              </v:shape>
            </w:pict>
          </mc:Fallback>
        </mc:AlternateContent>
      </w:r>
      <w:r>
        <w:rPr>
          <w:rFonts w:eastAsia="宋体" w:cs="Times New Roman"/>
          <w:b/>
          <w:bCs/>
          <w:color w:val="auto"/>
          <w:sz w:val="24"/>
          <w:szCs w:val="24"/>
          <w:highlight w:val="none"/>
        </w:rPr>
        <w:t xml:space="preserve">图3 </w:t>
      </w:r>
      <w:r>
        <w:rPr>
          <w:rFonts w:hint="eastAsia" w:eastAsia="宋体" w:cs="Times New Roman"/>
          <w:b/>
          <w:bCs/>
          <w:color w:val="auto"/>
          <w:sz w:val="24"/>
          <w:szCs w:val="24"/>
          <w:highlight w:val="none"/>
        </w:rPr>
        <w:t xml:space="preserve">重金属污染</w:t>
      </w:r>
      <w:r>
        <w:rPr>
          <w:rFonts w:eastAsia="宋体" w:cs="Times New Roman"/>
          <w:b/>
          <w:bCs/>
          <w:color w:val="auto"/>
          <w:sz w:val="24"/>
          <w:szCs w:val="24"/>
          <w:highlight w:val="none"/>
        </w:rPr>
        <w:t xml:space="preserve">土壤治理区域T2</w:t>
      </w:r>
      <w:r>
        <w:rPr>
          <w:rFonts w:hint="eastAsia" w:eastAsia="宋体" w:cs="Times New Roman"/>
          <w:b/>
          <w:bCs/>
          <w:color w:val="auto"/>
          <w:sz w:val="24"/>
          <w:szCs w:val="24"/>
          <w:highlight w:val="none"/>
        </w:rPr>
        <w:t xml:space="preserve">、T3、T4、T7、T8</w:t>
      </w:r>
      <w:r/>
    </w:p>
    <w:p>
      <w:pPr>
        <w:ind w:firstLine="560"/>
        <w:keepLines w:val="0"/>
        <w:keepNext w:val="0"/>
        <w:pageBreakBefore w:val="0"/>
        <w:spacing w:line="360" w:lineRule="auto"/>
        <w:widowControl w:val="off"/>
        <w:rPr>
          <w:rFonts w:ascii="Times New Roman" w:hAnsi="Times New Roman" w:eastAsia="宋体" w:cs="Times New Roman"/>
          <w:color w:val="auto"/>
          <w:sz w:val="24"/>
          <w:szCs w:val="24"/>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ascii="Times New Roman" w:hAnsi="Times New Roman" w:eastAsia="宋体" w:cs="Times New Roman"/>
          <w:color w:val="auto"/>
          <w:sz w:val="24"/>
          <w:szCs w:val="24"/>
          <w:highlight w:val="none"/>
        </w:rPr>
      </w:r>
      <w:r/>
    </w:p>
    <w:p>
      <w:pPr>
        <w:pStyle w:val="870"/>
        <w:ind w:firstLine="480"/>
        <w:jc w:val="both"/>
        <w:pageBreakBefore w:val="0"/>
        <w:spacing w:beforeAutospacing="0" w:afterAutospacing="0" w:line="360" w:lineRule="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ind w:firstLine="56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Cambria Math" w:hAnsi="Cambria Math" w:eastAsia="宋体" w:cs="Cambria Math"/>
          <w:color w:val="auto"/>
          <w:sz w:val="24"/>
          <w:szCs w:val="24"/>
          <w:highlight w:val="none"/>
        </w:rPr>
        <w:t xml:space="preserve">②</w:t>
      </w:r>
      <w:r>
        <w:rPr>
          <w:rFonts w:ascii="Times New Roman" w:hAnsi="Times New Roman" w:eastAsia="宋体" w:cs="Times New Roman"/>
          <w:color w:val="auto"/>
          <w:sz w:val="24"/>
          <w:szCs w:val="24"/>
          <w:highlight w:val="none"/>
        </w:rPr>
        <w:t xml:space="preserve">公共区域地下水管控范围</w:t>
      </w:r>
      <w:r/>
    </w:p>
    <w:p>
      <w:pPr>
        <w:ind w:firstLine="562"/>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本园区公共区域潜水</w:t>
      </w:r>
      <w:r>
        <w:rPr>
          <w:rFonts w:hint="eastAsia" w:ascii="Times New Roman" w:hAnsi="Times New Roman" w:eastAsia="宋体" w:cs="Times New Roman"/>
          <w:color w:val="auto"/>
          <w:sz w:val="24"/>
          <w:szCs w:val="24"/>
          <w:highlight w:val="none"/>
        </w:rPr>
        <w:t xml:space="preserve">治理</w:t>
      </w:r>
      <w:r>
        <w:rPr>
          <w:rFonts w:ascii="Times New Roman" w:hAnsi="Times New Roman" w:eastAsia="宋体" w:cs="Times New Roman"/>
          <w:color w:val="auto"/>
          <w:sz w:val="24"/>
          <w:szCs w:val="24"/>
          <w:highlight w:val="none"/>
        </w:rPr>
        <w:t xml:space="preserve">目标污染物4种，分别为三氯甲烷、丙烯腈、1,2-二氯乙烷、氯乙烯，涉及5个点位，各点位基本信息详见下图和下表。潜水</w:t>
      </w:r>
      <w:r>
        <w:rPr>
          <w:rFonts w:hint="eastAsia" w:ascii="Times New Roman" w:hAnsi="Times New Roman" w:eastAsia="宋体" w:cs="Times New Roman"/>
          <w:color w:val="auto"/>
          <w:sz w:val="24"/>
          <w:szCs w:val="24"/>
          <w:highlight w:val="none"/>
        </w:rPr>
        <w:t xml:space="preserve">治理</w:t>
      </w:r>
      <w:r>
        <w:rPr>
          <w:rFonts w:ascii="Times New Roman" w:hAnsi="Times New Roman" w:eastAsia="宋体" w:cs="Times New Roman"/>
          <w:color w:val="auto"/>
          <w:sz w:val="24"/>
          <w:szCs w:val="24"/>
          <w:highlight w:val="none"/>
        </w:rPr>
        <w:t xml:space="preserve">总面积约为7316.13m</w:t>
      </w:r>
      <w:r>
        <w:rPr>
          <w:rFonts w:ascii="Times New Roman" w:hAnsi="Times New Roman" w:eastAsia="宋体" w:cs="Times New Roman"/>
          <w:color w:val="auto"/>
          <w:sz w:val="24"/>
          <w:szCs w:val="24"/>
          <w:highlight w:val="none"/>
          <w:vertAlign w:val="superscript"/>
        </w:rPr>
        <w:t xml:space="preserve">2</w:t>
      </w:r>
      <w:r>
        <w:rPr>
          <w:rFonts w:ascii="Times New Roman" w:hAnsi="Times New Roman" w:eastAsia="宋体" w:cs="Times New Roman"/>
          <w:color w:val="auto"/>
          <w:sz w:val="24"/>
          <w:szCs w:val="24"/>
          <w:highlight w:val="none"/>
        </w:rPr>
        <w:t xml:space="preserve">，暂估潜水</w:t>
      </w:r>
      <w:r>
        <w:rPr>
          <w:rFonts w:hint="eastAsia" w:ascii="Times New Roman" w:hAnsi="Times New Roman" w:eastAsia="宋体" w:cs="Times New Roman"/>
          <w:color w:val="auto"/>
          <w:sz w:val="24"/>
          <w:szCs w:val="24"/>
          <w:highlight w:val="none"/>
        </w:rPr>
        <w:t xml:space="preserve">治理</w:t>
      </w:r>
      <w:r>
        <w:rPr>
          <w:rFonts w:ascii="Times New Roman" w:hAnsi="Times New Roman" w:eastAsia="宋体" w:cs="Times New Roman"/>
          <w:color w:val="auto"/>
          <w:sz w:val="24"/>
          <w:szCs w:val="24"/>
          <w:highlight w:val="none"/>
        </w:rPr>
        <w:t xml:space="preserve">方量为6022.64m</w:t>
      </w:r>
      <w:r>
        <w:rPr>
          <w:rFonts w:ascii="Times New Roman" w:hAnsi="Times New Roman" w:eastAsia="宋体" w:cs="Times New Roman"/>
          <w:color w:val="auto"/>
          <w:sz w:val="24"/>
          <w:szCs w:val="24"/>
          <w:highlight w:val="none"/>
          <w:vertAlign w:val="superscript"/>
        </w:rPr>
        <w:t xml:space="preserve">3</w:t>
      </w:r>
      <w:r>
        <w:rPr>
          <w:rFonts w:ascii="Times New Roman" w:hAnsi="Times New Roman" w:eastAsia="宋体" w:cs="Times New Roman"/>
          <w:color w:val="auto"/>
          <w:sz w:val="24"/>
          <w:szCs w:val="24"/>
          <w:highlight w:val="none"/>
        </w:rPr>
        <w:t xml:space="preserve">，拟在实施溯源调查摸清污染范围基础上，采用地下水抽出-处理（</w:t>
      </w:r>
      <w:r>
        <w:rPr>
          <w:rFonts w:hint="eastAsia" w:ascii="Times New Roman" w:hAnsi="Times New Roman" w:eastAsia="宋体" w:cs="Times New Roman"/>
          <w:color w:val="auto"/>
          <w:sz w:val="24"/>
          <w:szCs w:val="24"/>
          <w:highlight w:val="none"/>
        </w:rPr>
        <w:t xml:space="preserve">辅以微生物或化学氧化措施</w:t>
      </w:r>
      <w:r>
        <w:rPr>
          <w:rFonts w:ascii="Times New Roman" w:hAnsi="Times New Roman" w:eastAsia="宋体" w:cs="Times New Roman"/>
          <w:color w:val="auto"/>
          <w:sz w:val="24"/>
          <w:szCs w:val="24"/>
          <w:highlight w:val="none"/>
        </w:rPr>
        <w:t xml:space="preserve">）技术进行</w:t>
      </w:r>
      <w:r>
        <w:rPr>
          <w:rFonts w:hint="eastAsia" w:ascii="Times New Roman" w:hAnsi="Times New Roman" w:eastAsia="宋体" w:cs="Times New Roman"/>
          <w:color w:val="auto"/>
          <w:sz w:val="24"/>
          <w:szCs w:val="24"/>
          <w:highlight w:val="none"/>
        </w:rPr>
        <w:t xml:space="preserve">治理</w:t>
      </w:r>
      <w:r>
        <w:rPr>
          <w:rFonts w:ascii="Times New Roman" w:hAnsi="Times New Roman" w:eastAsia="宋体" w:cs="Times New Roman"/>
          <w:color w:val="auto"/>
          <w:sz w:val="24"/>
          <w:szCs w:val="24"/>
          <w:highlight w:val="none"/>
        </w:rPr>
        <w:t xml:space="preserve">，</w:t>
      </w:r>
      <w:bookmarkStart w:id="203" w:name="OLE_LINK17"/>
      <w:r>
        <w:rPr>
          <w:rFonts w:ascii="Times New Roman" w:hAnsi="Times New Roman" w:eastAsia="宋体" w:cs="Times New Roman"/>
          <w:color w:val="auto"/>
          <w:sz w:val="24"/>
          <w:szCs w:val="24"/>
          <w:highlight w:val="none"/>
        </w:rPr>
        <w:t xml:space="preserve">临近在产企业边界</w:t>
      </w:r>
      <w:r>
        <w:rPr>
          <w:rFonts w:hint="eastAsia" w:ascii="Times New Roman" w:hAnsi="Times New Roman" w:eastAsia="宋体" w:cs="Times New Roman"/>
          <w:color w:val="auto"/>
          <w:sz w:val="24"/>
          <w:szCs w:val="24"/>
          <w:highlight w:val="none"/>
        </w:rPr>
        <w:t xml:space="preserve">和退役地块边界</w:t>
      </w:r>
      <w:r>
        <w:rPr>
          <w:rFonts w:ascii="Times New Roman" w:hAnsi="Times New Roman" w:eastAsia="宋体" w:cs="Times New Roman"/>
          <w:color w:val="auto"/>
          <w:sz w:val="24"/>
          <w:szCs w:val="24"/>
          <w:highlight w:val="none"/>
        </w:rPr>
        <w:t xml:space="preserve">处可采用水力控制防止污染扩散。</w:t>
      </w:r>
      <w:bookmarkEnd w:id="203"/>
      <w:r/>
      <w:r/>
    </w:p>
    <w:p>
      <w:pPr>
        <w:ind w:firstLine="562"/>
        <w:keepLines w:val="0"/>
        <w:keepNext w:val="0"/>
        <w:pageBreakBefore w:val="0"/>
        <w:spacing w:line="360" w:lineRule="auto"/>
        <w:widowControl w:val="off"/>
        <w:rPr>
          <w:rFonts w:ascii="Times New Roman" w:hAnsi="Times New Roman" w:eastAsia="宋体" w:cs="Times New Roman"/>
          <w:color w:val="auto"/>
          <w:sz w:val="24"/>
          <w:szCs w:val="24"/>
          <w:highlight w:val="none"/>
        </w:rPr>
      </w:pPr>
      <w:r/>
      <w:bookmarkStart w:id="204" w:name="_Hlk219365536"/>
      <w:r>
        <w:rPr>
          <w:rFonts w:ascii="Times New Roman" w:hAnsi="Times New Roman" w:eastAsia="宋体" w:cs="Times New Roman"/>
          <w:color w:val="auto"/>
          <w:sz w:val="24"/>
          <w:szCs w:val="24"/>
          <w:highlight w:val="none"/>
        </w:rPr>
        <w:t xml:space="preserve">因各点位多位于园区公共区域（如空地、绿化带等），地下管线密布，施工前需做好管线踏勘和相关管理方协调工作，施工过程中需采用扰动相对较小的施工工法，控制污染羽范围，避免造成污染羽扩散，施工完成后需将地表恢复至原状。</w:t>
      </w:r>
      <w:bookmarkEnd w:id="204"/>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w:t>
      </w:r>
      <w:r>
        <w:rPr>
          <w:rFonts w:hint="eastAsia" w:eastAsia="宋体" w:cs="Times New Roman"/>
          <w:b/>
          <w:bCs/>
          <w:color w:val="auto"/>
          <w:sz w:val="24"/>
          <w:szCs w:val="24"/>
          <w:highlight w:val="none"/>
        </w:rPr>
        <w:t xml:space="preserve">2</w:t>
      </w:r>
      <w:r>
        <w:rPr>
          <w:rFonts w:eastAsia="宋体" w:cs="Times New Roman"/>
          <w:b/>
          <w:bCs/>
          <w:color w:val="auto"/>
          <w:sz w:val="24"/>
          <w:szCs w:val="24"/>
          <w:highlight w:val="none"/>
        </w:rPr>
        <w:t xml:space="preserve">潜水管控区域</w:t>
      </w:r>
      <w:r/>
    </w:p>
    <w:tbl>
      <w:tblPr>
        <w:tblStyle w:val="871"/>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2911"/>
        <w:gridCol w:w="2183"/>
        <w:gridCol w:w="1976"/>
      </w:tblGrid>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编号</w:t>
            </w:r>
            <w:r/>
          </w:p>
        </w:tc>
        <w:tc>
          <w:tcPr>
            <w:tcW w:w="1708" w:type="pct"/>
            <w:vAlign w:val="center"/>
            <w:textDirection w:val="lrTb"/>
            <w:noWrap/>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管控目标污染物</w:t>
            </w:r>
            <w:r/>
          </w:p>
        </w:tc>
        <w:tc>
          <w:tcPr>
            <w:tcW w:w="1281" w:type="pct"/>
            <w:vAlign w:val="center"/>
            <w:textDirection w:val="lrTb"/>
            <w:noWrap/>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面积（m</w:t>
            </w:r>
            <w:r>
              <w:rPr>
                <w:rFonts w:eastAsia="宋体"/>
                <w:b/>
                <w:bCs/>
                <w:color w:val="auto"/>
                <w:sz w:val="24"/>
                <w:szCs w:val="24"/>
                <w:highlight w:val="none"/>
                <w:vertAlign w:val="superscript"/>
              </w:rPr>
              <w:t xml:space="preserve">2</w:t>
            </w:r>
            <w:r>
              <w:rPr>
                <w:rFonts w:eastAsia="宋体"/>
                <w:b/>
                <w:bCs/>
                <w:color w:val="auto"/>
                <w:sz w:val="24"/>
                <w:szCs w:val="24"/>
                <w:highlight w:val="none"/>
              </w:rPr>
              <w:t xml:space="preserve">）</w:t>
            </w:r>
            <w:r/>
          </w:p>
        </w:tc>
        <w:tc>
          <w:tcPr>
            <w:tcW w:w="1159" w:type="pct"/>
            <w:vAlign w:val="center"/>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hint="eastAsia" w:eastAsia="宋体"/>
                <w:b/>
                <w:bCs/>
                <w:color w:val="auto"/>
                <w:sz w:val="24"/>
                <w:szCs w:val="24"/>
                <w:highlight w:val="none"/>
              </w:rPr>
              <w:t xml:space="preserve">方量</w:t>
            </w:r>
            <w:r>
              <w:rPr>
                <w:rFonts w:eastAsia="宋体"/>
                <w:b/>
                <w:bCs/>
                <w:color w:val="auto"/>
                <w:sz w:val="24"/>
                <w:szCs w:val="24"/>
                <w:highlight w:val="none"/>
              </w:rPr>
              <w:t xml:space="preserve">（m</w:t>
            </w:r>
            <w:r>
              <w:rPr>
                <w:rFonts w:hint="eastAsia" w:eastAsia="宋体"/>
                <w:b/>
                <w:bCs/>
                <w:color w:val="auto"/>
                <w:sz w:val="24"/>
                <w:szCs w:val="24"/>
                <w:highlight w:val="none"/>
                <w:vertAlign w:val="superscript"/>
              </w:rPr>
              <w:t xml:space="preserve">3</w:t>
            </w:r>
            <w:r>
              <w:rPr>
                <w:rFonts w:eastAsia="宋体"/>
                <w:b/>
                <w:bCs/>
                <w:color w:val="auto"/>
                <w:sz w:val="24"/>
                <w:szCs w:val="24"/>
                <w:highlight w:val="none"/>
              </w:rPr>
              <w:t xml:space="preserve">）</w:t>
            </w:r>
            <w:r/>
          </w:p>
        </w:tc>
      </w:tr>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W1</w:t>
            </w:r>
            <w:r/>
          </w:p>
        </w:tc>
        <w:tc>
          <w:tcPr>
            <w:tcW w:w="170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三</w:t>
            </w:r>
            <w:bookmarkStart w:id="205" w:name="OLE_LINK3"/>
            <w:r>
              <w:rPr>
                <w:rFonts w:eastAsia="宋体"/>
                <w:color w:val="auto"/>
                <w:sz w:val="24"/>
                <w:szCs w:val="24"/>
                <w:highlight w:val="none"/>
              </w:rPr>
              <w:t xml:space="preserve">氯</w:t>
            </w:r>
            <w:bookmarkEnd w:id="205"/>
            <w:r>
              <w:rPr>
                <w:rFonts w:eastAsia="宋体"/>
                <w:color w:val="auto"/>
                <w:sz w:val="24"/>
                <w:szCs w:val="24"/>
                <w:highlight w:val="none"/>
              </w:rPr>
              <w:t xml:space="preserve">甲烷、丙烯腈</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331.86</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等线"/>
                <w:color w:val="auto"/>
                <w:sz w:val="24"/>
                <w:szCs w:val="24"/>
                <w:highlight w:val="none"/>
              </w:rPr>
              <w:t xml:space="preserve">273.19</w:t>
            </w:r>
            <w:r/>
          </w:p>
        </w:tc>
      </w:tr>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W2</w:t>
            </w:r>
            <w:r/>
          </w:p>
        </w:tc>
        <w:tc>
          <w:tcPr>
            <w:tcW w:w="1708"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1,2-二氯乙烷、氯乙烯</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2409.65</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等线"/>
                <w:color w:val="auto"/>
                <w:sz w:val="24"/>
                <w:szCs w:val="24"/>
                <w:highlight w:val="none"/>
              </w:rPr>
              <w:t xml:space="preserve">1983.62</w:t>
            </w:r>
            <w:r/>
          </w:p>
        </w:tc>
      </w:tr>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W3</w:t>
            </w:r>
            <w:r/>
          </w:p>
        </w:tc>
        <w:tc>
          <w:tcPr>
            <w:tcW w:w="1708"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1,2-二氯乙烷</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809.01</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等线"/>
                <w:color w:val="auto"/>
                <w:sz w:val="24"/>
                <w:szCs w:val="24"/>
                <w:highlight w:val="none"/>
              </w:rPr>
              <w:t xml:space="preserve">665.98</w:t>
            </w:r>
            <w:r/>
          </w:p>
        </w:tc>
      </w:tr>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W4</w:t>
            </w:r>
            <w:r/>
          </w:p>
        </w:tc>
        <w:tc>
          <w:tcPr>
            <w:tcW w:w="1708"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氯乙烯</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215.43</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等线"/>
                <w:color w:val="auto"/>
                <w:sz w:val="24"/>
                <w:szCs w:val="24"/>
                <w:highlight w:val="none"/>
              </w:rPr>
              <w:t xml:space="preserve">177.34</w:t>
            </w:r>
            <w:r/>
          </w:p>
        </w:tc>
      </w:tr>
      <w:tr>
        <w:trPr>
          <w:jc w:val="center"/>
          <w:trHeight w:val="567"/>
        </w:trPr>
        <w:tc>
          <w:tcPr>
            <w:tcW w:w="85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W5</w:t>
            </w:r>
            <w:r/>
          </w:p>
        </w:tc>
        <w:tc>
          <w:tcPr>
            <w:tcW w:w="1708"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1,2-二氯乙烷</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3550.18</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等线"/>
                <w:color w:val="auto"/>
                <w:sz w:val="24"/>
                <w:szCs w:val="24"/>
                <w:highlight w:val="none"/>
              </w:rPr>
              <w:t xml:space="preserve">2922.51</w:t>
            </w:r>
            <w:r/>
          </w:p>
        </w:tc>
      </w:tr>
      <w:tr>
        <w:trPr>
          <w:jc w:val="center"/>
          <w:trHeight w:val="567"/>
        </w:trPr>
        <w:tc>
          <w:tcPr>
            <w:gridSpan w:val="2"/>
            <w:tcW w:w="256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hint="eastAsia" w:eastAsia="宋体"/>
                <w:color w:val="auto"/>
                <w:sz w:val="24"/>
                <w:szCs w:val="24"/>
                <w:highlight w:val="none"/>
              </w:rPr>
              <w:t xml:space="preserve">合计</w:t>
            </w:r>
            <w:r/>
          </w:p>
        </w:tc>
        <w:tc>
          <w:tcPr>
            <w:tcW w:w="1281"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7316.13</w:t>
            </w:r>
            <w:r/>
          </w:p>
        </w:tc>
        <w:tc>
          <w:tcPr>
            <w:tcW w:w="1159"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6022.64</w:t>
            </w:r>
            <w:r/>
          </w:p>
        </w:tc>
      </w:tr>
    </w:tbl>
    <w:p>
      <w:pPr>
        <w:ind w:firstLine="560"/>
        <w:keepLines w:val="0"/>
        <w:keepNext w:val="0"/>
        <w:pageBreakBefore w:val="0"/>
        <w:spacing w:line="360" w:lineRule="auto"/>
        <w:widowControl w:val="off"/>
        <w:rPr>
          <w:rFonts w:ascii="Times New Roman" w:hAnsi="Times New Roman" w:eastAsia="宋体" w:cs="Times New Roman"/>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s="Times New Roman"/>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450215</wp:posOffset>
                </wp:positionH>
                <wp:positionV relativeFrom="paragraph">
                  <wp:posOffset>-288290</wp:posOffset>
                </wp:positionV>
                <wp:extent cx="7212330" cy="4848225"/>
                <wp:effectExtent l="0" t="0" r="7620" b="9525"/>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32583" name="图片 5"/>
                        <pic:cNvPicPr>
                          <a:picLocks noChangeAspect="1"/>
                        </pic:cNvPicPr>
                        <pic:nvPr/>
                      </pic:nvPicPr>
                      <pic:blipFill>
                        <a:blip r:embed="rId15"/>
                        <a:stretch/>
                      </pic:blipFill>
                      <pic:spPr bwMode="auto">
                        <a:xfrm>
                          <a:off x="0" y="0"/>
                          <a:ext cx="7219143" cy="4852852"/>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5.4pt;mso-position-horizontal:absolute;mso-position-vertical-relative:text;margin-top:-22.7pt;mso-position-vertical:absolute;width:567.9pt;height:381.8pt;mso-wrap-distance-left:0.0pt;mso-wrap-distance-top:0.0pt;mso-wrap-distance-right:0.0pt;mso-wrap-distance-bottom:0.0pt;" stroked="f">
                <v:path textboxrect="0,0,0,0"/>
                <v:imagedata r:id="rId15" o:title=""/>
              </v:shape>
            </w:pict>
          </mc:Fallback>
        </mc:AlternateConten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图9 潜水治理区域W1</w:t>
      </w:r>
      <w:r>
        <w:rPr>
          <w:rFonts w:hint="eastAsia" w:eastAsia="宋体" w:cs="Times New Roman"/>
          <w:b/>
          <w:bCs/>
          <w:color w:val="auto"/>
          <w:sz w:val="24"/>
          <w:szCs w:val="24"/>
          <w:highlight w:val="none"/>
        </w:rPr>
        <w:t xml:space="preserve">-W5</w:t>
      </w:r>
      <w:r/>
    </w:p>
    <w:p>
      <w:pPr>
        <w:ind w:firstLine="560"/>
        <w:keepLines w:val="0"/>
        <w:keepNext w:val="0"/>
        <w:pageBreakBefore w:val="0"/>
        <w:spacing w:line="360" w:lineRule="auto"/>
        <w:widowControl w:val="off"/>
        <w:rPr>
          <w:rFonts w:ascii="Times New Roman" w:hAnsi="Times New Roman" w:eastAsia="宋体" w:cs="Times New Roman"/>
          <w:color w:val="auto"/>
          <w:sz w:val="24"/>
          <w:szCs w:val="24"/>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ascii="Times New Roman" w:hAnsi="Times New Roman" w:eastAsia="宋体" w:cs="Times New Roman"/>
          <w:color w:val="auto"/>
          <w:sz w:val="24"/>
          <w:szCs w:val="24"/>
          <w:highlight w:val="none"/>
        </w:rPr>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（3）C区</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根据污染运移模拟报告及调查结果，园区南区存在地下水超标，并涉及污染物垂直下渗和水平扩散至园区外的风险。</w:t>
      </w:r>
      <w:r>
        <w:rPr>
          <w:rFonts w:hint="eastAsia" w:ascii="Times New Roman" w:hAnsi="Times New Roman" w:eastAsia="宋体" w:cs="Times New Roman"/>
          <w:color w:val="auto"/>
          <w:sz w:val="24"/>
          <w:szCs w:val="24"/>
          <w:highlight w:val="none"/>
        </w:rPr>
        <w:t xml:space="preserve">其</w:t>
      </w:r>
      <w:bookmarkStart w:id="206" w:name="OLE_LINK16"/>
      <w:r>
        <w:rPr>
          <w:rFonts w:ascii="Times New Roman" w:hAnsi="Times New Roman" w:eastAsia="宋体" w:cs="Times New Roman"/>
          <w:color w:val="auto"/>
          <w:sz w:val="24"/>
          <w:szCs w:val="24"/>
          <w:highlight w:val="none"/>
        </w:rPr>
        <w:t xml:space="preserve">中存在垂直下渗风险的区域主要位于南区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以氯代烃等污染物为主，潜水</w:t>
      </w:r>
      <w:r>
        <w:rPr>
          <w:rFonts w:hint="eastAsia" w:ascii="Times New Roman" w:hAnsi="Times New Roman" w:eastAsia="宋体" w:cs="Times New Roman"/>
          <w:color w:val="auto"/>
          <w:sz w:val="24"/>
          <w:szCs w:val="24"/>
          <w:highlight w:val="none"/>
        </w:rPr>
        <w:t xml:space="preserve">削源</w:t>
      </w:r>
      <w:r>
        <w:rPr>
          <w:rFonts w:ascii="Times New Roman" w:hAnsi="Times New Roman" w:eastAsia="宋体" w:cs="Times New Roman"/>
          <w:color w:val="auto"/>
          <w:sz w:val="24"/>
          <w:szCs w:val="24"/>
          <w:highlight w:val="none"/>
        </w:rPr>
        <w:t xml:space="preserve">方量暂估约</w:t>
      </w:r>
      <w:r>
        <w:rPr>
          <w:rFonts w:hint="eastAsia" w:ascii="Times New Roman" w:hAnsi="Times New Roman" w:eastAsia="宋体" w:cs="Times New Roman"/>
          <w:color w:val="auto"/>
          <w:sz w:val="24"/>
          <w:szCs w:val="24"/>
          <w:highlight w:val="none"/>
        </w:rPr>
        <w:t xml:space="preserve">124995.45</w:t>
      </w:r>
      <w:r>
        <w:rPr>
          <w:rFonts w:ascii="Times New Roman" w:hAnsi="Times New Roman" w:eastAsia="宋体" w:cs="Times New Roman"/>
          <w:color w:val="auto"/>
          <w:sz w:val="24"/>
          <w:szCs w:val="24"/>
          <w:highlight w:val="none"/>
        </w:rPr>
        <w:t xml:space="preserve"> m</w:t>
      </w:r>
      <w:r>
        <w:rPr>
          <w:rFonts w:ascii="Times New Roman" w:hAnsi="Times New Roman" w:eastAsia="宋体" w:cs="Times New Roman"/>
          <w:color w:val="auto"/>
          <w:sz w:val="24"/>
          <w:szCs w:val="24"/>
          <w:highlight w:val="none"/>
          <w:vertAlign w:val="superscript"/>
        </w:rPr>
        <w:t xml:space="preserve">3</w:t>
      </w:r>
      <w:r>
        <w:rPr>
          <w:rFonts w:hint="eastAsia" w:ascii="Times New Roman" w:hAnsi="Times New Roman" w:eastAsia="宋体" w:cs="Times New Roman"/>
          <w:color w:val="auto"/>
          <w:sz w:val="24"/>
          <w:szCs w:val="24"/>
          <w:highlight w:val="none"/>
        </w:rPr>
        <w:t xml:space="preserve">（具体范围需根据调查评估及现场管线排查结果进行优化调整）</w:t>
      </w:r>
      <w:r>
        <w:rPr>
          <w:rFonts w:ascii="Times New Roman" w:hAnsi="Times New Roman" w:eastAsia="宋体" w:cs="Times New Roman"/>
          <w:color w:val="auto"/>
          <w:sz w:val="24"/>
          <w:szCs w:val="24"/>
          <w:highlight w:val="none"/>
        </w:rPr>
        <w:t xml:space="preserve">，采用地下水抽出-处理（</w:t>
      </w:r>
      <w:r>
        <w:rPr>
          <w:rFonts w:hint="eastAsia" w:ascii="Times New Roman" w:hAnsi="Times New Roman" w:eastAsia="宋体" w:cs="Times New Roman"/>
          <w:color w:val="auto"/>
          <w:sz w:val="24"/>
          <w:szCs w:val="24"/>
          <w:highlight w:val="none"/>
        </w:rPr>
        <w:t xml:space="preserve">辅以微生物或化学氧化措施</w:t>
      </w:r>
      <w:r>
        <w:rPr>
          <w:rFonts w:ascii="Times New Roman" w:hAnsi="Times New Roman" w:eastAsia="宋体" w:cs="Times New Roman"/>
          <w:color w:val="auto"/>
          <w:sz w:val="24"/>
          <w:szCs w:val="24"/>
          <w:highlight w:val="none"/>
        </w:rPr>
        <w:t xml:space="preserve">）技术进行削源</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临近在产企业边界和退役地块边界处可采用水力控制防止污染扩散。</w: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w:t>
      </w:r>
      <w:r>
        <w:rPr>
          <w:rFonts w:hint="eastAsia" w:eastAsia="宋体" w:cs="Times New Roman"/>
          <w:b/>
          <w:bCs/>
          <w:color w:val="auto"/>
          <w:sz w:val="24"/>
          <w:szCs w:val="24"/>
          <w:highlight w:val="none"/>
        </w:rPr>
        <w:t xml:space="preserve">3 C区源削减范围</w:t>
      </w:r>
      <w:r/>
    </w:p>
    <w:tbl>
      <w:tblPr>
        <w:tblStyle w:val="864"/>
        <w:tblW w:w="5063" w:type="pct"/>
        <w:tblInd w:w="0" w:type="dxa"/>
        <w:tblLayout w:type="autofit"/>
        <w:tblCellMar>
          <w:left w:w="108" w:type="dxa"/>
          <w:top w:w="0" w:type="dxa"/>
          <w:right w:w="108" w:type="dxa"/>
          <w:bottom w:w="0" w:type="dxa"/>
        </w:tblCellMar>
        <w:tblLook w:val="04A0" w:firstRow="1" w:lastRow="0" w:firstColumn="1" w:lastColumn="0" w:noHBand="0" w:noVBand="1"/>
      </w:tblPr>
      <w:tblGrid>
        <w:gridCol w:w="2471"/>
        <w:gridCol w:w="3207"/>
        <w:gridCol w:w="2785"/>
      </w:tblGrid>
      <w:tr>
        <w:trPr>
          <w:trHeight w:val="443"/>
        </w:trPr>
        <w:tc>
          <w:tcPr>
            <w:tcBorders>
              <w:top w:val="single" w:color="auto" w:sz="4" w:space="0"/>
              <w:left w:val="single" w:color="auto" w:sz="4" w:space="0"/>
              <w:bottom w:val="single" w:color="auto" w:sz="4" w:space="0"/>
              <w:right w:val="single" w:color="auto" w:sz="4" w:space="0"/>
            </w:tcBorders>
            <w:tcW w:w="146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编号</w:t>
            </w:r>
            <w:r/>
          </w:p>
        </w:tc>
        <w:tc>
          <w:tcPr>
            <w:tcBorders>
              <w:top w:val="single" w:color="auto" w:sz="4" w:space="0"/>
              <w:left w:val="none" w:color="000000" w:sz="4" w:space="0"/>
              <w:bottom w:val="single" w:color="auto" w:sz="4" w:space="0"/>
              <w:right w:val="single" w:color="auto" w:sz="4" w:space="0"/>
            </w:tcBorders>
            <w:tcW w:w="189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源削减面积（m</w:t>
            </w:r>
            <w:r>
              <w:rPr>
                <w:rFonts w:ascii="Times New Roman" w:hAnsi="Times New Roman" w:eastAsia="宋体" w:cs="Times New Roman"/>
                <w:b/>
                <w:bCs/>
                <w:color w:val="auto"/>
                <w:sz w:val="24"/>
                <w:szCs w:val="24"/>
                <w:highlight w:val="none"/>
                <w:vertAlign w:val="superscript"/>
              </w:rPr>
              <w:t xml:space="preserve">2</w:t>
            </w:r>
            <w:r>
              <w:rPr>
                <w:rFonts w:ascii="Times New Roman" w:hAnsi="Times New Roman" w:eastAsia="宋体" w:cs="Times New Roman"/>
                <w:b/>
                <w:bCs/>
                <w:color w:val="auto"/>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削源方量（m</w:t>
            </w:r>
            <w:r>
              <w:rPr>
                <w:rFonts w:ascii="Times New Roman" w:hAnsi="Times New Roman" w:eastAsia="宋体" w:cs="Times New Roman"/>
                <w:b/>
                <w:bCs/>
                <w:color w:val="auto"/>
                <w:sz w:val="24"/>
                <w:szCs w:val="24"/>
                <w:highlight w:val="none"/>
                <w:vertAlign w:val="superscript"/>
              </w:rPr>
              <w:t xml:space="preserve">3</w:t>
            </w:r>
            <w:r>
              <w:rPr>
                <w:rFonts w:ascii="Times New Roman" w:hAnsi="Times New Roman" w:eastAsia="宋体" w:cs="Times New Roman"/>
                <w:b/>
                <w:bCs/>
                <w:color w:val="auto"/>
                <w:sz w:val="24"/>
                <w:szCs w:val="24"/>
                <w:highlight w:val="none"/>
              </w:rPr>
              <w:t xml:space="preserve">）</w:t>
            </w:r>
            <w:r/>
          </w:p>
        </w:tc>
      </w:tr>
      <w:tr>
        <w:trPr>
          <w:trHeight w:val="481"/>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5756.01</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4738.347</w:t>
            </w:r>
            <w:r/>
          </w:p>
        </w:tc>
      </w:tr>
      <w:tr>
        <w:trPr>
          <w:trHeight w:val="452"/>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C1-2</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3112.89</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2562.531</w:t>
            </w:r>
            <w:r/>
          </w:p>
        </w:tc>
      </w:tr>
      <w:tr>
        <w:trPr>
          <w:trHeight w:val="423"/>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C1-3</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12352.55</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10168.62</w:t>
            </w:r>
            <w:r/>
          </w:p>
        </w:tc>
      </w:tr>
      <w:tr>
        <w:trPr>
          <w:trHeight w:val="510"/>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C1-4</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6668.55</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5489.55</w:t>
            </w:r>
            <w:r/>
          </w:p>
        </w:tc>
      </w:tr>
      <w:tr>
        <w:trPr>
          <w:trHeight w:val="471"/>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C1-5</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10174.11</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8375.327</w:t>
            </w:r>
            <w:r/>
          </w:p>
        </w:tc>
      </w:tr>
      <w:tr>
        <w:trPr>
          <w:trHeight w:val="500"/>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C1-6</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7864.02</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6473.661</w:t>
            </w:r>
            <w:r/>
          </w:p>
        </w:tc>
      </w:tr>
      <w:tr>
        <w:trPr>
          <w:trHeight w:val="462"/>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C1-7</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10687.97</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8798.337</w:t>
            </w:r>
            <w:r/>
          </w:p>
        </w:tc>
      </w:tr>
      <w:tr>
        <w:trPr>
          <w:trHeight w:val="481"/>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C1-8</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15355.96</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12641.03</w:t>
            </w:r>
            <w:r/>
          </w:p>
        </w:tc>
      </w:tr>
      <w:tr>
        <w:trPr>
          <w:trHeight w:val="510"/>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C1-9</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12606.32</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10377.52</w:t>
            </w:r>
            <w:r/>
          </w:p>
        </w:tc>
      </w:tr>
      <w:tr>
        <w:trPr>
          <w:trHeight w:val="462"/>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C1-10</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9540.46</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7853.707</w:t>
            </w:r>
            <w:r/>
          </w:p>
        </w:tc>
      </w:tr>
      <w:tr>
        <w:trPr>
          <w:trHeight w:val="414"/>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C1-11</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11478.3</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9448.937</w:t>
            </w:r>
            <w:r/>
          </w:p>
        </w:tc>
      </w:tr>
      <w:tr>
        <w:trPr>
          <w:trHeight w:val="471"/>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C1-12</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8455.84</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6960.847</w:t>
            </w:r>
            <w:r/>
          </w:p>
        </w:tc>
      </w:tr>
      <w:tr>
        <w:trPr>
          <w:trHeight w:val="481"/>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C1-13</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11759.47</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9680.396</w:t>
            </w:r>
            <w:r/>
          </w:p>
        </w:tc>
      </w:tr>
      <w:tr>
        <w:trPr>
          <w:trHeight w:val="433"/>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C1-14</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9141.29</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7525.11</w:t>
            </w:r>
            <w:r/>
          </w:p>
        </w:tc>
      </w:tr>
      <w:tr>
        <w:trPr>
          <w:trHeight w:val="433"/>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C1-15</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10421.01</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8578.575</w:t>
            </w:r>
            <w:r/>
          </w:p>
        </w:tc>
      </w:tr>
      <w:tr>
        <w:trPr>
          <w:trHeight w:val="414"/>
        </w:trPr>
        <w:tc>
          <w:tcPr>
            <w:tcBorders>
              <w:top w:val="none" w:color="000000" w:sz="4" w:space="0"/>
              <w:left w:val="single" w:color="auto" w:sz="4" w:space="0"/>
              <w:bottom w:val="single" w:color="auto" w:sz="4" w:space="0"/>
              <w:right w:val="single" w:color="auto" w:sz="4" w:space="0"/>
            </w:tcBorders>
            <w:tcW w:w="1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C1-16</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6466.18</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5322.959</w:t>
            </w:r>
            <w:r/>
          </w:p>
        </w:tc>
      </w:tr>
      <w:tr>
        <w:trPr>
          <w:trHeight w:val="394"/>
        </w:trPr>
        <w:tc>
          <w:tcPr>
            <w:tcBorders>
              <w:top w:val="none" w:color="000000" w:sz="4" w:space="0"/>
              <w:left w:val="single" w:color="auto" w:sz="4" w:space="0"/>
              <w:bottom w:val="single" w:color="auto" w:sz="4" w:space="0"/>
              <w:right w:val="single" w:color="auto" w:sz="4" w:space="0"/>
            </w:tcBorders>
            <w:tcW w:w="146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189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151840.93</w:t>
            </w:r>
            <w:r/>
          </w:p>
        </w:tc>
        <w:tc>
          <w:tcPr>
            <w:tcBorders>
              <w:top w:val="none" w:color="000000" w:sz="4" w:space="0"/>
              <w:left w:val="none" w:color="000000" w:sz="4" w:space="0"/>
              <w:bottom w:val="single" w:color="auto" w:sz="4" w:space="0"/>
              <w:right w:val="single" w:color="auto" w:sz="4" w:space="0"/>
            </w:tcBorders>
            <w:tcW w:w="1645"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124995.5</w:t>
            </w:r>
            <w:r/>
          </w:p>
        </w:tc>
      </w:tr>
    </w:tbl>
    <w:p>
      <w:pPr>
        <w:ind w:firstLine="561"/>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sectPr>
          <w:headerReference w:type="default" r:id="rId9"/>
          <w:footnotePr/>
          <w:endnotePr/>
          <w:type w:val="nextPage"/>
          <w:pgSz w:w="11906" w:h="16838" w:orient="portrait"/>
          <w:pgMar w:top="1440" w:right="1797" w:bottom="1440" w:left="1797" w:header="851" w:footer="992" w:gutter="170"/>
          <w:cols w:num="1" w:sep="0" w:space="425" w:equalWidth="1"/>
          <w:docGrid w:linePitch="360"/>
        </w:sectPr>
      </w:pPr>
      <w:r>
        <w:rPr>
          <w:rFonts w:hint="eastAsia" w:ascii="Times New Roman" w:hAnsi="Times New Roman" w:eastAsia="宋体" w:cs="Times New Roman"/>
          <w:color w:val="auto"/>
          <w:sz w:val="24"/>
          <w:szCs w:val="24"/>
          <w:highlight w:val="none"/>
        </w:rPr>
        <w:t xml:space="preserve">注：</w:t>
      </w:r>
      <w:r>
        <w:rPr>
          <w:rFonts w:ascii="Times New Roman" w:hAnsi="Times New Roman" w:eastAsia="宋体" w:cs="Times New Roman"/>
          <w:color w:val="auto"/>
          <w:sz w:val="24"/>
          <w:szCs w:val="24"/>
          <w:highlight w:val="none"/>
        </w:rPr>
        <w:t xml:space="preserve">具体范围需根据调查评估及</w:t>
      </w:r>
      <w:r>
        <w:rPr>
          <w:rFonts w:hint="eastAsia" w:ascii="Times New Roman" w:hAnsi="Times New Roman" w:eastAsia="宋体" w:cs="Times New Roman"/>
          <w:color w:val="auto"/>
          <w:sz w:val="24"/>
          <w:szCs w:val="24"/>
          <w:highlight w:val="none"/>
        </w:rPr>
        <w:t xml:space="preserve">现场</w:t>
      </w:r>
      <w:r>
        <w:rPr>
          <w:rFonts w:ascii="Times New Roman" w:hAnsi="Times New Roman" w:eastAsia="宋体" w:cs="Times New Roman"/>
          <w:color w:val="auto"/>
          <w:sz w:val="24"/>
          <w:szCs w:val="24"/>
          <w:highlight w:val="none"/>
        </w:rPr>
        <w:t xml:space="preserve">管线排查结果</w:t>
      </w:r>
      <w:r>
        <w:rPr>
          <w:rFonts w:hint="eastAsia" w:ascii="Times New Roman" w:hAnsi="Times New Roman" w:eastAsia="宋体" w:cs="Times New Roman"/>
          <w:color w:val="auto"/>
          <w:sz w:val="24"/>
          <w:szCs w:val="24"/>
          <w:highlight w:val="none"/>
        </w:rPr>
        <w:t xml:space="preserve">进行</w:t>
      </w:r>
      <w:r>
        <w:rPr>
          <w:rFonts w:ascii="Times New Roman" w:hAnsi="Times New Roman" w:eastAsia="宋体" w:cs="Times New Roman"/>
          <w:color w:val="auto"/>
          <w:sz w:val="24"/>
          <w:szCs w:val="24"/>
          <w:highlight w:val="none"/>
        </w:rPr>
        <w:t xml:space="preserve">优化调整</w:t>
      </w:r>
      <w:r>
        <w:rPr>
          <w:rFonts w:hint="eastAsia" w:ascii="Times New Roman" w:hAnsi="Times New Roman" w:eastAsia="宋体" w:cs="Times New Roman"/>
          <w:color w:val="auto"/>
          <w:sz w:val="24"/>
          <w:szCs w:val="24"/>
          <w:highlight w:val="none"/>
        </w:rPr>
        <w:t xml:space="preserve">。</w:t>
      </w:r>
      <w:r/>
    </w:p>
    <w:p>
      <w:pPr>
        <w:ind w:firstLine="561"/>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eastAsia="Times New Roman" w:cs="Times New Roman"/>
          <w:color w:val="auto"/>
          <w:sz w:val="24"/>
          <w:szCs w:val="24"/>
          <w:highlight w:val="none"/>
          <w:shd w:val="clear" w:color="000000" w:fill="000000"/>
          <w:lang w:val="zh-CN" w:eastAsia="zh-CN" w:bidi="zh-CN"/>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1326515</wp:posOffset>
                </wp:positionH>
                <wp:positionV relativeFrom="paragraph">
                  <wp:posOffset>276225</wp:posOffset>
                </wp:positionV>
                <wp:extent cx="6275705" cy="4446270"/>
                <wp:effectExtent l="0" t="0" r="10795" b="11430"/>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06217" name="图片 2"/>
                        <pic:cNvPicPr>
                          <a:picLocks noChangeAspect="1"/>
                        </pic:cNvPicPr>
                        <pic:nvPr/>
                      </pic:nvPicPr>
                      <pic:blipFill>
                        <a:blip r:embed="rId16"/>
                        <a:stretch/>
                      </pic:blipFill>
                      <pic:spPr bwMode="auto">
                        <a:xfrm>
                          <a:off x="0" y="0"/>
                          <a:ext cx="6275705" cy="444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104.4pt;mso-position-horizontal:absolute;mso-position-vertical-relative:text;margin-top:21.8pt;mso-position-vertical:absolute;width:494.1pt;height:350.1pt;mso-wrap-distance-left:0.0pt;mso-wrap-distance-top:0.0pt;mso-wrap-distance-right:0.0pt;mso-wrap-distance-bottom:0.0pt;" stroked="f">
                <v:path textboxrect="0,0,0,0"/>
                <v:imagedata r:id="rId16" o:title=""/>
              </v:shape>
            </w:pict>
          </mc:Fallback>
        </mc:AlternateConten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sectPr>
          <w:footnotePr/>
          <w:endnotePr/>
          <w:type w:val="nextPage"/>
          <w:pgSz w:w="16838" w:h="11906" w:orient="landscape"/>
          <w:pgMar w:top="1797" w:right="1440" w:bottom="1797" w:left="1440" w:header="851" w:footer="992" w:gutter="170"/>
          <w:cols w:num="1" w:sep="0" w:space="425" w:equalWidth="1"/>
          <w:docGrid w:linePitch="360"/>
        </w:sectPr>
      </w:pPr>
      <w:r>
        <w:rPr>
          <w:rFonts w:eastAsia="宋体" w:cs="Times New Roman"/>
          <w:b/>
          <w:bCs/>
          <w:color w:val="auto"/>
          <w:sz w:val="24"/>
          <w:szCs w:val="24"/>
          <w:highlight w:val="none"/>
        </w:rPr>
        <w:t xml:space="preserve">图14 </w:t>
      </w:r>
      <w:r>
        <w:rPr>
          <w:rFonts w:hint="eastAsia" w:eastAsia="宋体" w:cs="Times New Roman"/>
          <w:b/>
          <w:bCs/>
          <w:color w:val="auto"/>
          <w:sz w:val="24"/>
          <w:szCs w:val="24"/>
          <w:highlight w:val="none"/>
        </w:rPr>
        <w:t xml:space="preserve">C区位置</w:t>
      </w:r>
      <w:r>
        <w:rPr>
          <w:rFonts w:eastAsia="宋体" w:cs="Times New Roman"/>
          <w:b/>
          <w:bCs/>
          <w:color w:val="auto"/>
          <w:sz w:val="24"/>
          <w:szCs w:val="24"/>
          <w:highlight w:val="none"/>
        </w:rPr>
        <w:t xml:space="preserve">示意图</w:t>
      </w:r>
      <w:bookmarkEnd w:id="206"/>
      <w:r/>
      <w:r/>
    </w:p>
    <w:p>
      <w:pPr>
        <w:pStyle w:val="870"/>
        <w:ind w:firstLine="480"/>
        <w:jc w:val="both"/>
        <w:pageBreakBefore w:val="0"/>
        <w:spacing w:beforeAutospacing="0" w:afterAutospacing="0" w:line="360" w:lineRule="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881"/>
        <w:ind w:firstLine="562"/>
        <w:keepLines w:val="0"/>
        <w:keepNext w:val="0"/>
        <w:pageBreakBefore w:val="0"/>
        <w:spacing w:line="360" w:lineRule="auto"/>
        <w:widowControl w:val="off"/>
        <w:rPr>
          <w:rFonts w:eastAsia="宋体" w:cs="Times New Roman"/>
          <w:b/>
          <w:bCs/>
          <w:color w:val="auto"/>
          <w:sz w:val="24"/>
          <w:szCs w:val="24"/>
          <w:highlight w:val="none"/>
        </w:rPr>
      </w:pPr>
      <w:r/>
      <w:bookmarkStart w:id="207" w:name="_Toc218630902"/>
      <w:r>
        <w:rPr>
          <w:rFonts w:eastAsia="宋体" w:cs="Times New Roman"/>
          <w:b/>
          <w:bCs/>
          <w:color w:val="auto"/>
          <w:sz w:val="24"/>
          <w:szCs w:val="24"/>
          <w:highlight w:val="none"/>
        </w:rPr>
        <w:t xml:space="preserve">（</w:t>
      </w:r>
      <w:r>
        <w:rPr>
          <w:rFonts w:hint="eastAsia" w:eastAsia="宋体" w:cs="Times New Roman"/>
          <w:b/>
          <w:bCs/>
          <w:color w:val="auto"/>
          <w:sz w:val="24"/>
          <w:szCs w:val="24"/>
          <w:highlight w:val="none"/>
        </w:rPr>
        <w:t xml:space="preserve">六</w:t>
      </w:r>
      <w:r>
        <w:rPr>
          <w:rFonts w:eastAsia="宋体" w:cs="Times New Roman"/>
          <w:b/>
          <w:bCs/>
          <w:color w:val="auto"/>
          <w:sz w:val="24"/>
          <w:szCs w:val="24"/>
          <w:highlight w:val="none"/>
        </w:rPr>
        <w:t xml:space="preserve">）风险管控目标</w:t>
      </w:r>
      <w:bookmarkEnd w:id="207"/>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bookmarkStart w:id="208" w:name="OLE_LINK170"/>
      <w:r>
        <w:rPr>
          <w:rFonts w:ascii="Times New Roman" w:hAnsi="Times New Roman" w:eastAsia="宋体" w:cs="Times New Roman"/>
          <w:color w:val="auto"/>
          <w:sz w:val="24"/>
          <w:szCs w:val="24"/>
          <w:highlight w:val="none"/>
        </w:rPr>
        <w:t xml:space="preserve">（1）B区土壤治理目标</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本项目公共区域有机污染土壤的修复目标以风险控制值和筛选值中较高者作为修复目标值。具体如下表所示。</w: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表3 土壤关注污染物管控目标值（mg/kg）</w:t>
      </w:r>
      <w:r/>
    </w:p>
    <w:tbl>
      <w:tblPr>
        <w:tblStyle w:val="871"/>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165"/>
        <w:gridCol w:w="2166"/>
        <w:gridCol w:w="1431"/>
        <w:gridCol w:w="2166"/>
      </w:tblGrid>
      <w:tr>
        <w:trPr>
          <w:trHeight w:val="288"/>
          <w:tblHeader/>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关注污染物</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风险控制值</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筛选值</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修复目标值</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氯乙烯</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0.571</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0.43</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0.571</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苯</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4.01</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4.01</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1,2-二氯乙烷</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2.06</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5.00</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1,1,2-三氯乙烷</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2.72</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乙苯</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30.2</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30.2</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苯并(b)荧蒽</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w:t>
            </w:r>
            <w:r/>
          </w:p>
        </w:tc>
      </w:tr>
      <w:tr>
        <w:trPr>
          <w:trHeight w:val="324"/>
        </w:trPr>
        <w:tc>
          <w:tcPr>
            <w:tcW w:w="532"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w:t>
            </w:r>
            <w:r/>
          </w:p>
        </w:tc>
        <w:tc>
          <w:tcPr>
            <w:tcW w:w="15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苯并(a)芘</w:t>
            </w:r>
            <w:r/>
          </w:p>
        </w:tc>
        <w:tc>
          <w:tcPr>
            <w:tcW w:w="1084" w:type="pc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w:t>
            </w:r>
            <w:r/>
          </w:p>
        </w:tc>
        <w:tc>
          <w:tcPr>
            <w:tcW w:w="716"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w:t>
            </w:r>
            <w:r/>
          </w:p>
        </w:tc>
        <w:tc>
          <w:tcPr>
            <w:tcW w:w="1084" w:type="pct"/>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w:t>
            </w:r>
            <w:r/>
          </w:p>
        </w:tc>
      </w:tr>
    </w:tbl>
    <w:p>
      <w:pPr>
        <w:pStyle w:val="881"/>
        <w:ind w:firstLine="560"/>
        <w:keepLines w:val="0"/>
        <w:keepNext w:val="0"/>
        <w:pageBreakBefore w:val="0"/>
        <w:spacing w:line="360" w:lineRule="auto"/>
        <w:widowControl w:val="off"/>
        <w:rPr>
          <w:rFonts w:eastAsia="宋体" w:cs="Times New Roman"/>
          <w:color w:val="auto"/>
          <w:sz w:val="24"/>
          <w:szCs w:val="24"/>
          <w:highlight w:val="none"/>
        </w:rPr>
      </w:pPr>
      <w:r>
        <w:rPr>
          <w:rFonts w:eastAsia="宋体" w:cs="Times New Roman"/>
          <w:color w:val="auto"/>
          <w:sz w:val="24"/>
          <w:szCs w:val="24"/>
          <w:highlight w:val="none"/>
        </w:rPr>
        <w:t xml:space="preserve">重金属污染土壤治理后其浸出液中重金属含量的测定参考《固体废物浸出毒性浸出方法 水平振荡法》（HJ 577-2010）执行，浸出液中重金属含量不高于《地下水质量标准》（GB/T14848-2017）地下水IV类标准，其治理目标值如下表所示。</w: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表4 重金属污染土壤关注污染物治理目标值（mg/L）</w:t>
      </w:r>
      <w:r/>
    </w:p>
    <w:tbl>
      <w:tblPr>
        <w:tblStyle w:val="886"/>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1542"/>
        <w:gridCol w:w="3149"/>
        <w:gridCol w:w="4016"/>
      </w:tblGrid>
      <w:tr>
        <w:trPr>
          <w:trHeight w:val="397"/>
        </w:trPr>
        <w:tc>
          <w:tcPr>
            <w:shd w:val="clear" w:color="auto" w:fill="ffffff" w:themeFill="background1"/>
            <w:tcW w:w="642" w:type="pct"/>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序号</w:t>
            </w:r>
            <w:r/>
          </w:p>
        </w:tc>
        <w:tc>
          <w:tcPr>
            <w:shd w:val="clear" w:color="auto" w:fill="ffffff" w:themeFill="background1"/>
            <w:tcW w:w="772" w:type="pct"/>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指标</w:t>
            </w:r>
            <w:r/>
          </w:p>
        </w:tc>
        <w:tc>
          <w:tcPr>
            <w:shd w:val="clear" w:color="auto" w:fill="ffffff" w:themeFill="background1"/>
            <w:tcW w:w="1576" w:type="pct"/>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治理目标值</w:t>
            </w:r>
            <w:r/>
          </w:p>
        </w:tc>
        <w:tc>
          <w:tcPr>
            <w:shd w:val="clear" w:color="auto" w:fill="ffffff" w:themeFill="background1"/>
            <w:tcW w:w="2011" w:type="pct"/>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备注</w:t>
            </w:r>
            <w:r/>
          </w:p>
        </w:tc>
      </w:tr>
      <w:tr>
        <w:trPr>
          <w:trHeight w:val="397"/>
        </w:trPr>
        <w:tc>
          <w:tcPr>
            <w:tcW w:w="642"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c>
          <w:tcPr>
            <w:tcW w:w="772"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砷</w:t>
            </w:r>
            <w:r/>
          </w:p>
        </w:tc>
        <w:tc>
          <w:tcPr>
            <w:tcW w:w="1576"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0.05</w:t>
            </w:r>
            <w:r/>
          </w:p>
        </w:tc>
        <w:tc>
          <w:tcPr>
            <w:tcW w:w="2011" w:type="pct"/>
            <w:vMerge w:val="restar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《地下水质量标准》（GB/T 14848-2017）地下水IV类</w:t>
            </w:r>
            <w:r/>
          </w:p>
        </w:tc>
      </w:tr>
      <w:tr>
        <w:trPr>
          <w:trHeight w:val="397"/>
        </w:trPr>
        <w:tc>
          <w:tcPr>
            <w:tcW w:w="642"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p>
        </w:tc>
        <w:tc>
          <w:tcPr>
            <w:tcW w:w="772"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钴</w:t>
            </w:r>
            <w:r/>
          </w:p>
        </w:tc>
        <w:tc>
          <w:tcPr>
            <w:tcW w:w="1576" w:type="pct"/>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0.1</w:t>
            </w:r>
            <w:r/>
          </w:p>
        </w:tc>
        <w:tc>
          <w:tcPr>
            <w:tcW w:w="2011" w:type="pct"/>
            <w:vMerge w:val="continue"/>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r>
            <w:r/>
          </w:p>
        </w:tc>
      </w:tr>
    </w:tbl>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（2）B区地下水管控目标</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潜水关注污染物的潜水风险管控目标值采用依据HJ25.3计算出的风险控制值，具体见下表。</w: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表5 潜水关注污染物风险管控目标值（mg/L）</w:t>
      </w:r>
      <w:r/>
    </w:p>
    <w:tbl>
      <w:tblPr>
        <w:tblStyle w:val="864"/>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917"/>
        <w:gridCol w:w="3077"/>
        <w:gridCol w:w="2000"/>
        <w:gridCol w:w="1998"/>
        <w:gridCol w:w="1998"/>
      </w:tblGrid>
      <w:tr>
        <w:trPr>
          <w:trHeight w:val="397"/>
          <w:tblHeader/>
        </w:trPr>
        <w:tc>
          <w:tcPr>
            <w:shd w:val="clear" w:color="auto" w:fill="ffffff" w:themeFill="background1"/>
            <w:tcW w:w="459"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shd w:val="clear" w:color="auto" w:fill="ffffff" w:themeFill="background1"/>
            <w:tcW w:w="154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关注污染物</w:t>
            </w:r>
            <w:r/>
          </w:p>
        </w:tc>
        <w:tc>
          <w:tcPr>
            <w:shd w:val="clear" w:color="auto" w:fill="ffffff" w:themeFill="background1"/>
            <w:tcW w:w="1001"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风险控制值</w:t>
            </w:r>
            <w:r/>
          </w:p>
        </w:tc>
        <w:tc>
          <w:tcPr>
            <w:shd w:val="clear" w:color="auto" w:fill="ffffff" w:themeFill="background1"/>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Ⅳ类水质标准</w:t>
            </w:r>
            <w:r/>
          </w:p>
        </w:tc>
        <w:tc>
          <w:tcPr>
            <w:shd w:val="clear" w:color="auto" w:fill="ffffff" w:themeFill="background1"/>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管控目标值</w:t>
            </w:r>
            <w:r/>
          </w:p>
        </w:tc>
      </w:tr>
      <w:tr>
        <w:trPr>
          <w:trHeight w:val="397"/>
        </w:trPr>
        <w:tc>
          <w:tcPr>
            <w:tcW w:w="459"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ffffff" w:themeFill="background1"/>
            <w:tcW w:w="154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三氯甲烷</w:t>
            </w:r>
            <w:r/>
          </w:p>
        </w:tc>
        <w:tc>
          <w:tcPr>
            <w:tcW w:w="1001"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2.31</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0.3</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2.31</w:t>
            </w:r>
            <w:r/>
          </w:p>
        </w:tc>
      </w:tr>
      <w:tr>
        <w:trPr>
          <w:trHeight w:val="397"/>
        </w:trPr>
        <w:tc>
          <w:tcPr>
            <w:tcW w:w="459"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shd w:val="clear" w:color="auto" w:fill="ffffff" w:themeFill="background1"/>
            <w:tcW w:w="154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1,2-二氯乙烷</w:t>
            </w:r>
            <w:r/>
          </w:p>
        </w:tc>
        <w:tc>
          <w:tcPr>
            <w:tcW w:w="1001"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4.25</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0.04</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4.25</w:t>
            </w:r>
            <w:r/>
          </w:p>
        </w:tc>
      </w:tr>
      <w:tr>
        <w:trPr>
          <w:trHeight w:val="397"/>
        </w:trPr>
        <w:tc>
          <w:tcPr>
            <w:tcW w:w="459"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shd w:val="clear" w:color="auto" w:fill="ffffff" w:themeFill="background1"/>
            <w:tcW w:w="154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氯乙烯</w:t>
            </w:r>
            <w:r/>
          </w:p>
        </w:tc>
        <w:tc>
          <w:tcPr>
            <w:tcW w:w="1001"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3.49</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0.09</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3.49</w:t>
            </w:r>
            <w:r/>
          </w:p>
        </w:tc>
      </w:tr>
      <w:tr>
        <w:trPr>
          <w:trHeight w:val="397"/>
        </w:trPr>
        <w:tc>
          <w:tcPr>
            <w:tcW w:w="459"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shd w:val="clear" w:color="auto" w:fill="ffffff" w:themeFill="background1"/>
            <w:tcW w:w="1540"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丙烯腈</w:t>
            </w:r>
            <w:r/>
          </w:p>
        </w:tc>
        <w:tc>
          <w:tcPr>
            <w:tcW w:w="1001" w:type="pct"/>
            <w:vAlign w:val="center"/>
            <w:textDirection w:val="lrTb"/>
            <w:noWrap/>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8.39</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100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8.39</w:t>
            </w:r>
            <w:r/>
          </w:p>
        </w:tc>
      </w:tr>
    </w:tbl>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（3）C区下渗区域源削减目标</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地下水污染运移模拟和公共区域地下水调查结果，拟将地下水中超过风险控制值和有下渗风险的氯代烃污染物作为削源目标污染物，主要包括三氯甲烷、1,2-二氯乙烷、氯乙烯和1,1,2-三氯乙烷。源削减目标为各点位关注目标污染物的平均浓度相较于调查阶段至少下降</w:t>
      </w:r>
      <w:r>
        <w:rPr>
          <w:rFonts w:hint="eastAsia" w:ascii="Times New Roman" w:hAnsi="Times New Roman" w:eastAsia="宋体" w:cs="Times New Roman"/>
          <w:color w:val="auto"/>
          <w:sz w:val="24"/>
          <w:szCs w:val="24"/>
          <w:highlight w:val="none"/>
        </w:rPr>
        <w:t xml:space="preserve">25</w:t>
      </w:r>
      <w:r>
        <w:rPr>
          <w:rFonts w:ascii="Times New Roman" w:hAnsi="Times New Roman" w:eastAsia="宋体" w:cs="Times New Roman"/>
          <w:color w:val="auto"/>
          <w:sz w:val="24"/>
          <w:szCs w:val="24"/>
          <w:highlight w:val="none"/>
        </w:rPr>
        <w:t xml:space="preserve">%或达到相应</w:t>
      </w:r>
      <w:r>
        <w:rPr>
          <w:rFonts w:hint="eastAsia" w:ascii="Times New Roman" w:hAnsi="Times New Roman" w:eastAsia="宋体" w:cs="Times New Roman"/>
          <w:color w:val="auto"/>
          <w:sz w:val="24"/>
          <w:szCs w:val="24"/>
          <w:highlight w:val="none"/>
        </w:rPr>
        <w:t xml:space="preserve">风险管控目标</w:t>
      </w:r>
      <w:r>
        <w:rPr>
          <w:rFonts w:ascii="Times New Roman" w:hAnsi="Times New Roman" w:eastAsia="宋体" w:cs="Times New Roman"/>
          <w:color w:val="auto"/>
          <w:sz w:val="24"/>
          <w:szCs w:val="24"/>
          <w:highlight w:val="none"/>
        </w:rPr>
        <w:t xml:space="preserve">以下。</w:t>
      </w:r>
      <w:bookmarkEnd w:id="208"/>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（4）处理后废水纳管标准</w:t>
      </w:r>
      <w:r/>
    </w:p>
    <w:p>
      <w:pPr>
        <w:ind w:firstLine="561"/>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江苏滨海经济开发区沿海工业园现有滨海艾思伊环保有限公司和江苏北华环保科技有限公司两座污水处理厂，规模均为2万吨/天，工艺流程为：水解酸化+氧化沟+A/O+MBR+芬顿氧化+BAF+反硝化滤池+活性炭吸附工艺。本项目抽提出的地下水和施工废水需进行预处理达标后方可纳管排放，两座污水处理厂的接管标准如下表所示。</w:t>
      </w:r>
      <w:r/>
    </w:p>
    <w:p>
      <w:pPr>
        <w:pStyle w:val="881"/>
        <w:ind w:firstLine="562"/>
        <w:jc w:val="center"/>
        <w:keepLines w:val="0"/>
        <w:keepNext w:val="0"/>
        <w:pageBreakBefore w:val="0"/>
        <w:spacing w:line="360" w:lineRule="auto"/>
        <w:widowControl w:val="off"/>
        <w:rPr>
          <w:rFonts w:eastAsia="宋体" w:cs="Times New Roman"/>
          <w:b/>
          <w:bCs/>
          <w:color w:val="auto"/>
          <w:sz w:val="24"/>
          <w:szCs w:val="24"/>
          <w:highlight w:val="none"/>
        </w:rPr>
      </w:pPr>
      <w:r>
        <w:rPr>
          <w:rFonts w:eastAsia="宋体" w:cs="Times New Roman"/>
          <w:b/>
          <w:bCs/>
          <w:color w:val="auto"/>
          <w:sz w:val="24"/>
          <w:szCs w:val="24"/>
          <w:highlight w:val="none"/>
        </w:rPr>
        <w:t xml:space="preserve">表7 污水处理厂接管标准</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13"/>
        <w:gridCol w:w="4140"/>
        <w:gridCol w:w="2937"/>
      </w:tblGrid>
      <w:tr>
        <w:trPr>
          <w:trHeight w:val="380"/>
          <w:tblHeader/>
        </w:trPr>
        <w:tc>
          <w:tcPr>
            <w:tcW w:w="1458" w:type="pct"/>
            <w:vAlign w:val="center"/>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序号</w:t>
            </w:r>
            <w:r/>
          </w:p>
        </w:tc>
        <w:tc>
          <w:tcPr>
            <w:tcW w:w="2072" w:type="pct"/>
            <w:vAlign w:val="center"/>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污染物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b/>
                <w:bCs/>
                <w:color w:val="auto"/>
                <w:sz w:val="24"/>
                <w:szCs w:val="24"/>
                <w:highlight w:val="none"/>
              </w:rPr>
            </w:pPr>
            <w:r>
              <w:rPr>
                <w:rFonts w:eastAsia="宋体"/>
                <w:b/>
                <w:bCs/>
                <w:color w:val="auto"/>
                <w:sz w:val="24"/>
                <w:szCs w:val="24"/>
                <w:highlight w:val="none"/>
              </w:rPr>
              <w:t xml:space="preserve">接管标准值</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pH(无量纲)</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6~9</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化学需氧量</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350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氨氮</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35</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总氮</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6</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色度</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200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7</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悬浮物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400</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8</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五日生化需氧量</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300</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9</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石油类</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10</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动植物油</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15</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11</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挥发酚</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12</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全盐</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5000</w:t>
            </w:r>
            <w:r/>
          </w:p>
        </w:tc>
      </w:tr>
      <w:tr>
        <w:trPr>
          <w:trHeight w:val="32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13</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总氰化物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14</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硫化物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15</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氟化物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16</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甲醛</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17</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苯胺类</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18</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硝基苯类</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19</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阴离子表面活性剂</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10</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20</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总铜</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21</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总锌</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22</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总锰</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23</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元素磷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0.3</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24</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有机磷农药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0.5</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25</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乐果</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26</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对硫磷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27</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甲基对硫磷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28</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马拉硫磷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29</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五氯酚及五氯酚纳</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8</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30</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可吸附有机卤化物</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31</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三氯甲烷</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32</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四氯化碳</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0.06</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33</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三氯乙烯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36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34</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四氯乙烯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0.2</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35</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0.2</w:t>
            </w:r>
            <w:r/>
          </w:p>
        </w:tc>
      </w:tr>
      <w:tr>
        <w:trPr>
          <w:trHeight w:val="34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36</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甲苯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0.2</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37</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乙苯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38</w:t>
            </w:r>
            <w:r/>
          </w:p>
        </w:tc>
        <w:tc>
          <w:tcPr>
            <w:tcW w:w="2072"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邻-二甲苯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39</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对-二甲苯</w:t>
            </w:r>
            <w:r/>
          </w:p>
        </w:tc>
        <w:tc>
          <w:tcPr>
            <w:tcW w:w="1470"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40</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间-二甲苯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41</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氯苯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0.4</w:t>
            </w:r>
            <w:r/>
          </w:p>
        </w:tc>
      </w:tr>
      <w:tr>
        <w:trPr>
          <w:trHeight w:val="29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42</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邻-二氯苯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9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43</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对-二氯苯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44</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对-硝基氯苯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45</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2,4-二硝基氯苯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1</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46</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苯酚</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0.4</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47</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间-苯酚</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0.2</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48</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2,4-二氯酚</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0.8</w:t>
            </w:r>
            <w:r/>
          </w:p>
        </w:tc>
      </w:tr>
      <w:tr>
        <w:trPr>
          <w:trHeight w:val="29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49</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2.4,6-三氯酚</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0.8</w:t>
            </w:r>
            <w:r/>
          </w:p>
        </w:tc>
      </w:tr>
      <w:tr>
        <w:trPr>
          <w:trHeight w:val="29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50</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邻苯二甲酸二丁酯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0.4</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51</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邻苯二甲酸二辛酯</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0.6</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52</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丙烯腈</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53</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总硒</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0.2</w:t>
            </w:r>
            <w:r/>
          </w:p>
        </w:tc>
      </w:tr>
      <w:tr>
        <w:trPr>
          <w:trHeight w:val="280"/>
        </w:trPr>
        <w:tc>
          <w:tcPr>
            <w:tcW w:w="1458" w:type="pct"/>
            <w:vAlign w:val="center"/>
            <w:textDirection w:val="lrTb"/>
            <w:noWrap w:val="false"/>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54</w:t>
            </w:r>
            <w:r/>
          </w:p>
        </w:tc>
        <w:tc>
          <w:tcPr>
            <w:tcW w:w="2072"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总有机碳</w:t>
            </w:r>
            <w:r/>
          </w:p>
        </w:tc>
        <w:tc>
          <w:tcPr>
            <w:tcW w:w="1470" w:type="pct"/>
            <w:vAlign w:val="center"/>
            <w:textDirection w:val="lrTb"/>
            <w:noWrap/>
          </w:tcPr>
          <w:p>
            <w:pPr>
              <w:pStyle w:val="8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30</w:t>
            </w:r>
            <w:r/>
          </w:p>
        </w:tc>
      </w:tr>
    </w:tbl>
    <w:p>
      <w:pPr>
        <w:pStyle w:val="870"/>
        <w:ind w:firstLine="480"/>
        <w:jc w:val="both"/>
        <w:pageBreakBefore w:val="0"/>
        <w:spacing w:beforeAutospacing="0" w:afterAutospacing="0" w:line="360" w:lineRule="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870"/>
        <w:numPr>
          <w:ilvl w:val="0"/>
          <w:numId w:val="0"/>
        </w:numPr>
        <w:ind w:firstLine="96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color w:val="000000"/>
          <w:sz w:val="24"/>
          <w:szCs w:val="24"/>
          <w:highlight w:val="none"/>
          <w:u w:val="none"/>
        </w:rPr>
        <w:t xml:space="preserve">本项目</w:t>
      </w:r>
      <w:r>
        <w:rPr>
          <w:rFonts w:hint="eastAsia" w:ascii="宋体" w:hAnsi="宋体" w:eastAsia="宋体" w:cs="宋体"/>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p>
    <w:p>
      <w:pPr>
        <w:pStyle w:val="870"/>
        <w:numPr>
          <w:ilvl w:val="0"/>
          <w:numId w:val="0"/>
        </w:numPr>
        <w:ind w:firstLine="96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采购标的对应的中小企业划分标准所属行业一览表</w:t>
      </w:r>
      <w:r/>
    </w:p>
    <w:tbl>
      <w:tblPr>
        <w:tblStyle w:val="864"/>
        <w:tblW w:w="68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54"/>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7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70"/>
              <w:ind w:firstLine="24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江苏滨海经济开发区沿海工业园地下水污染风险管控项目</w:t>
            </w:r>
            <w:r>
              <w:rPr>
                <w:rFonts w:hint="eastAsia" w:ascii="宋体" w:hAnsi="宋体" w:eastAsia="宋体" w:cs="宋体"/>
                <w:color w:val="000000"/>
                <w:sz w:val="24"/>
                <w:szCs w:val="24"/>
                <w:highlight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default" w:ascii="Times New Roman" w:hAnsi="Times New Roman" w:eastAsia="宋体" w:cs="Times New Roman"/>
                <w:i w:val="0"/>
                <w:iCs w:val="0"/>
                <w:color w:val="auto"/>
                <w:sz w:val="24"/>
                <w:szCs w:val="24"/>
                <w:highlight w:val="none"/>
                <w:u w:val="none"/>
                <w:lang w:val="en-US" w:eastAsia="zh-CN" w:bidi="ar"/>
              </w:rPr>
              <w:t xml:space="preserve">其他未列明行业</w:t>
            </w:r>
            <w:r/>
          </w:p>
        </w:tc>
      </w:tr>
    </w:tbl>
    <w:p>
      <w:pPr>
        <w:pStyle w:val="87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7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ind w:firstLine="60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jc w:val="both"/>
        <w:pageBreakBefore w:val="0"/>
        <w:spacing w:beforeAutospacing="0" w:afterAutospacing="0" w:line="360" w:lineRule="auto"/>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0"/>
        <w:jc w:val="both"/>
        <w:pageBreakBefore w:val="0"/>
        <w:spacing w:beforeAutospacing="0" w:afterAutospacing="0" w:line="360" w:lineRule="auto"/>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jc w:val="both"/>
        <w:pageBreakBefore w:val="0"/>
        <w:spacing w:beforeAutospacing="0" w:afterAutospacing="0" w:line="360" w:lineRule="auto"/>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jc w:val="center"/>
        <w:keepNext/>
        <w:pageBreakBefore w:val="0"/>
        <w:spacing w:beforeAutospacing="0" w:afterAutospacing="0" w:line="360" w:lineRule="auto"/>
        <w:rPr>
          <w:highlight w:val="none"/>
        </w:rPr>
      </w:pPr>
      <w:r/>
      <w:bookmarkStart w:id="209" w:name="_Toc120614281"/>
      <w:r>
        <w:rPr>
          <w:rFonts w:hint="eastAsia" w:ascii="宋体" w:hAnsi="宋体" w:eastAsia="宋体" w:cs="宋体"/>
          <w:sz w:val="24"/>
          <w:szCs w:val="24"/>
          <w:highlight w:val="none"/>
        </w:rPr>
        <w:t xml:space="preserve"> </w:t>
      </w:r>
      <w:r>
        <w:rPr>
          <w:highlight w:val="none"/>
        </w:rPr>
        <w:t xml:space="preserve"> </w:t>
      </w:r>
      <w:r/>
    </w:p>
    <w:p>
      <w:pPr>
        <w:pStyle w:val="870"/>
        <w:jc w:val="center"/>
        <w:keepNext/>
        <w:pageBreakBefore w:val="0"/>
        <w:spacing w:beforeAutospacing="0" w:afterAutospacing="0" w:line="360" w:lineRule="auto"/>
        <w:rPr>
          <w:sz w:val="36"/>
          <w:szCs w:val="36"/>
          <w:highlight w:val="none"/>
        </w:rPr>
      </w:pPr>
      <w:r>
        <w:rPr>
          <w:rFonts w:hint="eastAsia" w:ascii="黑体" w:hAnsi="宋体" w:eastAsia="黑体" w:cs="黑体"/>
          <w:color w:val="000000"/>
          <w:sz w:val="36"/>
          <w:szCs w:val="36"/>
          <w:highlight w:val="none"/>
        </w:rPr>
        <w:t xml:space="preserve">第五章  </w:t>
      </w:r>
      <w:r>
        <w:rPr>
          <w:rFonts w:hint="eastAsia" w:ascii="黑体" w:hAnsi="宋体" w:eastAsia="黑体" w:cs="黑体"/>
          <w:b/>
          <w:color w:val="000000"/>
          <w:sz w:val="36"/>
          <w:szCs w:val="36"/>
          <w:highlight w:val="none"/>
        </w:rPr>
        <w:t xml:space="preserve">评标方法与评标标准</w:t>
      </w:r>
      <w:r/>
    </w:p>
    <w:p>
      <w:pPr>
        <w:pStyle w:val="870"/>
        <w:jc w:val="both"/>
        <w:pageBreakBefore w:val="0"/>
        <w:spacing w:beforeAutospacing="0" w:afterAutospacing="0" w:line="360" w:lineRule="auto"/>
        <w:rPr>
          <w:highlight w:val="none"/>
        </w:rPr>
      </w:pPr>
      <w:r>
        <w:rPr>
          <w:highlight w:val="none"/>
        </w:rPr>
        <w:t xml:space="preserve"> </w:t>
      </w:r>
      <w:r/>
    </w:p>
    <w:p>
      <w:p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70"/>
        <w:ind w:firstLine="441"/>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76"/>
        <w:ind w:firstLine="36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70"/>
        <w:ind w:firstLine="36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70"/>
        <w:ind w:firstLine="36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70"/>
        <w:ind w:left="120" w:firstLine="360"/>
        <w:pageBreakBefore w:val="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70"/>
        <w:ind w:left="120" w:firstLine="36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70"/>
        <w:ind w:left="120" w:firstLine="36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70"/>
        <w:ind w:left="120" w:firstLine="360"/>
        <w:pageBreakBefore w:val="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70"/>
        <w:ind w:firstLine="48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70"/>
        <w:ind w:firstLine="480"/>
        <w:pageBreakBefore w:val="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70"/>
        <w:ind w:left="120" w:firstLine="360"/>
        <w:pageBreakBefore w:val="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7、采购本国产品的支持政策</w:t>
      </w:r>
      <w:r/>
    </w:p>
    <w:p>
      <w:pPr>
        <w:ind w:firstLine="480"/>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w:t>
      </w:r>
      <w:r/>
    </w:p>
    <w:p>
      <w:pPr>
        <w:ind w:firstLine="480"/>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 xml:space="preserve">80%</w:t>
      </w:r>
      <w:r>
        <w:rPr>
          <w:rFonts w:hint="eastAsia" w:ascii="宋体" w:hAnsi="宋体" w:eastAsia="宋体" w:cs="宋体"/>
          <w:b w:val="0"/>
          <w:bCs w:val="0"/>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pageBreakBefore w:val="0"/>
        <w:spacing w:line="360" w:lineRule="auto"/>
        <w:rPr>
          <w:rFonts w:hint="eastAsia" w:ascii="宋体" w:hAnsi="宋体" w:eastAsia="宋体" w:cs="宋体"/>
          <w:color w:val="000000"/>
          <w:highlight w:val="none"/>
          <w:u w:val="single"/>
          <w:lang w:eastAsia="zh-CN"/>
        </w:rPr>
      </w:pPr>
      <w:r>
        <w:rPr>
          <w:rFonts w:hint="eastAsia" w:ascii="宋体" w:hAnsi="宋体" w:eastAsia="宋体" w:cs="宋体"/>
          <w:b w:val="0"/>
          <w:bCs w:val="0"/>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 xml:space="preserve">在苏采云系统</w:t>
      </w:r>
      <w:r>
        <w:rPr>
          <w:rFonts w:hint="eastAsia" w:ascii="宋体" w:hAnsi="宋体" w:eastAsia="宋体" w:cs="宋体"/>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auto"/>
          <w:sz w:val="24"/>
          <w:szCs w:val="24"/>
        </w:rPr>
        <w:t xml:space="preserve">。</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70"/>
        <w:ind w:firstLine="482"/>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86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4"/>
        <w:gridCol w:w="1270"/>
        <w:gridCol w:w="1454"/>
        <w:gridCol w:w="5275"/>
        <w:gridCol w:w="1076"/>
      </w:tblGrid>
      <w:tr>
        <w:trPr>
          <w:trHeight w:val="640"/>
          <w:tblHeader/>
        </w:trPr>
        <w:tc>
          <w:tcPr>
            <w:gridSpan w:val="2"/>
            <w:tcW w:w="45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序号</w:t>
            </w:r>
            <w:r/>
          </w:p>
        </w:tc>
        <w:tc>
          <w:tcPr>
            <w:tcW w:w="63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评审项</w:t>
            </w:r>
            <w:r/>
          </w:p>
        </w:tc>
        <w:tc>
          <w:tcPr>
            <w:tcW w:w="728"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评审因素</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评审细则</w:t>
            </w:r>
            <w:r/>
          </w:p>
        </w:tc>
        <w:tc>
          <w:tcPr>
            <w:tcW w:w="539"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分值</w:t>
            </w:r>
            <w:r/>
          </w:p>
        </w:tc>
      </w:tr>
      <w:tr>
        <w:trPr>
          <w:trHeight w:val="1080"/>
        </w:trPr>
        <w:tc>
          <w:tcPr>
            <w:gridSpan w:val="2"/>
            <w:tcW w:w="455"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636"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价格</w:t>
            </w:r>
            <w:r/>
          </w:p>
        </w:tc>
        <w:tc>
          <w:tcPr>
            <w:tcW w:w="728"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投标报价</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投标报价分采用最低价优先法计算，即满足招标文件要求且投标报价的最低报价为评标基准价，其报价分为满分，其他投标人的报价分按照下列公式计算：报价得分=（评标基准价/投标报价）×15。</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15</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636" w:type="pct"/>
            <w:vAlign w:val="center"/>
            <w:vMerge w:val="restart"/>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商务</w:t>
            </w:r>
            <w:r>
              <w:rPr>
                <w:rFonts w:hint="eastAsia" w:ascii="Times New Roman" w:hAnsi="Times New Roman" w:eastAsia="宋体" w:cs="Times New Roman"/>
                <w:color w:val="auto"/>
                <w:sz w:val="24"/>
                <w:szCs w:val="24"/>
                <w:highlight w:val="none"/>
                <w:lang w:eastAsia="zh-CN"/>
              </w:rPr>
              <w:t xml:space="preserve">部分</w:t>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类似业绩</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投标供应商自202</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月1日以来（以合同签订时间为准），独立承担或作为牵头人承担并完成含污染地下水的地块修复或风险管控类似项目业绩，每提供一个得2分，最高得8分。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注：本项需提供的类似业绩证明材料详见表后备注（详见评分表备注）。</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8</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管理体系</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投标人具有认证范围为环境保护相关的ISO9001质量管理体系认证证书、ISO14001环境管理体系认证证书、ISO45001职业健康安全管理体系认证证书的、GB/T 29490-2013知识产权管理体系认证证书，每具备一个得0.5分。此项最高得2分。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注：本项须提供认证证书扫描件，且认证须在全国认证认可信息平台查询有效，否则不予认可。</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资信荣誉</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投标人自2021年5月1日以来（以证书落款时间为准），在本项目类似的污染土壤或地下水修复/风险管控方向，获得省级及以上有关行政部门颁发的科学技术奖项的，每具备一个得</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分；获得市级及以下有关行政部门颁发的科学技术奖项的，每具备一个得</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最多对2个计分，</w:t>
            </w:r>
            <w:r>
              <w:rPr>
                <w:rFonts w:hint="eastAsia" w:ascii="Times New Roman" w:hAnsi="Times New Roman" w:eastAsia="宋体" w:cs="Times New Roman"/>
                <w:color w:val="auto"/>
                <w:sz w:val="24"/>
                <w:szCs w:val="24"/>
                <w:highlight w:val="none"/>
              </w:rPr>
              <w:t xml:space="preserve">本项最高得</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注：本项须提供有关证书扫描件或发文文件或官网截图予以证明，否则不予认可。</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636" w:type="pct"/>
            <w:vAlign w:val="center"/>
            <w:vMerge w:val="restart"/>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技术</w:t>
            </w:r>
            <w:r>
              <w:rPr>
                <w:rFonts w:hint="eastAsia" w:ascii="Times New Roman" w:hAnsi="Times New Roman" w:eastAsia="宋体" w:cs="Times New Roman"/>
                <w:color w:val="auto"/>
                <w:sz w:val="24"/>
                <w:szCs w:val="24"/>
                <w:highlight w:val="none"/>
                <w:lang w:eastAsia="zh-CN"/>
              </w:rPr>
              <w:t xml:space="preserve">部分</w:t>
            </w:r>
            <w:r/>
          </w:p>
        </w:tc>
        <w:tc>
          <w:tcPr>
            <w:gridSpan w:val="3"/>
            <w:tcW w:w="3907"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技术分编制及评审要求：</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技术标不超过300页。（包含封面、目录、正文、附图、附表）评标委员会对超过部分进行扣分，每超过一页扣0.</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分。</w:t>
            </w:r>
            <w:r/>
          </w:p>
        </w:tc>
      </w:tr>
      <w:tr>
        <w:trPr>
          <w:trHeight w:val="983"/>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lang w:bidi="ar"/>
              </w:rPr>
              <w:t xml:space="preserve">项目概况</w:t>
            </w:r>
            <w:r>
              <w:rPr>
                <w:rFonts w:hint="eastAsia" w:ascii="Times New Roman" w:hAnsi="Times New Roman" w:eastAsia="宋体"/>
                <w:color w:val="auto"/>
                <w:sz w:val="24"/>
                <w:szCs w:val="24"/>
                <w:highlight w:val="none"/>
                <w:lang w:bidi="ar"/>
              </w:rPr>
              <w:t xml:space="preserve">及总体部署</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对本项目背景情况了解全面，对项目服务内容和目标理解准确深入，</w:t>
            </w:r>
            <w:r>
              <w:rPr>
                <w:rFonts w:hint="eastAsia" w:ascii="Times New Roman" w:hAnsi="Times New Roman" w:eastAsia="宋体"/>
                <w:color w:val="auto"/>
                <w:sz w:val="24"/>
                <w:szCs w:val="24"/>
                <w:highlight w:val="none"/>
              </w:rPr>
              <w:t xml:space="preserve">对项目技术路线、总体服务流程、项目重难点等内容阐述完整，可行性与针对性强的，</w:t>
            </w:r>
            <w:r>
              <w:rPr>
                <w:rFonts w:hint="eastAsia" w:ascii="Times New Roman" w:hAnsi="Times New Roman" w:eastAsia="宋体"/>
                <w:color w:val="auto"/>
                <w:sz w:val="24"/>
                <w:szCs w:val="24"/>
                <w:highlight w:val="none"/>
                <w:lang w:bidi="ar"/>
              </w:rPr>
              <w:t xml:space="preserve">得</w:t>
            </w:r>
            <w:r>
              <w:rPr>
                <w:rFonts w:hint="eastAsia" w:ascii="Times New Roman" w:hAnsi="Times New Roman" w:eastAsia="宋体"/>
                <w:color w:val="auto"/>
                <w:sz w:val="24"/>
                <w:szCs w:val="24"/>
                <w:highlight w:val="none"/>
                <w:lang w:val="en-US" w:eastAsia="zh-CN" w:bidi="ar"/>
              </w:rPr>
              <w:t xml:space="preserve">8</w:t>
            </w:r>
            <w:r>
              <w:rPr>
                <w:rFonts w:hint="eastAsia" w:ascii="Times New Roman" w:hAnsi="Times New Roman" w:eastAsia="宋体"/>
                <w:color w:val="auto"/>
                <w:sz w:val="24"/>
                <w:szCs w:val="24"/>
                <w:highlight w:val="none"/>
                <w:lang w:bidi="ar"/>
              </w:rPr>
              <w:t xml:space="preserve">分；对项目概况及总体部署</w:t>
            </w:r>
            <w:r>
              <w:rPr>
                <w:rFonts w:hint="eastAsia" w:ascii="Times New Roman" w:hAnsi="Times New Roman" w:eastAsia="宋体"/>
                <w:color w:val="auto"/>
                <w:sz w:val="24"/>
                <w:szCs w:val="24"/>
                <w:highlight w:val="none"/>
              </w:rPr>
              <w:t xml:space="preserve">阐述较清楚的</w:t>
            </w:r>
            <w:r>
              <w:rPr>
                <w:rFonts w:hint="eastAsia" w:ascii="Times New Roman" w:hAnsi="Times New Roman" w:eastAsia="宋体"/>
                <w:color w:val="auto"/>
                <w:sz w:val="24"/>
                <w:szCs w:val="24"/>
                <w:highlight w:val="none"/>
                <w:lang w:bidi="ar"/>
              </w:rPr>
              <w:t xml:space="preserve">，得</w:t>
            </w:r>
            <w:r>
              <w:rPr>
                <w:rFonts w:hint="eastAsia" w:ascii="Times New Roman" w:hAnsi="Times New Roman" w:eastAsia="宋体"/>
                <w:color w:val="auto"/>
                <w:sz w:val="24"/>
                <w:szCs w:val="24"/>
                <w:highlight w:val="none"/>
                <w:lang w:val="en-US" w:eastAsia="zh-CN" w:bidi="ar"/>
              </w:rPr>
              <w:t xml:space="preserve">5</w:t>
            </w:r>
            <w:r>
              <w:rPr>
                <w:rFonts w:hint="eastAsia" w:ascii="Times New Roman" w:hAnsi="Times New Roman" w:eastAsia="宋体"/>
                <w:color w:val="auto"/>
                <w:sz w:val="24"/>
                <w:szCs w:val="24"/>
                <w:highlight w:val="none"/>
                <w:lang w:bidi="ar"/>
              </w:rPr>
              <w:t xml:space="preserve">分；对项目概况及总体部署缺乏了解，对项目服务内容理解有一定偏差的，得</w:t>
            </w:r>
            <w:r>
              <w:rPr>
                <w:rFonts w:hint="eastAsia" w:ascii="Times New Roman" w:hAnsi="Times New Roman" w:eastAsia="宋体"/>
                <w:color w:val="auto"/>
                <w:sz w:val="24"/>
                <w:szCs w:val="24"/>
                <w:highlight w:val="none"/>
                <w:lang w:val="en-US" w:eastAsia="zh-CN" w:bidi="ar"/>
              </w:rPr>
              <w:t xml:space="preserve">2</w:t>
            </w:r>
            <w:r>
              <w:rPr>
                <w:rFonts w:hint="eastAsia" w:ascii="Times New Roman" w:hAnsi="Times New Roman" w:eastAsia="宋体"/>
                <w:color w:val="auto"/>
                <w:sz w:val="24"/>
                <w:szCs w:val="24"/>
                <w:highlight w:val="none"/>
                <w:lang w:bidi="ar"/>
              </w:rPr>
              <w:t xml:space="preserve">分；无</w:t>
            </w:r>
            <w:r>
              <w:rPr>
                <w:rFonts w:hint="eastAsia" w:ascii="Times New Roman" w:hAnsi="Times New Roman" w:eastAsia="宋体"/>
                <w:color w:val="auto"/>
                <w:sz w:val="24"/>
                <w:szCs w:val="24"/>
                <w:highlight w:val="none"/>
                <w:lang w:val="en-US" w:eastAsia="zh-CN" w:bidi="ar"/>
              </w:rPr>
              <w:t xml:space="preserve">技术方案或严重偏离采购需求的</w:t>
            </w:r>
            <w:r>
              <w:rPr>
                <w:rFonts w:hint="eastAsia" w:ascii="Times New Roman" w:hAnsi="Times New Roman" w:eastAsia="宋体"/>
                <w:color w:val="auto"/>
                <w:sz w:val="24"/>
                <w:szCs w:val="24"/>
                <w:highlight w:val="none"/>
                <w:lang w:bidi="ar"/>
              </w:rPr>
              <w:t xml:space="preserve">，不得分。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8分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风险管控设计</w:t>
            </w:r>
            <w:r>
              <w:rPr>
                <w:rFonts w:ascii="Times New Roman" w:hAnsi="Times New Roman" w:eastAsia="宋体"/>
                <w:color w:val="auto"/>
                <w:sz w:val="24"/>
                <w:szCs w:val="24"/>
                <w:highlight w:val="none"/>
                <w:lang w:bidi="ar"/>
              </w:rPr>
              <w:t xml:space="preserve">方案</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设计方案内容全面，工艺选择与参数设计合理，针对性强的，得12分；设计方案内容较全面，工艺选择与参数设计较合理，针对性较强的，得8分；设计方案内容简单，工艺选择与参数设计一般，针对性较差的，得4分；无</w:t>
            </w:r>
            <w:r>
              <w:rPr>
                <w:rFonts w:hint="eastAsia" w:ascii="Times New Roman" w:hAnsi="Times New Roman" w:eastAsia="宋体"/>
                <w:color w:val="auto"/>
                <w:sz w:val="24"/>
                <w:szCs w:val="24"/>
                <w:highlight w:val="none"/>
                <w:lang w:val="en-US" w:eastAsia="zh-CN" w:bidi="ar"/>
              </w:rPr>
              <w:t xml:space="preserve">技术方案或严重偏离采购需求的</w:t>
            </w:r>
            <w:r>
              <w:rPr>
                <w:rFonts w:hint="eastAsia" w:ascii="Times New Roman" w:hAnsi="Times New Roman" w:eastAsia="宋体"/>
                <w:color w:val="auto"/>
                <w:sz w:val="24"/>
                <w:szCs w:val="24"/>
                <w:highlight w:val="none"/>
                <w:lang w:bidi="ar"/>
              </w:rPr>
              <w:t xml:space="preserve">，不得分。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12</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风险管控服务</w:t>
            </w:r>
            <w:r>
              <w:rPr>
                <w:rFonts w:ascii="Times New Roman" w:hAnsi="Times New Roman" w:eastAsia="宋体"/>
                <w:color w:val="auto"/>
                <w:sz w:val="24"/>
                <w:szCs w:val="24"/>
                <w:highlight w:val="none"/>
                <w:lang w:bidi="ar"/>
              </w:rPr>
              <w:t xml:space="preserve">方案</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服务方案内容全面，</w:t>
            </w:r>
            <w:r>
              <w:rPr>
                <w:rFonts w:hint="eastAsia" w:ascii="Times New Roman" w:hAnsi="Times New Roman" w:eastAsia="宋体"/>
                <w:color w:val="auto"/>
                <w:sz w:val="24"/>
                <w:szCs w:val="24"/>
                <w:highlight w:val="none"/>
              </w:rPr>
              <w:t xml:space="preserve">总平面布置</w:t>
            </w:r>
            <w:r>
              <w:rPr>
                <w:rFonts w:hint="eastAsia" w:ascii="Times New Roman" w:hAnsi="Times New Roman" w:eastAsia="宋体"/>
                <w:color w:val="auto"/>
                <w:sz w:val="24"/>
                <w:szCs w:val="24"/>
                <w:highlight w:val="none"/>
                <w:lang w:bidi="ar"/>
              </w:rPr>
              <w:t xml:space="preserve">与组织安排科学合理，人材机配置得当，有完备的二次污染防治措施和环境监测方案，可操作性强的，得12分；服务方案内容较全面、组织安排总体合理，可操作性较强的，得8分；服务方案内容简单，组织安排的合理性一般，可操作性欠佳的，得4分；无</w:t>
            </w:r>
            <w:r>
              <w:rPr>
                <w:rFonts w:hint="eastAsia" w:ascii="Times New Roman" w:hAnsi="Times New Roman" w:eastAsia="宋体"/>
                <w:color w:val="auto"/>
                <w:sz w:val="24"/>
                <w:szCs w:val="24"/>
                <w:highlight w:val="none"/>
                <w:lang w:val="en-US" w:eastAsia="zh-CN" w:bidi="ar"/>
              </w:rPr>
              <w:t xml:space="preserve">技术方案或严重偏离采购需求的</w:t>
            </w:r>
            <w:r>
              <w:rPr>
                <w:rFonts w:hint="eastAsia" w:ascii="Times New Roman" w:hAnsi="Times New Roman" w:eastAsia="宋体"/>
                <w:color w:val="auto"/>
                <w:sz w:val="24"/>
                <w:szCs w:val="24"/>
                <w:highlight w:val="none"/>
                <w:lang w:bidi="ar"/>
              </w:rPr>
              <w:t xml:space="preserve">，不得分。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12</w:t>
            </w:r>
            <w:r>
              <w:rPr>
                <w:rFonts w:hint="eastAsia" w:ascii="Times New Roman" w:hAnsi="Times New Roman" w:eastAsia="宋体" w:cs="Times New Roman"/>
                <w:color w:val="auto"/>
                <w:sz w:val="24"/>
                <w:szCs w:val="24"/>
                <w:highlight w:val="none"/>
                <w:lang w:eastAsia="zh-CN"/>
              </w:rPr>
              <w:t xml:space="preserve">分</w:t>
            </w:r>
            <w:r/>
          </w:p>
        </w:tc>
      </w:tr>
      <w:tr>
        <w:trPr>
          <w:trHeight w:val="1238"/>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lang w:bidi="ar"/>
              </w:rPr>
              <w:t xml:space="preserve">质量</w:t>
            </w:r>
            <w:r>
              <w:rPr>
                <w:rFonts w:hint="eastAsia" w:ascii="Times New Roman" w:hAnsi="Times New Roman" w:eastAsia="宋体"/>
                <w:color w:val="auto"/>
                <w:sz w:val="24"/>
                <w:szCs w:val="24"/>
                <w:highlight w:val="none"/>
                <w:lang w:bidi="ar"/>
              </w:rPr>
              <w:t xml:space="preserve">及进度</w:t>
            </w:r>
            <w:r>
              <w:rPr>
                <w:rFonts w:ascii="Times New Roman" w:hAnsi="Times New Roman" w:eastAsia="宋体"/>
                <w:color w:val="auto"/>
                <w:sz w:val="24"/>
                <w:szCs w:val="24"/>
                <w:highlight w:val="none"/>
                <w:lang w:bidi="ar"/>
              </w:rPr>
              <w:t xml:space="preserve">保证措施</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质量和进度保证措施详实、科学合理、有风险管控效果自检措施且针对性强的，得6分；有相应的质量和进度保证措施且风险管控效果自检措施有一定针对性的，得4分；质量和进度保证措施不完善，风险管控效果自检措施针对性差的，得2分；无</w:t>
            </w:r>
            <w:r>
              <w:rPr>
                <w:rFonts w:hint="eastAsia" w:ascii="Times New Roman" w:hAnsi="Times New Roman" w:eastAsia="宋体"/>
                <w:color w:val="auto"/>
                <w:sz w:val="24"/>
                <w:szCs w:val="24"/>
                <w:highlight w:val="none"/>
                <w:lang w:val="en-US" w:eastAsia="zh-CN" w:bidi="ar"/>
              </w:rPr>
              <w:t xml:space="preserve">技术方案或严重偏离采购需求的</w:t>
            </w:r>
            <w:r>
              <w:rPr>
                <w:rFonts w:hint="eastAsia" w:ascii="Times New Roman" w:hAnsi="Times New Roman" w:eastAsia="宋体"/>
                <w:color w:val="auto"/>
                <w:sz w:val="24"/>
                <w:szCs w:val="24"/>
                <w:highlight w:val="none"/>
                <w:lang w:bidi="ar"/>
              </w:rPr>
              <w:t xml:space="preserve">，不得分。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6</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lang w:bidi="ar"/>
              </w:rPr>
              <w:t xml:space="preserve">安全</w:t>
            </w:r>
            <w:r>
              <w:rPr>
                <w:rFonts w:hint="eastAsia" w:ascii="Times New Roman" w:hAnsi="Times New Roman" w:eastAsia="宋体"/>
                <w:color w:val="auto"/>
                <w:sz w:val="24"/>
                <w:szCs w:val="24"/>
                <w:highlight w:val="none"/>
                <w:lang w:bidi="ar"/>
              </w:rPr>
              <w:t xml:space="preserve">及应急管理</w:t>
            </w:r>
            <w:r>
              <w:rPr>
                <w:rFonts w:ascii="Times New Roman" w:hAnsi="Times New Roman" w:eastAsia="宋体"/>
                <w:color w:val="auto"/>
                <w:sz w:val="24"/>
                <w:szCs w:val="24"/>
                <w:highlight w:val="none"/>
                <w:lang w:bidi="ar"/>
              </w:rPr>
              <w:t xml:space="preserve">措施</w:t>
            </w:r>
            <w:r/>
          </w:p>
        </w:tc>
        <w:tc>
          <w:tcPr>
            <w:tcW w:w="2640"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olor w:val="auto"/>
                <w:sz w:val="24"/>
                <w:szCs w:val="24"/>
                <w:highlight w:val="none"/>
                <w:lang w:bidi="ar"/>
              </w:rPr>
              <w:t xml:space="preserve">对项目安全风险和异常情况风险分析考虑全面，有完备科学的安全保障措施和应急预案，可实施性强且能有效保障项目安全实施的，得6分；对项目</w:t>
            </w:r>
            <w:r>
              <w:rPr>
                <w:rFonts w:ascii="Times New Roman" w:hAnsi="Times New Roman" w:eastAsia="宋体"/>
                <w:color w:val="auto"/>
                <w:sz w:val="24"/>
                <w:szCs w:val="24"/>
                <w:highlight w:val="none"/>
                <w:lang w:bidi="ar"/>
              </w:rPr>
              <w:t xml:space="preserve">安全</w:t>
            </w:r>
            <w:r>
              <w:rPr>
                <w:rFonts w:hint="eastAsia" w:ascii="Times New Roman" w:hAnsi="Times New Roman" w:eastAsia="宋体"/>
                <w:color w:val="auto"/>
                <w:sz w:val="24"/>
                <w:szCs w:val="24"/>
                <w:highlight w:val="none"/>
                <w:lang w:bidi="ar"/>
              </w:rPr>
              <w:t xml:space="preserve">及应急管理</w:t>
            </w:r>
            <w:r>
              <w:rPr>
                <w:rFonts w:ascii="Times New Roman" w:hAnsi="Times New Roman" w:eastAsia="宋体"/>
                <w:color w:val="auto"/>
                <w:sz w:val="24"/>
                <w:szCs w:val="24"/>
                <w:highlight w:val="none"/>
                <w:lang w:bidi="ar"/>
              </w:rPr>
              <w:t xml:space="preserve">措施</w:t>
            </w:r>
            <w:r>
              <w:rPr>
                <w:rFonts w:hint="eastAsia" w:ascii="Times New Roman" w:hAnsi="Times New Roman" w:eastAsia="宋体"/>
                <w:color w:val="auto"/>
                <w:sz w:val="24"/>
                <w:szCs w:val="24"/>
                <w:highlight w:val="none"/>
                <w:lang w:bidi="ar"/>
              </w:rPr>
              <w:t xml:space="preserve">阐述较清楚，基本能保障项目安全实施的，得4分；安全和应急措施不合理，可实施性较差，难以保障项目安全实施的，得2分；无</w:t>
            </w:r>
            <w:r>
              <w:rPr>
                <w:rFonts w:hint="eastAsia" w:ascii="Times New Roman" w:hAnsi="Times New Roman" w:eastAsia="宋体"/>
                <w:color w:val="auto"/>
                <w:sz w:val="24"/>
                <w:szCs w:val="24"/>
                <w:highlight w:val="none"/>
                <w:lang w:val="en-US" w:eastAsia="zh-CN" w:bidi="ar"/>
              </w:rPr>
              <w:t xml:space="preserve">技术方案或严重偏离采购需求的</w:t>
            </w:r>
            <w:r>
              <w:rPr>
                <w:rFonts w:hint="eastAsia" w:ascii="Times New Roman" w:hAnsi="Times New Roman" w:eastAsia="宋体"/>
                <w:color w:val="auto"/>
                <w:sz w:val="24"/>
                <w:szCs w:val="24"/>
                <w:highlight w:val="none"/>
                <w:lang w:bidi="ar"/>
              </w:rPr>
              <w:t xml:space="preserve">，不得分</w:t>
            </w:r>
            <w:r>
              <w:rPr>
                <w:rFonts w:ascii="Times New Roman" w:hAnsi="Times New Roman" w:eastAsia="宋体"/>
                <w:color w:val="auto"/>
                <w:sz w:val="24"/>
                <w:szCs w:val="24"/>
                <w:highlight w:val="none"/>
                <w:lang w:bidi="ar"/>
              </w:rPr>
              <w:t xml:space="preserve">。</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6</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p>
        </w:tc>
        <w:tc>
          <w:tcPr>
            <w:tcW w:w="636"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w:t>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服务团队</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（项目负责人）</w:t>
            </w:r>
            <w:r/>
          </w:p>
        </w:tc>
        <w:tc>
          <w:tcPr>
            <w:tcW w:w="2640" w:type="pct"/>
            <w:vAlign w:val="center"/>
            <w:textDirection w:val="lrTb"/>
            <w:noWrap w:val="false"/>
          </w:tcPr>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项目负责人按下列标准评审赋分：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①具有环保类副高级及以上工程师职称的得1分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中级工程师职称的得0.5分</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中级以下职称不得分</w:t>
            </w:r>
            <w:r>
              <w:rPr>
                <w:rFonts w:hint="eastAsia" w:ascii="Times New Roman" w:hAnsi="Times New Roman" w:eastAsia="宋体" w:cs="Times New Roman"/>
                <w:color w:val="auto"/>
                <w:sz w:val="24"/>
                <w:szCs w:val="24"/>
                <w:highlight w:val="none"/>
                <w:lang w:eastAsia="zh-CN"/>
              </w:rPr>
              <w:t xml:space="preserve">；</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②</w:t>
            </w:r>
            <w:r>
              <w:rPr>
                <w:rFonts w:hint="eastAsia" w:ascii="Times New Roman" w:hAnsi="Times New Roman" w:eastAsia="宋体" w:cs="Times New Roman"/>
                <w:color w:val="auto"/>
                <w:sz w:val="24"/>
                <w:szCs w:val="24"/>
                <w:highlight w:val="none"/>
                <w:lang w:val="en-US" w:eastAsia="zh-CN"/>
              </w:rPr>
              <w:t xml:space="preserve">具有一级注册建造师执业资格（已在本单位注册）的得1分；具有二级注册建造师执业资格的得0.5分；（不累计）</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③</w:t>
            </w:r>
            <w:r>
              <w:rPr>
                <w:rFonts w:hint="eastAsia" w:ascii="Times New Roman" w:hAnsi="Times New Roman" w:eastAsia="宋体" w:cs="Times New Roman"/>
                <w:color w:val="auto"/>
                <w:sz w:val="24"/>
                <w:szCs w:val="24"/>
                <w:highlight w:val="none"/>
              </w:rPr>
              <w:t xml:space="preserve">作为项目负责人</w:t>
            </w:r>
            <w:r>
              <w:rPr>
                <w:rFonts w:hint="eastAsia" w:ascii="Times New Roman" w:hAnsi="Times New Roman" w:eastAsia="宋体" w:cs="Times New Roman"/>
                <w:color w:val="auto"/>
                <w:sz w:val="24"/>
                <w:szCs w:val="24"/>
                <w:highlight w:val="none"/>
                <w:lang w:val="en-US" w:eastAsia="zh-CN"/>
              </w:rPr>
              <w:t xml:space="preserve">身份</w:t>
            </w:r>
            <w:r>
              <w:rPr>
                <w:rFonts w:hint="eastAsia" w:ascii="Times New Roman" w:hAnsi="Times New Roman" w:eastAsia="宋体" w:cs="Times New Roman"/>
                <w:color w:val="auto"/>
                <w:sz w:val="24"/>
                <w:szCs w:val="24"/>
                <w:highlight w:val="none"/>
              </w:rPr>
              <w:t xml:space="preserve">完成</w:t>
            </w:r>
            <w:r>
              <w:rPr>
                <w:rFonts w:hint="eastAsia" w:ascii="Times New Roman" w:hAnsi="Times New Roman" w:eastAsia="宋体" w:cs="Times New Roman"/>
                <w:color w:val="auto"/>
                <w:sz w:val="24"/>
                <w:szCs w:val="24"/>
                <w:highlight w:val="none"/>
                <w:lang w:val="en-US" w:eastAsia="zh-CN"/>
              </w:rPr>
              <w:t xml:space="preserve">过</w:t>
            </w:r>
            <w:r>
              <w:rPr>
                <w:rFonts w:hint="eastAsia" w:ascii="Times New Roman" w:hAnsi="Times New Roman" w:eastAsia="宋体" w:cs="Times New Roman"/>
                <w:color w:val="auto"/>
                <w:sz w:val="24"/>
                <w:szCs w:val="24"/>
                <w:highlight w:val="none"/>
              </w:rPr>
              <w:t xml:space="preserve">含污染地下水的地块修复或风险管控类似项目业绩的，得1分。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本项最高</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注：本项须提供人员职称证书、注册证书、业绩证明材料扫描件（详见评分表备注）及本单位为其缴纳的近3个月（不含投标当月）任意一个月的社保证明扫描件，未提供不得分。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3分</w:t>
            </w:r>
            <w:r/>
          </w:p>
        </w:tc>
      </w:tr>
      <w:tr>
        <w:trPr>
          <w:trHeight w:val="274"/>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服务团队</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（技术负责人）</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①具有环保类副高级及以上工程师职称的得1分，中级工程师职称的得0.5分，中级以下职称不得分</w:t>
            </w:r>
            <w:r>
              <w:rPr>
                <w:rFonts w:hint="eastAsia" w:ascii="Times New Roman" w:hAnsi="Times New Roman" w:eastAsia="宋体" w:cs="Times New Roman"/>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②作为技术负责人</w:t>
            </w:r>
            <w:r>
              <w:rPr>
                <w:rFonts w:hint="eastAsia" w:ascii="Times New Roman" w:hAnsi="Times New Roman" w:eastAsia="宋体" w:cs="Times New Roman"/>
                <w:color w:val="auto"/>
                <w:sz w:val="24"/>
                <w:szCs w:val="24"/>
                <w:highlight w:val="none"/>
                <w:lang w:val="en-US" w:eastAsia="zh-CN"/>
              </w:rPr>
              <w:t xml:space="preserve">身份</w:t>
            </w:r>
            <w:r>
              <w:rPr>
                <w:rFonts w:hint="eastAsia" w:ascii="Times New Roman" w:hAnsi="Times New Roman" w:eastAsia="宋体" w:cs="Times New Roman"/>
                <w:color w:val="auto"/>
                <w:sz w:val="24"/>
                <w:szCs w:val="24"/>
                <w:highlight w:val="none"/>
              </w:rPr>
              <w:t xml:space="preserve">完成</w:t>
            </w:r>
            <w:r>
              <w:rPr>
                <w:rFonts w:hint="eastAsia" w:ascii="Times New Roman" w:hAnsi="Times New Roman" w:eastAsia="宋体" w:cs="Times New Roman"/>
                <w:color w:val="auto"/>
                <w:sz w:val="24"/>
                <w:szCs w:val="24"/>
                <w:highlight w:val="none"/>
                <w:lang w:eastAsia="zh-CN"/>
              </w:rPr>
              <w:t xml:space="preserve">过</w:t>
            </w:r>
            <w:r>
              <w:rPr>
                <w:rFonts w:hint="eastAsia" w:ascii="Times New Roman" w:hAnsi="Times New Roman" w:eastAsia="宋体" w:cs="Times New Roman"/>
                <w:color w:val="auto"/>
                <w:sz w:val="24"/>
                <w:szCs w:val="24"/>
                <w:highlight w:val="none"/>
              </w:rPr>
              <w:t xml:space="preserve">含污染地下水的地块修复或风险管控类似项目业绩的，得1分。本项最高得2分。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注：本项须提供人员职称证书、业绩证明材料（详见评分表备注）及本单位为其缴纳的近3个月（不含投标当月）任意一个月的社保证明扫描件，未提供不得分。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服务团队</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（其他成员）</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①具有注册环保工程师证书的得1分；此人同时具有环保类副高级及以上工程师职称的得1分，中级工程师职称的得0.5分，中级以下职称不得分。本项最高2分。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②具有注册公用设备工程师（给排水）证书的得1分；此人同时具有环保类副高级及以上工程师职称的得1分，中级工程师职称的得0.5分，中级以下职称不得分。本项最高2分。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③具有注册化工工程师证书的得1分；此人同时具有环保类副高级及以上工程师职称的得1分，中级工程师职称的得0.5分，中级以下职称不得分。本项最高2分。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④具有注册安全工程师证书的得1分，此人同时具有环保类副高级及以上工程师职称的得1分，中级工程师职称的得0.5分，中级以下职称不得分。本项最高2分。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⑤具有一级注册造价工程师证书的得1分，此人同时具有环保类副高级及以上工程师职称的得1分，中级工程师职称的得0.5分，中级以下职称不得分。本项最高2分。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注：本项上述人员不含项目负责人及技术负责人且互不兼任得分，投标时须提供人员职称证书、注册证书扫描件及本单位为其缴纳的近3个月（不含投标当月）任意一个月的社保证明扫描件，未提供不得分。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10</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服务团队</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（专家组配置）</w:t>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投标人服务团队成员入选省级及以上生态环境行政主管部门组建的生态环境损害鉴定评估与修复效果评估评审专家库的，每配置 1 人得 0.5 分，本评审项最高得 5 分。</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注：本单位为其缴纳的近3个月（不含投标当月）任意一个月的社保证明扫描件、主管部门发文文件或官网公告截图以佐证，未提供不得分。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eastAsia="zh-CN"/>
              </w:rPr>
              <w:t xml:space="preserve">分</w:t>
            </w:r>
            <w:r/>
          </w:p>
        </w:tc>
      </w:tr>
      <w:tr>
        <w:trPr>
          <w:trHeight w:val="90"/>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restart"/>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软硬件配置</w:t>
            </w:r>
            <w:r/>
          </w:p>
        </w:tc>
        <w:tc>
          <w:tcPr>
            <w:tcW w:w="2640" w:type="pct"/>
            <w:vAlign w:val="center"/>
            <w:vMerge w:val="restart"/>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软件配置：投标人拟投入地下水相关的系统平台软件提高服务质量或工作效率的，每投入 1 项得 1分，本评审项最高得 5分。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注：如为自研软件的，提供软件著作权证书予以证；非自研软件的，须</w:t>
            </w:r>
            <w:r>
              <w:rPr>
                <w:rFonts w:hint="eastAsia" w:ascii="Times New Roman" w:hAnsi="Times New Roman" w:eastAsia="宋体" w:cs="Times New Roman"/>
                <w:color w:val="auto"/>
                <w:sz w:val="24"/>
                <w:szCs w:val="24"/>
                <w:highlight w:val="none"/>
                <w:lang w:val="en-US" w:eastAsia="zh-CN"/>
              </w:rPr>
              <w:t xml:space="preserve">同时</w:t>
            </w:r>
            <w:r>
              <w:rPr>
                <w:rFonts w:hint="eastAsia" w:ascii="Times New Roman" w:hAnsi="Times New Roman" w:eastAsia="宋体" w:cs="Times New Roman"/>
                <w:color w:val="auto"/>
                <w:sz w:val="24"/>
                <w:szCs w:val="24"/>
                <w:highlight w:val="none"/>
              </w:rPr>
              <w:t xml:space="preserve">提供软件厂商软件著作权证书、软件购买（或使用）合同证明材料方予认可，未提供不得分。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eastAsia="zh-CN"/>
              </w:rPr>
              <w:t xml:space="preserve">分</w:t>
            </w:r>
            <w:r/>
          </w:p>
        </w:tc>
      </w:tr>
      <w:tr>
        <w:trPr>
          <w:trHeight w:val="416"/>
        </w:trPr>
        <w:tc>
          <w:tcPr>
            <w:gridSpan w:val="2"/>
            <w:tcW w:w="455"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636"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28" w:type="pct"/>
            <w:vAlign w:val="center"/>
            <w:vMerge w:val="continue"/>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640"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硬件配置：CMA 实验室配备评估（2分）：</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投标人拟投入本评审项目使用的硬件设施包括CMA认证检测实验室或实验分析中心的按照下述细则进行评审：</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①投标人具备CMA检测实验室的，得</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②投标人不具备CMA认证检测实验室或实验分析中心的，本评审项不得分。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本项最高得</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注：投标人的CMA认证检测实验室或实验分析中心须提供质量技术监督部门出具的CMA资质认证证书扫描件，未提供不得分。</w:t>
            </w:r>
            <w:r/>
          </w:p>
        </w:tc>
        <w:tc>
          <w:tcPr>
            <w:tcW w:w="539"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eastAsia="zh-CN"/>
              </w:rPr>
              <w:t xml:space="preserve">分</w:t>
            </w:r>
            <w:r/>
          </w:p>
        </w:tc>
      </w:tr>
      <w:tr>
        <w:trPr>
          <w:trHeight w:val="520"/>
        </w:trPr>
        <w:tc>
          <w:tcPr>
            <w:gridSpan w:val="5"/>
            <w:tcW w:w="4460" w:type="pct"/>
            <w:vAlign w:val="center"/>
            <w:textDirection w:val="lrTb"/>
            <w:noWrap w:val="false"/>
          </w:tcPr>
          <w:p>
            <w:pPr>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分值合计</w:t>
            </w:r>
            <w:r/>
          </w:p>
        </w:tc>
        <w:tc>
          <w:tcPr>
            <w:tcW w:w="539"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100</w:t>
            </w:r>
            <w:r/>
          </w:p>
        </w:tc>
      </w:tr>
      <w:tr>
        <w:trPr>
          <w:trHeight w:val="520"/>
        </w:trPr>
        <w:tc>
          <w:tcPr>
            <w:tcW w:w="453"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备注</w:t>
            </w:r>
            <w:r/>
          </w:p>
        </w:tc>
        <w:tc>
          <w:tcPr>
            <w:gridSpan w:val="5"/>
            <w:tcW w:w="4546" w:type="pct"/>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投标人及项目负责人（技术负责人）类似业绩有关要求如下：</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注1：类似项目业绩是指：成功实施并通过效果评估的含污染地下水的地块修复或风险管控项目，</w:t>
            </w:r>
            <w:r>
              <w:rPr>
                <w:rFonts w:hint="eastAsia" w:ascii="Times New Roman" w:hAnsi="Times New Roman" w:eastAsia="宋体" w:cs="Times New Roman"/>
                <w:color w:val="auto"/>
                <w:sz w:val="24"/>
                <w:szCs w:val="24"/>
                <w:highlight w:val="none"/>
                <w:lang w:val="en-US" w:eastAsia="zh-CN"/>
              </w:rPr>
              <w:t xml:space="preserve">与本项目工业污染地块修复或管控技术特征不一致的</w:t>
            </w:r>
            <w:r>
              <w:rPr>
                <w:rFonts w:hint="eastAsia" w:ascii="Times New Roman" w:hAnsi="Times New Roman" w:eastAsia="宋体" w:cs="Times New Roman"/>
                <w:color w:val="auto"/>
                <w:sz w:val="24"/>
                <w:szCs w:val="24"/>
                <w:highlight w:val="none"/>
              </w:rPr>
              <w:t xml:space="preserve">矿山修复、固体废物处理处置、生活垃圾处理处置、水体修复、生态修复、底泥治理、农田治理等业绩不作为类似项目业绩。</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注2：需在投标文件中同时提供</w:t>
            </w:r>
            <w:r>
              <w:rPr>
                <w:rFonts w:hint="eastAsia" w:ascii="Times New Roman" w:hAnsi="Times New Roman" w:eastAsia="宋体" w:cs="Times New Roman"/>
                <w:b/>
                <w:bCs/>
                <w:color w:val="auto"/>
                <w:sz w:val="24"/>
                <w:szCs w:val="24"/>
                <w:highlight w:val="none"/>
                <w:u w:val="single"/>
              </w:rPr>
              <w:t xml:space="preserve">中标通知书扫描件、合同扫描件、效果评估报告通过生态环境部门组织评审的专家意见或生态环境部门出具的效果评估报告等资料的备案证明等扫描件，未按要求提供的视为无效业绩。</w:t>
            </w:r>
            <w:r>
              <w:rPr>
                <w:rFonts w:hint="eastAsia" w:ascii="Times New Roman" w:hAnsi="Times New Roman" w:eastAsia="宋体" w:cs="Times New Roman"/>
                <w:color w:val="auto"/>
                <w:sz w:val="24"/>
                <w:szCs w:val="24"/>
                <w:highlight w:val="none"/>
              </w:rPr>
              <w:t xml:space="preserve">所提供业绩材料须能反映项目时间、项目类型、修复治理技术等项目特征</w:t>
            </w:r>
            <w:r>
              <w:rPr>
                <w:rFonts w:hint="eastAsia" w:ascii="Times New Roman" w:hAnsi="Times New Roman" w:eastAsia="宋体" w:cs="Times New Roman"/>
                <w:color w:val="auto"/>
                <w:sz w:val="24"/>
                <w:szCs w:val="24"/>
                <w:highlight w:val="none"/>
                <w:lang w:val="en-US" w:eastAsia="zh-CN"/>
              </w:rPr>
              <w:t xml:space="preserve">指标</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br/>
            </w:r>
            <w:r>
              <w:rPr>
                <w:rFonts w:hint="eastAsia" w:ascii="Times New Roman" w:hAnsi="Times New Roman" w:eastAsia="宋体" w:cs="Times New Roman"/>
                <w:color w:val="auto"/>
                <w:sz w:val="24"/>
                <w:szCs w:val="24"/>
                <w:highlight w:val="none"/>
              </w:rPr>
              <w:t xml:space="preserve">注3：如要求提供的业绩证明材料不能反应项目内容，需提供甲方证明材料扫描件和通过生态环境部门验收的专家意见或生态环境部门出具的备案证明扫描件，否则不得分。</w:t>
            </w:r>
            <w:r/>
          </w:p>
          <w:p>
            <w:pPr>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4：项目负责人（技术负责人）类似业绩除上述要求外，还应当在证明材料中反映其项目负责人（技术负责人）身份，否则不予认可；项目负责人（技术负责人）不止一名的，只认可排名第一位的项目负责人（技术负责人）。项目负责人（技术负责人）发生过变更的，有关业绩属于变更后的项目负责人（技术负责人）。</w:t>
            </w:r>
            <w:r/>
          </w:p>
          <w:p>
            <w:pPr>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注5：如投标人提供的业绩是联合体业绩的，在该业绩中须为牵头单位身份方予认可，否则不得分。</w:t>
            </w:r>
            <w:r/>
          </w:p>
        </w:tc>
      </w:tr>
    </w:tbl>
    <w:p>
      <w:pPr>
        <w:pStyle w:val="87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jc w:val="center"/>
        <w:pageBreakBefore w:val="0"/>
        <w:spacing w:line="360" w:lineRule="auto"/>
        <w:rPr>
          <w:sz w:val="36"/>
          <w:szCs w:val="36"/>
          <w:highlight w:val="none"/>
        </w:rPr>
      </w:pPr>
      <w:r>
        <w:rPr>
          <w:rFonts w:hint="eastAsia" w:ascii="黑体" w:hAnsi="宋体" w:eastAsia="黑体" w:cs="黑体"/>
          <w:color w:val="000000"/>
          <w:sz w:val="36"/>
          <w:szCs w:val="36"/>
          <w:highlight w:val="none"/>
        </w:rPr>
        <w:t xml:space="preserve">第六章  投标文件格式</w:t>
      </w:r>
      <w:r/>
    </w:p>
    <w:p>
      <w:pPr>
        <w:pStyle w:val="870"/>
        <w:jc w:val="center"/>
        <w:pageBreakBefore w:val="0"/>
        <w:spacing w:beforeAutospacing="0" w:afterAutospacing="0" w:line="360" w:lineRule="auto"/>
        <w:rPr>
          <w:rFonts w:hint="eastAsia" w:ascii="宋体" w:hAnsi="宋体" w:eastAsia="宋体" w:cs="宋体"/>
          <w:b/>
          <w:color w:val="000000"/>
          <w:sz w:val="72"/>
          <w:szCs w:val="72"/>
          <w:highlight w:val="none"/>
        </w:rPr>
      </w:pPr>
      <w:r/>
      <w:bookmarkStart w:id="210" w:name="_Hlt26671244"/>
      <w:r/>
      <w:bookmarkEnd w:id="210"/>
      <w:r/>
      <w:bookmarkStart w:id="211" w:name="_Hlt26955039"/>
      <w:r/>
      <w:bookmarkEnd w:id="211"/>
      <w:r/>
      <w:bookmarkStart w:id="212" w:name="_Toc26554094"/>
      <w:r/>
      <w:bookmarkEnd w:id="212"/>
      <w:r/>
      <w:bookmarkStart w:id="213" w:name="_Toc120614282"/>
      <w:r/>
      <w:bookmarkStart w:id="214" w:name="_Toc49090576"/>
      <w:r/>
      <w:r/>
    </w:p>
    <w:p>
      <w:pPr>
        <w:pStyle w:val="870"/>
        <w:jc w:val="center"/>
        <w:pageBreakBefore w:val="0"/>
        <w:spacing w:beforeAutospacing="0" w:afterAutospacing="0" w:line="360" w:lineRule="auto"/>
        <w:rPr>
          <w:highlight w:val="none"/>
        </w:rPr>
      </w:pPr>
      <w:r>
        <w:rPr>
          <w:rFonts w:hint="eastAsia" w:ascii="宋体" w:hAnsi="宋体" w:eastAsia="宋体" w:cs="宋体"/>
          <w:b/>
          <w:color w:val="000000"/>
          <w:sz w:val="72"/>
          <w:szCs w:val="72"/>
          <w:highlight w:val="none"/>
        </w:rPr>
        <w:t xml:space="preserve">投  标  文  件</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ind w:firstLine="1084"/>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70"/>
        <w:ind w:firstLine="1084"/>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70"/>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70"/>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0"/>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0"/>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0"/>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ageBreakBefore w:val="0"/>
        <w:spacing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70"/>
        <w:jc w:val="center"/>
        <w:pageBreakBefore w:val="0"/>
        <w:spacing w:beforeAutospacing="0" w:afterAutospacing="0" w:line="360" w:lineRule="auto"/>
        <w:rPr>
          <w:highlight w:val="none"/>
        </w:rPr>
      </w:pPr>
      <w:r>
        <w:rPr>
          <w:rFonts w:hint="eastAsia" w:ascii="宋体" w:hAnsi="宋体" w:eastAsia="宋体" w:cs="宋体"/>
          <w:b/>
          <w:color w:val="000000"/>
          <w:sz w:val="32"/>
          <w:szCs w:val="32"/>
          <w:highlight w:val="none"/>
        </w:rPr>
        <w:t xml:space="preserve">投标文件目录</w:t>
      </w:r>
      <w:r/>
    </w:p>
    <w:p>
      <w:pPr>
        <w:pStyle w:val="870"/>
        <w:jc w:val="center"/>
        <w:pageBreakBefore w:val="0"/>
        <w:spacing w:beforeAutospacing="0" w:afterAutospacing="0" w:line="360" w:lineRule="auto"/>
        <w:rPr>
          <w:highlight w:val="none"/>
        </w:rPr>
      </w:pPr>
      <w:r>
        <w:rPr>
          <w:highlight w:val="none"/>
        </w:rPr>
        <w:t xml:space="preserve"> </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二、上一年度的财务状况报告（投标人成立不满一年无需提供）</w:t>
      </w:r>
      <w:r/>
    </w:p>
    <w:p>
      <w:pPr>
        <w:pStyle w:val="870"/>
        <w:ind w:left="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70"/>
        <w:ind w:left="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70"/>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0"/>
        <w:ind w:firstLine="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70"/>
        <w:ind w:firstLine="480"/>
        <w:jc w:val="both"/>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870"/>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、投标分项报价表</w:t>
      </w:r>
      <w:r/>
    </w:p>
    <w:p>
      <w:pPr>
        <w:pStyle w:val="870"/>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870"/>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870"/>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pageBreakBefore w:val="0"/>
        <w:spacing w:before="50" w:after="50"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870"/>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870"/>
        <w:ind w:firstLine="480"/>
        <w:jc w:val="both"/>
        <w:pageBreakBefore w:val="0"/>
        <w:spacing w:beforeAutospacing="0" w:afterAutospacing="0" w:line="360" w:lineRule="auto"/>
        <w:rPr>
          <w:rFonts w:ascii="宋体" w:hAnsi="宋体" w:eastAsia="宋体" w:cs="宋体"/>
          <w:color w:val="000000"/>
          <w:highlight w:val="none"/>
        </w:rPr>
      </w:pPr>
      <w:r>
        <w:rPr>
          <w:rFonts w:ascii="宋体" w:hAnsi="宋体" w:eastAsia="宋体" w:cs="宋体"/>
          <w:color w:val="000000"/>
          <w:highlight w:val="none"/>
        </w:rPr>
      </w:r>
      <w:r/>
    </w:p>
    <w:p>
      <w:pPr>
        <w:pStyle w:val="870"/>
        <w:ind w:firstLine="480"/>
        <w:jc w:val="both"/>
        <w:pageBreakBefore w:val="0"/>
        <w:spacing w:beforeAutospacing="0" w:afterAutospacing="0" w:line="360" w:lineRule="auto"/>
        <w:rPr>
          <w:rFonts w:ascii="宋体" w:hAnsi="宋体" w:eastAsia="宋体" w:cs="宋体"/>
          <w:color w:val="000000"/>
          <w:highlight w:val="none"/>
        </w:rPr>
      </w:pPr>
      <w:r>
        <w:rPr>
          <w:rFonts w:ascii="宋体" w:hAnsi="宋体" w:eastAsia="宋体" w:cs="宋体"/>
          <w:color w:val="000000"/>
          <w:highlight w:val="none"/>
        </w:rPr>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70"/>
        <w:ind w:firstLine="492"/>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0"/>
        <w:ind w:firstLine="492"/>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0"/>
        <w:jc w:val="both"/>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70"/>
        <w:ind w:firstLine="480"/>
        <w:jc w:val="both"/>
        <w:pageBreakBefore w:val="0"/>
        <w:spacing w:beforeAutospacing="0" w:afterAutospacing="0" w:line="360" w:lineRule="auto"/>
        <w:rPr>
          <w:highlight w:val="none"/>
        </w:rPr>
      </w:pPr>
      <w:r/>
      <w:bookmarkStart w:id="215"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15"/>
      <w:r/>
      <w:r/>
    </w:p>
    <w:p>
      <w:pPr>
        <w:pStyle w:val="870"/>
        <w:jc w:val="both"/>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70"/>
        <w:jc w:val="both"/>
        <w:pageBreakBefore w:val="0"/>
        <w:spacing w:beforeAutospacing="0" w:afterAutospacing="0" w:line="360" w:lineRule="auto"/>
        <w:rPr>
          <w:highlight w:val="none"/>
        </w:rPr>
      </w:pPr>
      <w:r>
        <w:rPr>
          <w:rFonts w:hint="eastAsia" w:ascii="宋体" w:hAnsi="宋体" w:eastAsia="宋体" w:cs="宋体"/>
          <w:b/>
          <w:color w:val="000000"/>
          <w:sz w:val="44"/>
          <w:szCs w:val="44"/>
          <w:highlight w:val="none"/>
        </w:rPr>
        <w:t xml:space="preserve">       声  明</w:t>
      </w:r>
      <w:r/>
    </w:p>
    <w:p>
      <w:pPr>
        <w:pStyle w:val="870"/>
        <w:jc w:val="both"/>
        <w:pageBreakBefore w:val="0"/>
        <w:spacing w:beforeAutospacing="0" w:afterAutospacing="0" w:line="360" w:lineRule="auto"/>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7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70"/>
        <w:jc w:val="both"/>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0"/>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0"/>
        <w:jc w:val="center"/>
        <w:pageBreakBefore w:val="0"/>
        <w:spacing w:beforeAutospacing="0" w:afterAutospacing="0" w:line="360" w:lineRule="auto"/>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70"/>
        <w:jc w:val="center"/>
        <w:pageBreakBefore w:val="0"/>
        <w:spacing w:beforeAutospacing="0" w:afterAutospacing="0" w:line="360" w:lineRule="auto"/>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70"/>
        <w:jc w:val="center"/>
        <w:pageBreakBefore w:val="0"/>
        <w:spacing w:beforeAutospacing="0" w:afterAutospacing="0" w:line="360" w:lineRule="auto"/>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70"/>
        <w:jc w:val="center"/>
        <w:pageBreakBefore w:val="0"/>
        <w:spacing w:beforeAutospacing="0" w:afterAutospacing="0" w:line="360" w:lineRule="auto"/>
        <w:rPr>
          <w:highlight w:val="none"/>
        </w:rPr>
      </w:pPr>
      <w:r>
        <w:rPr>
          <w:rFonts w:hint="eastAsia" w:ascii="黑体" w:hAnsi="宋体" w:eastAsia="黑体" w:cs="黑体"/>
          <w:i/>
          <w:color w:val="000000"/>
          <w:sz w:val="32"/>
          <w:szCs w:val="32"/>
          <w:highlight w:val="none"/>
          <w:u w:val="single"/>
        </w:rPr>
        <w:t xml:space="preserve">七、法人授权书</w:t>
      </w:r>
      <w:r/>
    </w:p>
    <w:p>
      <w:pPr>
        <w:pStyle w:val="870"/>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u w:val="single"/>
        </w:rPr>
        <w:t xml:space="preserve">JSZC-320922-YTGC-G2026-0026</w:t>
      </w:r>
      <w:r>
        <w:rPr>
          <w:rFonts w:ascii="Times New Roman" w:hAnsi="Times New Roman"/>
          <w:color w:val="000000"/>
          <w:highlight w:val="none"/>
        </w:rPr>
        <w:t xml:space="preserve">号项目采购活动的合法代理人，以本单位名义全权处理一切与该项目采购有关的事务。</w:t>
      </w:r>
      <w:r/>
    </w:p>
    <w:p>
      <w:pPr>
        <w:pStyle w:val="870"/>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7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7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70"/>
        <w:ind w:firstLine="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授权单位名称：</w:t>
      </w:r>
      <w:r>
        <w:rPr>
          <w:rFonts w:ascii="Times New Roman" w:hAnsi="Times New Roman"/>
          <w:color w:val="000000"/>
          <w:highlight w:val="none"/>
          <w:u w:val="single"/>
        </w:rPr>
        <w:t xml:space="preserve">（加盖CA电子公章）</w:t>
      </w:r>
      <w:r/>
    </w:p>
    <w:p>
      <w:pPr>
        <w:pStyle w:val="870"/>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70"/>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日期：</w:t>
      </w:r>
      <w:bookmarkStart w:id="216" w:name="_Hlt26671380"/>
      <w:r/>
      <w:bookmarkStart w:id="217" w:name="_Hlt26955070"/>
      <w:r/>
      <w:bookmarkStart w:id="218" w:name="_格式3__银行出具的资信证明"/>
      <w:r>
        <w:rPr>
          <w:rFonts w:ascii="Times New Roman" w:hAnsi="Times New Roman"/>
          <w:color w:val="000000"/>
          <w:highlight w:val="none"/>
          <w:u w:val="single"/>
        </w:rPr>
        <w:t xml:space="preserve">                                         </w:t>
      </w:r>
      <w:r/>
    </w:p>
    <w:p>
      <w:pPr>
        <w:pStyle w:val="870"/>
        <w:ind w:firstLine="42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ind w:firstLine="480"/>
        <w:jc w:val="both"/>
        <w:pageBreakBefore w:val="0"/>
        <w:spacing w:beforeAutospacing="0" w:afterAutospacing="0" w:line="360" w:lineRule="auto"/>
        <w:rPr>
          <w:rFonts w:hint="eastAsia" w:ascii="宋体" w:hAnsi="宋体" w:eastAsia="宋体" w:cs="宋体"/>
          <w:color w:val="000000"/>
          <w:highlight w:val="none"/>
          <w:lang w:val="en-US" w:eastAsia="zh-CN"/>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ind w:firstLine="3390"/>
        <w:jc w:val="both"/>
        <w:keepLines/>
        <w:keepNext/>
        <w:pageBreakBefore w:val="0"/>
        <w:spacing w:before="260" w:beforeAutospacing="0" w:after="260" w:afterAutospacing="0" w:line="360"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70"/>
        <w:pageBreakBefore w:val="0"/>
        <w:spacing w:beforeAutospacing="0" w:afterAutospacing="0" w:line="360" w:lineRule="auto"/>
        <w:rPr>
          <w:highlight w:val="none"/>
        </w:rPr>
      </w:pPr>
      <w:r>
        <w:rPr>
          <w:rFonts w:hint="eastAsia" w:ascii="宋体" w:hAnsi="宋体" w:eastAsia="宋体" w:cs="宋体"/>
          <w:color w:val="000000"/>
          <w:highlight w:val="none"/>
        </w:rPr>
        <w:t xml:space="preserve">致：江苏滨海经济开发区沿海工业园管理委员会</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根据贵方的</w:t>
      </w:r>
      <w:r>
        <w:rPr>
          <w:rFonts w:hint="eastAsia" w:ascii="Times New Roman" w:hAnsi="Times New Roman"/>
          <w:color w:val="000000"/>
          <w:highlight w:val="none"/>
          <w:u w:val="single"/>
        </w:rPr>
        <w:t xml:space="preserve">JSZC-320922-YTGC-G2026-0026</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70"/>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地          址：</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邮          编：</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电          话：</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传          真：</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870"/>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日           期：________年____月____日</w:t>
      </w:r>
      <w:r/>
    </w:p>
    <w:p>
      <w:pPr>
        <w:pStyle w:val="870"/>
        <w:ind w:firstLine="240"/>
        <w:jc w:val="center"/>
        <w:pageBreakBefore w:val="0"/>
        <w:spacing w:beforeAutospacing="0" w:afterAutospacing="0" w:line="360" w:lineRule="auto"/>
        <w:rPr>
          <w:highlight w:val="none"/>
        </w:rPr>
      </w:pPr>
      <w:r>
        <w:rPr>
          <w:highlight w:val="none"/>
        </w:rPr>
        <w:t xml:space="preserve"> </w:t>
      </w:r>
      <w:r/>
    </w:p>
    <w:p>
      <w:pPr>
        <w:pStyle w:val="870"/>
        <w:ind w:firstLine="240"/>
        <w:jc w:val="center"/>
        <w:pageBreakBefore w:val="0"/>
        <w:spacing w:beforeAutospacing="0" w:afterAutospacing="0" w:line="360" w:lineRule="auto"/>
        <w:rPr>
          <w:highlight w:val="none"/>
        </w:rPr>
      </w:pPr>
      <w:r>
        <w:rPr>
          <w:highlight w:val="none"/>
        </w:rPr>
        <w:t xml:space="preserve"> </w:t>
      </w:r>
      <w:r/>
    </w:p>
    <w:p>
      <w:pPr>
        <w:pStyle w:val="870"/>
        <w:ind w:firstLine="240"/>
        <w:jc w:val="center"/>
        <w:pageBreakBefore w:val="0"/>
        <w:spacing w:beforeAutospacing="0" w:afterAutospacing="0" w:line="360" w:lineRule="auto"/>
        <w:rPr>
          <w:highlight w:val="none"/>
        </w:rPr>
      </w:pPr>
      <w:r>
        <w:rPr>
          <w:highlight w:val="none"/>
        </w:rPr>
        <w:t xml:space="preserve"> </w:t>
      </w:r>
      <w:r/>
    </w:p>
    <w:p>
      <w:pPr>
        <w:pStyle w:val="870"/>
        <w:ind w:firstLine="240"/>
        <w:jc w:val="center"/>
        <w:pageBreakBefore w:val="0"/>
        <w:spacing w:beforeAutospacing="0" w:afterAutospacing="0" w:line="360" w:lineRule="auto"/>
        <w:rPr>
          <w:highlight w:val="none"/>
        </w:rPr>
      </w:pPr>
      <w:r>
        <w:rPr>
          <w:highlight w:val="none"/>
        </w:rPr>
        <w:t xml:space="preserve"> </w:t>
      </w:r>
      <w:r/>
    </w:p>
    <w:p>
      <w:pPr>
        <w:pStyle w:val="870"/>
        <w:ind w:firstLine="240"/>
        <w:jc w:val="center"/>
        <w:pageBreakBefore w:val="0"/>
        <w:spacing w:beforeAutospacing="0" w:afterAutospacing="0" w:line="360" w:lineRule="auto"/>
        <w:rPr>
          <w:highlight w:val="none"/>
        </w:rPr>
      </w:pPr>
      <w:r>
        <w:rPr>
          <w:highlight w:val="none"/>
        </w:rPr>
        <w:t xml:space="preserve"> </w:t>
      </w:r>
      <w:r/>
    </w:p>
    <w:p>
      <w:pPr>
        <w:pStyle w:val="870"/>
        <w:ind w:firstLine="240"/>
        <w:jc w:val="center"/>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pageBreakBefore w:val="0"/>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号）的规定，本公司（联合体）参加江苏滨海经济开发区沿海工业园管理委员会组织的采购编号为</w:t>
      </w:r>
      <w:r>
        <w:rPr>
          <w:rFonts w:hint="eastAsia"/>
          <w:color w:val="auto"/>
          <w:sz w:val="24"/>
          <w:highlight w:val="none"/>
          <w:u w:val="single"/>
        </w:rPr>
        <w:t xml:space="preserve">JSZC-320922-YTGC-G2026-0026</w:t>
      </w:r>
      <w:r>
        <w:rPr>
          <w:rFonts w:hint="eastAsia"/>
          <w:color w:val="auto"/>
          <w:sz w:val="24"/>
          <w:highlight w:val="none"/>
          <w:lang w:val="en-US" w:eastAsia="zh-CN"/>
        </w:rPr>
        <w:t xml:space="preserve">的</w:t>
      </w:r>
      <w:bookmarkStart w:id="244" w:name="_GoBack"/>
      <w:r>
        <w:rPr>
          <w:rFonts w:hint="eastAsia"/>
          <w:color w:val="auto"/>
          <w:sz w:val="24"/>
          <w:highlight w:val="none"/>
          <w:u w:val="single"/>
          <w:lang w:val="en-US" w:eastAsia="zh-CN"/>
        </w:rPr>
        <w:t xml:space="preserve">江苏滨海经济开发区沿海工业园地下水污染风险管控项目</w:t>
      </w:r>
      <w:bookmarkEnd w:id="244"/>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pageBreakBefore w:val="0"/>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pageBreakBefore w:val="0"/>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70"/>
        <w:ind w:right="720"/>
        <w:jc w:val="both"/>
        <w:pageBreakBefore w:val="0"/>
        <w:spacing w:beforeAutospacing="0" w:afterAutospacing="0" w:line="360" w:lineRule="auto"/>
        <w:rPr>
          <w:color w:val="auto"/>
          <w:highlight w:val="none"/>
        </w:rPr>
      </w:pPr>
      <w:r>
        <w:rPr>
          <w:color w:val="auto"/>
          <w:highlight w:val="none"/>
        </w:rPr>
        <w:t xml:space="preserve"> </w:t>
      </w:r>
      <w:r/>
    </w:p>
    <w:p>
      <w:pPr>
        <w:pStyle w:val="870"/>
        <w:ind w:right="180" w:firstLine="360"/>
        <w:jc w:val="right"/>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企业名称（加盖CA电子公章）：</w:t>
      </w:r>
      <w:r/>
    </w:p>
    <w:p>
      <w:pPr>
        <w:pStyle w:val="870"/>
        <w:ind w:right="480" w:firstLine="540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        日  期：</w:t>
      </w:r>
      <w:r/>
    </w:p>
    <w:p>
      <w:pPr>
        <w:pStyle w:val="870"/>
        <w:ind w:firstLine="240"/>
        <w:jc w:val="both"/>
        <w:pageBreakBefore w:val="0"/>
        <w:spacing w:beforeAutospacing="0" w:afterAutospacing="0" w:line="360" w:lineRule="auto"/>
        <w:rPr>
          <w:color w:val="auto"/>
          <w:highlight w:val="none"/>
        </w:rPr>
      </w:pPr>
      <w:r>
        <w:rPr>
          <w:color w:val="auto"/>
          <w:highlight w:val="none"/>
        </w:rPr>
        <w:t xml:space="preserve"> </w:t>
      </w:r>
      <w:r/>
    </w:p>
    <w:p>
      <w:pPr>
        <w:pStyle w:val="870"/>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0"/>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0"/>
        <w:jc w:val="center"/>
        <w:pageBreakBefore w:val="0"/>
        <w:spacing w:beforeAutospacing="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70"/>
        <w:jc w:val="center"/>
        <w:pageBreakBefore w:val="0"/>
        <w:spacing w:beforeAutospacing="0" w:afterAutospacing="0" w:line="360" w:lineRule="auto"/>
        <w:rPr>
          <w:highlight w:val="none"/>
        </w:rPr>
      </w:pPr>
      <w:r>
        <w:rPr>
          <w:rFonts w:hint="eastAsia" w:ascii="黑体" w:hAnsi="宋体" w:eastAsia="黑体" w:cs="黑体"/>
          <w:b/>
          <w:color w:val="000000"/>
          <w:sz w:val="32"/>
          <w:szCs w:val="32"/>
          <w:highlight w:val="none"/>
        </w:rPr>
        <w:t xml:space="preserve"> 十、残疾人福利性单位声明函</w:t>
      </w:r>
      <w:r/>
    </w:p>
    <w:p>
      <w:pPr>
        <w:pStyle w:val="870"/>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0"/>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70"/>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70"/>
        <w:ind w:firstLine="480"/>
        <w:jc w:val="both"/>
        <w:pageBreakBefore w:val="0"/>
        <w:spacing w:beforeAutospacing="0" w:afterAutospacing="0" w:line="360" w:lineRule="auto"/>
        <w:rPr>
          <w:highlight w:val="none"/>
        </w:rPr>
      </w:pPr>
      <w:r>
        <w:rPr>
          <w:highlight w:val="none"/>
        </w:rPr>
        <w:t xml:space="preserve"> </w:t>
      </w:r>
      <w:r/>
    </w:p>
    <w:p>
      <w:pPr>
        <w:pStyle w:val="870"/>
        <w:ind w:firstLine="480"/>
        <w:jc w:val="both"/>
        <w:pageBreakBefore w:val="0"/>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70"/>
        <w:ind w:firstLine="480"/>
        <w:jc w:val="both"/>
        <w:pageBreakBefore w:val="0"/>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70"/>
        <w:ind w:firstLine="624"/>
        <w:jc w:val="both"/>
        <w:pageBreakBefore w:val="0"/>
        <w:spacing w:beforeAutospacing="0" w:afterAutospacing="0" w:line="360" w:lineRule="auto"/>
        <w:rPr>
          <w:highlight w:val="none"/>
        </w:rPr>
      </w:pPr>
      <w:r>
        <w:rPr>
          <w:highlight w:val="none"/>
        </w:rPr>
        <w:t xml:space="preserve"> </w:t>
      </w:r>
      <w:r/>
    </w:p>
    <w:p>
      <w:pPr>
        <w:pStyle w:val="870"/>
        <w:ind w:right="1560" w:firstLine="624"/>
        <w:jc w:val="center"/>
        <w:pageBreakBefore w:val="0"/>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70"/>
        <w:ind w:right="1560" w:firstLine="480"/>
        <w:jc w:val="center"/>
        <w:pageBreakBefore w:val="0"/>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r>
      <w:r>
        <w:rPr>
          <w:highlight w:val="none"/>
        </w:rPr>
      </w:r>
      <w:r/>
    </w:p>
    <w:p>
      <w:pPr>
        <w:pStyle w:val="870"/>
        <w:jc w:val="both"/>
        <w:pageBreakBefore w:val="0"/>
        <w:spacing w:beforeAutospacing="0" w:afterAutospacing="0" w:line="360" w:lineRule="auto"/>
        <w:rPr>
          <w:highlight w:val="none"/>
        </w:rPr>
      </w:pPr>
      <w:r>
        <w:rPr>
          <w:highlight w:val="none"/>
        </w:rPr>
      </w:r>
      <w:r>
        <w:rPr>
          <w:highlight w:val="none"/>
        </w:rPr>
      </w:r>
      <w:r/>
    </w:p>
    <w:p>
      <w:pPr>
        <w:pStyle w:val="870"/>
        <w:ind w:left="0" w:right="0"/>
        <w:jc w:val="center"/>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rPr>
        <w:t xml:space="preserve">十一、 关于符合本国产品标准的声明函</w:t>
      </w:r>
      <w:r/>
    </w:p>
    <w:p>
      <w:pPr>
        <w:pStyle w:val="870"/>
        <w:jc w:val="both"/>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b w:val="0"/>
          <w:bCs w:val="0"/>
          <w:color w:val="auto"/>
        </w:rPr>
      </w:r>
      <w:r/>
    </w:p>
    <w:p>
      <w:pPr>
        <w:pStyle w:val="870"/>
        <w:ind w:left="0" w:firstLine="420"/>
        <w:jc w:val="both"/>
        <w:keepLines w:val="0"/>
        <w:keepNext w:val="0"/>
        <w:pageBreakBefore w:val="0"/>
        <w:spacing w:before="0" w:beforeAutospacing="0" w:after="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left="0" w:firstLine="42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870"/>
        <w:ind w:left="0" w:firstLine="42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870"/>
        <w:ind w:left="0" w:firstLine="42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870"/>
        <w:ind w:left="0" w:firstLine="42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87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870"/>
        <w:ind w:left="0" w:right="480" w:firstLine="372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87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87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87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870"/>
        <w:jc w:val="both"/>
        <w:keepLines w:val="0"/>
        <w:keepNext w:val="0"/>
        <w:pageBreakBefore w:val="0"/>
        <w:spacing w:before="30" w:beforeAutospacing="0" w:after="30" w:afterAutospacing="0" w:line="36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870"/>
        <w:jc w:val="both"/>
        <w:keepLines w:val="0"/>
        <w:keepNext w:val="0"/>
        <w:pageBreakBefore w:val="0"/>
        <w:spacing w:before="30" w:beforeAutospacing="0" w:after="30" w:afterAutospacing="0" w:line="360" w:lineRule="auto"/>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870"/>
        <w:jc w:val="both"/>
        <w:keepLines w:val="0"/>
        <w:keepNext w:val="0"/>
        <w:pageBreakBefore w:val="0"/>
        <w:spacing w:before="30" w:beforeAutospacing="0" w:after="30" w:afterAutospacing="0" w:line="360" w:lineRule="auto"/>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870"/>
        <w:jc w:val="both"/>
        <w:keepLines w:val="0"/>
        <w:keepNext w:val="0"/>
        <w:pageBreakBefore w:val="0"/>
        <w:spacing w:before="30" w:beforeAutospacing="0" w:after="30" w:afterAutospacing="0" w:line="360" w:lineRule="auto"/>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p>
      <w:pPr>
        <w:pStyle w:val="870"/>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0"/>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8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87"/>
        <w:gridCol w:w="641"/>
        <w:gridCol w:w="1648"/>
        <w:gridCol w:w="3590"/>
        <w:gridCol w:w="1167"/>
        <w:gridCol w:w="1171"/>
      </w:tblGrid>
      <w:tr>
        <w:trPr>
          <w:trHeight w:val="90"/>
          <w:tblHeader/>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工程量</w:t>
            </w:r>
            <w:r/>
          </w:p>
        </w:tc>
        <w:tc>
          <w:tcPr>
            <w:tcW w:w="179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项目特征描述</w:t>
            </w:r>
            <w:r/>
          </w:p>
        </w:tc>
        <w:tc>
          <w:tcPr>
            <w:tcW w:w="583"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单价</w:t>
            </w:r>
            <w:r/>
          </w:p>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（元）</w:t>
            </w:r>
            <w:r/>
          </w:p>
        </w:tc>
        <w:tc>
          <w:tcPr>
            <w:tcW w:w="586"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合价</w:t>
            </w:r>
            <w:r/>
          </w:p>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（元）</w:t>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gridSpan w:val="6"/>
            <w:tcW w:w="465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A区服务内容</w:t>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监测方案编制</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19" w:name="OLE_LINK5"/>
            <w:r/>
            <w:bookmarkStart w:id="220" w:name="OLE_LINK8"/>
            <w:r>
              <w:rPr>
                <w:rFonts w:hint="eastAsia" w:ascii="宋体" w:hAnsi="宋体" w:eastAsia="宋体" w:cs="宋体"/>
                <w:color w:val="auto"/>
                <w:sz w:val="21"/>
                <w:szCs w:val="21"/>
                <w:highlight w:val="none"/>
              </w:rPr>
              <w:t xml:space="preserve">1.根据相关导则规范要求，编制A区监测方案</w:t>
            </w:r>
            <w:bookmarkEnd w:id="219"/>
            <w:r/>
            <w:bookmarkEnd w:id="220"/>
            <w:r>
              <w:rPr>
                <w:rFonts w:hint="eastAsia" w:ascii="宋体" w:hAnsi="宋体" w:eastAsia="宋体" w:cs="宋体"/>
                <w:color w:val="auto"/>
                <w:sz w:val="21"/>
                <w:szCs w:val="21"/>
                <w:highlight w:val="none"/>
              </w:rPr>
              <w:t xml:space="preserve">。</w:t>
            </w:r>
            <w:r/>
          </w:p>
        </w:tc>
        <w:tc>
          <w:tcPr>
            <w:tcW w:w="583"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监测井维护</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口</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1.地下水监测井（利旧）及井台日常维护，若损坏及时新建；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2.服务期为2026年和2027年。</w:t>
            </w:r>
            <w:r/>
          </w:p>
        </w:tc>
        <w:tc>
          <w:tcPr>
            <w:tcW w:w="583"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采样分析</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W w:w="1797"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21" w:name="_Hlk219364636"/>
            <w:r>
              <w:rPr>
                <w:rFonts w:hint="eastAsia" w:ascii="宋体" w:hAnsi="宋体" w:eastAsia="宋体" w:cs="宋体"/>
                <w:color w:val="auto"/>
                <w:sz w:val="21"/>
                <w:szCs w:val="21"/>
                <w:highlight w:val="none"/>
              </w:rPr>
              <w:t xml:space="preserve">按照相关导则规范要求，进行样品采样与数据分析；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2.地下水监测频次不少于一年两次，两次间隔时间大于2个月；</w:t>
            </w:r>
            <w:bookmarkEnd w:id="221"/>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3.服务期为2026年和2027年。</w:t>
            </w:r>
            <w:r/>
          </w:p>
        </w:tc>
        <w:tc>
          <w:tcPr>
            <w:tcW w:w="583"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过程</w:t>
            </w:r>
            <w:r>
              <w:rPr>
                <w:rFonts w:hint="eastAsia" w:ascii="宋体" w:hAnsi="宋体" w:eastAsia="宋体" w:cs="宋体"/>
                <w:color w:val="auto"/>
                <w:sz w:val="21"/>
                <w:szCs w:val="21"/>
                <w:highlight w:val="none"/>
              </w:rPr>
              <w:t xml:space="preserve">监测报告编制</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根据相关导则规范要求，</w:t>
            </w:r>
            <w:bookmarkStart w:id="222" w:name="_Hlk219364704"/>
            <w:r>
              <w:rPr>
                <w:rFonts w:hint="eastAsia" w:ascii="宋体" w:hAnsi="宋体" w:eastAsia="宋体" w:cs="宋体"/>
                <w:color w:val="auto"/>
                <w:sz w:val="21"/>
                <w:szCs w:val="21"/>
                <w:highlight w:val="none"/>
              </w:rPr>
              <w:t xml:space="preserve">编制</w:t>
            </w:r>
            <w:r>
              <w:rPr>
                <w:rFonts w:hint="eastAsia" w:ascii="宋体" w:hAnsi="宋体" w:eastAsia="宋体" w:cs="宋体"/>
                <w:color w:val="auto"/>
                <w:sz w:val="21"/>
                <w:szCs w:val="21"/>
                <w:highlight w:val="none"/>
                <w:lang w:val="en-US" w:eastAsia="zh-CN"/>
              </w:rPr>
              <w:t xml:space="preserve">过程</w:t>
            </w:r>
            <w:r>
              <w:rPr>
                <w:rFonts w:hint="eastAsia" w:ascii="宋体" w:hAnsi="宋体" w:eastAsia="宋体" w:cs="宋体"/>
                <w:color w:val="auto"/>
                <w:sz w:val="21"/>
                <w:szCs w:val="21"/>
                <w:highlight w:val="none"/>
              </w:rPr>
              <w:t xml:space="preserve">监测报告</w:t>
            </w:r>
            <w:bookmarkEnd w:id="222"/>
            <w:r>
              <w:rPr>
                <w:rFonts w:hint="eastAsia" w:ascii="宋体" w:hAnsi="宋体" w:eastAsia="宋体" w:cs="宋体"/>
                <w:color w:val="auto"/>
                <w:sz w:val="21"/>
                <w:szCs w:val="21"/>
                <w:highlight w:val="none"/>
              </w:rPr>
              <w:t xml:space="preserve">；</w:t>
            </w:r>
            <w:r/>
          </w:p>
        </w:tc>
        <w:tc>
          <w:tcPr>
            <w:tcW w:w="583"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gridSpan w:val="6"/>
            <w:tcW w:w="465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B区服务内容</w:t>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有机污染土壤（原位化学氧化）</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7318.9</w:t>
            </w:r>
            <w:r/>
          </w:p>
        </w:tc>
        <w:tc>
          <w:tcPr>
            <w:tcW w:w="1797"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1.有机污染土壤（原位化学氧化）；</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2.包括不限于人员管理、机械进出场及施工、药剂购买及使用等；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3.可采用浅层搅拌、高压旋喷或注入井注入，具体应根据现场实际情况选择扰动较小的工法；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4.最大治理深度4m；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5.治理效果达到规定修复目标值；</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施工完成后需将地表恢复至原状；</w:t>
            </w:r>
            <w:r/>
          </w:p>
          <w:p>
            <w:pPr>
              <w:pStyle w:val="8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3" w:name="OLE_LINK11"/>
            <w:r>
              <w:rPr>
                <w:rFonts w:hint="eastAsia" w:ascii="宋体" w:hAnsi="宋体" w:eastAsia="宋体" w:cs="宋体"/>
                <w:color w:val="auto"/>
                <w:sz w:val="21"/>
                <w:szCs w:val="21"/>
                <w:highlight w:val="none"/>
              </w:rPr>
              <w:t xml:space="preserve">按照相关导则规范要求执行。</w:t>
            </w:r>
            <w:bookmarkEnd w:id="223"/>
            <w:r/>
            <w:r/>
          </w:p>
        </w:tc>
        <w:tc>
          <w:tcPr>
            <w:tcW w:w="583"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pStyle w:val="8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重金属污染土壤（原位固化稳定化）</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12133.78</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1.重金属污染土壤（原位固化稳定化）；</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2.包括不限于人员管理、机械进出场及施工、药剂购买及使用等；</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3.最大治理深度为8m；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4.应根据现场实际情况选择扰动较小的工法；</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5.固化稳定化药剂投标人自行考虑；</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6.治理效果达到规定的管控目标值；</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7.施工完成后需将地表恢复至原状；</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24" w:name="OLE_LINK12"/>
            <w:r>
              <w:rPr>
                <w:rFonts w:hint="eastAsia" w:ascii="宋体" w:hAnsi="宋体" w:eastAsia="宋体" w:cs="宋体"/>
                <w:color w:val="auto"/>
                <w:sz w:val="21"/>
                <w:szCs w:val="21"/>
                <w:highlight w:val="none"/>
              </w:rPr>
              <w:t xml:space="preserve">8.按照相关导则规范要求执行。</w:t>
            </w:r>
            <w:bookmarkEnd w:id="224"/>
            <w:r/>
            <w:r/>
          </w:p>
        </w:tc>
        <w:tc>
          <w:tcPr>
            <w:tcW w:w="583"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污染地下水抽出-处理（辅以微生物或化学氧化措施）</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6022.64</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1.污染地下水抽出-处理（辅以微生物或化学氧化措施）；</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2.包括不限于建井、管道建设、地下水抽提、污水转运、现场预处理、微生物或化学氧化辅助修复、</w:t>
            </w:r>
            <w:bookmarkStart w:id="225" w:name="OLE_LINK15"/>
            <w:r>
              <w:rPr>
                <w:rFonts w:hint="eastAsia" w:ascii="宋体" w:hAnsi="宋体" w:eastAsia="宋体" w:cs="宋体"/>
                <w:color w:val="auto"/>
                <w:sz w:val="21"/>
                <w:szCs w:val="21"/>
                <w:highlight w:val="none"/>
              </w:rPr>
              <w:t xml:space="preserve">处理后废水</w:t>
            </w:r>
            <w:bookmarkEnd w:id="225"/>
            <w:r>
              <w:rPr>
                <w:rFonts w:hint="eastAsia" w:ascii="宋体" w:hAnsi="宋体" w:eastAsia="宋体" w:cs="宋体"/>
                <w:color w:val="auto"/>
                <w:sz w:val="21"/>
                <w:szCs w:val="21"/>
                <w:highlight w:val="none"/>
              </w:rPr>
              <w:t xml:space="preserve">纳管排放等；</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3.抽出井/注入井平均井深8.8m（以实际地勘为准，潜水含水层），孔径Φ400mm，UPVC材质，井径为Φ200mm；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4.微生物辅助修复工程量：按照处理水量的10%考虑；</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5.化学氧化辅助修复工程量：按照处理水量的30%考虑；</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6.需在抽提施工靠近在产企业和退役地块边界处进行水力控制，防止内部潜在污染扩散，具体设计形式投标单位自行考虑；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7.治理效果达到规定风险管控目标值；</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8.按照相关导则规范要求执行。</w:t>
            </w:r>
            <w:r/>
          </w:p>
        </w:tc>
        <w:tc>
          <w:tcPr>
            <w:tcW w:w="583"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gridSpan w:val="6"/>
            <w:tcW w:w="465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C区服务内容</w:t>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污染地下水抽出-处理（辅以微生物或化学氧化措施）</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3</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26" w:name="OLE_LINK2"/>
            <w:r>
              <w:rPr>
                <w:rFonts w:hint="eastAsia" w:ascii="宋体" w:hAnsi="宋体" w:eastAsia="宋体" w:cs="宋体"/>
                <w:color w:val="auto"/>
                <w:sz w:val="21"/>
                <w:szCs w:val="21"/>
                <w:highlight w:val="none"/>
              </w:rPr>
              <w:t xml:space="preserve">124995.45</w:t>
            </w:r>
            <w:bookmarkEnd w:id="226"/>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1.污染地下水抽出-处理（辅以微生物或化学氧化措施）；</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2.包括不限于建井、管道建设、地下水抽提、污水处理、微生物或化学氧化辅助修复、处理后废水回灌或纳管排放等；</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3.抽出井/注入井平均井深8.8m（以实际地勘为准，潜水含水层），孔径Φ400mm，UPVC材质，井径为Φ200mm；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4.微生物辅助修复工程量：按照处理水量的10%考虑；</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5.化学氧化辅助修复工程量：按照处理水量的30%考虑；</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6.需在抽提施工靠近在产企业和退役地块边界处进行水力控制，防止内部潜在污染扩散，具体设计形式投标单位自行考虑；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7.治理效果达到规定削源目标值；</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8.按照相关导则规范要求执行。</w:t>
            </w:r>
            <w:r/>
          </w:p>
        </w:tc>
        <w:tc>
          <w:tcPr>
            <w:tcW w:w="583"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gridSpan w:val="6"/>
            <w:tcW w:w="4657"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临时设施建设及其他措施</w:t>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临时设施</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97"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1.临时设施；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2.包括不限于场地平整，办公区、水处理区、氧化及固化稳定化设备后台、仓库、临水临电接入、监控、大门建设等；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w:t>
            </w:r>
            <w:bookmarkStart w:id="227" w:name="OLE_LINK18"/>
            <w:r>
              <w:rPr>
                <w:rFonts w:hint="eastAsia" w:ascii="宋体" w:hAnsi="宋体" w:eastAsia="宋体" w:cs="宋体"/>
                <w:color w:val="auto"/>
                <w:sz w:val="21"/>
                <w:szCs w:val="21"/>
                <w:highlight w:val="none"/>
              </w:rPr>
              <w:t xml:space="preserve">园区地下水智慧管理平台</w:t>
            </w:r>
            <w:bookmarkEnd w:id="227"/>
            <w:r>
              <w:rPr>
                <w:rFonts w:hint="eastAsia" w:ascii="宋体" w:hAnsi="宋体" w:eastAsia="宋体" w:cs="宋体"/>
                <w:color w:val="auto"/>
                <w:sz w:val="21"/>
                <w:szCs w:val="21"/>
                <w:highlight w:val="none"/>
              </w:rPr>
              <w:t xml:space="preserve">进行运行和维护等；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28" w:name="OLE_LINK7"/>
            <w:r>
              <w:rPr>
                <w:rFonts w:hint="eastAsia" w:ascii="宋体" w:hAnsi="宋体" w:eastAsia="宋体" w:cs="宋体"/>
                <w:color w:val="auto"/>
                <w:sz w:val="21"/>
                <w:szCs w:val="21"/>
                <w:highlight w:val="none"/>
              </w:rPr>
              <w:t xml:space="preserve">4.满足相关规范及方案要求</w:t>
            </w:r>
            <w:bookmarkEnd w:id="228"/>
            <w:r>
              <w:rPr>
                <w:rFonts w:hint="eastAsia" w:ascii="宋体" w:hAnsi="宋体" w:eastAsia="宋体" w:cs="宋体"/>
                <w:color w:val="auto"/>
                <w:sz w:val="21"/>
                <w:szCs w:val="21"/>
                <w:highlight w:val="none"/>
              </w:rPr>
              <w:t xml:space="preserve">。</w:t>
            </w:r>
            <w:r/>
          </w:p>
        </w:tc>
        <w:tc>
          <w:tcPr>
            <w:tcW w:w="583"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B区和C区服务过程环境监测与检测</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1.B区、C区服务过程环境监测与检测；</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2.包括不限于含施工期环境监测（大气、水、噪声、固废等），治理效果自检（治理或管控后土壤，抽出处理后污水、削源后地下水）等；</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3.投标单位自行考虑，满足相关规范及监测方案要求。</w:t>
            </w:r>
            <w:r/>
          </w:p>
        </w:tc>
        <w:tc>
          <w:tcPr>
            <w:tcW w:w="583"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97"/>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二次污染防治措施费</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29" w:name="OLE_LINK9"/>
            <w:r>
              <w:rPr>
                <w:rFonts w:hint="eastAsia" w:ascii="宋体" w:hAnsi="宋体" w:eastAsia="宋体" w:cs="宋体"/>
                <w:color w:val="auto"/>
                <w:sz w:val="21"/>
                <w:szCs w:val="21"/>
                <w:highlight w:val="none"/>
              </w:rPr>
              <w:t xml:space="preserve">1.二次污染防治；</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2.包括不限于：大气污染防治、水污染防治、固废污染防治、噪声污染防治等；</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3.防治方案由投标单位自行考虑，满足相关规范及方案要求</w:t>
            </w:r>
            <w:bookmarkEnd w:id="229"/>
            <w:r>
              <w:rPr>
                <w:rFonts w:hint="eastAsia" w:ascii="宋体" w:hAnsi="宋体" w:eastAsia="宋体" w:cs="宋体"/>
                <w:color w:val="auto"/>
                <w:sz w:val="21"/>
                <w:szCs w:val="21"/>
                <w:highlight w:val="none"/>
              </w:rPr>
              <w:t xml:space="preserve">。</w:t>
            </w:r>
            <w:r/>
          </w:p>
        </w:tc>
        <w:tc>
          <w:tcPr>
            <w:tcW w:w="583"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10"/>
        </w:trPr>
        <w:tc>
          <w:tcPr>
            <w:tcW w:w="342"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544"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安全文明施工措施费</w:t>
            </w:r>
            <w:r/>
          </w:p>
        </w:tc>
        <w:tc>
          <w:tcPr>
            <w:tcW w:w="321"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825" w:type="pct"/>
            <w:vAlign w:val="center"/>
            <w:textDirection w:val="lrTb"/>
            <w:noWrap w:val="false"/>
          </w:tcPr>
          <w:p>
            <w:pPr>
              <w:pStyle w:val="8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97"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2.包括不限于：安全防护、施工机械及临电安全、安全管理体系建立、宣传展示标语等；</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3.安全文明施工方案由投标单位自行考虑，满足相关规范及方案要求。</w:t>
            </w:r>
            <w:r/>
          </w:p>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盐建建筑〔2018〕23号文件要求，本项目不适用盐城市安全文明施工措施费核定管理要求，投标时投标人依据施工内容自行考虑安全文明施工措施费报价，不再综合评价核定（考评），根据投标人报价全额计取。</w:t>
            </w:r>
            <w:r/>
          </w:p>
        </w:tc>
        <w:tc>
          <w:tcPr>
            <w:tcW w:w="583"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720"/>
        </w:trPr>
        <w:tc>
          <w:tcPr>
            <w:gridSpan w:val="6"/>
            <w:tcW w:w="4413" w:type="pct"/>
            <w:vAlign w:val="center"/>
            <w:textDirection w:val="lrTb"/>
            <w:noWrap w:val="false"/>
          </w:tcPr>
          <w:p>
            <w:pPr>
              <w:pStyle w:val="88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合计总价（元）</w:t>
            </w:r>
            <w:r/>
          </w:p>
        </w:tc>
        <w:tc>
          <w:tcPr>
            <w:tcW w:w="586" w:type="pct"/>
            <w:vAlign w:val="center"/>
            <w:textDirection w:val="lrTb"/>
            <w:noWrap w:val="false"/>
          </w:tcPr>
          <w:p>
            <w:pPr>
              <w:pStyle w:val="8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pStyle w:val="870"/>
        <w:ind w:firstLine="480"/>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0"/>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rPr>
          <w:highlight w:val="none"/>
        </w:rPr>
        <w:t xml:space="preserve"> </w:t>
      </w:r>
      <w:r/>
    </w:p>
    <w:p>
      <w:pPr>
        <w:pStyle w:val="870"/>
        <w:jc w:val="both"/>
        <w:pageBreakBefore w:val="0"/>
        <w:spacing w:beforeAutospacing="0" w:afterAutospacing="0" w:line="360" w:lineRule="auto"/>
        <w:rPr>
          <w:highlight w:val="none"/>
          <w:shd w:val="clear" w:color="auto" w:fill="auto"/>
        </w:rPr>
      </w:pPr>
      <w:r>
        <w:rPr>
          <w:highlight w:val="none"/>
          <w:shd w:val="clear" w:color="auto" w:fill="auto"/>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p>
    <w:tbl>
      <w:tblPr>
        <w:tblStyle w:val="8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证明</w:t>
            </w:r>
            <w:r/>
          </w:p>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bl>
    <w:p>
      <w:pPr>
        <w:pStyle w:val="87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注： 行数不够，可自行添加。</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highlight w:val="none"/>
        </w:rPr>
      </w:pPr>
      <w:r/>
      <w:bookmarkStart w:id="230" w:name="_Hlt26955054"/>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8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bookmarkStart w:id="231" w:name="_Hlt26671372"/>
            <w:r/>
            <w:bookmarkStart w:id="232" w:name="_Hlt26609391"/>
            <w:r/>
            <w:bookmarkStart w:id="233" w:name="_Hlt26955056"/>
            <w:r/>
            <w:bookmarkStart w:id="234" w:name="_Hlt26671343"/>
            <w:r/>
            <w:bookmarkStart w:id="235" w:name="_Hlt26782999"/>
            <w:r/>
            <w:bookmarkStart w:id="236" w:name="_Hlt26955064"/>
            <w:r/>
            <w:bookmarkStart w:id="237" w:name="_Hlt26580838"/>
            <w:r/>
            <w:bookmarkStart w:id="238" w:name="_Hlt24879081"/>
            <w:r>
              <w:rPr>
                <w:rFonts w:hint="eastAsia" w:ascii="宋体" w:hAnsi="宋体" w:eastAsia="宋体" w:cs="宋体"/>
                <w:color w:val="000000"/>
                <w:highlight w:val="none"/>
              </w:rPr>
              <w:t xml:space="preserve">序号</w:t>
            </w:r>
            <w:bookmarkEnd w:id="231"/>
            <w:r/>
            <w:bookmarkEnd w:id="232"/>
            <w:r/>
            <w:bookmarkEnd w:id="233"/>
            <w:r/>
            <w:bookmarkEnd w:id="234"/>
            <w:r/>
            <w:bookmarkEnd w:id="235"/>
            <w:r/>
            <w:bookmarkEnd w:id="236"/>
            <w:r/>
            <w:bookmarkEnd w:id="237"/>
            <w:r/>
            <w:bookmarkEnd w:id="23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证明</w:t>
            </w:r>
            <w:r/>
          </w:p>
          <w:p>
            <w:pPr>
              <w:pStyle w:val="870"/>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0"/>
              <w:jc w:val="center"/>
              <w:pageBreakBefore w:val="0"/>
              <w:spacing w:beforeAutospacing="0" w:afterAutospacing="0" w:line="360" w:lineRule="auto"/>
              <w:rPr>
                <w:highlight w:val="none"/>
              </w:rPr>
            </w:pPr>
            <w:r>
              <w:rPr>
                <w:highlight w:val="none"/>
              </w:rPr>
              <w:t xml:space="preserve"> </w:t>
            </w:r>
            <w:r/>
          </w:p>
        </w:tc>
      </w:tr>
    </w:tbl>
    <w:p>
      <w:pPr>
        <w:pStyle w:val="87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注： 行数不够，可自行添加。</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center"/>
        <w:pageBreakBefore w:val="0"/>
        <w:spacing w:beforeAutospacing="0" w:afterAutospacing="0" w:line="360" w:lineRule="auto"/>
        <w:rPr>
          <w:highlight w:val="none"/>
        </w:rPr>
      </w:pPr>
      <w:r/>
      <w:bookmarkStart w:id="239" w:name="_Hlt26671374"/>
      <w:r/>
      <w:bookmarkStart w:id="240" w:name="_Hlt26609389"/>
      <w:r/>
      <w:bookmarkStart w:id="241" w:name="_格式2__法定代表人授权书"/>
      <w:r/>
      <w:bookmarkStart w:id="242" w:name="_Hlt26955066"/>
      <w:r/>
      <w:bookmarkStart w:id="243" w:name="_Toc462564146"/>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t xml:space="preserve"> </w:t>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both"/>
        <w:pageBreakBefore w:val="0"/>
        <w:spacing w:beforeAutospacing="0" w:afterAutospacing="0" w:line="360" w:lineRule="auto"/>
        <w:rPr>
          <w:highlight w:val="none"/>
        </w:rPr>
      </w:pPr>
      <w:r>
        <w:rPr>
          <w:highlight w:val="none"/>
        </w:rPr>
      </w:r>
      <w:r/>
    </w:p>
    <w:p>
      <w:pPr>
        <w:pStyle w:val="870"/>
        <w:jc w:val="center"/>
        <w:pageBreakBefore w:val="0"/>
        <w:spacing w:beforeAutospacing="0" w:afterAutospacing="0" w:line="360" w:lineRule="auto"/>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870"/>
        <w:ind w:firstLine="480"/>
        <w:jc w:val="left"/>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870"/>
        <w:ind w:firstLine="480"/>
        <w:jc w:val="left"/>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870"/>
        <w:ind w:firstLine="480"/>
        <w:jc w:val="lef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6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0"/>
              <w:jc w:val="center"/>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0"/>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小写：                        （人民币：元）</w:t>
            </w:r>
            <w:r/>
          </w:p>
        </w:tc>
      </w:tr>
    </w:tbl>
    <w:p>
      <w:pPr>
        <w:pStyle w:val="870"/>
        <w:jc w:val="both"/>
        <w:pageBreakBefore w:val="0"/>
        <w:spacing w:beforeAutospacing="0" w:afterAutospacing="0" w:line="360" w:lineRule="auto"/>
        <w:rPr>
          <w:color w:val="auto"/>
          <w:highlight w:val="none"/>
        </w:rPr>
      </w:pPr>
      <w:r>
        <w:rPr>
          <w:color w:val="auto"/>
          <w:highlight w:val="none"/>
        </w:rPr>
        <w:t xml:space="preserve"> </w:t>
      </w:r>
      <w:r/>
    </w:p>
    <w:p>
      <w:pPr>
        <w:pStyle w:val="870"/>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70"/>
        <w:ind w:firstLine="480"/>
        <w:jc w:val="both"/>
        <w:pageBreakBefore w:val="0"/>
        <w:spacing w:beforeAutospacing="0" w:afterAutospacing="0" w:line="360" w:lineRule="auto"/>
        <w:rPr>
          <w:highlight w:val="none"/>
        </w:rPr>
      </w:pPr>
      <w:r>
        <w:rPr>
          <w:highlight w:val="none"/>
        </w:rPr>
        <w:t xml:space="preserve"> </w:t>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pStyle w:val="873"/>
        <w:pageBreakBefore w:val="0"/>
        <w:spacing w:line="360" w:lineRule="auto"/>
        <w:rPr>
          <w:highlight w:val="none"/>
        </w:rPr>
      </w:pPr>
      <w:r>
        <w:rPr>
          <w:highlight w:val="none"/>
        </w:rPr>
      </w:r>
      <w:r/>
    </w:p>
    <w:p>
      <w:pPr>
        <w:pStyle w:val="873"/>
        <w:pageBreakBefore w:val="0"/>
        <w:spacing w:line="360" w:lineRule="auto"/>
        <w:rPr>
          <w:highlight w:val="none"/>
        </w:rPr>
      </w:pPr>
      <w:r>
        <w:rPr>
          <w:highlight w:val="none"/>
        </w:rPr>
      </w:r>
      <w:r/>
    </w:p>
    <w:p>
      <w:pPr>
        <w:pStyle w:val="873"/>
        <w:pageBreakBefore w:val="0"/>
        <w:spacing w:line="360" w:lineRule="auto"/>
        <w:rPr>
          <w:highlight w:val="none"/>
        </w:rPr>
      </w:pPr>
      <w:r>
        <w:rPr>
          <w:highlight w:val="none"/>
        </w:r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pStyle w:val="870"/>
        <w:jc w:val="both"/>
        <w:pageBreakBefore w:val="0"/>
        <w:spacing w:beforeAutospacing="0" w:afterAutospacing="0" w:line="360" w:lineRule="auto"/>
        <w:tabs>
          <w:tab w:val="left" w:pos="2160" w:leader="none"/>
        </w:tabs>
        <w:rPr>
          <w:highlight w:val="none"/>
        </w:rPr>
      </w:pPr>
      <w:r>
        <w:rPr>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70"/>
        <w:jc w:val="center"/>
        <w:pageBreakBefore w:val="0"/>
        <w:spacing w:beforeAutospacing="0" w:afterAutospacing="0" w:line="360" w:lineRule="auto"/>
        <w:rPr>
          <w:highlight w:val="none"/>
        </w:rPr>
      </w:pPr>
      <w:r>
        <w:rPr>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209"/>
      <w:r/>
      <w:bookmarkEnd w:id="213"/>
      <w:r/>
      <w:bookmarkEnd w:id="214"/>
      <w:r/>
      <w:bookmarkEnd w:id="216"/>
      <w:r/>
      <w:bookmarkEnd w:id="217"/>
      <w:r/>
      <w:bookmarkEnd w:id="218"/>
      <w:r/>
      <w:bookmarkEnd w:id="230"/>
      <w:r/>
      <w:bookmarkEnd w:id="239"/>
      <w:r/>
      <w:bookmarkEnd w:id="240"/>
      <w:r/>
      <w:bookmarkEnd w:id="241"/>
      <w:r/>
      <w:bookmarkEnd w:id="242"/>
      <w:r/>
      <w:bookmarkEnd w:id="243"/>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870"/>
        <w:jc w:val="center"/>
        <w:pageBreakBefore w:val="0"/>
        <w:spacing w:beforeAutospacing="0" w:afterAutospacing="0" w:line="360" w:lineRule="auto"/>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70"/>
        <w:jc w:val="both"/>
        <w:pageBreakBefore w:val="0"/>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70"/>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7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70"/>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0"/>
        <w:ind w:firstLine="42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ageBreakBefore w:val="0"/>
        <w:spacing w:line="360" w:lineRule="auto"/>
        <w:rPr>
          <w:highlight w:val="none"/>
        </w:rPr>
      </w:pPr>
      <w:r>
        <w:rPr>
          <w:highlight w:val="none"/>
        </w:rPr>
      </w:r>
      <w:r/>
    </w:p>
    <w:sectPr>
      <w:footnotePr/>
      <w:endnotePr/>
      <w:type w:val="nextPage"/>
      <w:pgSz w:w="11906" w:h="16838" w:orient="portrait"/>
      <w:pgMar w:top="1440" w:right="1066" w:bottom="1440" w:left="106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sz w:val="32"/>
        <w:szCs w:val="32"/>
      </w:r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rPr>
        <w:rFonts w:hint="eastAsia"/>
        <w:b/>
        <w:bCs/>
        <w:i w:val="0"/>
        <w:iCs w:val="0"/>
        <w:caps w:val="0"/>
        <w:smallCaps w:val="0"/>
        <w:strike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lvlRestart w:val="1"/>
      <w:isLgl w:val="false"/>
      <w:suff w:val="space"/>
      <w:lvlText w:val="图 %1-%5"/>
      <w:lvlJc w:val="left"/>
      <w:pPr>
        <w:ind w:left="5246" w:firstLine="0"/>
      </w:pPr>
      <w:rPr>
        <w:rFonts w:hint="eastAsia"/>
        <w:b/>
        <w:bCs w:val="0"/>
        <w:i w:val="0"/>
        <w:iCs w:val="0"/>
        <w:caps w:val="0"/>
        <w:smallCaps w:val="0"/>
        <w:strike w:val="0"/>
        <w:vanish w:val="0"/>
        <w:color w:val="000000"/>
        <w:spacing w:val="0"/>
        <w:position w:val="0"/>
        <w:u w:val="none"/>
        <w:vertAlign w:val="baseline"/>
      </w:rPr>
    </w:lvl>
    <w:lvl w:ilvl="5">
      <w:start w:val="1"/>
      <w:numFmt w:val="decimal"/>
      <w:lvlRestart w:val="1"/>
      <w:isLgl w:val="false"/>
      <w:suff w:val="space"/>
      <w:lvlText w:val="表 %1-%6"/>
      <w:lvlJc w:val="left"/>
      <w:pPr>
        <w:ind w:left="0" w:firstLine="0"/>
      </w:pPr>
      <w:rPr>
        <w:rFonts w:hint="eastAsia"/>
        <w:b/>
        <w:bCs w:val="0"/>
        <w:i w:val="0"/>
        <w:iCs w:val="0"/>
        <w:caps w:val="0"/>
        <w:smallCaps w:val="0"/>
        <w:strike w:val="0"/>
        <w:vanish w:val="0"/>
        <w:color w:val="000000"/>
        <w:spacing w:val="0"/>
        <w:position w:val="0"/>
        <w:u w:val="none"/>
        <w:vertAlign w:val="baseline"/>
        <w:lang w:val="en-US"/>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3"/>
    <w:lvlOverride w:ilvl="0">
      <w:lvl w:ilvl="0">
        <w:start w:val="1"/>
        <w:numFmt w:val="decimal"/>
        <w:isLgl w:val="false"/>
        <w:suff w:val="space"/>
        <w:lvlText w:val="%1"/>
        <w:lvlJc w:val="left"/>
        <w:pPr>
          <w:ind w:left="3544" w:firstLine="0"/>
        </w:pPr>
        <w:rPr>
          <w:rFonts w:hint="eastAsia"/>
          <w:sz w:val="32"/>
          <w:szCs w:val="32"/>
        </w:rPr>
      </w:lvl>
    </w:lvlOverride>
    <w:lvlOverride w:ilvl="1">
      <w:lvl w:ilvl="1">
        <w:start w:val="1"/>
        <w:numFmt w:val="decimal"/>
        <w:isLgl w:val="false"/>
        <w:suff w:val="space"/>
        <w:lvlText w:val="%1.%2"/>
        <w:lvlJc w:val="left"/>
        <w:pPr>
          <w:ind w:left="3544" w:firstLine="0"/>
        </w:pPr>
      </w:lvl>
    </w:lvlOverride>
    <w:lvlOverride w:ilvl="2">
      <w:lvl w:ilvl="2">
        <w:start w:val="1"/>
        <w:numFmt w:val="decimal"/>
        <w:isLgl w:val="false"/>
        <w:suff w:val="space"/>
        <w:lvlText w:val="%1.%2.%3"/>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3">
      <w:lvl w:ilvl="3">
        <w:start w:val="1"/>
        <w:numFmt w:val="decimal"/>
        <w:isLgl w:val="false"/>
        <w:suff w:val="space"/>
        <w:lvlText w:val="%1.%2.%3.%4"/>
        <w:lvlJc w:val="left"/>
        <w:pPr>
          <w:ind w:left="3544" w:firstLine="0"/>
        </w:pPr>
        <w:rPr>
          <w:rFonts w:hint="eastAsia"/>
          <w:b/>
          <w:bCs/>
          <w:i w:val="0"/>
          <w:iCs w:val="0"/>
          <w:caps w:val="0"/>
          <w:smallCaps w:val="0"/>
          <w:strike w:val="0"/>
          <w:vanish w:val="0"/>
          <w:color w:val="000000"/>
          <w:spacing w:val="0"/>
          <w:position w:val="0"/>
          <w:u w:val="none"/>
          <w:vertAlign w:val="baseline"/>
        </w:rPr>
      </w:lvl>
    </w:lvlOverride>
    <w:lvlOverride w:ilvl="4">
      <w:lvl w:ilvl="4">
        <w:start w:val="1"/>
        <w:numFmt w:val="decimal"/>
        <w:lvlRestart w:val="1"/>
        <w:pStyle w:val="883"/>
        <w:isLgl w:val="false"/>
        <w:suff w:val="space"/>
        <w:lvlText w:val="图 %1-%5"/>
        <w:lvlJc w:val="left"/>
        <w:pPr>
          <w:ind w:left="8790" w:firstLine="0"/>
        </w:pPr>
        <w:rPr>
          <w:rFonts w:hint="eastAsia"/>
          <w:b/>
          <w:bCs w:val="0"/>
          <w:i w:val="0"/>
          <w:iCs w:val="0"/>
          <w:caps w:val="0"/>
          <w:smallCaps w:val="0"/>
          <w:strike w:val="0"/>
          <w:vanish w:val="0"/>
          <w:color w:val="000000"/>
          <w:spacing w:val="0"/>
          <w:position w:val="0"/>
          <w:u w:val="none"/>
          <w:vertAlign w:val="baseline"/>
        </w:rPr>
      </w:lvl>
    </w:lvlOverride>
    <w:lvlOverride w:ilvl="5">
      <w:lvl w:ilvl="5">
        <w:start w:val="1"/>
        <w:numFmt w:val="decimal"/>
        <w:lvlRestart w:val="1"/>
        <w:isLgl w:val="false"/>
        <w:suff w:val="space"/>
        <w:lvlText w:val="表 %1-%6"/>
        <w:lvlJc w:val="left"/>
        <w:pPr>
          <w:ind w:left="3544" w:firstLine="0"/>
        </w:pPr>
        <w:rPr>
          <w:rFonts w:hint="eastAsia"/>
          <w:b/>
          <w:bCs w:val="0"/>
          <w:i w:val="0"/>
          <w:iCs w:val="0"/>
          <w:caps w:val="0"/>
          <w:smallCaps w:val="0"/>
          <w:strike w:val="0"/>
          <w:vanish w:val="0"/>
          <w:color w:val="000000"/>
          <w:spacing w:val="0"/>
          <w:position w:val="0"/>
          <w:u w:val="none"/>
          <w:vertAlign w:val="baseline"/>
          <w:lang w:val="en-US"/>
        </w:rPr>
      </w:lvl>
    </w:lvlOverride>
    <w:lvlOverride w:ilvl="6">
      <w:lvl w:ilvl="6">
        <w:start w:val="1"/>
        <w:numFmt w:val="decimal"/>
        <w:isLgl w:val="false"/>
        <w:suff w:val="tab"/>
        <w:lvlText w:val="%1.%2.%3.%4.%5.%6.%7"/>
        <w:lvlJc w:val="left"/>
        <w:pPr>
          <w:ind w:left="3544" w:firstLine="0"/>
        </w:pPr>
        <w:rPr>
          <w:rFonts w:hint="eastAsia"/>
        </w:rPr>
      </w:lvl>
    </w:lvlOverride>
    <w:lvlOverride w:ilvl="7">
      <w:lvl w:ilvl="7">
        <w:start w:val="1"/>
        <w:numFmt w:val="decimal"/>
        <w:isLgl w:val="false"/>
        <w:suff w:val="tab"/>
        <w:lvlText w:val="%1.%2.%3.%4.%5.%6.%7.%8"/>
        <w:lvlJc w:val="left"/>
        <w:pPr>
          <w:ind w:left="3544" w:firstLine="0"/>
        </w:pPr>
        <w:rPr>
          <w:rFonts w:hint="eastAsia"/>
        </w:rPr>
      </w:lvl>
    </w:lvlOverride>
    <w:lvlOverride w:ilvl="8">
      <w:lvl w:ilvl="8">
        <w:start w:val="1"/>
        <w:numFmt w:val="decimal"/>
        <w:isLgl w:val="false"/>
        <w:suff w:val="tab"/>
        <w:lvlText w:val="%1.%2.%3.%4.%5.%6.%7.%8.%9"/>
        <w:lvlJc w:val="left"/>
        <w:pPr>
          <w:ind w:left="3544" w:firstLine="0"/>
        </w:pPr>
        <w:rPr>
          <w:rFonts w:hint="eastAsia"/>
        </w:rPr>
      </w:lvl>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1"/>
    <w:next w:val="861"/>
    <w:link w:val="688"/>
    <w:uiPriority w:val="9"/>
    <w:qFormat/>
    <w:pPr>
      <w:keepLines/>
      <w:keepNext/>
      <w:spacing w:before="480" w:after="200"/>
      <w:outlineLvl w:val="0"/>
    </w:pPr>
    <w:rPr>
      <w:rFonts w:ascii="Arial" w:hAnsi="Arial" w:eastAsia="Arial" w:cs="Arial"/>
      <w:sz w:val="40"/>
      <w:szCs w:val="40"/>
    </w:rPr>
  </w:style>
  <w:style w:type="character" w:styleId="688">
    <w:name w:val="Heading 1 Char"/>
    <w:basedOn w:val="863"/>
    <w:link w:val="687"/>
    <w:uiPriority w:val="9"/>
    <w:rPr>
      <w:rFonts w:ascii="Arial" w:hAnsi="Arial" w:eastAsia="Arial" w:cs="Arial"/>
      <w:sz w:val="40"/>
      <w:szCs w:val="40"/>
    </w:rPr>
  </w:style>
  <w:style w:type="character" w:styleId="689">
    <w:name w:val="Heading 2 Char"/>
    <w:basedOn w:val="863"/>
    <w:link w:val="862"/>
    <w:uiPriority w:val="9"/>
    <w:rPr>
      <w:rFonts w:ascii="Arial" w:hAnsi="Arial" w:eastAsia="Arial" w:cs="Arial"/>
      <w:sz w:val="34"/>
    </w:rPr>
  </w:style>
  <w:style w:type="paragraph" w:styleId="690">
    <w:name w:val="Heading 3"/>
    <w:basedOn w:val="861"/>
    <w:next w:val="861"/>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basedOn w:val="863"/>
    <w:link w:val="690"/>
    <w:uiPriority w:val="9"/>
    <w:rPr>
      <w:rFonts w:ascii="Arial" w:hAnsi="Arial" w:eastAsia="Arial" w:cs="Arial"/>
      <w:sz w:val="30"/>
      <w:szCs w:val="30"/>
    </w:rPr>
  </w:style>
  <w:style w:type="paragraph" w:styleId="692">
    <w:name w:val="Heading 4"/>
    <w:basedOn w:val="861"/>
    <w:next w:val="861"/>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basedOn w:val="863"/>
    <w:link w:val="692"/>
    <w:uiPriority w:val="9"/>
    <w:rPr>
      <w:rFonts w:ascii="Arial" w:hAnsi="Arial" w:eastAsia="Arial" w:cs="Arial"/>
      <w:b/>
      <w:bCs/>
      <w:sz w:val="26"/>
      <w:szCs w:val="26"/>
    </w:rPr>
  </w:style>
  <w:style w:type="paragraph" w:styleId="694">
    <w:name w:val="Heading 5"/>
    <w:basedOn w:val="861"/>
    <w:next w:val="861"/>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3"/>
    <w:link w:val="694"/>
    <w:uiPriority w:val="9"/>
    <w:rPr>
      <w:rFonts w:ascii="Arial" w:hAnsi="Arial" w:eastAsia="Arial" w:cs="Arial"/>
      <w:b/>
      <w:bCs/>
      <w:sz w:val="24"/>
      <w:szCs w:val="24"/>
    </w:rPr>
  </w:style>
  <w:style w:type="paragraph" w:styleId="696">
    <w:name w:val="Heading 6"/>
    <w:basedOn w:val="861"/>
    <w:next w:val="861"/>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3"/>
    <w:link w:val="696"/>
    <w:uiPriority w:val="9"/>
    <w:rPr>
      <w:rFonts w:ascii="Arial" w:hAnsi="Arial" w:eastAsia="Arial" w:cs="Arial"/>
      <w:b/>
      <w:bCs/>
      <w:sz w:val="22"/>
      <w:szCs w:val="22"/>
    </w:rPr>
  </w:style>
  <w:style w:type="paragraph" w:styleId="698">
    <w:name w:val="Heading 7"/>
    <w:basedOn w:val="861"/>
    <w:next w:val="861"/>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3"/>
    <w:link w:val="698"/>
    <w:uiPriority w:val="9"/>
    <w:rPr>
      <w:rFonts w:ascii="Arial" w:hAnsi="Arial" w:eastAsia="Arial" w:cs="Arial"/>
      <w:b/>
      <w:bCs/>
      <w:i/>
      <w:iCs/>
      <w:sz w:val="22"/>
      <w:szCs w:val="22"/>
    </w:rPr>
  </w:style>
  <w:style w:type="paragraph" w:styleId="700">
    <w:name w:val="Heading 8"/>
    <w:basedOn w:val="861"/>
    <w:next w:val="861"/>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3"/>
    <w:link w:val="700"/>
    <w:uiPriority w:val="9"/>
    <w:rPr>
      <w:rFonts w:ascii="Arial" w:hAnsi="Arial" w:eastAsia="Arial" w:cs="Arial"/>
      <w:i/>
      <w:iCs/>
      <w:sz w:val="22"/>
      <w:szCs w:val="22"/>
    </w:rPr>
  </w:style>
  <w:style w:type="paragraph" w:styleId="702">
    <w:name w:val="Heading 9"/>
    <w:basedOn w:val="861"/>
    <w:next w:val="861"/>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3"/>
    <w:link w:val="702"/>
    <w:uiPriority w:val="9"/>
    <w:rPr>
      <w:rFonts w:ascii="Arial" w:hAnsi="Arial" w:eastAsia="Arial" w:cs="Arial"/>
      <w:i/>
      <w:iCs/>
      <w:sz w:val="21"/>
      <w:szCs w:val="21"/>
    </w:rPr>
  </w:style>
  <w:style w:type="paragraph" w:styleId="704">
    <w:name w:val="List Paragraph"/>
    <w:basedOn w:val="861"/>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1"/>
    <w:next w:val="861"/>
    <w:link w:val="707"/>
    <w:uiPriority w:val="10"/>
    <w:qFormat/>
    <w:pPr>
      <w:contextualSpacing/>
      <w:spacing w:before="300" w:after="200"/>
    </w:pPr>
    <w:rPr>
      <w:sz w:val="48"/>
      <w:szCs w:val="48"/>
    </w:rPr>
  </w:style>
  <w:style w:type="character" w:styleId="707">
    <w:name w:val="Title Char"/>
    <w:basedOn w:val="863"/>
    <w:link w:val="706"/>
    <w:uiPriority w:val="10"/>
    <w:rPr>
      <w:sz w:val="48"/>
      <w:szCs w:val="48"/>
    </w:rPr>
  </w:style>
  <w:style w:type="paragraph" w:styleId="708">
    <w:name w:val="Subtitle"/>
    <w:basedOn w:val="861"/>
    <w:next w:val="861"/>
    <w:link w:val="709"/>
    <w:uiPriority w:val="11"/>
    <w:qFormat/>
    <w:pPr>
      <w:spacing w:before="200" w:after="200"/>
    </w:pPr>
    <w:rPr>
      <w:sz w:val="24"/>
      <w:szCs w:val="24"/>
    </w:rPr>
  </w:style>
  <w:style w:type="character" w:styleId="709">
    <w:name w:val="Subtitle Char"/>
    <w:basedOn w:val="863"/>
    <w:link w:val="708"/>
    <w:uiPriority w:val="11"/>
    <w:rPr>
      <w:sz w:val="24"/>
      <w:szCs w:val="24"/>
    </w:rPr>
  </w:style>
  <w:style w:type="paragraph" w:styleId="710">
    <w:name w:val="Quote"/>
    <w:basedOn w:val="861"/>
    <w:next w:val="861"/>
    <w:link w:val="711"/>
    <w:uiPriority w:val="29"/>
    <w:qFormat/>
    <w:pPr>
      <w:ind w:left="720" w:right="720"/>
    </w:pPr>
    <w:rPr>
      <w:i/>
    </w:rPr>
  </w:style>
  <w:style w:type="character" w:styleId="711">
    <w:name w:val="Quote Char"/>
    <w:link w:val="710"/>
    <w:uiPriority w:val="29"/>
    <w:rPr>
      <w:i/>
    </w:rPr>
  </w:style>
  <w:style w:type="paragraph" w:styleId="712">
    <w:name w:val="Intense Quote"/>
    <w:basedOn w:val="861"/>
    <w:next w:val="861"/>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3"/>
    <w:link w:val="869"/>
    <w:uiPriority w:val="99"/>
  </w:style>
  <w:style w:type="character" w:styleId="715">
    <w:name w:val="Footer Char"/>
    <w:basedOn w:val="863"/>
    <w:link w:val="868"/>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868"/>
    <w:uiPriority w:val="99"/>
  </w:style>
  <w:style w:type="table" w:styleId="71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3"/>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3"/>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2">
    <w:name w:val="Heading 2"/>
    <w:basedOn w:val="861"/>
    <w:next w:val="86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61"/>
    <w:uiPriority w:val="0"/>
    <w:qFormat/>
    <w:pPr>
      <w:ind w:firstLine="420"/>
      <w:jc w:val="left"/>
      <w:spacing w:line="315" w:lineRule="atLeast"/>
    </w:pPr>
    <w:rPr>
      <w:rFonts w:ascii="宋体" w:hAnsi="Times New Roman" w:eastAsia="宋体" w:cs="Times New Roman"/>
      <w:szCs w:val="20"/>
    </w:rPr>
  </w:style>
  <w:style w:type="paragraph" w:styleId="866">
    <w:name w:val="annotation text"/>
    <w:basedOn w:val="861"/>
    <w:uiPriority w:val="0"/>
    <w:qFormat/>
    <w:pPr>
      <w:jc w:val="left"/>
    </w:pPr>
  </w:style>
  <w:style w:type="paragraph" w:styleId="867">
    <w:name w:val="Body Text"/>
    <w:basedOn w:val="861"/>
    <w:uiPriority w:val="0"/>
    <w:semiHidden/>
    <w:qFormat/>
    <w:rPr>
      <w:rFonts w:ascii="仿宋" w:hAnsi="仿宋" w:eastAsia="仿宋" w:cs="仿宋"/>
      <w:sz w:val="31"/>
      <w:szCs w:val="31"/>
      <w:lang w:val="en-US" w:eastAsia="en-US" w:bidi="ar-SA"/>
    </w:rPr>
  </w:style>
  <w:style w:type="paragraph" w:styleId="868">
    <w:name w:val="Footer"/>
    <w:basedOn w:val="861"/>
    <w:link w:val="875"/>
    <w:uiPriority w:val="0"/>
    <w:qFormat/>
    <w:pPr>
      <w:jc w:val="left"/>
      <w:tabs>
        <w:tab w:val="center" w:pos="4153" w:leader="none"/>
        <w:tab w:val="right" w:pos="8306" w:leader="none"/>
      </w:tabs>
    </w:pPr>
    <w:rPr>
      <w:sz w:val="18"/>
      <w:szCs w:val="18"/>
    </w:rPr>
  </w:style>
  <w:style w:type="paragraph" w:styleId="869">
    <w:name w:val="Header"/>
    <w:basedOn w:val="861"/>
    <w:link w:val="874"/>
    <w:uiPriority w:val="0"/>
    <w:qFormat/>
    <w:pPr>
      <w:jc w:val="center"/>
      <w:tabs>
        <w:tab w:val="center" w:pos="4153" w:leader="none"/>
        <w:tab w:val="right" w:pos="8306" w:leader="none"/>
      </w:tabs>
      <w:pBdr>
        <w:bottom w:val="single" w:color="auto" w:sz="6" w:space="1"/>
      </w:pBdr>
    </w:pPr>
    <w:rPr>
      <w:sz w:val="18"/>
      <w:szCs w:val="18"/>
    </w:rPr>
  </w:style>
  <w:style w:type="paragraph" w:styleId="870">
    <w:name w:val="Normal (Web)"/>
    <w:basedOn w:val="861"/>
    <w:uiPriority w:val="0"/>
    <w:qFormat/>
    <w:pPr>
      <w:jc w:val="left"/>
      <w:spacing w:beforeAutospacing="1" w:afterAutospacing="1"/>
    </w:pPr>
    <w:rPr>
      <w:rFonts w:cs="Times New Roman"/>
      <w:sz w:val="24"/>
    </w:rPr>
  </w:style>
  <w:style w:type="table" w:styleId="871">
    <w:name w:val="Table Grid"/>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Emphasis"/>
    <w:uiPriority w:val="0"/>
    <w:qFormat/>
    <w:rPr>
      <w:i/>
    </w:rPr>
  </w:style>
  <w:style w:type="paragraph" w:styleId="873" w:customStyle="1">
    <w:name w:val="Default"/>
    <w:basedOn w:val="861"/>
    <w:uiPriority w:val="0"/>
    <w:semiHidden/>
    <w:qFormat/>
    <w:pPr>
      <w:jc w:val="left"/>
    </w:pPr>
    <w:rPr>
      <w:rFonts w:ascii="宋体" w:hAnsi="Calibri" w:cs="宋体"/>
      <w:color w:val="000000"/>
      <w:sz w:val="24"/>
    </w:rPr>
  </w:style>
  <w:style w:type="character" w:styleId="874" w:customStyle="1">
    <w:name w:val="页眉 Char"/>
    <w:basedOn w:val="863"/>
    <w:link w:val="869"/>
    <w:uiPriority w:val="0"/>
    <w:qFormat/>
    <w:rPr>
      <w:rFonts w:asciiTheme="minorHAnsi" w:hAnsiTheme="minorHAnsi" w:eastAsiaTheme="minorEastAsia" w:cstheme="minorBidi"/>
      <w:sz w:val="18"/>
      <w:szCs w:val="18"/>
    </w:rPr>
  </w:style>
  <w:style w:type="character" w:styleId="875" w:customStyle="1">
    <w:name w:val="页脚 Char"/>
    <w:basedOn w:val="863"/>
    <w:link w:val="868"/>
    <w:uiPriority w:val="0"/>
    <w:qFormat/>
    <w:rPr>
      <w:rFonts w:asciiTheme="minorHAnsi" w:hAnsiTheme="minorHAnsi" w:eastAsiaTheme="minorEastAsia" w:cstheme="minorBidi"/>
      <w:sz w:val="18"/>
      <w:szCs w:val="18"/>
    </w:rPr>
  </w:style>
  <w:style w:type="paragraph" w:styleId="876" w:customStyle="1">
    <w:name w:val="普通正文"/>
    <w:basedOn w:val="861"/>
    <w:uiPriority w:val="0"/>
    <w:qFormat/>
    <w:pPr>
      <w:ind w:firstLine="480"/>
      <w:jc w:val="left"/>
      <w:spacing w:before="120" w:after="120" w:line="360" w:lineRule="auto"/>
    </w:pPr>
    <w:rPr>
      <w:rFonts w:ascii="Arial" w:hAnsi="Arial" w:eastAsia="等线" w:cs="Arial"/>
      <w:sz w:val="24"/>
      <w:szCs w:val="24"/>
    </w:rPr>
  </w:style>
  <w:style w:type="paragraph" w:styleId="877" w:customStyle="1">
    <w:name w:val="正文首行缩进 21"/>
    <w:basedOn w:val="878"/>
    <w:uiPriority w:val="0"/>
    <w:qFormat/>
    <w:pPr>
      <w:ind w:firstLine="420"/>
    </w:pPr>
  </w:style>
  <w:style w:type="paragraph" w:styleId="878" w:customStyle="1">
    <w:name w:val="正文文本缩进1"/>
    <w:basedOn w:val="861"/>
    <w:uiPriority w:val="0"/>
    <w:qFormat/>
    <w:pPr>
      <w:ind w:left="420"/>
      <w:spacing w:after="120"/>
    </w:pPr>
  </w:style>
  <w:style w:type="paragraph" w:styleId="879" w:customStyle="1">
    <w:name w:val="正文(首行缩进)"/>
    <w:uiPriority w:val="0"/>
    <w:qFormat/>
    <w:pPr>
      <w:ind w:firstLine="200"/>
      <w:jc w:val="both"/>
      <w:spacing w:after="200" w:line="420" w:lineRule="atLeast"/>
    </w:pPr>
    <w:rPr>
      <w:rFonts w:eastAsia="仿宋_GB2312" w:asciiTheme="minorHAnsi" w:hAnsiTheme="minorHAnsi" w:cstheme="minorBidi"/>
      <w:spacing w:val="2"/>
      <w:sz w:val="24"/>
      <w:szCs w:val="22"/>
      <w:lang w:val="en-US" w:eastAsia="zh-CN" w:bidi="ar-SA"/>
    </w:rPr>
  </w:style>
  <w:style w:type="paragraph" w:styleId="880" w:customStyle="1">
    <w:name w:val="JSEP表文字"/>
    <w:basedOn w:val="861"/>
    <w:next w:val="861"/>
    <w:uiPriority w:val="0"/>
    <w:qFormat/>
    <w:pPr>
      <w:jc w:val="center"/>
      <w:spacing w:line="360" w:lineRule="exact"/>
    </w:pPr>
    <w:rPr>
      <w:rFonts w:eastAsia="仿宋_GB2312"/>
      <w:sz w:val="24"/>
      <w:szCs w:val="22"/>
    </w:rPr>
  </w:style>
  <w:style w:type="paragraph" w:styleId="881" w:customStyle="1">
    <w:name w:val="JSEP正文"/>
    <w:basedOn w:val="861"/>
    <w:uiPriority w:val="0"/>
    <w:qFormat/>
    <w:pPr>
      <w:ind w:firstLine="200"/>
      <w:spacing w:line="360" w:lineRule="auto"/>
    </w:pPr>
    <w:rPr>
      <w:rFonts w:ascii="Times New Roman" w:hAnsi="Times New Roman" w:eastAsia="仿宋_GB2312"/>
      <w:sz w:val="28"/>
    </w:rPr>
  </w:style>
  <w:style w:type="paragraph" w:styleId="882" w:customStyle="1">
    <w:name w:val="JSEP图格式"/>
    <w:basedOn w:val="861"/>
    <w:next w:val="883"/>
    <w:uiPriority w:val="0"/>
    <w:qFormat/>
    <w:pPr>
      <w:jc w:val="center"/>
      <w:keepNext/>
      <w:tabs>
        <w:tab w:val="center" w:pos="4253" w:leader="none"/>
        <w:tab w:val="right" w:pos="8222" w:leader="none"/>
      </w:tabs>
    </w:pPr>
    <w:rPr>
      <w:rFonts w:ascii="Times New Roman" w:hAnsi="Times New Roman" w:eastAsia="仿宋_GB2312"/>
      <w:sz w:val="24"/>
    </w:rPr>
  </w:style>
  <w:style w:type="paragraph" w:styleId="883" w:customStyle="1">
    <w:name w:val="JSEP图标题"/>
    <w:basedOn w:val="861"/>
    <w:next w:val="881"/>
    <w:uiPriority w:val="0"/>
    <w:qFormat/>
    <w:pPr>
      <w:numPr>
        <w:ilvl w:val="4"/>
        <w:numId w:val="1"/>
      </w:numPr>
      <w:ind w:left="0"/>
      <w:jc w:val="center"/>
      <w:spacing w:line="500" w:lineRule="exact"/>
    </w:pPr>
    <w:rPr>
      <w:rFonts w:ascii="Times New Roman" w:hAnsi="Times New Roman" w:eastAsia="仿宋_GB2312"/>
      <w:b/>
      <w:sz w:val="28"/>
    </w:rPr>
  </w:style>
  <w:style w:type="paragraph" w:styleId="884" w:customStyle="1">
    <w:name w:val="表格首行"/>
    <w:basedOn w:val="861"/>
    <w:uiPriority w:val="0"/>
    <w:qFormat/>
    <w:pPr>
      <w:jc w:val="center"/>
      <w:spacing w:line="360" w:lineRule="exact"/>
    </w:pPr>
    <w:rPr>
      <w:rFonts w:ascii="Times New Roman" w:hAnsi="Times New Roman" w:eastAsia="仿宋_GB2312" w:cs="Times New Roman"/>
      <w:b/>
      <w:sz w:val="24"/>
      <w:szCs w:val="22"/>
    </w:rPr>
  </w:style>
  <w:style w:type="paragraph" w:styleId="885" w:customStyle="1">
    <w:name w:val="表内"/>
    <w:basedOn w:val="861"/>
    <w:uiPriority w:val="0"/>
    <w:qFormat/>
    <w:pPr>
      <w:jc w:val="center"/>
      <w:spacing w:line="360" w:lineRule="exact"/>
    </w:pPr>
    <w:rPr>
      <w:rFonts w:ascii="Times New Roman" w:hAnsi="Times New Roman" w:eastAsia="仿宋_GB2312" w:cs="Times New Roman"/>
      <w:sz w:val="24"/>
      <w:szCs w:val="22"/>
    </w:rPr>
  </w:style>
  <w:style w:type="table" w:styleId="886" w:customStyle="1">
    <w:name w:val="(环评报告表）1"/>
    <w:basedOn w:val="864"/>
    <w:uiPriority w:val="0"/>
    <w:qFormat/>
    <w:rPr>
      <w:rFonts w:ascii="等线" w:hAnsi="等线" w:eastAsia="等线" w:cs="Times New Roman"/>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王莉亚</cp:lastModifiedBy>
  <cp:revision>3</cp:revision>
  <dcterms:created xsi:type="dcterms:W3CDTF">2014-10-29T12:08:00Z</dcterms:created>
  <dcterms:modified xsi:type="dcterms:W3CDTF">2026-08-11T07:22:35Z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80BF2F43537A4A3FA9D0C01A7CC9E891_13</vt:lpwstr>
  </property>
  <property fmtid="{D5CDD505-2E9C-101B-9397-08002B2CF9AE}" pid="4" name="KSOTemplateDocerSaveRecord">
    <vt:lpwstr>eyJoZGlkIjoiMzgyMGIyNGIxNWY3ZmI1ZjUwNzVlMjNkOTQ3NGZlY2UiLCJ1c2VySWQiOiIxNzM0NDM5ODczIn0=</vt:lpwstr>
  </property>
</Properties>
</file>