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pageBreakBefore w:val="0"/>
        <w:spacing w:after="0" w:line="360" w:lineRule="auto"/>
        <w:rPr>
          <w:rFonts w:hint="default" w:ascii="宋体" w:hAnsi="宋体" w:eastAsia="宋体" w:cs="宋体"/>
          <w:b/>
          <w:color w:val="auto"/>
          <w:sz w:val="8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84"/>
          <w:highlight w:val="none"/>
          <w:lang w:val="en-US" w:eastAsia="zh-CN"/>
        </w:rPr>
        <w:t xml:space="preserve">   </w:t>
      </w:r>
      <w:r/>
    </w:p>
    <w:p>
      <w:pPr>
        <w:jc w:val="center"/>
        <w:pageBreakBefore w:val="0"/>
        <w:spacing w:after="0" w:line="360" w:lineRule="auto"/>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84"/>
          <w:highlight w:val="none"/>
          <w:lang w:eastAsia="zh-CN"/>
        </w:rPr>
        <w:t xml:space="preserve">询价</w:t>
      </w:r>
      <w:r>
        <w:rPr>
          <w:rFonts w:hint="eastAsia" w:ascii="宋体" w:hAnsi="宋体" w:eastAsia="宋体" w:cs="宋体"/>
          <w:b/>
          <w:color w:val="auto"/>
          <w:sz w:val="84"/>
          <w:highlight w:val="none"/>
          <w:lang w:eastAsia="zh-CN"/>
        </w:rPr>
        <w:t xml:space="preserve">通知书</w:t>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bookmarkStart w:id="0" w:name="_Toc20576"/>
      <w:r/>
      <w:r/>
    </w:p>
    <w:p>
      <w:pPr>
        <w:jc w:val="center"/>
        <w:pageBreakBefore w:val="0"/>
        <w:spacing w:after="0" w:line="360" w:lineRule="auto"/>
        <w:rPr>
          <w:rFonts w:hint="eastAsia" w:ascii="方正小标宋简体" w:hAnsi="方正小标宋简体" w:eastAsia="方正小标宋简体"/>
          <w:color w:val="auto"/>
          <w:sz w:val="32"/>
          <w:szCs w:val="32"/>
          <w:u w:val="single"/>
          <w:lang w:eastAsia="zh-CN"/>
        </w:rPr>
        <w:pBdr>
          <w:top w:val="none" w:color="000000" w:sz="0" w:space="0"/>
          <w:left w:val="none" w:color="000000" w:sz="0" w:space="0"/>
          <w:bottom w:val="none" w:color="000000" w:sz="0" w:space="0"/>
          <w:right w:val="none" w:color="000000" w:sz="0" w:space="0"/>
        </w:pBdr>
        <w:outlineLvl w:val="0"/>
      </w:pPr>
      <w:r>
        <w:rPr>
          <w:rFonts w:hint="eastAsia" w:ascii="方正小标宋简体" w:hAnsi="方正小标宋简体" w:eastAsia="方正小标宋简体"/>
          <w:color w:val="auto"/>
          <w:sz w:val="32"/>
          <w:szCs w:val="32"/>
          <w:u w:val="single"/>
          <w:lang w:eastAsia="zh-CN"/>
        </w:rPr>
      </w:r>
      <w:r/>
    </w:p>
    <w:p>
      <w:pPr>
        <w:ind w:left="1530" w:hanging="305"/>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项目名称：</w:t>
      </w:r>
      <w:bookmarkEnd w:id="0"/>
      <w:r>
        <w:rPr>
          <w:rFonts w:hint="eastAsia" w:ascii="宋体" w:hAnsi="宋体"/>
          <w:b/>
          <w:bCs w:val="0"/>
          <w:color w:val="auto"/>
          <w:sz w:val="32"/>
          <w:szCs w:val="32"/>
          <w:highlight w:val="none"/>
          <w:lang w:val="en-US" w:eastAsia="zh-CN"/>
        </w:rPr>
        <w:t xml:space="preserve">2025年灌云县粮食高产优质片区建设项目</w:t>
      </w:r>
      <w:r/>
    </w:p>
    <w:p>
      <w:pPr>
        <w:ind w:left="1544" w:firstLine="916"/>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（专门面向中小企业）</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1" w:name="_Toc12657"/>
      <w:r>
        <w:rPr>
          <w:rFonts w:hint="eastAsia" w:ascii="宋体" w:hAnsi="宋体"/>
          <w:b/>
          <w:bCs w:val="0"/>
          <w:color w:val="auto"/>
          <w:sz w:val="32"/>
          <w:szCs w:val="32"/>
          <w:highlight w:val="none"/>
          <w:lang w:val="en-US" w:eastAsia="zh-CN"/>
        </w:rPr>
        <w:t xml:space="preserve">项目编号：</w:t>
      </w:r>
      <w:bookmarkEnd w:id="1"/>
      <w:r>
        <w:rPr>
          <w:rFonts w:hint="eastAsia" w:ascii="宋体" w:hAnsi="宋体"/>
          <w:b/>
          <w:bCs w:val="0"/>
          <w:color w:val="auto"/>
          <w:sz w:val="32"/>
          <w:szCs w:val="32"/>
          <w:highlight w:val="none"/>
          <w:lang w:val="en-US" w:eastAsia="zh-CN"/>
        </w:rPr>
        <w:t xml:space="preserve">JSZC-320723-GCJZ-X2026-0010</w:t>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bookmarkStart w:id="34" w:name="_GoBack"/>
      <w:r/>
      <w:bookmarkEnd w:id="34"/>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pStyle w:val="692"/>
        <w:pageBreakBefore w:val="0"/>
        <w:spacing w:after="0" w:line="360" w:lineRule="auto"/>
        <w:rPr>
          <w:rFonts w:ascii="Times New Roman" w:hAnsi="Times New Roman" w:eastAsia="Times New Roman" w:cs="Times New Roman"/>
          <w:color w:val="auto"/>
          <w:highlight w:val="none"/>
          <w:lang w:eastAsia="zh-CN"/>
        </w:rPr>
      </w:pPr>
      <w:r>
        <w:rPr>
          <w:rFonts w:ascii="Times New Roman" w:hAnsi="Times New Roman" w:eastAsia="Times New Roman" w:cs="Times New Roman"/>
          <w:color w:val="auto"/>
          <w:highlight w:val="none"/>
          <w:lang w:eastAsia="zh-CN"/>
        </w:rPr>
      </w:r>
      <w:r/>
    </w:p>
    <w:p>
      <w:pPr>
        <w:pageBreakBefore w:val="0"/>
        <w:spacing w:after="0" w:line="360" w:lineRule="auto"/>
        <w:rPr>
          <w:color w:val="auto"/>
          <w:lang w:eastAsia="zh-CN"/>
        </w:rPr>
      </w:pPr>
      <w:r>
        <w:rPr>
          <w:color w:val="auto"/>
          <w:lang w:eastAsia="zh-CN"/>
        </w:rPr>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bookmarkStart w:id="2" w:name="_Toc1885"/>
      <w:r>
        <w:rPr>
          <w:rFonts w:hint="eastAsia" w:ascii="宋体" w:hAnsi="宋体"/>
          <w:b/>
          <w:bCs w:val="0"/>
          <w:color w:val="auto"/>
          <w:sz w:val="32"/>
          <w:szCs w:val="32"/>
          <w:highlight w:val="none"/>
          <w:lang w:val="en-US" w:eastAsia="zh-CN"/>
        </w:rPr>
        <w:t xml:space="preserve">采  购  人：</w:t>
      </w:r>
      <w:bookmarkEnd w:id="2"/>
      <w:r>
        <w:rPr>
          <w:rFonts w:hint="eastAsia" w:ascii="宋体" w:hAnsi="宋体"/>
          <w:b/>
          <w:bCs w:val="0"/>
          <w:color w:val="auto"/>
          <w:sz w:val="32"/>
          <w:szCs w:val="32"/>
          <w:highlight w:val="none"/>
          <w:lang w:val="en-US" w:eastAsia="zh-CN"/>
        </w:rPr>
        <w:t xml:space="preserve">灌云县农业农村局</w:t>
      </w:r>
      <w:r/>
    </w:p>
    <w:p>
      <w:pPr>
        <w:ind w:firstLine="1221"/>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采购代理机构：江苏港策建筑科技有限公司</w:t>
      </w:r>
      <w:r/>
    </w:p>
    <w:p>
      <w:pPr>
        <w:ind w:firstLine="3053"/>
        <w:jc w:val="both"/>
        <w:pageBreakBefore w:val="0"/>
        <w:spacing w:after="0" w:line="360" w:lineRule="auto"/>
        <w:rPr>
          <w:rFonts w:hint="eastAsia" w:ascii="宋体" w:hAnsi="宋体"/>
          <w:b/>
          <w:bCs w:val="0"/>
          <w:color w:val="auto"/>
          <w:sz w:val="32"/>
          <w:szCs w:val="32"/>
          <w:highlight w:val="none"/>
          <w:lang w:val="en-US" w:eastAsia="zh-CN"/>
        </w:rPr>
      </w:pPr>
      <w:r>
        <w:rPr>
          <w:rFonts w:hint="eastAsia" w:ascii="宋体" w:hAnsi="宋体"/>
          <w:b/>
          <w:bCs w:val="0"/>
          <w:color w:val="auto"/>
          <w:sz w:val="32"/>
          <w:szCs w:val="32"/>
          <w:highlight w:val="none"/>
          <w:lang w:val="en-US" w:eastAsia="zh-CN"/>
        </w:rPr>
        <w:t xml:space="preserve">2026年8月</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dt>
      <w:sdtPr>
        <w15:appearance w15:val="boundingBox"/>
        <w15:color w:val="dbdbdb"/>
        <w:id w:val="147454113"/>
        <w:docPartObj>
          <w:docPartGallery w:val="Table of Contents"/>
          <w:docPartUnique w:val="true"/>
        </w:docPartObj>
        <w:rPr>
          <w:rFonts w:ascii="宋体" w:hAnsi="宋体" w:eastAsia="宋体" w:cstheme="minorBidi"/>
          <w:color w:val="auto"/>
          <w:sz w:val="21"/>
          <w:szCs w:val="22"/>
          <w:highlight w:val="none"/>
          <w:lang w:val="en-US" w:eastAsia="en-US" w:bidi="ar-SA"/>
        </w:rPr>
      </w:sdtPr>
      <w:sdtContent>
        <w:p>
          <w:pPr>
            <w:ind w:left="0" w:right="0" w:firstLine="0"/>
            <w:jc w:val="center"/>
            <w:pageBreakBefore w:val="0"/>
            <w:spacing w:after="0" w:line="360" w:lineRule="auto"/>
            <w:rPr>
              <w:rFonts w:hint="eastAsia" w:ascii="宋体" w:hAnsi="宋体" w:eastAsia="宋体" w:cs="宋体"/>
              <w:b/>
              <w:bCs/>
              <w:color w:val="auto"/>
              <w:sz w:val="52"/>
              <w:szCs w:val="52"/>
              <w:highlight w:val="none"/>
            </w:rPr>
          </w:pPr>
          <w:r>
            <w:rPr>
              <w:rFonts w:hint="eastAsia" w:ascii="宋体" w:hAnsi="宋体" w:eastAsia="宋体" w:cs="宋体"/>
              <w:b/>
              <w:bCs/>
              <w:color w:val="auto"/>
              <w:sz w:val="52"/>
              <w:szCs w:val="52"/>
              <w:highlight w:val="none"/>
            </w:rPr>
            <w:t xml:space="preserve">目录</w:t>
          </w:r>
          <w:r/>
        </w:p>
        <w:p>
          <w:pPr>
            <w:pStyle w:val="910"/>
            <w:pageBreakBefore w:val="0"/>
            <w:spacing w:line="360" w:lineRule="auto"/>
            <w:tabs>
              <w:tab w:val="right" w:pos="9355" w:leader="dot"/>
            </w:tabs>
            <w:rPr>
              <w:color w:val="auto"/>
              <w:highlight w:val="none"/>
            </w:rPr>
          </w:pPr>
          <w:r>
            <w:rPr>
              <w:color w:val="auto"/>
              <w:highlight w:val="none"/>
              <w:lang w:eastAsia="zh-CN"/>
            </w:rPr>
            <w:fldChar w:fldCharType="begin"/>
          </w:r>
          <w:r>
            <w:rPr>
              <w:color w:val="auto"/>
              <w:highlight w:val="none"/>
              <w:lang w:eastAsia="zh-CN"/>
            </w:rPr>
            <w:instrText xml:space="preserve">TOC \o "1-1" \h \u </w:instrText>
          </w:r>
          <w:r>
            <w:rPr>
              <w:color w:val="auto"/>
              <w:highlight w:val="none"/>
              <w:lang w:eastAsia="zh-CN"/>
            </w:rPr>
            <w:fldChar w:fldCharType="separate"/>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_Toc29423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第一章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询价采购公告</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3</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_Toc7722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二</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供应商须知</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7</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_Toc28884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三</w:t>
          </w:r>
          <w:r>
            <w:rPr>
              <w:rFonts w:ascii="黑体" w:hAnsi="黑体" w:eastAsia="黑体" w:cs="黑体"/>
              <w:color w:val="auto"/>
              <w:sz w:val="36"/>
              <w:szCs w:val="36"/>
              <w:highlight w:val="none"/>
              <w:lang w:eastAsia="zh-CN"/>
            </w:rPr>
            <w:t xml:space="preserve">章 </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合同文本</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17</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_Toc24885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四</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项目需求</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21</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_Toc26274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五</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评标方法与评标标准</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25</w:t>
          </w:r>
          <w:r/>
        </w:p>
        <w:p>
          <w:pPr>
            <w:pStyle w:val="910"/>
            <w:pageBreakBefore w:val="0"/>
            <w:spacing w:line="360" w:lineRule="auto"/>
            <w:tabs>
              <w:tab w:val="right" w:pos="9355" w:leader="dot"/>
            </w:tabs>
            <w:rPr>
              <w:rFonts w:hint="default"/>
              <w:color w:val="auto"/>
              <w:sz w:val="36"/>
              <w:szCs w:val="36"/>
              <w:highlight w:val="none"/>
              <w:lang w:val="en-US"/>
            </w:rPr>
          </w:pPr>
          <w:r>
            <w:rPr>
              <w:color w:val="auto"/>
              <w:sz w:val="36"/>
              <w:szCs w:val="36"/>
              <w:highlight w:val="none"/>
              <w:lang w:eastAsia="zh-CN"/>
            </w:rPr>
            <w:fldChar w:fldCharType="begin"/>
          </w:r>
          <w:r>
            <w:rPr>
              <w:color w:val="auto"/>
              <w:sz w:val="36"/>
              <w:szCs w:val="36"/>
              <w:highlight w:val="none"/>
              <w:lang w:eastAsia="zh-CN"/>
            </w:rPr>
            <w:instrText xml:space="preserve"> HYPERLINK \l _Toc25502 </w:instrText>
          </w:r>
          <w:r>
            <w:rPr>
              <w:color w:val="auto"/>
              <w:sz w:val="36"/>
              <w:szCs w:val="36"/>
              <w:highlight w:val="none"/>
              <w:lang w:eastAsia="zh-CN"/>
            </w:rPr>
            <w:fldChar w:fldCharType="separate"/>
          </w:r>
          <w:r>
            <w:rPr>
              <w:rFonts w:ascii="黑体" w:hAnsi="黑体" w:eastAsia="黑体" w:cs="黑体"/>
              <w:color w:val="auto"/>
              <w:sz w:val="36"/>
              <w:szCs w:val="36"/>
              <w:highlight w:val="none"/>
              <w:lang w:eastAsia="zh-CN"/>
            </w:rPr>
            <w:t xml:space="preserve">第</w:t>
          </w:r>
          <w:r>
            <w:rPr>
              <w:rFonts w:hint="eastAsia" w:ascii="黑体" w:hAnsi="黑体" w:eastAsia="黑体" w:cs="黑体"/>
              <w:color w:val="auto"/>
              <w:sz w:val="36"/>
              <w:szCs w:val="36"/>
              <w:highlight w:val="none"/>
              <w:lang w:eastAsia="zh-CN"/>
            </w:rPr>
            <w:t xml:space="preserve">六</w:t>
          </w:r>
          <w:r>
            <w:rPr>
              <w:rFonts w:ascii="黑体" w:hAnsi="黑体" w:eastAsia="黑体" w:cs="黑体"/>
              <w:color w:val="auto"/>
              <w:sz w:val="36"/>
              <w:szCs w:val="36"/>
              <w:highlight w:val="none"/>
              <w:lang w:eastAsia="zh-CN"/>
            </w:rPr>
            <w:t xml:space="preserve">章</w:t>
          </w:r>
          <w:r>
            <w:rPr>
              <w:rFonts w:hint="eastAsia" w:ascii="黑体" w:hAnsi="黑体" w:eastAsia="黑体" w:cs="黑体"/>
              <w:color w:val="auto"/>
              <w:sz w:val="36"/>
              <w:szCs w:val="36"/>
              <w:highlight w:val="none"/>
              <w:lang w:val="en-US" w:eastAsia="zh-CN"/>
            </w:rPr>
            <w:t xml:space="preserve">  </w:t>
          </w:r>
          <w:r>
            <w:rPr>
              <w:rFonts w:hint="eastAsia" w:ascii="黑体" w:hAnsi="黑体" w:eastAsia="黑体" w:cs="黑体"/>
              <w:color w:val="auto"/>
              <w:sz w:val="36"/>
              <w:szCs w:val="36"/>
              <w:highlight w:val="none"/>
              <w:lang w:eastAsia="zh-CN"/>
            </w:rPr>
            <w:t xml:space="preserve">响应文件格式</w:t>
          </w:r>
          <w:r>
            <w:rPr>
              <w:color w:val="auto"/>
              <w:sz w:val="36"/>
              <w:szCs w:val="36"/>
              <w:highlight w:val="none"/>
            </w:rPr>
            <w:tab/>
          </w:r>
          <w:r>
            <w:rPr>
              <w:color w:val="auto"/>
              <w:sz w:val="36"/>
              <w:szCs w:val="36"/>
              <w:highlight w:val="none"/>
              <w:lang w:eastAsia="zh-CN"/>
            </w:rPr>
            <w:fldChar w:fldCharType="end"/>
          </w:r>
          <w:r>
            <w:rPr>
              <w:rFonts w:hint="eastAsia"/>
              <w:color w:val="auto"/>
              <w:sz w:val="36"/>
              <w:szCs w:val="36"/>
              <w:highlight w:val="none"/>
              <w:lang w:val="en-US" w:eastAsia="zh-CN"/>
            </w:rPr>
            <w:t xml:space="preserve">29</w:t>
          </w:r>
          <w:r/>
        </w:p>
        <w:p>
          <w:pPr>
            <w:pStyle w:val="910"/>
            <w:pageBreakBefore w:val="0"/>
            <w:spacing w:line="360" w:lineRule="auto"/>
            <w:tabs>
              <w:tab w:val="right" w:pos="9355" w:leader="dot"/>
            </w:tabs>
            <w:rPr>
              <w:color w:val="auto"/>
              <w:sz w:val="36"/>
              <w:szCs w:val="36"/>
              <w:highlight w:val="none"/>
            </w:rPr>
          </w:pPr>
          <w:r>
            <w:rPr>
              <w:color w:val="auto"/>
              <w:sz w:val="36"/>
              <w:szCs w:val="36"/>
              <w:highlight w:val="none"/>
            </w:rPr>
          </w:r>
          <w:r/>
        </w:p>
        <w:p>
          <w:pPr>
            <w:pStyle w:val="910"/>
            <w:pageBreakBefore w:val="0"/>
            <w:spacing w:line="360" w:lineRule="auto"/>
            <w:tabs>
              <w:tab w:val="right" w:pos="9355" w:leader="dot"/>
            </w:tabs>
            <w:rPr>
              <w:color w:val="auto"/>
              <w:highlight w:val="none"/>
            </w:rPr>
          </w:pPr>
          <w:r>
            <w:rPr>
              <w:color w:val="auto"/>
              <w:highlight w:val="none"/>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fldChar w:fldCharType="end"/>
          </w:r>
          <w:r/>
        </w:p>
      </w:sdtContent>
    </w:sdt>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both"/>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pPr>
      <w:r>
        <w:rPr>
          <w:color w:val="auto"/>
          <w:highlight w:val="none"/>
          <w:u w:val="none"/>
          <w:lang w:eastAsia="zh-CN"/>
        </w:rPr>
      </w:r>
      <w:r/>
    </w:p>
    <w:p>
      <w:pPr>
        <w:jc w:val="center"/>
        <w:pageBreakBefore w:val="0"/>
        <w:spacing w:after="0" w:line="360" w:lineRule="auto"/>
        <w:rPr>
          <w:color w:val="auto"/>
          <w:highlight w:val="none"/>
          <w:u w:val="none"/>
          <w:lang w:eastAsia="zh-CN"/>
        </w:rPr>
        <w:pBdr>
          <w:top w:val="none" w:color="000000" w:sz="0" w:space="0"/>
          <w:left w:val="none" w:color="000000" w:sz="0" w:space="0"/>
          <w:bottom w:val="none" w:color="000000" w:sz="0" w:space="0"/>
          <w:right w:val="none" w:color="000000" w:sz="0" w:space="0"/>
        </w:pBdr>
        <w:outlineLvl w:val="0"/>
      </w:pPr>
      <w:r/>
      <w:bookmarkStart w:id="3" w:name="_Toc29423"/>
      <w:r>
        <w:rPr>
          <w:rFonts w:ascii="黑体" w:hAnsi="黑体" w:eastAsia="黑体" w:cs="黑体"/>
          <w:color w:val="auto"/>
          <w:sz w:val="44"/>
          <w:highlight w:val="none"/>
          <w:u w:val="none"/>
          <w:lang w:eastAsia="zh-CN"/>
        </w:rPr>
        <w:t xml:space="preserve">第一章 询价采购公告</w:t>
      </w:r>
      <w:bookmarkEnd w:id="3"/>
      <w:r/>
      <w:r/>
    </w:p>
    <w:p>
      <w:pPr>
        <w:jc w:val="both"/>
        <w:pageBreakBefore w:val="0"/>
        <w:spacing w:after="0" w:line="360" w:lineRule="auto"/>
        <w:rPr>
          <w:rFonts w:hint="eastAsia" w:ascii="宋体" w:hAnsi="宋体" w:eastAsia="宋体" w:cs="宋体"/>
          <w:color w:val="auto"/>
          <w:sz w:val="24"/>
          <w:szCs w:val="24"/>
          <w:highlight w:val="none"/>
          <w:u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none"/>
          <w:lang w:eastAsia="zh-CN"/>
        </w:rPr>
        <w:t xml:space="preserve">项目概况</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single" w:color="000000" w:sz="4" w:space="0"/>
          <w:left w:val="single" w:color="000000" w:sz="4" w:space="0"/>
          <w:bottom w:val="single" w:color="000000" w:sz="4" w:space="0"/>
          <w:right w:val="single" w:color="000000" w:sz="4" w:space="0"/>
        </w:pBdr>
      </w:pPr>
      <w:r>
        <w:rPr>
          <w:rFonts w:hint="eastAsia" w:ascii="宋体" w:hAnsi="宋体" w:eastAsia="宋体" w:cs="宋体"/>
          <w:color w:val="auto"/>
          <w:sz w:val="24"/>
          <w:szCs w:val="24"/>
          <w:highlight w:val="none"/>
          <w:u w:val="single"/>
          <w:lang w:eastAsia="zh-CN"/>
        </w:rPr>
        <w:t xml:space="preserve">2025年灌云县粮食高产优质片区建设项目（专门面向中小企业）</w:t>
      </w:r>
      <w:r>
        <w:rPr>
          <w:rFonts w:hint="eastAsia" w:ascii="宋体" w:hAnsi="宋体" w:eastAsia="宋体" w:cs="宋体"/>
          <w:color w:val="auto"/>
          <w:sz w:val="24"/>
          <w:szCs w:val="24"/>
          <w:highlight w:val="none"/>
          <w:lang w:eastAsia="zh-CN"/>
        </w:rPr>
        <w:t xml:space="preserve">的</w:t>
      </w:r>
      <w:r>
        <w:rPr>
          <w:rFonts w:hint="eastAsia" w:ascii="宋体" w:hAnsi="宋体" w:eastAsia="宋体" w:cs="宋体"/>
          <w:color w:val="auto"/>
          <w:sz w:val="24"/>
          <w:szCs w:val="24"/>
        </w:rPr>
        <w:t xml:space="preserve">潜在供应商应在江苏政府采购网自行免费下载采购文件</w:t>
      </w:r>
      <w:r>
        <w:rPr>
          <w:rFonts w:hint="eastAsia" w:ascii="宋体" w:hAnsi="宋体" w:eastAsia="宋体" w:cs="宋体"/>
          <w:color w:val="auto"/>
          <w:sz w:val="24"/>
          <w:szCs w:val="24"/>
          <w:highlight w:val="none"/>
          <w:lang w:eastAsia="zh-CN"/>
        </w:rPr>
        <w:t xml:space="preserve">，并于</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23</w:t>
      </w:r>
      <w:r>
        <w:rPr>
          <w:rFonts w:hint="eastAsia"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hint="eastAsia"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（北京时间）前提交响应文件。</w:t>
      </w:r>
      <w:r/>
    </w:p>
    <w:p>
      <w:pPr>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一、项目基本情况</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项目编号：</w:t>
      </w:r>
      <w:r>
        <w:rPr>
          <w:rFonts w:ascii="Segoe UI" w:hAnsi="Segoe UI" w:eastAsia="Segoe UI" w:cs="Segoe UI"/>
          <w:i w:val="0"/>
          <w:iCs w:val="0"/>
          <w:caps w:val="0"/>
          <w:spacing w:val="0"/>
          <w:sz w:val="21"/>
          <w:szCs w:val="21"/>
          <w:shd w:val="clear" w:color="auto" w:fill="ffffff"/>
        </w:rPr>
        <w:t xml:space="preserve">JSZC-320723-GCJZ-X2026-0010</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u w:val="singl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项目名称：</w:t>
      </w:r>
      <w:r>
        <w:rPr>
          <w:rFonts w:hint="eastAsia" w:ascii="宋体" w:hAnsi="宋体" w:eastAsia="宋体" w:cs="宋体"/>
          <w:color w:val="auto"/>
          <w:sz w:val="24"/>
          <w:szCs w:val="24"/>
          <w:highlight w:val="none"/>
          <w:u w:val="single"/>
          <w:lang w:val="en-US" w:eastAsia="zh-CN"/>
        </w:rPr>
        <w:t xml:space="preserve">2025年灌云县粮食高产优质片区建设项目（专门面向中小企业）</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采购方式：询价</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4、预算金额：150万元。分为2个采购包，采购包一：45%复合肥120万元；采购包二：高产试验示范攻关补助30万元。</w:t>
      </w:r>
      <w:r/>
    </w:p>
    <w:p>
      <w:pPr>
        <w:ind w:firstLine="480"/>
        <w:jc w:val="both"/>
        <w:keepLines w:val="0"/>
        <w:keepNext w:val="0"/>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最高限价：本项目采</w:t>
      </w:r>
      <w:r>
        <w:rPr>
          <w:rFonts w:hint="eastAsia" w:ascii="宋体" w:hAnsi="宋体" w:eastAsia="宋体" w:cs="宋体"/>
          <w:color w:val="auto"/>
          <w:sz w:val="24"/>
          <w:szCs w:val="24"/>
          <w:highlight w:val="none"/>
          <w:lang w:val="en-US" w:eastAsia="zh-CN"/>
        </w:rPr>
        <w:t xml:space="preserve">用单价报价方式，预算金额足额采购，数量和单价各潜在供应商可根据实际情况进行调整，供应商所报的物资采购价不得高于最高单价，否则响应文件视为无效文件，最高单价限价详见采购需求。</w:t>
      </w:r>
      <w:r/>
    </w:p>
    <w:p>
      <w:pPr>
        <w:ind w:firstLine="480"/>
        <w:jc w:val="both"/>
        <w:keepLines w:val="0"/>
        <w:keepNext w:val="0"/>
        <w:pageBreakBefore w:val="0"/>
        <w:spacing w:after="0" w:line="360" w:lineRule="auto"/>
        <w:rPr>
          <w:rFonts w:hint="default"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采购需求：</w:t>
      </w:r>
      <w:r/>
    </w:p>
    <w:tbl>
      <w:tblPr>
        <w:tblStyle w:val="688"/>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i w:val="0"/>
                <w:iCs w:val="0"/>
                <w:color w:val="auto"/>
                <w:sz w:val="18"/>
                <w:szCs w:val="18"/>
                <w:u w:val="none"/>
                <w:lang w:val="en-US" w:eastAsia="zh-CN"/>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总养分（N+P₂O₅+K₂O）：≥45.0%，单一养分：氮（N）≥15%；五氧化二磷（P₂O₅）≥15%；氧化钾（K₂O）≥15%；具有肥料备案证明；供货规格：50kg/袋。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jc w:val="left"/>
        <w:keepLines w:val="0"/>
        <w:keepNext w:val="0"/>
        <w:pageBreakBefore w:val="0"/>
        <w:spacing w:after="0" w:line="360" w:lineRule="auto"/>
        <w:widowControl/>
        <w:rPr>
          <w:rFonts w:hint="eastAsia" w:ascii="宋体" w:hAnsi="宋体" w:eastAsia="宋体" w:cs="宋体"/>
          <w:b/>
          <w:bCs/>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val="en-US" w:eastAsia="zh-CN"/>
        </w:rPr>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合同交货期：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numPr>
          <w:ilvl w:val="0"/>
          <w:numId w:val="1"/>
        </w:num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9、</w:t>
      </w:r>
      <w:r>
        <w:rPr>
          <w:rFonts w:ascii="宋体" w:hAnsi="宋体" w:eastAsia="宋体" w:cs="宋体"/>
          <w:color w:val="auto"/>
          <w:sz w:val="24"/>
          <w:szCs w:val="24"/>
          <w:highlight w:val="none"/>
          <w:lang w:eastAsia="zh-CN"/>
        </w:rPr>
        <w:t xml:space="preserve">本项目不接受联合体参与本项目的询价</w:t>
      </w:r>
      <w:r>
        <w:rPr>
          <w:rFonts w:hint="eastAsia" w:ascii="宋体" w:hAnsi="宋体" w:eastAsia="宋体" w:cs="宋体"/>
          <w:color w:val="auto"/>
          <w:sz w:val="24"/>
          <w:szCs w:val="24"/>
          <w:highlight w:val="none"/>
          <w:lang w:eastAsia="zh-CN"/>
        </w:rPr>
        <w:t xml:space="preserve">，成交后不允许分包、转包</w:t>
      </w:r>
      <w:r>
        <w:rPr>
          <w:rFonts w:ascii="宋体" w:hAnsi="宋体" w:eastAsia="宋体" w:cs="宋体"/>
          <w:color w:val="auto"/>
          <w:sz w:val="24"/>
          <w:szCs w:val="24"/>
          <w:highlight w:val="none"/>
          <w:lang w:eastAsia="zh-CN"/>
        </w:rPr>
        <w:t xml:space="preserve">。</w:t>
      </w:r>
      <w:r/>
    </w:p>
    <w:p>
      <w:pPr>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二、申请人的资格要求：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1.满足《中华人民共和国政府采购法》第二十二条规定，并提供下列材料：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（1）法人或者其他组织的营业执照等证明文件，自然人的身份证明；</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（2）具有良好的商业信誉和健全的财务会计制度；</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（3）依法缴纳税收和社会保障资金的相关证明材料；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（4）具备履行合同所必需的设备和专业技术能力的声明及证明材料；</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（5）参加政府采购活动前三年内在经营活动中没有重大违法记录的书面声明。</w:t>
      </w:r>
      <w:r/>
    </w:p>
    <w:p>
      <w:pPr>
        <w:ind w:firstLine="480"/>
        <w:jc w:val="both"/>
        <w:pageBreakBefore w:val="0"/>
        <w:spacing w:after="0" w:line="360" w:lineRule="auto"/>
        <w:rPr>
          <w:rFonts w:hint="default" w:ascii="宋体" w:hAnsi="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szCs w:val="24"/>
          <w:highlight w:val="none"/>
          <w:lang w:eastAsia="zh-CN"/>
        </w:rPr>
        <w:t xml:space="preserve">按连财购〔2023〕4号文件要求，第（2）（3）项可以提供《财务状况报告及税收、</w:t>
      </w:r>
      <w:r>
        <w:rPr>
          <w:rFonts w:hint="eastAsia" w:ascii="宋体" w:hAnsi="宋体"/>
          <w:b w:val="0"/>
          <w:bCs w:val="0"/>
          <w:color w:val="auto"/>
          <w:sz w:val="24"/>
          <w:szCs w:val="24"/>
          <w:highlight w:val="none"/>
          <w:lang w:eastAsia="zh-CN"/>
        </w:rPr>
        <w:t xml:space="preserve">社会保障资金缴纳情况承诺函》，并上传至电子投标文件中，详见格式；</w:t>
      </w:r>
      <w:r/>
    </w:p>
    <w:p>
      <w:pPr>
        <w:numPr>
          <w:ilvl w:val="0"/>
          <w:numId w:val="2"/>
        </w:numPr>
        <w:ind w:firstLine="480"/>
        <w:jc w:val="both"/>
        <w:keepLines w:val="0"/>
        <w:keepNext w:val="0"/>
        <w:pageBreakBefore w:val="0"/>
        <w:spacing w:after="0" w:line="360" w:lineRule="auto"/>
        <w:widowControl/>
        <w:rPr>
          <w:rFonts w:hint="eastAsia" w:ascii="宋体" w:hAnsi="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eastAsia="zh-CN"/>
        </w:rPr>
        <w:t xml:space="preserve">本项目的特定资格要求：</w:t>
      </w:r>
      <w:r/>
    </w:p>
    <w:p>
      <w:pPr>
        <w:numPr>
          <w:ilvl w:val="0"/>
          <w:numId w:val="3"/>
        </w:numPr>
        <w:ind w:firstLine="480"/>
        <w:jc w:val="both"/>
        <w:keepLines w:val="0"/>
        <w:keepNext w:val="0"/>
        <w:pageBreakBefore w:val="0"/>
        <w:spacing w:after="0" w:line="360" w:lineRule="auto"/>
        <w:widowControl/>
        <w:rPr>
          <w:rFonts w:hint="eastAsia" w:ascii="宋体" w:hAnsi="宋体" w:eastAsia="宋体" w:cs="宋体"/>
          <w:b w:val="0"/>
          <w:bCs w:val="0"/>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highlight w:val="none"/>
          <w:lang w:val="en-US" w:eastAsia="zh-CN"/>
        </w:rPr>
        <w:t xml:space="preserve">投标人应当具有独立完成产品供货能力的生产制造企业或经销商（经销商需提供厂家授权委托书及所投产品生产厂家情况说明书，包括地址、联系方式及技术人员数量等，格式自理）。</w:t>
      </w:r>
      <w:r/>
    </w:p>
    <w:p>
      <w:pPr>
        <w:ind w:firstLine="480"/>
        <w:jc w:val="both"/>
        <w:keepLines w:val="0"/>
        <w:keepNext w:val="0"/>
        <w:pageBreakBefore w:val="0"/>
        <w:spacing w:after="0" w:line="360" w:lineRule="auto"/>
        <w:widowControl/>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lang w:eastAsia="zh-CN"/>
        </w:rPr>
        <w:t xml:space="preserve">.落实政府采购政策需满足的资格要求：根据财政部、工业和信息化部关于印发</w:t>
      </w:r>
      <w:r>
        <w:rPr>
          <w:rFonts w:hint="eastAsia" w:ascii="宋体" w:hAnsi="宋体" w:eastAsia="宋体" w:cs="宋体"/>
          <w:color w:val="auto"/>
          <w:sz w:val="24"/>
          <w:szCs w:val="24"/>
          <w:highlight w:val="none"/>
          <w:lang w:eastAsia="zh-CN"/>
        </w:rPr>
        <w:t xml:space="preserve">《政府采购促进中心企业发展管理办法》的通知（财库〔2020〕46号）、</w:t>
      </w:r>
      <w:r>
        <w:rPr>
          <w:rFonts w:hint="eastAsia" w:ascii="宋体" w:hAnsi="宋体"/>
          <w:color w:val="auto"/>
          <w:sz w:val="24"/>
          <w:szCs w:val="24"/>
          <w:highlight w:val="none"/>
        </w:rPr>
        <w:t xml:space="preserve">《财政部 司法部关于政府采购支持监狱企业发展有关问题的通知》（财库〔2014〕68号）、《关于促进残疾人就业政府采购政策的通知》（财库〔2017〕141号）、《关于进一步加大政府采购支持中小企业力度的通知》（财库〔2022〕19号）的规定</w:t>
      </w:r>
      <w:r>
        <w:rPr>
          <w:rFonts w:hint="eastAsia" w:ascii="宋体" w:hAnsi="宋体" w:eastAsia="宋体" w:cs="宋体"/>
          <w:color w:val="auto"/>
          <w:sz w:val="24"/>
          <w:szCs w:val="24"/>
          <w:highlight w:val="none"/>
          <w:lang w:eastAsia="zh-CN"/>
        </w:rPr>
        <w:t xml:space="preserve">等相关文件要求。</w:t>
      </w:r>
      <w:r/>
    </w:p>
    <w:p>
      <w:pPr>
        <w:ind w:firstLine="480"/>
        <w:jc w:val="both"/>
        <w:keepLines w:val="0"/>
        <w:keepNext w:val="0"/>
        <w:pageBreakBefore w:val="0"/>
        <w:spacing w:after="0" w:line="360" w:lineRule="auto"/>
        <w:widowControl/>
        <w:rPr>
          <w:rFonts w:hint="eastAsia" w:ascii="宋体" w:hAnsi="宋体" w:eastAsia="宋体" w:cs="宋体"/>
          <w:b w:val="0"/>
          <w:bCs w:val="0"/>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本项目专门面向中型企业、小型企业、微型企业、残疾人福利性单位、监狱企业进行采购。【符合要求的供应商投标文件中提供《中小企业声明函》（格式详见</w:t>
      </w:r>
      <w:r>
        <w:rPr>
          <w:rFonts w:hint="eastAsia" w:ascii="宋体" w:hAnsi="宋体" w:eastAsia="宋体" w:cs="宋体"/>
          <w:b w:val="0"/>
          <w:bCs w:val="0"/>
          <w:color w:val="auto"/>
          <w:sz w:val="24"/>
          <w:szCs w:val="24"/>
          <w:highlight w:val="none"/>
          <w:lang w:val="en-US" w:eastAsia="zh-CN"/>
        </w:rPr>
        <w:t xml:space="preserve">文件格式）或《残疾人福利性单位声明函》（详见格式）或属于监狱企业的证明文件，否则投标无效】。</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4、本项目的其他资格要求</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未被“信用中国”网站（www.creditchina.gov.cn）列入失信被执行人、重大税收违法失信主体、政府采购严重违法失信行为记录名单（供应商无须提供证明材料，由采购人或采购代理机构人员在评审前，登录“信用中国”网站查询，并将查询结果向询价小组报告）。</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单位负责人为同一人或者存在直接控股、管理关系的不同供应商，不得参加同一合同项下的政府采购活动。除单一来源采购项目外，为采购项目提供整体设计、规范编制或者项目管理、监理、检测等服务的供应商，不得再参加该采购项目的其他采购活动。</w:t>
      </w:r>
      <w:r/>
    </w:p>
    <w:p>
      <w:pPr>
        <w:ind w:firstLine="480"/>
        <w:jc w:val="left"/>
        <w:keepLines w:val="0"/>
        <w:keepNext w:val="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5、法律法规规定的其他条件。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三、获取询价文件</w:t>
      </w:r>
      <w:r/>
    </w:p>
    <w:p>
      <w:pPr>
        <w:ind w:firstLine="480"/>
        <w:jc w:val="both"/>
        <w:pageBreakBefore w:val="0"/>
        <w:spacing w:after="0" w:line="360" w:lineRule="auto"/>
        <w:rPr>
          <w:rFonts w:hint="eastAsia" w:ascii="宋体" w:hAnsi="宋体" w:eastAsia="宋体" w:cs="宋体"/>
          <w:color w:val="auto"/>
          <w:sz w:val="24"/>
          <w:szCs w:val="24"/>
          <w:highlight w:val="yellow"/>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时间：</w:t>
      </w:r>
      <w:r>
        <w:rPr>
          <w:rFonts w:hint="eastAsia"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10</w:t>
      </w:r>
      <w:r>
        <w:rPr>
          <w:rFonts w:hint="eastAsia" w:ascii="宋体" w:hAnsi="宋体" w:eastAsia="宋体" w:cs="宋体"/>
          <w:color w:val="auto"/>
          <w:sz w:val="24"/>
          <w:szCs w:val="24"/>
          <w:highlight w:val="none"/>
          <w:u w:val="single"/>
          <w:lang w:eastAsia="zh-CN"/>
        </w:rPr>
        <w:t xml:space="preserve">日至202</w:t>
      </w:r>
      <w:r>
        <w:rPr>
          <w:rFonts w:hint="eastAsia" w:ascii="宋体" w:hAnsi="宋体" w:eastAsia="宋体" w:cs="宋体"/>
          <w:color w:val="auto"/>
          <w:sz w:val="24"/>
          <w:szCs w:val="24"/>
          <w:highlight w:val="none"/>
          <w:u w:val="single"/>
          <w:lang w:val="en-US" w:eastAsia="zh-CN"/>
        </w:rPr>
        <w:t xml:space="preserve">6</w:t>
      </w:r>
      <w:r>
        <w:rPr>
          <w:rFonts w:hint="eastAsia"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hint="eastAsia"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18</w:t>
      </w:r>
      <w:r>
        <w:rPr>
          <w:rFonts w:hint="eastAsia" w:ascii="宋体" w:hAnsi="宋体" w:eastAsia="宋体" w:cs="宋体"/>
          <w:color w:val="auto"/>
          <w:sz w:val="24"/>
          <w:szCs w:val="24"/>
          <w:highlight w:val="none"/>
          <w:u w:val="single"/>
          <w:lang w:eastAsia="zh-CN"/>
        </w:rPr>
        <w:t xml:space="preserve">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地点：在“江苏政府采购网”自行免费下载询价文件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四、提交响应文件截止时间、开标时间和地点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1.响应文件接收时间与地点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响应文件接收（上传）截止时间：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23</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电子响应文件上传地址：苏采云政府采购交易系统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2.开标时间与地点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开标时间：</w:t>
      </w:r>
      <w:r>
        <w:rPr>
          <w:rFonts w:ascii="宋体" w:hAnsi="宋体" w:eastAsia="宋体" w:cs="宋体"/>
          <w:color w:val="auto"/>
          <w:sz w:val="24"/>
          <w:szCs w:val="24"/>
          <w:highlight w:val="none"/>
          <w:u w:val="single"/>
          <w:lang w:eastAsia="zh-CN"/>
        </w:rPr>
        <w:t xml:space="preserve">202</w:t>
      </w:r>
      <w:r>
        <w:rPr>
          <w:rFonts w:hint="eastAsia" w:ascii="宋体" w:hAnsi="宋体" w:eastAsia="宋体" w:cs="宋体"/>
          <w:color w:val="auto"/>
          <w:sz w:val="24"/>
          <w:szCs w:val="24"/>
          <w:highlight w:val="none"/>
          <w:u w:val="single"/>
          <w:lang w:val="en-US" w:eastAsia="zh-CN"/>
        </w:rPr>
        <w:t xml:space="preserve">6</w:t>
      </w:r>
      <w:r>
        <w:rPr>
          <w:rFonts w:ascii="宋体" w:hAnsi="宋体" w:eastAsia="宋体" w:cs="宋体"/>
          <w:color w:val="auto"/>
          <w:sz w:val="24"/>
          <w:szCs w:val="24"/>
          <w:highlight w:val="none"/>
          <w:u w:val="single"/>
          <w:lang w:eastAsia="zh-CN"/>
        </w:rPr>
        <w:t xml:space="preserve">年</w:t>
      </w:r>
      <w:r>
        <w:rPr>
          <w:rFonts w:hint="eastAsia" w:ascii="宋体" w:hAnsi="宋体" w:eastAsia="宋体" w:cs="宋体"/>
          <w:color w:val="auto"/>
          <w:sz w:val="24"/>
          <w:szCs w:val="24"/>
          <w:highlight w:val="none"/>
          <w:u w:val="single"/>
          <w:lang w:val="en-US" w:eastAsia="zh-CN"/>
        </w:rPr>
        <w:t xml:space="preserve">9</w:t>
      </w:r>
      <w:r>
        <w:rPr>
          <w:rFonts w:ascii="宋体" w:hAnsi="宋体" w:eastAsia="宋体" w:cs="宋体"/>
          <w:color w:val="auto"/>
          <w:sz w:val="24"/>
          <w:szCs w:val="24"/>
          <w:highlight w:val="none"/>
          <w:u w:val="single"/>
          <w:lang w:eastAsia="zh-CN"/>
        </w:rPr>
        <w:t xml:space="preserve">月</w:t>
      </w:r>
      <w:r>
        <w:rPr>
          <w:rFonts w:hint="eastAsia" w:ascii="宋体" w:hAnsi="宋体" w:eastAsia="宋体" w:cs="宋体"/>
          <w:color w:val="auto"/>
          <w:sz w:val="24"/>
          <w:szCs w:val="24"/>
          <w:highlight w:val="none"/>
          <w:u w:val="single"/>
          <w:lang w:val="en-US" w:eastAsia="zh-CN"/>
        </w:rPr>
        <w:t xml:space="preserve">23</w:t>
      </w:r>
      <w:r>
        <w:rPr>
          <w:rFonts w:ascii="宋体" w:hAnsi="宋体" w:eastAsia="宋体" w:cs="宋体"/>
          <w:color w:val="auto"/>
          <w:sz w:val="24"/>
          <w:szCs w:val="24"/>
          <w:highlight w:val="none"/>
          <w:u w:val="single"/>
          <w:lang w:eastAsia="zh-CN"/>
        </w:rPr>
        <w:t xml:space="preserve">日</w:t>
      </w:r>
      <w:r>
        <w:rPr>
          <w:rFonts w:hint="eastAsia" w:ascii="宋体" w:hAnsi="宋体" w:eastAsia="宋体" w:cs="宋体"/>
          <w:color w:val="auto"/>
          <w:sz w:val="24"/>
          <w:szCs w:val="24"/>
          <w:highlight w:val="none"/>
          <w:u w:val="single"/>
          <w:lang w:val="en-US" w:eastAsia="zh-CN"/>
        </w:rPr>
        <w:t xml:space="preserve">上午10</w:t>
      </w:r>
      <w:r>
        <w:rPr>
          <w:rFonts w:ascii="宋体" w:hAnsi="宋体" w:eastAsia="宋体" w:cs="宋体"/>
          <w:color w:val="auto"/>
          <w:sz w:val="24"/>
          <w:szCs w:val="24"/>
          <w:highlight w:val="none"/>
          <w:u w:val="single"/>
          <w:lang w:eastAsia="zh-CN"/>
        </w:rPr>
        <w:t xml:space="preserve">点00分</w:t>
      </w:r>
      <w:r>
        <w:rPr>
          <w:rFonts w:hint="eastAsia" w:ascii="宋体" w:hAnsi="宋体" w:eastAsia="宋体" w:cs="宋体"/>
          <w:color w:val="auto"/>
          <w:sz w:val="24"/>
          <w:szCs w:val="24"/>
          <w:highlight w:val="none"/>
          <w:lang w:eastAsia="zh-CN"/>
        </w:rPr>
        <w:t xml:space="preserve">（北京时间）</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开标地点：苏采云政府采购交易系统网上开标大厅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开标大厅网址：http://jszfcg.jsczt.cn/</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五、公告期限</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自本公告发布之日起</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个工作日。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六、其他补充事宜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ascii="宋体" w:hAnsi="宋体" w:eastAsia="宋体" w:cs="宋体"/>
          <w:color w:val="auto"/>
          <w:sz w:val="24"/>
          <w:szCs w:val="24"/>
          <w:highlight w:val="none"/>
          <w:lang w:eastAsia="zh-CN"/>
        </w:rPr>
        <w:t xml:space="preserve">本</w:t>
      </w:r>
      <w:r>
        <w:rPr>
          <w:rFonts w:hint="eastAsia" w:ascii="宋体" w:hAnsi="宋体" w:eastAsia="宋体" w:cs="宋体"/>
          <w:color w:val="auto"/>
          <w:sz w:val="24"/>
          <w:szCs w:val="24"/>
          <w:highlight w:val="none"/>
          <w:lang w:eastAsia="zh-CN"/>
        </w:rPr>
        <w:t xml:space="preserve">项目</w:t>
      </w:r>
      <w:r>
        <w:rPr>
          <w:rFonts w:ascii="宋体" w:hAnsi="宋体" w:eastAsia="宋体" w:cs="宋体"/>
          <w:color w:val="auto"/>
          <w:sz w:val="24"/>
          <w:szCs w:val="24"/>
          <w:highlight w:val="none"/>
          <w:lang w:eastAsia="zh-CN"/>
        </w:rPr>
        <w:t xml:space="preserve">不收取投标保证金。</w:t>
      </w:r>
      <w:r/>
    </w:p>
    <w:p>
      <w:pPr>
        <w:ind w:firstLine="48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.无论出于何种原因，采购人在采购活动开始前可对采购文件进行修改、补充或变更，其内容作为采购文件的重要组成部分，请各供应商关注</w:t>
      </w:r>
      <w:r>
        <w:rPr>
          <w:rFonts w:hint="eastAsia" w:ascii="宋体" w:hAnsi="宋体" w:eastAsia="宋体" w:cs="宋体"/>
          <w:b/>
          <w:bCs/>
          <w:color w:val="auto"/>
          <w:sz w:val="24"/>
          <w:szCs w:val="24"/>
          <w:highlight w:val="none"/>
          <w:lang w:eastAsia="zh-CN"/>
        </w:rPr>
        <w:t xml:space="preserve">江苏省政府采购网</w:t>
      </w:r>
      <w:r>
        <w:rPr>
          <w:rFonts w:hint="eastAsia" w:ascii="宋体" w:hAnsi="宋体" w:eastAsia="宋体" w:cs="宋体"/>
          <w:color w:val="auto"/>
          <w:sz w:val="24"/>
          <w:szCs w:val="24"/>
          <w:highlight w:val="none"/>
          <w:lang w:eastAsia="zh-CN"/>
        </w:rPr>
        <w:t xml:space="preserve">。若因供应商自身原因未及时关注本项目有关修改、补充或变更信息，导致响应文件编制或提交失误，由此造成的一切损失由供应商自行承担。</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七、对本次招标提出询问，请按以下方式联系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bookmarkStart w:id="4" w:name="_Toc28359096"/>
      <w:r/>
      <w:bookmarkStart w:id="5" w:name="_Toc35393806"/>
      <w:r/>
      <w:bookmarkStart w:id="6" w:name="_Toc35393637"/>
      <w:r/>
      <w:bookmarkStart w:id="7" w:name="_Toc28359019"/>
      <w:r>
        <w:rPr>
          <w:rFonts w:hint="eastAsia" w:ascii="宋体" w:hAnsi="宋体" w:eastAsia="宋体" w:cs="宋体"/>
          <w:color w:val="auto"/>
          <w:sz w:val="24"/>
          <w:szCs w:val="24"/>
          <w:highlight w:val="none"/>
          <w:lang w:eastAsia="zh-CN"/>
        </w:rPr>
        <w:t xml:space="preserve">1.采购人信息</w:t>
      </w:r>
      <w:bookmarkEnd w:id="4"/>
      <w:r/>
      <w:bookmarkEnd w:id="5"/>
      <w:r/>
      <w:bookmarkEnd w:id="6"/>
      <w:r/>
      <w:bookmarkEnd w:id="7"/>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称：灌云县农业农村局</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 江苏省连云港市灌云县伊山镇伊山中路257号</w:t>
      </w:r>
      <w:r/>
    </w:p>
    <w:p>
      <w:pPr>
        <w:ind w:firstLine="480"/>
        <w:jc w:val="both"/>
        <w:pageBreakBefore w:val="0"/>
        <w:spacing w:after="0" w:line="360" w:lineRule="auto"/>
        <w:rPr>
          <w:rFonts w:hint="default" w:ascii="宋体" w:hAnsi="宋体" w:eastAsia="宋体" w:cs="宋体"/>
          <w:color w:val="auto"/>
          <w:sz w:val="24"/>
          <w:szCs w:val="24"/>
          <w:highlight w:val="yellow"/>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bookmarkStart w:id="8" w:name="_Toc28359020"/>
      <w:r/>
      <w:bookmarkStart w:id="9" w:name="_Toc35393807"/>
      <w:r/>
      <w:bookmarkStart w:id="10" w:name="_Toc35393638"/>
      <w:r/>
      <w:bookmarkStart w:id="11" w:name="_Toc28359097"/>
      <w:r>
        <w:rPr>
          <w:rFonts w:hint="eastAsia" w:ascii="宋体" w:hAnsi="宋体" w:eastAsia="宋体" w:cs="宋体"/>
          <w:color w:val="auto"/>
          <w:sz w:val="24"/>
          <w:szCs w:val="24"/>
          <w:highlight w:val="none"/>
          <w:lang w:val="en-US" w:eastAsia="zh-CN"/>
        </w:rPr>
        <w:t xml:space="preserve">孙站长13645127323</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2.采购代理机构信息</w:t>
      </w:r>
      <w:bookmarkEnd w:id="8"/>
      <w:r/>
      <w:bookmarkEnd w:id="9"/>
      <w:r/>
      <w:bookmarkEnd w:id="10"/>
      <w:r/>
      <w:bookmarkEnd w:id="11"/>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名    称：</w:t>
      </w:r>
      <w:bookmarkStart w:id="12" w:name="_Toc28359021"/>
      <w:r/>
      <w:bookmarkStart w:id="13" w:name="_Toc28359098"/>
      <w:r/>
      <w:bookmarkStart w:id="14" w:name="_Toc35393808"/>
      <w:r/>
      <w:bookmarkStart w:id="15" w:name="_Toc35393639"/>
      <w:r>
        <w:rPr>
          <w:rFonts w:hint="eastAsia" w:ascii="宋体" w:hAnsi="宋体" w:eastAsia="宋体" w:cs="宋体"/>
          <w:color w:val="auto"/>
          <w:sz w:val="24"/>
          <w:szCs w:val="24"/>
          <w:highlight w:val="none"/>
          <w:lang w:val="en-US" w:eastAsia="zh-CN"/>
        </w:rPr>
        <w:t xml:space="preserve">江苏港策建筑科技有限公司</w:t>
      </w:r>
      <w:r/>
    </w:p>
    <w:p>
      <w:pPr>
        <w:ind w:firstLine="480"/>
        <w:jc w:val="both"/>
        <w:pageBreakBefore w:val="0"/>
        <w:spacing w:after="0" w:line="360" w:lineRule="auto"/>
        <w:rPr>
          <w:rFonts w:hint="default"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地　　址：</w:t>
      </w:r>
      <w:r>
        <w:rPr>
          <w:rFonts w:hint="eastAsia" w:ascii="宋体" w:hAnsi="宋体" w:eastAsia="宋体" w:cs="宋体"/>
          <w:color w:val="auto"/>
          <w:sz w:val="24"/>
          <w:szCs w:val="24"/>
          <w:highlight w:val="none"/>
          <w:lang w:val="en-US" w:eastAsia="zh-CN"/>
        </w:rPr>
        <w:t xml:space="preserve">连云港市</w:t>
      </w:r>
      <w:r>
        <w:rPr>
          <w:rFonts w:hint="eastAsia" w:ascii="宋体" w:hAnsi="宋体" w:eastAsia="宋体" w:cs="宋体"/>
          <w:color w:val="auto"/>
          <w:sz w:val="24"/>
          <w:szCs w:val="24"/>
          <w:highlight w:val="none"/>
          <w:lang w:eastAsia="zh-CN"/>
        </w:rPr>
        <w:t xml:space="preserve">海州区</w:t>
      </w:r>
      <w:r>
        <w:rPr>
          <w:rFonts w:hint="eastAsia" w:ascii="宋体" w:hAnsi="宋体" w:eastAsia="宋体" w:cs="宋体"/>
          <w:color w:val="auto"/>
          <w:sz w:val="24"/>
          <w:szCs w:val="24"/>
          <w:highlight w:val="none"/>
          <w:lang w:val="en-US" w:eastAsia="zh-CN"/>
        </w:rPr>
        <w:t xml:space="preserve">大华山路</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联系方式：</w:t>
      </w:r>
      <w:r>
        <w:rPr>
          <w:rFonts w:hint="eastAsia" w:ascii="宋体" w:hAnsi="宋体" w:eastAsia="宋体" w:cs="宋体"/>
          <w:color w:val="auto"/>
          <w:sz w:val="24"/>
          <w:szCs w:val="24"/>
          <w:highlight w:val="none"/>
          <w:lang w:val="en-US" w:eastAsia="zh-CN"/>
        </w:rPr>
        <w:t xml:space="preserve">吕工 </w:t>
      </w:r>
      <w:bookmarkEnd w:id="12"/>
      <w:r/>
      <w:bookmarkEnd w:id="13"/>
      <w:r/>
      <w:bookmarkEnd w:id="14"/>
      <w:r/>
      <w:bookmarkEnd w:id="15"/>
      <w:r>
        <w:rPr>
          <w:rFonts w:hint="eastAsia" w:ascii="宋体" w:hAnsi="宋体" w:eastAsia="宋体" w:cs="宋体"/>
          <w:color w:val="auto"/>
          <w:sz w:val="24"/>
          <w:szCs w:val="24"/>
          <w:highlight w:val="none"/>
          <w:lang w:val="en-US" w:eastAsia="zh-CN"/>
        </w:rPr>
        <w:t xml:space="preserve">13961328111</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八、电子招投标说明</w:t>
      </w:r>
      <w:r/>
    </w:p>
    <w:p>
      <w:pPr>
        <w:ind w:firstLine="480"/>
        <w:pageBreakBefore w:val="0"/>
        <w:spacing w:after="0" w:line="360" w:lineRule="auto"/>
        <w:tabs>
          <w:tab w:val="left" w:pos="900" w:leader="none"/>
        </w:tabs>
        <w:rPr>
          <w:rFonts w:ascii="宋体" w:hAnsi="宋体"/>
          <w:bCs/>
          <w:color w:val="auto"/>
          <w:sz w:val="24"/>
          <w:szCs w:val="24"/>
        </w:rPr>
      </w:pPr>
      <w:r>
        <w:rPr>
          <w:rFonts w:ascii="宋体" w:hAnsi="宋体"/>
          <w:color w:val="auto"/>
          <w:sz w:val="24"/>
          <w:szCs w:val="24"/>
        </w:rPr>
        <w:t xml:space="preserve">1</w:t>
      </w:r>
      <w:r>
        <w:rPr>
          <w:rFonts w:hint="eastAsia" w:ascii="宋体" w:hAnsi="宋体"/>
          <w:color w:val="auto"/>
          <w:sz w:val="24"/>
          <w:szCs w:val="24"/>
        </w:rPr>
        <w:t xml:space="preserve">.</w:t>
      </w:r>
      <w:r>
        <w:rPr>
          <w:rFonts w:hint="eastAsia" w:ascii="宋体" w:hAnsi="宋体"/>
          <w:bCs/>
          <w:color w:val="auto"/>
          <w:sz w:val="24"/>
          <w:szCs w:val="24"/>
        </w:rPr>
        <w:t xml:space="preserve">根据省财政厅《关于更换全省政府采购交易系统C A数字证书和电子签章的通知》（苏财购〔2023〕101号），</w:t>
      </w:r>
      <w:r>
        <w:rPr>
          <w:rFonts w:hint="eastAsia" w:ascii="宋体" w:hAnsi="宋体"/>
          <w:color w:val="auto"/>
          <w:sz w:val="24"/>
          <w:szCs w:val="24"/>
        </w:rPr>
        <w:t xml:space="preserve">“苏采云”政府采购交易系统（以下简称苏采云系统）</w:t>
      </w:r>
      <w:r>
        <w:rPr>
          <w:rFonts w:hint="eastAsia" w:ascii="宋体" w:hAnsi="宋体"/>
          <w:bCs/>
          <w:color w:val="auto"/>
          <w:sz w:val="24"/>
          <w:szCs w:val="24"/>
        </w:rPr>
        <w:t xml:space="preserve">的CA数字证书、电子签章已更换为江苏省电子政务证书认证中心C A和方正国际软件（北京）有限公司电子签章。如果投标人通过</w:t>
      </w:r>
      <w:r>
        <w:rPr>
          <w:rFonts w:hint="eastAsia" w:ascii="宋体" w:hAnsi="宋体"/>
          <w:color w:val="auto"/>
          <w:sz w:val="24"/>
          <w:szCs w:val="24"/>
        </w:rPr>
        <w:t xml:space="preserve">苏采云系统</w:t>
      </w:r>
      <w:r>
        <w:rPr>
          <w:rFonts w:hint="eastAsia" w:ascii="宋体" w:hAnsi="宋体"/>
          <w:bCs/>
          <w:color w:val="auto"/>
          <w:sz w:val="24"/>
          <w:szCs w:val="24"/>
        </w:rPr>
        <w:t xml:space="preserve">参与政府采购项目，需要更换CA数字证书和电子签章。具体办理指南和操作手册见链接：</w:t>
      </w:r>
      <w:r>
        <w:rPr>
          <w:bCs/>
          <w:color w:val="auto"/>
          <w:sz w:val="24"/>
          <w:szCs w:val="24"/>
        </w:rPr>
        <w:t xml:space="preserve">http://www.ccgp-jiangsu.gov.cn/jiangsu/zlxz/ee/ee3a4bc5a3454aa2b0d9312230633ce9.html。</w:t>
      </w:r>
      <w:r/>
    </w:p>
    <w:p>
      <w:pPr>
        <w:ind w:firstLine="480"/>
        <w:keepLines w:val="0"/>
        <w:keepNext w:val="0"/>
        <w:pageBreakBefore w:val="0"/>
        <w:spacing w:after="0" w:line="360" w:lineRule="auto"/>
        <w:widowControl/>
        <w:tabs>
          <w:tab w:val="left" w:pos="900" w:leader="none"/>
        </w:tabs>
        <w:rPr>
          <w:rFonts w:ascii="宋体" w:hAnsi="宋体"/>
          <w:bCs/>
          <w:color w:val="auto"/>
          <w:sz w:val="24"/>
          <w:szCs w:val="24"/>
        </w:rPr>
      </w:pPr>
      <w:r>
        <w:rPr>
          <w:rFonts w:hint="eastAsia" w:ascii="宋体" w:hAnsi="宋体"/>
          <w:bCs/>
          <w:color w:val="auto"/>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t>
      </w:r>
      <w:r>
        <w:rPr>
          <w:bCs/>
          <w:color w:val="auto"/>
          <w:sz w:val="24"/>
          <w:szCs w:val="24"/>
        </w:rPr>
        <w:t xml:space="preserve">（www.jszwfw.gov.cn）</w:t>
      </w:r>
      <w:r>
        <w:rPr>
          <w:rFonts w:hint="eastAsia" w:ascii="宋体" w:hAnsi="宋体"/>
          <w:bCs/>
          <w:color w:val="auto"/>
          <w:sz w:val="24"/>
          <w:szCs w:val="24"/>
        </w:rPr>
        <w:t xml:space="preserve">，“一企来办”专栏下“政府采购”模块详细了解关于CA办理、标书制作、开标投标指引等事宜。</w:t>
      </w:r>
      <w:r/>
    </w:p>
    <w:p>
      <w:pPr>
        <w:ind w:firstLine="480"/>
        <w:keepLines w:val="0"/>
        <w:keepNext w:val="0"/>
        <w:pageBreakBefore w:val="0"/>
        <w:spacing w:after="0" w:line="360" w:lineRule="auto"/>
        <w:widowControl/>
        <w:tabs>
          <w:tab w:val="left" w:pos="900" w:leader="none"/>
        </w:tabs>
        <w:rPr>
          <w:rFonts w:hint="eastAsia" w:ascii="宋体" w:hAnsi="宋体"/>
          <w:bCs/>
          <w:color w:val="auto"/>
          <w:sz w:val="24"/>
          <w:szCs w:val="24"/>
        </w:rPr>
      </w:pPr>
      <w:r>
        <w:rPr>
          <w:rFonts w:hint="eastAsia" w:ascii="宋体" w:hAnsi="宋体"/>
          <w:bCs/>
          <w:color w:val="auto"/>
          <w:sz w:val="24"/>
          <w:szCs w:val="24"/>
        </w:rPr>
        <w:t xml:space="preserve">如果“江苏政府采购网”</w:t>
      </w:r>
      <w:r>
        <w:rPr>
          <w:bCs/>
          <w:color w:val="auto"/>
          <w:sz w:val="24"/>
          <w:szCs w:val="24"/>
        </w:rPr>
        <w:t xml:space="preserve">（www.ccgp-jiangsu.gov.cn）</w:t>
      </w:r>
      <w:r>
        <w:rPr>
          <w:rFonts w:hint="eastAsia"/>
          <w:bCs/>
          <w:color w:val="auto"/>
          <w:sz w:val="24"/>
          <w:szCs w:val="24"/>
        </w:rPr>
        <w:t xml:space="preserve">信息</w:t>
      </w:r>
      <w:r>
        <w:rPr>
          <w:rFonts w:hint="eastAsia" w:ascii="宋体" w:hAnsi="宋体"/>
          <w:bCs/>
          <w:color w:val="auto"/>
          <w:sz w:val="24"/>
          <w:szCs w:val="24"/>
        </w:rPr>
        <w:t xml:space="preserve">与“江苏政务服务网” </w:t>
      </w:r>
      <w:r>
        <w:rPr>
          <w:bCs/>
          <w:color w:val="auto"/>
          <w:sz w:val="24"/>
          <w:szCs w:val="24"/>
        </w:rPr>
        <w:t xml:space="preserve">（www.jszwfw.gov.cn）</w:t>
      </w:r>
      <w:r>
        <w:rPr>
          <w:rFonts w:hint="eastAsia" w:ascii="宋体" w:hAnsi="宋体"/>
          <w:bCs/>
          <w:color w:val="auto"/>
          <w:sz w:val="24"/>
          <w:szCs w:val="24"/>
        </w:rPr>
        <w:t xml:space="preserve">，“一企来办”专栏下“政府采购”模块中信息不一致，以“江苏政府采购网”信息为准。</w:t>
      </w:r>
      <w:r/>
    </w:p>
    <w:p>
      <w:pPr>
        <w:jc w:val="right"/>
        <w:pageBreakBefore w:val="0"/>
        <w:spacing w:after="0" w:line="360" w:lineRule="auto"/>
        <w:rPr>
          <w:color w:val="auto"/>
          <w:sz w:val="28"/>
          <w:szCs w:val="28"/>
          <w:highlight w:val="none"/>
          <w:lang w:eastAsia="zh-CN"/>
        </w:rPr>
        <w:pBdr>
          <w:top w:val="none" w:color="000000" w:sz="0" w:space="0"/>
          <w:left w:val="none" w:color="000000" w:sz="0" w:space="0"/>
          <w:bottom w:val="none" w:color="000000" w:sz="0" w:space="0"/>
          <w:right w:val="none" w:color="000000" w:sz="0" w:space="0"/>
        </w:pBdr>
      </w:pPr>
      <w:r>
        <w:rPr>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both"/>
        <w:pageBreakBefore w:val="0"/>
        <w:spacing w:after="0" w:line="360" w:lineRule="auto"/>
        <w:rPr>
          <w:rFonts w:ascii="黑体" w:hAnsi="黑体" w:eastAsia="黑体" w:cs="黑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8"/>
          <w:szCs w:val="28"/>
          <w:highlight w:val="none"/>
          <w:lang w:eastAsia="zh-CN"/>
        </w:rPr>
      </w:r>
      <w:r/>
    </w:p>
    <w:p>
      <w:pPr>
        <w:jc w:val="center"/>
        <w:pageBreakBefore w:val="0"/>
        <w:spacing w:after="0" w:line="360" w:lineRule="auto"/>
        <w:rPr>
          <w:color w:val="auto"/>
          <w:highlight w:val="none"/>
          <w:lang w:eastAsia="zh-CN"/>
        </w:rPr>
      </w:pPr>
      <w:r>
        <w:rPr>
          <w:rFonts w:ascii="黑体" w:hAnsi="黑体" w:eastAsia="黑体" w:cs="黑体"/>
          <w:color w:val="auto"/>
          <w:sz w:val="36"/>
          <w:highlight w:val="none"/>
          <w:lang w:eastAsia="zh-CN"/>
        </w:rPr>
        <w:t xml:space="preserve">第二部分</w:t>
      </w:r>
      <w:r>
        <w:rPr>
          <w:rFonts w:hint="eastAsia" w:ascii="黑体" w:hAnsi="黑体" w:eastAsia="黑体" w:cs="黑体"/>
          <w:color w:val="auto"/>
          <w:sz w:val="36"/>
          <w:highlight w:val="none"/>
          <w:lang w:val="en-US" w:eastAsia="zh-CN"/>
        </w:rPr>
        <w:t xml:space="preserve">  供应商</w:t>
      </w:r>
      <w:r>
        <w:rPr>
          <w:rFonts w:ascii="黑体" w:hAnsi="黑体" w:eastAsia="黑体" w:cs="黑体"/>
          <w:color w:val="auto"/>
          <w:sz w:val="36"/>
          <w:highlight w:val="none"/>
          <w:lang w:eastAsia="zh-CN"/>
        </w:rPr>
        <w:t xml:space="preserve">须知</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一、总则</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1、招标方式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 本次招标采取询价采购方式，本询价采购文件仅适用于询价采购公告中所述项目。</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2、合格的供应商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2.1满足询价采购公告中供应商的资格要求的规定。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2.2 满足本文件实质性要求和条件的规定。</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3、适用法律和标准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3.1 本次招标及由此产生的合同受中华人民共和国有关的法律法规制约和保护。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3.2 </w:t>
      </w:r>
      <w:r>
        <w:rPr>
          <w:rFonts w:hint="eastAsia" w:ascii="宋体" w:hAnsi="宋体" w:eastAsia="宋体" w:cs="宋体"/>
          <w:color w:val="auto"/>
          <w:sz w:val="24"/>
          <w:szCs w:val="24"/>
          <w:highlight w:val="none"/>
          <w:lang w:eastAsia="zh-CN"/>
        </w:rPr>
        <w:t xml:space="preserve">在本项目政府采购活动过程中，如果所执行的标准有更新的，按照最新标准执行。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4、投标费用</w:t>
      </w:r>
      <w:r/>
    </w:p>
    <w:p>
      <w:pPr>
        <w:ind w:firstLine="48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 xml:space="preserve">4.1</w:t>
      </w:r>
      <w:r>
        <w:rPr>
          <w:rFonts w:hint="eastAsia" w:ascii="宋体" w:hAnsi="宋体" w:eastAsia="宋体" w:cs="宋体"/>
          <w:color w:val="auto"/>
          <w:sz w:val="24"/>
          <w:szCs w:val="24"/>
          <w:highlight w:val="none"/>
        </w:rPr>
        <w:t xml:space="preserve"> 不论投标结果如何，投标人均应自行承担所有与编写和提交投标文件有关的全部费用。</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4.2本项目的招标代理费</w:t>
      </w:r>
      <w:r>
        <w:rPr>
          <w:rFonts w:hint="eastAsia" w:ascii="宋体" w:hAnsi="宋体" w:eastAsia="宋体" w:cs="宋体"/>
          <w:color w:val="auto"/>
          <w:sz w:val="24"/>
          <w:szCs w:val="24"/>
          <w:highlight w:val="none"/>
          <w:lang w:val="en-US" w:eastAsia="zh-CN"/>
        </w:rPr>
        <w:t xml:space="preserve">7600元</w:t>
      </w:r>
      <w:r>
        <w:rPr>
          <w:rFonts w:hint="eastAsia" w:ascii="宋体" w:hAnsi="宋体" w:eastAsia="宋体" w:cs="宋体"/>
          <w:color w:val="auto"/>
          <w:sz w:val="24"/>
          <w:szCs w:val="24"/>
          <w:highlight w:val="none"/>
          <w:lang w:eastAsia="zh-CN"/>
        </w:rPr>
        <w:t xml:space="preserve">，由成交供应商在</w:t>
      </w:r>
      <w:r>
        <w:rPr>
          <w:rFonts w:hint="eastAsia" w:ascii="宋体" w:hAnsi="宋体" w:eastAsia="宋体" w:cs="宋体"/>
          <w:color w:val="auto"/>
          <w:sz w:val="24"/>
          <w:szCs w:val="24"/>
          <w:highlight w:val="none"/>
          <w:lang w:val="en-US" w:eastAsia="zh-CN"/>
        </w:rPr>
        <w:t xml:space="preserve">领</w:t>
      </w:r>
      <w:r>
        <w:rPr>
          <w:rFonts w:hint="eastAsia" w:ascii="宋体" w:hAnsi="宋体" w:eastAsia="宋体" w:cs="宋体"/>
          <w:color w:val="auto"/>
          <w:sz w:val="24"/>
          <w:szCs w:val="24"/>
          <w:highlight w:val="none"/>
          <w:lang w:eastAsia="zh-CN"/>
        </w:rPr>
        <w:t xml:space="preserve">取成交通知书前一次性支付。供应商报价时均需考虑以上相关费用，不再单列。</w:t>
      </w:r>
      <w:r/>
    </w:p>
    <w:p>
      <w:pPr>
        <w:ind w:firstLine="420"/>
        <w:jc w:val="both"/>
        <w:pageBreakBefore w:val="0"/>
        <w:spacing w:after="0" w:line="360" w:lineRule="auto"/>
        <w:rPr>
          <w:rFonts w:hint="eastAsia" w:ascii="宋体" w:hAnsi="宋体" w:eastAsia="宋体" w:cs="宋体"/>
          <w:b/>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5、</w:t>
      </w:r>
      <w:r>
        <w:rPr>
          <w:rFonts w:hint="eastAsia" w:ascii="宋体" w:hAnsi="宋体" w:eastAsia="宋体" w:cs="宋体"/>
          <w:color w:val="auto"/>
          <w:sz w:val="24"/>
          <w:szCs w:val="24"/>
          <w:highlight w:val="none"/>
          <w:lang w:eastAsia="zh-CN"/>
        </w:rPr>
        <w:t xml:space="preserve">询价</w:t>
      </w:r>
      <w:r>
        <w:rPr>
          <w:rFonts w:hint="eastAsia" w:ascii="宋体" w:hAnsi="宋体" w:eastAsia="宋体" w:cs="宋体"/>
          <w:b/>
          <w:bCs/>
          <w:color w:val="auto"/>
          <w:sz w:val="24"/>
          <w:szCs w:val="24"/>
          <w:highlight w:val="none"/>
          <w:lang w:eastAsia="zh-CN"/>
        </w:rPr>
        <w:t xml:space="preserve">文件的约束力</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5.1 供应商一旦参加本项目采购活动，即被认为接受了本采购文件的规定和约束。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二、询价文件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6、采购文件构成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6.1 采购文件由以下部分组成：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（1）询价采购公告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（2）供应商须知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（3）合同文本</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（4）采购需求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（5）评标方法与评标标准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（6）响应文件格式</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请仔细检查采购文件是否齐全，如有缺漏请立即与采购人或采购代理机构联系解决。</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6.2 供应商应认真阅读采购文件中所有的事项、格式、条款和规范等要求。按采购文件要求和规定编制投标文件，并保证所提供的全部资料的真实性，以使其响应文件对采购文件作出实质性响应，否则其风险由供应商自行承担。</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7、采购文件的澄清</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 任何要求对询价文件进行澄清的供应商，应在询价截止期3个工作日前按询价公告中的通讯地址，以书面形式通知。</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8、采购文件的修改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8.1 在投标截止时间前，采购人或采购代理机构可以对采购文件进行修改。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8.2 采购人或采购代理机构有权按照法定的要求推迟投标截止日期和开标日期。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8.3 采购文件的修改将在江苏政府采购网公布，补充文件将作为采购文件的组成部分，并对投标人具有约束力。</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三、响应文件的编制</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9、响应文件的语言及度量衡单位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9.1 供应商提交的报价文件以及供应商与采购人或采购代理机构就有关投标的所有来往通知、函件和文件均应使用</w:t>
      </w:r>
      <w:r>
        <w:rPr>
          <w:rFonts w:hint="eastAsia" w:ascii="宋体" w:hAnsi="宋体" w:eastAsia="宋体" w:cs="宋体"/>
          <w:b/>
          <w:color w:val="auto"/>
          <w:sz w:val="24"/>
          <w:szCs w:val="24"/>
          <w:highlight w:val="none"/>
          <w:lang w:eastAsia="zh-CN"/>
        </w:rPr>
        <w:t xml:space="preserve">简体中文</w:t>
      </w:r>
      <w:r>
        <w:rPr>
          <w:rFonts w:hint="eastAsia" w:ascii="宋体" w:hAnsi="宋体" w:eastAsia="宋体" w:cs="宋体"/>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9.2 除技术性能另有规定外，报价文件所使用的度量衡单位，均须采用国家法定计量单位。</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10、报价文件构成</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10.1 供应商编写的响应文件应包括资格证明文件、符合性证明文件、投标分项报价表、技术要求响应及偏离表、商务要求响应及偏离表、其他证明文件、响应函、开标一览表等部分。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11、证明供应商及投标标的符合采购文件规定的文件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  11.1 供应商应按照采购文件要求提交证明文件，证明其及投标标的符合采购文件规定。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11.2采购文件对证明文件无明确形式要求的，证明文件可以以文字资料、图纸和数据等形式提交。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12.1 供应商应按照采购文件规定格式填报投标分项报价表。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12.2投标货币。报价文件中的单价和总价无特殊规定的采用人民币报价，以元为单位标注。采购文件中另有规定的按规定执行。</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13、技术要求响应及偏离表、商务要求响应及偏离表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13.1供应商需对采购文件中的技术要求与商务要求逐项作出响应或偏离，并说明原因。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13.2 供应商可在报价文件中提供认为需要的其他技术文件或说明。</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14、响应函和开标一览表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14.1 供应商应按照采购文件中提供的格式完整、正确填写响应函、开标一览表。</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14.2 对于采用货币报价的项目，开标一览表中的投标总报价应与投标分项报价表中的投标总报价一致，如不一致，不作为无效投标处理，但评标时按开标一览表中价格为准。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15、询价有效期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15.1询价有效期为提交响应文件截止之日后六十（60）天。询价有效期比规定短的将被视为非实质性响应询价文件而予以拒绝。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16、询价有效期的延长</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16.1在特殊情况下，于原询价有效期满之前，可向供应商提出延长询价有效期的要求。这种要求与答复均应采用书面形式。供应商可以这一要求而放弃询价，同意延长询价有效期的供应商既不能要求也不允许修改其响应文件。受询价有效期约束的所有权利与义务均延长至新的有效期。</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四、响应文件的递交</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、电子报价文件的递交</w:t>
      </w:r>
      <w:r/>
    </w:p>
    <w:p>
      <w:pPr>
        <w:ind w:left="525"/>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.1供应商应当按照《操作手册》规定，在投标截止时间前制作并上传电子响应</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w:t>
      </w:r>
      <w:r>
        <w:rPr>
          <w:rFonts w:hint="eastAsia" w:ascii="宋体" w:hAnsi="宋体" w:eastAsia="宋体" w:cs="宋体"/>
          <w:b w:val="0"/>
          <w:bCs/>
          <w:color w:val="auto"/>
          <w:sz w:val="24"/>
          <w:szCs w:val="24"/>
          <w:highlight w:val="none"/>
          <w:lang w:eastAsia="zh-CN"/>
        </w:rPr>
        <w:t xml:space="preserve">成交供应商在领取成交通知书之前，必须提供五份与电子文件一致的纸质文件并且加盖供应商公章。</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、提交响应文件截止时间</w:t>
      </w:r>
      <w:r/>
    </w:p>
    <w:p>
      <w:pPr>
        <w:ind w:firstLine="482"/>
        <w:jc w:val="both"/>
        <w:pageBreakBefore w:val="0"/>
        <w:spacing w:after="0" w:line="360" w:lineRule="auto"/>
        <w:rPr>
          <w:rFonts w:hint="eastAsia" w:ascii="宋体" w:hAnsi="宋体" w:eastAsia="宋体" w:cs="宋体"/>
          <w:b/>
          <w:i w:val="0"/>
          <w:iCs/>
          <w:color w:val="auto"/>
          <w:sz w:val="24"/>
          <w:szCs w:val="24"/>
          <w:highlight w:val="none"/>
          <w:u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i w:val="0"/>
          <w:iCs/>
          <w:color w:val="auto"/>
          <w:sz w:val="24"/>
          <w:szCs w:val="24"/>
          <w:highlight w:val="none"/>
          <w:u w:val="none"/>
          <w:lang w:eastAsia="zh-CN"/>
        </w:rPr>
        <w:t xml:space="preserve">1</w:t>
      </w:r>
      <w:r>
        <w:rPr>
          <w:rFonts w:hint="eastAsia" w:ascii="宋体" w:hAnsi="宋体" w:eastAsia="宋体" w:cs="宋体"/>
          <w:b/>
          <w:i w:val="0"/>
          <w:iCs/>
          <w:color w:val="auto"/>
          <w:sz w:val="24"/>
          <w:szCs w:val="24"/>
          <w:highlight w:val="none"/>
          <w:u w:val="none"/>
          <w:lang w:val="en-US" w:eastAsia="zh-CN"/>
        </w:rPr>
        <w:t xml:space="preserve">8</w:t>
      </w:r>
      <w:r>
        <w:rPr>
          <w:rFonts w:hint="eastAsia" w:ascii="宋体" w:hAnsi="宋体" w:eastAsia="宋体" w:cs="宋体"/>
          <w:b/>
          <w:i w:val="0"/>
          <w:iCs/>
          <w:color w:val="auto"/>
          <w:sz w:val="24"/>
          <w:szCs w:val="24"/>
          <w:highlight w:val="none"/>
          <w:u w:val="none"/>
          <w:lang w:eastAsia="zh-CN"/>
        </w:rPr>
        <w:t xml:space="preserve">.1 供应商上传电子响应文件的时间不得迟于询价公告中规定的提交响应文件截止时间。</w:t>
      </w:r>
      <w:r/>
    </w:p>
    <w:p>
      <w:pPr>
        <w:pStyle w:val="710"/>
        <w:ind w:firstLine="480"/>
        <w:jc w:val="both"/>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供应商应充分考虑到网络环境、网络带宽等风险因素，如因供应商自身原因造成的电子响应文件上传不成功的按照本询价文件第二章规定做无效响应处理。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 采购人可以按照规定，通过修改采购文件酌情延长投标截止日期，在此情况下，供应商的所有权利和义务以及供应商受制的截止日期均应以延长后新的截止日期为准。</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、响应文件的拒收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19</w:t>
      </w:r>
      <w:r>
        <w:rPr>
          <w:rFonts w:hint="eastAsia" w:ascii="宋体" w:hAnsi="宋体" w:eastAsia="宋体" w:cs="宋体"/>
          <w:color w:val="auto"/>
          <w:sz w:val="24"/>
          <w:szCs w:val="24"/>
          <w:highlight w:val="none"/>
          <w:lang w:eastAsia="zh-CN"/>
        </w:rPr>
        <w:t xml:space="preserve">.1 采购人拒绝接收在其规定的投标截止时间后上传的任何报价文件。</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、响应文件的撤回和修改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.1.1 电子响应文件的撤回</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供应商可在提交响应文件截止时间前，撤回其电子响应文件，具体操作方法见《操作手册》。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.1.2供应商撤回电子响应文件，则认为其不再参与本项目询价活动。</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.2响应文件的修改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供应商可在提交响应文件截止时间前，对其电子响应文件进行修改，具体操作方法见《操作手册》。</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在提交响应文件截止时间之后，供应商不得对其电子响应文件作任何修改。</w:t>
      </w:r>
      <w:r/>
    </w:p>
    <w:p>
      <w:pPr>
        <w:ind w:firstLine="482"/>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.4 在提交响应文件截止时间至询价文件中规定的询价有效期满之间的这段时间内，供应商不得撤回其响应文件。</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五、响应文件的解密与评审</w:t>
      </w:r>
      <w:r/>
    </w:p>
    <w:p>
      <w:pPr>
        <w:ind w:firstLine="56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、开标</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 采购人或采购代理机构将在采购公告中规定的时间和地点组织公开开标。供应商应当按照《操作手册》规定，参加开标活动和在苏采云系统规定的时间内对报价文件进行解密。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.2开标仪式由采购人或者采购代理机构组织。苏采云系统将自动对项目进行开标，并宣布各供应商名称和投标价格。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.3供应商在开标过程中涉及到的报价文件解密、开标结果确认等工作，应按照《操作手册》规定执行。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.4供应商如果对开标过程和开标记录有疑义，应当根据《操作手册》规定提出，如苏采云系统中《开标记录表》宣布后5分钟内未提出的，视同认可开标结果。</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、询价小组</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.1开标后，采购人将立即组织询价小组进行评审。</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.2 询价小组由采购人代表和有关技术、经济等方面的专家组成，且人员构成符合政府采购有关规定。</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  </w:t>
      </w:r>
      <w:r>
        <w:rPr>
          <w:rFonts w:hint="eastAsia" w:ascii="宋体" w:hAnsi="宋体" w:eastAsia="宋体" w:cs="宋体"/>
          <w:color w:val="auto"/>
          <w:sz w:val="24"/>
          <w:szCs w:val="24"/>
          <w:highlight w:val="none"/>
          <w:lang w:eastAsia="zh-CN"/>
        </w:rPr>
        <w:t xml:space="preserve"> 2</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.3询价小组独立工作，负责评审所有报价文件并确定成交候选人。</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．评审过程的保密与公正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.1凡是与审查、澄清、评价和比较投标的有关资料以及授标建议等，采购人、评委、采购代理机构均不得向供应商或与评标无关的其他人员透露。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.2在询价过程中，供应商不得以任何行为影响评标过程，否则其报价文件将被作为无效报价文件。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.3 采购人、采购代理机构和询价小组不向未成交的供应商解释未成交原因，也不公布评标过程中的相关细节。</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．报价文件的澄清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.1评标期间，询价小组对报价文件中含义不明确、同类问题表述不一致或者有明显文字和计算错误的内容，有权要求供应商作出必要的澄清、说明或者补正。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供应商的澄清、说明或者补正不得超出报价文件的范围或者改变报价文件的实质性内容。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询价小组并非对每个供应商都做澄清要求。</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2需要供应商进行澄清、说明和补正的，询价小组将通过苏采云系统向供应商发出“澄清要求函”，接到“澄清要求函”的供应商应当按照要求在苏采云系统中提交“澄清响应函”并加盖CA电子公章。澄清、说明和补正的内容作为报价文件的补充部分，具体操作方式见《操作手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.3 接到询价小组澄清、说明和补正要求的供应商如未按规定做出澄清、说明和补正，其风险由供应商自行承担。</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、对响应文件的审查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.1报价文件初审分为资格审查和符合性审查。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.1.1 资格审查：依据法律法规和采购文件的规定，由询价小组进行审查。</w:t>
      </w:r>
      <w:r/>
    </w:p>
    <w:p>
      <w:p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采购人或采购代理机构在进行资格性审查的同时，将在“信用中国”网站（www.creditchina.gov.cn）查询</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的信用记录，以确定</w:t>
      </w:r>
      <w:r>
        <w:rPr>
          <w:rFonts w:hint="eastAsia" w:ascii="宋体" w:hAnsi="宋体" w:eastAsia="宋体" w:cs="宋体"/>
          <w:color w:val="auto"/>
          <w:sz w:val="24"/>
          <w:szCs w:val="24"/>
          <w:highlight w:val="none"/>
          <w:lang w:eastAsia="zh-CN"/>
        </w:rPr>
        <w:t xml:space="preserve">供应商</w:t>
      </w:r>
      <w:r>
        <w:rPr>
          <w:rFonts w:hint="eastAsia" w:ascii="宋体" w:hAnsi="宋体" w:eastAsia="宋体" w:cs="宋体"/>
          <w:color w:val="auto"/>
          <w:sz w:val="24"/>
          <w:szCs w:val="24"/>
          <w:highlight w:val="none"/>
        </w:rPr>
        <w:t xml:space="preserve">是否具备投标资格,查询结果留存并归档。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.1.2 符合性审查：依据采购文件的规定，由询价小组从报价文件的有效性、完整性和对采购文件的响应程度进行审查，以确定是否对采购文件的实质性要求作出响应。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.1.3 未通过资格审查或符合性审查的供应商，将在苏采云系统中告知未通过资格审查或符合性审查的原因，评审结束后，采购人或采购代理机构将不再告知未通过资格审查或符合性审查的原因。</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.2在详细评审之前，询价小组将首先审查每份报价文件是否实质性响应了采购文件的要求。实质性响应的投标应该是与采购文件要求的全部条款、条件和规格相符，没有重大偏离或保留的投标。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所谓重大偏离或保留是指与采购文件规定的实质性要求存在负偏离，或者在实质上与采购文件不一致，而且限制了合同中买方的权利或供应商的义务，纠正这些偏离或保留将会对其他实质性响应要求的供应商的竞争地位产生不公正的影响。重大偏离的认定需经过询价小组以少数服从多数的原则作出结论。评委决定报价文件的响应性只根据报价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.3如果报价文件实质上没有响应采购文件的要求，询价小组将予以拒绝，供应商不得通过修改或撤销不合要求的偏离或保留而使其投标成为实质性响应的投标。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.4询价小组将对确定为实质性响应的投标进行进一步审核，看其是否有计算上或累加上的算术错误，修正错误的原则如下：</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（1）报价文件中开标一览表内容与报价文件中相应内容不一致的，以开标一览表为准。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同时出现两种以上错误的，按照前款规定的顺序修正。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.5询价小组将按上述修正错误的方法调整报价文件中的响应报价，并通过苏采云系统告知供应商，调整后的价格应对供应商具有约束力。如果供应商不接受修正后的价格，则其投标将被拒绝。</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供应商在开、评标全过程中应保持通讯畅通，及时登录苏采云系统查阅、答复相关信息，并安排专人与采购代理机构及询价小组联系。</w:t>
      </w:r>
      <w:r/>
    </w:p>
    <w:p>
      <w:pPr>
        <w:ind w:firstLine="42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、无效投标条款和废标条款</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.1无效投标条款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26</w:t>
      </w:r>
      <w:r>
        <w:rPr>
          <w:rFonts w:hint="eastAsia" w:ascii="宋体" w:hAnsi="宋体" w:eastAsia="宋体" w:cs="宋体"/>
          <w:color w:val="auto"/>
          <w:sz w:val="24"/>
          <w:szCs w:val="24"/>
          <w:highlight w:val="none"/>
          <w:lang w:eastAsia="zh-CN"/>
        </w:rPr>
        <w:t xml:space="preserve">.1.1 供应商在苏采云系统规定的时间内未成功解密电子报价文件的。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.1.2 供应商未按照采购文件要求上传电子报价文件的。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.1.3同一供应商提交两个（含两个）以上不同的投标报价的。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.1.4供应商不具备采购文件中规定资格要求的。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.1.5供应商的报价超过了或者低于采购预算或最高限价的。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.1.6未通过符合性审查的。</w:t>
      </w:r>
      <w:r/>
    </w:p>
    <w:p>
      <w:pPr>
        <w:ind w:firstLine="631"/>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.1.7不符合采购文件中规定的实质性要求和条件的</w:t>
      </w:r>
      <w:r>
        <w:rPr>
          <w:rFonts w:hint="eastAsia" w:ascii="宋体" w:hAnsi="宋体" w:eastAsia="宋体" w:cs="宋体"/>
          <w:i/>
          <w:color w:val="auto"/>
          <w:sz w:val="24"/>
          <w:szCs w:val="24"/>
          <w:highlight w:val="none"/>
          <w:lang w:eastAsia="zh-CN"/>
        </w:rPr>
        <w:t xml:space="preserve">。</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  报价文件含有采购人不能接受的附加条件的。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询价小组认为供应商的报价明显低于其他通过符合性审查供应商的报价，有可能影响产品质量或者不能诚信履约的，将通过苏采云系统要求其在合理的时间内提供说明，必要时提交相关证明材料；供应商不能证明其报价合理性的，询价小组应当将其作为无效投标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报价文件未按照采购文件要求加盖CA电子公章的。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.1.1</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其他法律、法规及本采购文件规定的属无效投标的情形。</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.2废标条款</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.2.1符合专业条件的供应商或者对采购文件作实质响应的供应商不足三家的。27.2.2出现影响采购公正的违法、违规行为的。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.2.3因重大变故，采购任务取消的。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.2.4询价小组认定采购文件存在歧义、重大缺陷导致评审工作无法进行。</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.2.5 因苏采云系统故障原因造成开标不成功的。</w:t>
      </w:r>
      <w:r/>
    </w:p>
    <w:p>
      <w:pPr>
        <w:ind w:left="479"/>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 投标截止时间结束后参加投标的供应商不足三家的处理：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.3.1如出现投标截止时间结束后参加投标的供应商或者在评标期间对采购文件做出实质响应的供应商不足三家情况，按政府采购相关规定执行。</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六、成交</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、确定成交单位</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.1成交候选人的选取原则和数量见采购文件第五章规定。 </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.2 采购人应根据询价小组推荐的成交候选人确定成交人。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.3 采购人或采购代理机构将在“江苏政府采购网”发布成交公告，公告期限为1个工作日。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 若有充分证据证明，成交人出现下列情况之一的，一经查实，将被取消成交资格：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.4.1提供虚假材料谋取成交的。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.4.2向采购人或者其他与本项目相关人员行贿或者提供其他不正当利益的。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.4.3属于本文件规定的无效条件，但在评标过程中又未被询价小组发现的。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.4.4与采购人或者其他供应商恶意串通的。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.4.5采取不正当手段诋毁、排挤其他供应商的。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 有下列情形之一的，视为供应商人串通投标，投标无效：</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.5.1不同供应商的报价文件由同一单位或者个人编制；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.5.2不同供应商委托同一单位或者个人办理投标事宜；</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.5.3 不同供应商的报价文件载明的项目管理成员或者联系人员为同一人；</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eastAsia="zh-CN"/>
        </w:rPr>
        <w:t xml:space="preserve">.5.4不同供应商的报价文件异常一致或者投标报价呈规律性差异；</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、质疑处理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 提出质疑的供应商应当是参与所质疑项目采购活动的供应商。潜在供应商依法获取其可质疑的采购文件的，可以对采购文件提出质疑。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参加投标供应商认为采购文件、采购过程和成交结果使自己的权益受到损害的，可以在知道或应知其权益受到损害之日起七个工作日内，以书面形式向采购代理机构或采购人提出质疑。上述应知其权益受到损害之日，是指：</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.1.1对可以质疑的采购文件提出质疑的，为收到采购文件之日或者采购文件公告期限届满之日；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.1.2对采购过程提出质疑的，为各采购程序环节结束之日；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.1.3对成交结果提出质疑的，为成交结果公告期限届满之日。</w:t>
      </w:r>
      <w:r/>
    </w:p>
    <w:p>
      <w:pPr>
        <w:ind w:firstLine="473"/>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.2质疑必须按《政府采购法》、《政府采购法实施条例》及《江苏省政府采购供应商监督管理暂行办法》的相关规定提交，未按上述要求提交的质疑函（含传真、电子邮件等）采购代理机构有权不予受理。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.3未参加投标活动的供应商或在投标活动中自身权益未受到损害的供应商所提出的质疑不予受理。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.4质疑函应当包括下列内容：</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.4.1质疑供应商的名称、地址、邮编、联系人、联系电话；</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.4.2具体的质疑事项及明确的请求；</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.4.3认为自己合法权益受到损害或可能受到损害的相关证据材料；</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.4.4提起质疑的日期；</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4.5质疑函应当署名：质疑人为自然人的，应当由本人签字并附有效身份证明；质疑人为法人或其他组织的，应当由法定代表人签字并加盖单位公章。（质疑人为联合体的，则联合体各方法定代表人均须签字并加盖单位公章），未按要求签字和盖章的为无效质疑，采购代理机构将不予受理。)质疑人委托代理质疑的，应当向采购代理机构提交授权委托书，并载明委托代理的具体权限和事项。</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.5采购代理机构收到质疑函后，将对质疑的形式和内容进行审查，如质疑函内容、格式不符合规定，采购代理机构将告知质疑人进行补正。</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.6质疑人应当在法定质疑期限内进行补正并重新提交质疑函，拒不补正或者在法定期限内未重新提交质疑函的，为无效质疑，采购代理机构将不予受理。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.7对于内容、格式符合规定的质疑函，采购代理机构应当在收到投标供应商的书面质疑后七个工作日内作出答复，并以书面形式通知质疑供应商和其他有关供应商，但答复的内容不得涉及商业秘密。</w:t>
      </w:r>
      <w:r/>
    </w:p>
    <w:p>
      <w:pPr>
        <w:ind w:firstLine="468"/>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8供应商提出书面质疑必须有理、有据，不得恶意质疑或提交虚假质疑。否则，一经查实，采购代理机构有权依据政府采购的有关规定，报请政府采购监管部门对该供应商进行相应的行政处罚和记录该供应商的失信信息。</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 以下情形的质疑不予受理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.9.1 内容不符合《政府采购质疑和投诉办法》第十二条规定的质疑。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.9.2 超出政府采购法定期限的质疑。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w:t>
      </w:r>
      <w:r>
        <w:rPr>
          <w:rFonts w:hint="eastAsia" w:ascii="宋体" w:hAnsi="宋体" w:eastAsia="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lang w:eastAsia="zh-CN"/>
        </w:rPr>
        <w:t xml:space="preserve">.9.3 未参加投标活动的供应商或在投标活动中自身权益未受到损害的供应商所提出的质疑。</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28</w:t>
      </w:r>
      <w:r>
        <w:rPr>
          <w:rFonts w:hint="eastAsia" w:ascii="宋体" w:hAnsi="宋体" w:eastAsia="宋体" w:cs="宋体"/>
          <w:color w:val="auto"/>
          <w:sz w:val="24"/>
          <w:szCs w:val="24"/>
          <w:highlight w:val="none"/>
          <w:lang w:eastAsia="zh-CN"/>
        </w:rPr>
        <w:t xml:space="preserve">.9.5供应商组成联合体参加投标，联合体中任何一方或多方未按要求签字、盖章、加盖公章的质疑。</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、成交通知书</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29</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成交通知书将是合同的一个组成部分。对采购人和成交供应商均具有法律效力。成交通知书发出后，采购人改变成交结果的，或者成交供应商放弃成交项目的，应当依法承担法律责任。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七、授予合同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 签订合同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.l</w:t>
      </w:r>
      <w:r>
        <w:rPr>
          <w:rFonts w:hint="eastAsia" w:ascii="宋体" w:hAnsi="宋体" w:eastAsia="宋体" w:cs="宋体"/>
          <w:color w:val="auto"/>
          <w:sz w:val="24"/>
          <w:szCs w:val="24"/>
          <w:highlight w:val="none"/>
          <w:lang w:val="en-US" w:eastAsia="zh-CN"/>
        </w:rPr>
        <w:t xml:space="preserve">成交公告发布之日起，5日内双方签订合同</w:t>
      </w:r>
      <w:r>
        <w:rPr>
          <w:rFonts w:hint="eastAsia" w:ascii="宋体" w:hAnsi="宋体" w:eastAsia="宋体" w:cs="宋体"/>
          <w:color w:val="auto"/>
          <w:sz w:val="24"/>
          <w:szCs w:val="24"/>
          <w:highlight w:val="none"/>
          <w:lang w:eastAsia="zh-CN"/>
        </w:rPr>
        <w:t xml:space="preserve">，成交人按照采购文件确定的事项与采购人签订政府采购合同。</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.2采购文件、成交人的报价文件及招标过程中有关澄清、承诺文件均应作为合同附件。</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0</w:t>
      </w:r>
      <w:r>
        <w:rPr>
          <w:rFonts w:hint="eastAsia" w:ascii="宋体" w:hAnsi="宋体" w:eastAsia="宋体" w:cs="宋体"/>
          <w:color w:val="auto"/>
          <w:sz w:val="24"/>
          <w:szCs w:val="24"/>
          <w:highlight w:val="none"/>
          <w:lang w:eastAsia="zh-CN"/>
        </w:rPr>
        <w:t xml:space="preserve">.3 签订合同后，</w:t>
      </w:r>
      <w:r>
        <w:rPr>
          <w:rFonts w:hint="eastAsia" w:ascii="宋体" w:hAnsi="宋体" w:eastAsia="宋体" w:cs="宋体"/>
          <w:i w:val="0"/>
          <w:iCs/>
          <w:color w:val="auto"/>
          <w:sz w:val="24"/>
          <w:szCs w:val="24"/>
          <w:highlight w:val="none"/>
          <w:u w:val="none"/>
          <w:lang w:eastAsia="zh-CN"/>
        </w:rPr>
        <w:t xml:space="preserve">成交人不得将合同标的进行转包</w:t>
      </w:r>
      <w:r>
        <w:rPr>
          <w:rFonts w:hint="eastAsia" w:ascii="宋体" w:hAnsi="宋体" w:eastAsia="宋体" w:cs="宋体"/>
          <w:color w:val="auto"/>
          <w:sz w:val="24"/>
          <w:szCs w:val="24"/>
          <w:highlight w:val="none"/>
          <w:lang w:eastAsia="zh-CN"/>
        </w:rPr>
        <w:t xml:space="preserve">。未经采购人同意，成交人也不得采用分包的形式履行合同，否则采购人有权终止合同。转包或分包造成采购人损失的，成交人应承担相应赔偿责任。</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、货物（包含与货物相关的服务）的追加</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.1政府采购合同履行中，采购人需追加与合同标的相同的货物（包含与货物相关的服务）的，在不改变合同其他条款的前提下，可以与中标人协商签订补充合同，但所有补充合同的采购金额不超过原合同金额10%。</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、政府采购履约资金扶持政策</w:t>
      </w:r>
      <w:r/>
    </w:p>
    <w:p>
      <w:pPr>
        <w:ind w:firstLine="48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成交供应商可凭政府采购合同办理融资贷款，详情请见江苏政府采购网“政采贷”专栏。</w:t>
      </w:r>
      <w:r/>
    </w:p>
    <w:p>
      <w:pPr>
        <w:ind w:firstLine="48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color w:val="auto"/>
          <w:sz w:val="24"/>
          <w:szCs w:val="24"/>
          <w:highlight w:val="none"/>
          <w:lang w:eastAsia="zh-CN"/>
        </w:rPr>
      </w:r>
      <w:r/>
    </w:p>
    <w:p>
      <w:pPr>
        <w:ind w:firstLine="482"/>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p>
    <w:p>
      <w:pPr>
        <w:ind w:firstLine="482"/>
        <w:jc w:val="both"/>
        <w:pageBreakBefore w:val="0"/>
        <w:spacing w:after="0"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t xml:space="preserve"> </w:t>
      </w:r>
      <w:r/>
    </w:p>
    <w:p>
      <w:pPr>
        <w:ind w:firstLine="482"/>
        <w:jc w:val="both"/>
        <w:pageBreakBefore w:val="0"/>
        <w:spacing w:after="0" w:line="360" w:lineRule="auto"/>
        <w:rPr>
          <w:rFonts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highlight w:val="none"/>
          <w:lang w:eastAsia="zh-CN"/>
        </w:rPr>
      </w:r>
      <w:r/>
    </w:p>
    <w:p>
      <w:pPr>
        <w:ind w:firstLine="482"/>
        <w:jc w:val="both"/>
        <w:pageBreakBefore w:val="0"/>
        <w:spacing w:after="0" w:line="360" w:lineRule="auto"/>
        <w:rPr>
          <w:rFonts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r>
      <w:r/>
    </w:p>
    <w:p>
      <w:pPr>
        <w:ind w:firstLine="482"/>
        <w:jc w:val="both"/>
        <w:pageBreakBefore w:val="0"/>
        <w:spacing w:after="0" w:line="360" w:lineRule="auto"/>
        <w:rPr>
          <w:rFonts w:ascii="宋体" w:hAnsi="宋体" w:eastAsia="宋体" w:cs="宋体"/>
          <w:b/>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Style w:val="693"/>
        <w:rPr>
          <w:color w:val="auto"/>
          <w:lang w:eastAsia="zh-CN"/>
        </w:rPr>
      </w:pPr>
      <w:r>
        <w:rPr>
          <w:color w:val="auto"/>
          <w:lang w:eastAsia="zh-CN"/>
        </w:rPr>
      </w:r>
      <w:r/>
    </w:p>
    <w:p>
      <w:pPr>
        <w:pageBreakBefore w:val="0"/>
        <w:spacing w:after="0" w:line="360" w:lineRule="auto"/>
        <w:rPr>
          <w:color w:val="auto"/>
          <w:highlight w:val="none"/>
          <w:lang w:eastAsia="zh-CN"/>
        </w:rPr>
      </w:pPr>
      <w:r>
        <w:rPr>
          <w:color w:val="auto"/>
          <w:highlight w:val="none"/>
          <w:lang w:eastAsia="zh-CN"/>
        </w:rPr>
      </w:r>
      <w:r/>
    </w:p>
    <w:p>
      <w:pPr>
        <w:pStyle w:val="678"/>
        <w:jc w:val="center"/>
        <w:pageBreakBefore w:val="0"/>
        <w:spacing w:before="0" w:after="0" w:line="360" w:lineRule="auto"/>
        <w:rPr>
          <w:rFonts w:hint="eastAsia" w:ascii="宋体" w:hAnsi="宋体" w:eastAsia="黑体" w:cs="宋体"/>
          <w:b/>
          <w:bCs/>
          <w:color w:val="auto"/>
          <w:spacing w:val="-20"/>
          <w:sz w:val="48"/>
          <w:szCs w:val="48"/>
          <w:highlight w:val="none"/>
          <w:lang w:val="en-US" w:eastAsia="zh-CN"/>
        </w:rPr>
      </w:pPr>
      <w:r/>
      <w:bookmarkStart w:id="16" w:name="_Toc165205709"/>
      <w:r/>
      <w:bookmarkStart w:id="17" w:name="_Toc7722"/>
      <w:r>
        <w:rPr>
          <w:rFonts w:hint="eastAsia" w:ascii="黑体" w:hAnsi="黑体" w:eastAsia="黑体"/>
          <w:b w:val="0"/>
          <w:color w:val="auto"/>
          <w:highlight w:val="none"/>
        </w:rPr>
        <w:t xml:space="preserve">第三章  合同文本</w:t>
      </w:r>
      <w:bookmarkEnd w:id="16"/>
      <w:r/>
      <w:bookmarkStart w:id="18" w:name="_Toc3995"/>
      <w:r/>
      <w:bookmarkEnd w:id="18"/>
      <w:r/>
    </w:p>
    <w:p>
      <w:pPr>
        <w:jc w:val="center"/>
        <w:keepLines w:val="0"/>
        <w:keepNext w:val="0"/>
        <w:pageBreakBefore w:val="0"/>
        <w:spacing w:after="0" w:line="360" w:lineRule="auto"/>
        <w:widowControl w:val="off"/>
        <w:rPr>
          <w:rFonts w:hint="eastAsia" w:ascii="宋体" w:hAnsi="宋体" w:eastAsia="宋体" w:cs="宋体"/>
          <w:b/>
          <w:color w:val="auto"/>
          <w:sz w:val="30"/>
          <w:szCs w:val="21"/>
          <w:highlight w:val="none"/>
        </w:rPr>
        <w:outlineLvl w:val="9"/>
      </w:pPr>
      <w:r/>
      <w:bookmarkStart w:id="19" w:name="_Toc20823315"/>
      <w:r/>
      <w:bookmarkStart w:id="20" w:name="_Toc513029243"/>
      <w:r/>
      <w:bookmarkStart w:id="21" w:name="_Toc16938559"/>
      <w:r>
        <w:rPr>
          <w:rFonts w:hint="eastAsia" w:ascii="宋体" w:hAnsi="宋体" w:eastAsia="宋体" w:cs="宋体"/>
          <w:b/>
          <w:color w:val="auto"/>
          <w:sz w:val="30"/>
          <w:szCs w:val="21"/>
          <w:highlight w:val="none"/>
        </w:rPr>
        <w:t xml:space="preserve">政府采购合同</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项目编号：</w:t>
      </w:r>
      <w:r>
        <w:rPr>
          <w:rFonts w:hint="eastAsia" w:ascii="宋体" w:hAnsi="宋体" w:eastAsia="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 xml:space="preserve">项目</w:t>
      </w:r>
      <w:r>
        <w:rPr>
          <w:rFonts w:hint="eastAsia" w:ascii="宋体" w:hAnsi="宋体" w:eastAsia="宋体" w:cs="宋体"/>
          <w:color w:val="auto"/>
          <w:sz w:val="24"/>
          <w:szCs w:val="24"/>
          <w:highlight w:val="none"/>
          <w:lang w:val="en-US" w:eastAsia="zh-CN"/>
        </w:rPr>
        <w:t xml:space="preserve">名称</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cs="宋体"/>
          <w:color w:val="auto"/>
          <w:sz w:val="24"/>
          <w:szCs w:val="24"/>
          <w:highlight w:val="none"/>
          <w:u w:val="single"/>
          <w:lang w:val="en-US" w:eastAsia="zh-CN"/>
        </w:rPr>
      </w:pPr>
      <w:r>
        <w:rPr>
          <w:rFonts w:hint="eastAsia" w:ascii="宋体" w:hAnsi="宋体" w:eastAsia="宋体" w:cs="宋体"/>
          <w:color w:val="auto"/>
          <w:sz w:val="24"/>
          <w:szCs w:val="24"/>
          <w:highlight w:val="none"/>
        </w:rPr>
        <w:t xml:space="preserve">甲方：（买方）</w:t>
      </w:r>
      <w:r>
        <w:rPr>
          <w:rFonts w:hint="eastAsia" w:ascii="宋体" w:hAnsi="宋体" w:eastAsia="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p>
    <w:p>
      <w:pPr>
        <w:keepLines w:val="0"/>
        <w:keepNext w:val="0"/>
        <w:pageBreakBefore w:val="0"/>
        <w:spacing w:after="0" w:line="360" w:lineRule="auto"/>
        <w:widowControl w:val="off"/>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rPr>
        <w:t xml:space="preserve">乙方：（卖方）</w:t>
      </w:r>
      <w:r>
        <w:rPr>
          <w:rFonts w:hint="eastAsia" w:ascii="宋体" w:hAnsi="宋体" w:cs="宋体"/>
          <w:color w:val="auto"/>
          <w:sz w:val="24"/>
          <w:szCs w:val="24"/>
          <w:highlight w:val="non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r>
        <w:rPr>
          <w:rFonts w:hint="eastAsia" w:ascii="宋体" w:hAnsi="宋体" w:cs="宋体"/>
          <w:color w:val="auto"/>
          <w:sz w:val="24"/>
          <w:szCs w:val="24"/>
          <w:highlight w:val="none"/>
          <w:u w:val="none"/>
          <w:lang w:val="en-US" w:eastAsia="zh-CN"/>
        </w:rPr>
        <w:t xml:space="preserve">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   </w:t>
      </w:r>
      <w:r>
        <w:rPr>
          <w:rFonts w:hint="eastAsia" w:ascii="宋体" w:hAnsi="宋体" w:eastAsia="宋体" w:cs="宋体"/>
          <w:color w:val="auto"/>
          <w:sz w:val="24"/>
          <w:szCs w:val="24"/>
          <w:highlight w:val="none"/>
        </w:rPr>
        <w:t xml:space="preserve">甲、乙双方根据</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的结果，签署本合同。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一、合同内容</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highlight w:val="none"/>
        </w:rPr>
        <w:t xml:space="preserve">1.1 标的名称：</w:t>
      </w:r>
      <w:r>
        <w:rPr>
          <w:rFonts w:hint="eastAsia" w:ascii="宋体" w:hAnsi="宋体" w:eastAsia="宋体" w:cs="宋体"/>
          <w:color w:val="auto"/>
          <w:sz w:val="24"/>
          <w:szCs w:val="24"/>
          <w:lang w:val="en-US" w:eastAsia="zh-CN" w:bidi="ar"/>
        </w:rPr>
        <w:t xml:space="preserve"> </w:t>
      </w:r>
      <w:r/>
    </w:p>
    <w:p>
      <w:pPr>
        <w:keepLines w:val="0"/>
        <w:keepNext w:val="0"/>
        <w:pageBreakBefore w:val="0"/>
        <w:spacing w:after="0" w:line="360" w:lineRule="auto"/>
        <w:widowControl w:val="off"/>
        <w:rPr>
          <w:rFonts w:hint="eastAsia"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1.2 标的质量：</w:t>
      </w:r>
      <w:r/>
    </w:p>
    <w:p>
      <w:pPr>
        <w:keepLines w:val="0"/>
        <w:keepNext w:val="0"/>
        <w:pageBreakBefore w:val="0"/>
        <w:spacing w:after="0" w:line="360" w:lineRule="auto"/>
        <w:widowControl w:val="off"/>
        <w:rPr>
          <w:rFonts w:hint="default" w:ascii="宋体" w:hAnsi="宋体" w:cs="宋体"/>
          <w:color w:val="auto"/>
          <w:sz w:val="24"/>
          <w:szCs w:val="24"/>
          <w:lang w:val="en-US" w:eastAsia="zh-CN" w:bidi="ar"/>
        </w:rPr>
      </w:pPr>
      <w:r>
        <w:rPr>
          <w:rFonts w:hint="eastAsia" w:ascii="宋体" w:hAnsi="宋体" w:cs="宋体"/>
          <w:color w:val="auto"/>
          <w:sz w:val="24"/>
          <w:szCs w:val="24"/>
          <w:lang w:val="en-US" w:eastAsia="zh-CN" w:bidi="ar"/>
        </w:rPr>
        <w:t xml:space="preserve">1.3 标的数量（规模）：</w:t>
      </w:r>
      <w:r/>
    </w:p>
    <w:p>
      <w:pPr>
        <w:keepLines w:val="0"/>
        <w:keepNext w:val="0"/>
        <w:pageBreakBefore w:val="0"/>
        <w:spacing w:after="0" w:line="360" w:lineRule="auto"/>
        <w:widowControl w:val="off"/>
        <w:rPr>
          <w:rFonts w:hint="eastAsia" w:ascii="宋体" w:hAnsi="宋体" w:eastAsia="宋体" w:cs="宋体"/>
          <w:color w:val="auto"/>
          <w:sz w:val="24"/>
          <w:szCs w:val="24"/>
          <w:lang w:val="en-US" w:eastAsia="zh-CN" w:bidi="ar"/>
        </w:rPr>
      </w:pPr>
      <w:r>
        <w:rPr>
          <w:rFonts w:hint="eastAsia" w:ascii="宋体" w:hAnsi="宋体" w:cs="宋体"/>
          <w:color w:val="auto"/>
          <w:sz w:val="24"/>
          <w:szCs w:val="24"/>
          <w:lang w:val="en-US" w:eastAsia="zh-CN" w:bidi="ar"/>
        </w:rPr>
        <w:t xml:space="preserve">1.4 履行时间（期限）：</w:t>
      </w:r>
      <w:r/>
    </w:p>
    <w:p>
      <w:pPr>
        <w:numPr>
          <w:ilvl w:val="0"/>
          <w:numId w:val="0"/>
        </w:numPr>
        <w:jc w:val="both"/>
        <w:pageBreakBefore w:val="0"/>
        <w:spacing w:after="0" w:line="360" w:lineRule="auto"/>
        <w:rPr>
          <w:rFonts w:hint="default" w:ascii="宋体" w:hAnsi="宋体" w:eastAsia="宋体" w:cs="宋体"/>
          <w:color w:val="auto"/>
          <w:sz w:val="24"/>
          <w:szCs w:val="24"/>
          <w:highlight w:val="none"/>
          <w:lang w:val="en-US"/>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rPr>
        <w:t xml:space="preserve">1.5 履行地点：</w:t>
      </w:r>
      <w:r>
        <w:rPr>
          <w:rFonts w:hint="eastAsia" w:ascii="宋体" w:hAnsi="宋体" w:eastAsia="宋体" w:cs="宋体"/>
          <w:b w:val="0"/>
          <w:bCs w:val="0"/>
          <w:color w:val="auto"/>
          <w:sz w:val="24"/>
          <w:szCs w:val="24"/>
          <w:highlight w:val="none"/>
          <w:lang w:val="en-US" w:eastAsia="zh-CN"/>
        </w:rPr>
        <w:t xml:space="preserve">灌云县圩丰镇、下车及同兴镇、南岗镇、杨集镇。</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1.6 履行方式：</w:t>
      </w:r>
      <w:r/>
    </w:p>
    <w:p>
      <w:pPr>
        <w:keepLines w:val="0"/>
        <w:keepNext w:val="0"/>
        <w:pageBreakBefore w:val="0"/>
        <w:spacing w:after="0" w:line="360" w:lineRule="auto"/>
        <w:widowControl w:val="off"/>
        <w:rPr>
          <w:rFonts w:hint="default"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1.7 包装</w:t>
      </w:r>
      <w:r>
        <w:rPr>
          <w:rFonts w:hint="eastAsia" w:ascii="宋体" w:hAnsi="宋体" w:cs="宋体"/>
          <w:color w:val="auto"/>
          <w:sz w:val="24"/>
          <w:szCs w:val="24"/>
          <w:highlight w:val="none"/>
          <w:lang w:val="en-US" w:eastAsia="zh-CN"/>
        </w:rPr>
        <w:t xml:space="preserve">规格</w:t>
      </w:r>
      <w:r>
        <w:rPr>
          <w:rFonts w:hint="eastAsia" w:ascii="宋体" w:hAnsi="宋体" w:eastAsia="宋体" w:cs="宋体"/>
          <w:color w:val="auto"/>
          <w:sz w:val="24"/>
          <w:szCs w:val="24"/>
          <w:highlight w:val="none"/>
        </w:rPr>
        <w:t xml:space="preserve">：</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二、合同金额</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2.1 本合同金额为（大写）：</w:t>
      </w:r>
      <w:r>
        <w:rPr>
          <w:rFonts w:hint="eastAsia" w:ascii="宋体" w:hAnsi="宋体" w:cs="宋体"/>
          <w:color w:val="auto"/>
          <w:sz w:val="24"/>
          <w:szCs w:val="24"/>
          <w:highlight w:val="none"/>
          <w:u w:val="single"/>
          <w:lang w:val="en-US" w:eastAsia="zh-CN"/>
        </w:rPr>
        <w:t xml:space="preserve">     </w:t>
      </w:r>
      <w:r>
        <w:rPr>
          <w:rFonts w:hint="eastAsia" w:ascii="宋体" w:hAnsi="宋体" w:cs="宋体"/>
          <w:color w:val="auto"/>
          <w:sz w:val="24"/>
          <w:szCs w:val="24"/>
          <w:highlight w:val="none"/>
          <w:lang w:val="en-US" w:eastAsia="zh-CN"/>
        </w:rPr>
        <w:t xml:space="preserve">元</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元</w:t>
      </w:r>
      <w:r>
        <w:rPr>
          <w:rFonts w:hint="eastAsia" w:ascii="宋体" w:hAnsi="宋体" w:eastAsia="宋体" w:cs="宋体"/>
          <w:color w:val="auto"/>
          <w:sz w:val="24"/>
          <w:szCs w:val="24"/>
          <w:highlight w:val="none"/>
        </w:rPr>
        <w:t xml:space="preserve">）人民币。</w:t>
      </w:r>
      <w:r/>
    </w:p>
    <w:tbl>
      <w:tblPr>
        <w:tblStyle w:val="688"/>
        <w:tblpPr w:horzAnchor="page" w:tblpX="1629" w:vertAnchor="text" w:tblpY="273" w:leftFromText="180" w:topFromText="0" w:rightFromText="180" w:bottomFromText="0"/>
        <w:tblW w:w="886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409"/>
        <w:gridCol w:w="1264"/>
        <w:gridCol w:w="1232"/>
        <w:gridCol w:w="1376"/>
        <w:gridCol w:w="1408"/>
        <w:gridCol w:w="2177"/>
      </w:tblGrid>
      <w:tr>
        <w:trPr>
          <w:jc w:val="center"/>
          <w:trHeight w:val="1139"/>
        </w:trPr>
        <w:tc>
          <w:tcPr>
            <w:tcBorders>
              <w:bottom w:val="single" w:color="auto" w:sz="4" w:space="0"/>
            </w:tcBorders>
            <w:tcW w:w="1409"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1264"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1232"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376"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w:t>
            </w:r>
            <w:r/>
          </w:p>
        </w:tc>
        <w:tc>
          <w:tcPr>
            <w:tcW w:w="1408"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2177"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tc>
      </w:tr>
      <w:tr>
        <w:trPr>
          <w:jc w:val="center"/>
          <w:trHeight w:val="814" w:hRule="exact"/>
        </w:trPr>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Borders>
              <w:left w:val="single" w:color="auto" w:sz="4" w:space="0"/>
            </w:tcBorders>
            <w:tcW w:w="1264" w:type="dxa"/>
            <w:vAlign w:val="center"/>
            <w:textDirection w:val="lrTb"/>
            <w:noWrap w:val="false"/>
          </w:tcPr>
          <w:p>
            <w:pPr>
              <w:jc w:val="cente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r>
            <w:r/>
          </w:p>
        </w:tc>
        <w:tc>
          <w:tcPr>
            <w:tcBorders>
              <w:left w:val="single" w:color="auto" w:sz="4" w:space="0"/>
            </w:tcBorders>
            <w:tcW w:w="1232"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376"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1408"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c>
          <w:tcPr>
            <w:tcW w:w="2177" w:type="dxa"/>
            <w:vAlign w:val="center"/>
            <w:textDirection w:val="lrTb"/>
            <w:noWrap w:val="false"/>
          </w:tcPr>
          <w:p>
            <w:pPr>
              <w:jc w:val="center"/>
              <w:keepLines w:val="0"/>
              <w:keepNext w:val="0"/>
              <w:pageBreakBefore w:val="0"/>
              <w:spacing w:after="0" w:line="360" w:lineRule="auto"/>
              <w:widowControl w:val="off"/>
              <w:rPr>
                <w:rFonts w:hint="default" w:ascii="宋体" w:hAnsi="宋体" w:cs="宋体"/>
                <w:color w:val="auto"/>
                <w:sz w:val="24"/>
                <w:szCs w:val="24"/>
                <w:highlight w:val="none"/>
                <w:lang w:val="en-US" w:eastAsia="zh-CN"/>
              </w:rPr>
            </w:pPr>
            <w:r>
              <w:rPr>
                <w:rFonts w:hint="default" w:ascii="宋体" w:hAnsi="宋体" w:cs="宋体"/>
                <w:color w:val="auto"/>
                <w:sz w:val="24"/>
                <w:szCs w:val="24"/>
                <w:highlight w:val="none"/>
                <w:lang w:val="en-US" w:eastAsia="zh-CN"/>
              </w:rPr>
            </w:r>
            <w:r/>
          </w:p>
        </w:tc>
      </w:tr>
    </w:tbl>
    <w:p>
      <w:pPr>
        <w:ind w:left="0" w:right="0" w:firstLine="482"/>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24"/>
          <w:szCs w:val="24"/>
        </w:rPr>
        <w:t xml:space="preserve">注：本项目采用单价报价方式</w:t>
      </w:r>
      <w:r/>
    </w:p>
    <w:p>
      <w:pPr>
        <w:numPr>
          <w:ilvl w:val="0"/>
          <w:numId w:val="0"/>
        </w:numPr>
        <w:ind w:firstLine="480"/>
        <w:jc w:val="both"/>
        <w:pageBreakBefore w:val="0"/>
        <w:spacing w:after="0" w:line="360" w:lineRule="auto"/>
        <w:rPr>
          <w:rFonts w:hint="eastAsia" w:ascii="宋体" w:hAnsi="宋体" w:eastAsia="宋体" w:cs="宋体"/>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val="0"/>
          <w:bCs/>
          <w:color w:val="auto"/>
          <w:sz w:val="24"/>
          <w:szCs w:val="24"/>
          <w:highlight w:val="none"/>
          <w:lang w:val="en-US" w:eastAsia="zh-CN"/>
        </w:rPr>
        <w:t xml:space="preserve">单</w:t>
      </w:r>
      <w:r>
        <w:rPr>
          <w:rFonts w:hint="eastAsia" w:ascii="宋体" w:hAnsi="宋体" w:eastAsia="宋体" w:cs="宋体"/>
          <w:b w:val="0"/>
          <w:bCs/>
          <w:color w:val="auto"/>
          <w:sz w:val="24"/>
          <w:szCs w:val="24"/>
          <w:highlight w:val="none"/>
          <w:lang w:val="en-US" w:eastAsia="zh-CN"/>
        </w:rPr>
        <w:t xml:space="preserve">价包含但不限于产品价格、供货、运输（含装卸）、验收、售后服务及招标代理费等其它相关服务。供应方负责产品的上下力资、分发、技术服务、质量检验、第三方核查等伴随服务，并考虑应承担的风险。</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三、技术资料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3.1乙方应按</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文件规定的时间向甲方提供与合同标的有关的技术资料。</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412" w:hanging="412"/>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四、</w:t>
      </w:r>
      <w:r>
        <w:rPr>
          <w:rFonts w:ascii="宋体" w:hAnsi="宋体" w:eastAsia="宋体" w:cs="宋体"/>
          <w:b/>
          <w:color w:val="auto"/>
          <w:sz w:val="24"/>
          <w:szCs w:val="24"/>
        </w:rPr>
        <w:t xml:space="preserve">权利保证 </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4.1乙方应保证甲方在使用、接受本合同标的或其任何一部分时不受第三方提出侵犯其专利权、版权、商标权和工业设计权等知识产权的起诉。一旦出现侵权，由乙方负全部责任。</w:t>
      </w:r>
      <w:r/>
    </w:p>
    <w:p>
      <w:pPr>
        <w:ind w:left="0" w:firstLine="0"/>
        <w:pageBreakBefore w:val="0"/>
        <w:spacing w:before="0" w:after="0" w:line="360" w:lineRule="auto"/>
        <w:rPr>
          <w:rFonts w:hint="default" w:ascii="仿宋_GB2312" w:hAnsi="Times New Roman" w:eastAsia="宋体" w:cs="Times New Roman"/>
          <w:color w:val="auto"/>
          <w:sz w:val="24"/>
          <w:szCs w:val="24"/>
          <w:lang w:val="en-US" w:eastAsia="zh-CN" w:bidi="ar-SA"/>
        </w:rPr>
      </w:pPr>
      <w:r>
        <w:rPr>
          <w:rFonts w:hint="eastAsia" w:ascii="宋体" w:hAnsi="宋体" w:eastAsia="宋体" w:cs="宋体"/>
          <w:color w:val="auto"/>
          <w:sz w:val="24"/>
          <w:szCs w:val="24"/>
          <w:highlight w:val="none"/>
          <w:lang w:val="en-US" w:eastAsia="zh-CN" w:bidi="ar-SA"/>
        </w:rPr>
        <w:t xml:space="preserve">4.2</w:t>
      </w:r>
      <w:r>
        <w:rPr>
          <w:rFonts w:hint="eastAsia" w:ascii="宋体" w:hAnsi="宋体" w:eastAsia="宋体" w:cs="宋体"/>
          <w:color w:val="auto"/>
          <w:sz w:val="24"/>
          <w:szCs w:val="24"/>
          <w:highlight w:val="none"/>
          <w:lang w:val="en-US" w:eastAsia="en-US" w:bidi="ar-SA"/>
        </w:rPr>
        <w:t xml:space="preserve">乙方保证所交付的合同标的的所有权完全属于乙方且无任何抵押、查封等产权瑕疵。</w:t>
      </w:r>
      <w:r/>
    </w:p>
    <w:p>
      <w:pPr>
        <w:ind w:right="0"/>
        <w:pageBreakBefore w:val="0"/>
        <w:spacing w:after="0" w:line="360" w:lineRule="auto"/>
        <w:rPr>
          <w:rFonts w:hint="eastAsia" w:ascii="宋体" w:hAnsi="宋体" w:cs="宋体"/>
          <w:b/>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szCs w:val="24"/>
          <w:highlight w:val="none"/>
          <w:lang w:val="en-US" w:eastAsia="zh-CN"/>
        </w:rPr>
        <w:t xml:space="preserve">五、质量保证</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1、乙方须确保有效成份、含量、重量、产品性能</w:t>
      </w:r>
      <w:r>
        <w:rPr>
          <w:rFonts w:hint="eastAsia" w:ascii="宋体" w:hAnsi="宋体" w:cs="宋体"/>
          <w:color w:val="auto"/>
          <w:sz w:val="24"/>
          <w:szCs w:val="24"/>
          <w:lang w:val="en-US" w:eastAsia="zh-CN"/>
        </w:rPr>
        <w:t xml:space="preserve">等</w:t>
      </w:r>
      <w:r>
        <w:rPr>
          <w:rFonts w:ascii="宋体" w:hAnsi="宋体" w:eastAsia="宋体" w:cs="宋体"/>
          <w:color w:val="auto"/>
          <w:sz w:val="24"/>
          <w:szCs w:val="24"/>
        </w:rPr>
        <w:t xml:space="preserve">均符合产品性能及采购要求。甲方使用或者抽检过程中发现产品有效性不满足产品性能及采购要求的，甲方有权取消与其继续履行合同，由此造成的损失由乙方负责。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2、乙方所提供的货物的技术规格参数指标应等于或高于采购文件规定的技术规格参数指标；若技术性能无特殊说明，则按国家有关部门最新颁布的标准及规范为准；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3、乙方应保证货物是全新、未使用过的原装合格正品，并完全符合合同规定的质量、规格和性能的要求。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4、乙方应保证其提供的货物在正常使用条件下，在其使用寿命内具有良好的性能。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5、货物验收后，乙方应对由于设计、工艺或材料的缺陷所发生的任何不足负责，所需费用由乙方承担。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6、如因产品质量受到有关部门处罚或造成各项损失，由乙方承担全部经济和法律责任，同时甲方将不予支付产品货款。 </w:t>
      </w:r>
      <w:r/>
    </w:p>
    <w:p>
      <w:pPr>
        <w:ind w:left="0" w:right="0" w:firstLine="480"/>
        <w:pageBreakBefore w:val="0"/>
        <w:spacing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rPr>
        <w:t xml:space="preserve">7、在使用过程中，一旦发现乙方所提供的货物不符合以上约定，乙方无条件接受甲方退货，并按第十二条承担违约责任。 </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六、履约保证金</w:t>
      </w:r>
      <w:r/>
    </w:p>
    <w:p>
      <w:pPr>
        <w:ind w:left="408" w:hanging="408"/>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本项目不收取履约保证金。</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七、合同转包或分包</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7.1乙方不得将合同标的转包给他人履行。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7.2乙方不得将合同标的分包给他人履行。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7.3乙方如有转包或未经甲方同意的分包行为，甲方有权解除合同。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八、合同款项支付</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8.1合同款项的支付方式及进度安排</w:t>
      </w:r>
      <w:r/>
    </w:p>
    <w:p>
      <w:pPr>
        <w:keepLines w:val="0"/>
        <w:keepNext w:val="0"/>
        <w:pageBreakBefore w:val="0"/>
        <w:spacing w:after="0" w:line="360"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8.1.1 支付时间：</w:t>
      </w:r>
      <w:r>
        <w:rPr>
          <w:rFonts w:hint="eastAsia" w:ascii="宋体" w:hAnsi="宋体" w:eastAsia="宋体" w:cs="宋体"/>
          <w:bCs/>
          <w:color w:val="auto"/>
          <w:sz w:val="24"/>
          <w:szCs w:val="24"/>
          <w:highlight w:val="none"/>
          <w:lang w:val="en-US" w:eastAsia="zh-CN"/>
        </w:rPr>
        <w:t xml:space="preserve">合同签订，供货完成且经验收合格后，根据县财政局拨款情况，资金到位后10日内支付（无息）。</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九、税费</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9.1本合同执行中相关的一切税费均由乙方负担。</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十、项目验收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10.1 甲方依法组织履约验收工作。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10.3 对于实际使用人和甲方分离的项目，甲方邀请实际使用人参与验收。</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10.4 如有必要，甲方邀请参加本项目的其他供应商或第三方专业机构及专家参与验收，相关意见将作为验收书的参考资料。</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10.6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十一、货物的包装、发运及运输</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11.2 使用说明书、质量检验证明书、随配附件和工具以及清单一并附于货物内。</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11.3 乙方在货物发运手续办理完毕后24小时内或货到甲方48小时前通知甲方，以准备接货。</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11.4 货物在交付甲方前发生的风险均由乙方负责。</w:t>
      </w:r>
      <w:r/>
    </w:p>
    <w:p>
      <w:pPr>
        <w:ind w:left="480" w:right="26"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11.5 货物在规定的交付期限内由乙方送达甲方指定的地点</w:t>
      </w:r>
      <w:r>
        <w:rPr>
          <w:rFonts w:hint="eastAsia" w:ascii="宋体" w:hAnsi="宋体" w:cs="宋体"/>
          <w:color w:val="auto"/>
          <w:sz w:val="24"/>
          <w:szCs w:val="24"/>
          <w:highlight w:val="none"/>
          <w:lang w:eastAsia="zh-CN"/>
        </w:rPr>
        <w:t xml:space="preserve">并负责卸货完成后，</w:t>
      </w:r>
      <w:r>
        <w:rPr>
          <w:rFonts w:hint="eastAsia" w:ascii="宋体" w:hAnsi="宋体" w:eastAsia="宋体" w:cs="宋体"/>
          <w:color w:val="auto"/>
          <w:sz w:val="24"/>
          <w:szCs w:val="24"/>
          <w:highlight w:val="none"/>
        </w:rPr>
        <w:t xml:space="preserve">视为交付，乙方同时需通知甲方货物已送达。</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二</w:t>
      </w:r>
      <w:r>
        <w:rPr>
          <w:rFonts w:hint="eastAsia" w:ascii="宋体" w:hAnsi="宋体" w:eastAsia="宋体" w:cs="宋体"/>
          <w:b/>
          <w:color w:val="auto"/>
          <w:sz w:val="24"/>
          <w:szCs w:val="24"/>
          <w:highlight w:val="none"/>
        </w:rPr>
        <w:t xml:space="preserve">、违约责任</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甲方无正当理由拒绝接受乙方提供的合同标的的，甲方向乙方偿付拒绝接受合同价款总值</w:t>
      </w:r>
      <w:r>
        <w:rPr>
          <w:rFonts w:hint="eastAsia" w:ascii="宋体" w:hAnsi="宋体" w:cs="宋体"/>
          <w:color w:val="auto"/>
          <w:sz w:val="24"/>
          <w:szCs w:val="24"/>
          <w:highlight w:val="none"/>
          <w:lang w:val="en-US" w:eastAsia="zh-CN"/>
        </w:rPr>
        <w:t xml:space="preserve">千</w:t>
      </w:r>
      <w:r>
        <w:rPr>
          <w:rFonts w:hint="eastAsia" w:ascii="宋体" w:hAnsi="宋体" w:eastAsia="宋体" w:cs="宋体"/>
          <w:color w:val="auto"/>
          <w:sz w:val="24"/>
          <w:szCs w:val="24"/>
          <w:highlight w:val="none"/>
        </w:rPr>
        <w:t xml:space="preserve">分之五的违约金。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甲方无故逾期验收和办理合同款项支付手续的,甲方应按逾期付款总额千分之五每日向乙方支付违约金。</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5%的违约金，如造成甲方损失超过违约金的，超出部分由乙方继续承担赔偿责任。 </w:t>
      </w:r>
      <w:r/>
    </w:p>
    <w:p>
      <w:pPr>
        <w:ind w:left="410" w:hanging="41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乙方交付合同标的的标准不符合合同规定及</w:t>
      </w:r>
      <w:r>
        <w:rPr>
          <w:rFonts w:hint="eastAsia" w:ascii="宋体" w:hAnsi="宋体" w:cs="宋体"/>
          <w:color w:val="auto"/>
          <w:sz w:val="24"/>
          <w:szCs w:val="24"/>
          <w:highlight w:val="none"/>
          <w:lang w:val="en-US" w:eastAsia="zh-CN"/>
        </w:rPr>
        <w:t xml:space="preserve">询价</w:t>
      </w:r>
      <w:r>
        <w:rPr>
          <w:rFonts w:hint="eastAsia" w:ascii="宋体" w:hAnsi="宋体" w:eastAsia="宋体" w:cs="宋体"/>
          <w:color w:val="auto"/>
          <w:sz w:val="24"/>
          <w:szCs w:val="24"/>
          <w:highlight w:val="none"/>
        </w:rPr>
        <w:t xml:space="preserve">文件规定标准的，甲方有权拒绝接受合同标的，并可单方面解除合同。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三</w:t>
      </w:r>
      <w:r>
        <w:rPr>
          <w:rFonts w:hint="eastAsia" w:ascii="宋体" w:hAnsi="宋体" w:eastAsia="宋体" w:cs="宋体"/>
          <w:b/>
          <w:color w:val="auto"/>
          <w:sz w:val="24"/>
          <w:szCs w:val="24"/>
          <w:highlight w:val="none"/>
        </w:rPr>
        <w:t xml:space="preserve">、不可抗力事件处理</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.1 在合同有效期内，任何一方因不可抗力事件导致不能履行合同，则合同履行期可延长，其延长期与不可抗力影响 期相同。</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.2 不可抗力事件发生后，应立即通知对方，并寄送有关权威机构出具的证明。</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.3 不可抗力事件延续120天以上，双方应通过友好协商，确定是否继续履行合同。</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四</w:t>
      </w:r>
      <w:r>
        <w:rPr>
          <w:rFonts w:hint="eastAsia" w:ascii="宋体" w:hAnsi="宋体" w:eastAsia="宋体" w:cs="宋体"/>
          <w:b/>
          <w:color w:val="auto"/>
          <w:sz w:val="24"/>
          <w:szCs w:val="24"/>
          <w:highlight w:val="none"/>
        </w:rPr>
        <w:t xml:space="preserve">、解决争议的方法</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因货物的质量问题发生争议的，可由甲方委托国家认可的第三方鉴定机构对货物质量进行检测鉴定。检测费用先由乙方垫付，货物符合采购文件、合同约定及国家标准的，鉴定费由甲方承担，货物不符合质量标准的，鉴定费由乙方承担。</w:t>
      </w:r>
      <w:r/>
    </w:p>
    <w:p>
      <w:p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14.2因履行本合同引起的或与本合同有关的争议，甲、乙双方应首先通过友好协商解决，如果协商不能解决争议，则采取以下第</w:t>
      </w:r>
      <w:r>
        <w:rPr>
          <w:rFonts w:hint="eastAsia" w:ascii="宋体" w:hAnsi="宋体" w:cs="宋体"/>
          <w:color w:val="auto"/>
          <w:sz w:val="24"/>
          <w:szCs w:val="24"/>
          <w:highlight w:val="none"/>
          <w:u w:val="single"/>
          <w:lang w:val="en-US" w:eastAsia="zh-CN"/>
        </w:rPr>
        <w:t xml:space="preserve">（2）</w:t>
      </w:r>
      <w:r>
        <w:rPr>
          <w:rFonts w:hint="eastAsia" w:ascii="宋体" w:hAnsi="宋体" w:cs="宋体"/>
          <w:color w:val="auto"/>
          <w:sz w:val="24"/>
          <w:szCs w:val="24"/>
          <w:highlight w:val="none"/>
          <w:lang w:val="en-US" w:eastAsia="zh-CN"/>
        </w:rPr>
        <w:t xml:space="preserve">种方式解决争议：</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向甲方所在地有管辖权的人民法院提起诉讼；</w:t>
      </w:r>
      <w:r/>
    </w:p>
    <w:p>
      <w:pPr>
        <w:numPr>
          <w:ilvl w:val="0"/>
          <w:numId w:val="4"/>
        </w:numPr>
        <w:keepLines w:val="0"/>
        <w:keepNext w:val="0"/>
        <w:pageBreakBefore w:val="0"/>
        <w:spacing w:after="0" w:line="360" w:lineRule="auto"/>
        <w:widowControl w:val="off"/>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向合同履行地或被告所在地有管辖权的人民法院提起诉讼。</w:t>
      </w:r>
      <w:r/>
    </w:p>
    <w:p>
      <w:pPr>
        <w:keepLines w:val="0"/>
        <w:keepNext w:val="0"/>
        <w:pageBreakBefore w:val="0"/>
        <w:spacing w:after="0"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 xml:space="preserve">十</w:t>
      </w:r>
      <w:r>
        <w:rPr>
          <w:rFonts w:hint="eastAsia" w:ascii="宋体" w:hAnsi="宋体" w:cs="宋体"/>
          <w:b/>
          <w:color w:val="auto"/>
          <w:sz w:val="24"/>
          <w:szCs w:val="24"/>
          <w:highlight w:val="none"/>
          <w:lang w:val="en-US" w:eastAsia="zh-CN"/>
        </w:rPr>
        <w:t xml:space="preserve">五</w:t>
      </w:r>
      <w:r>
        <w:rPr>
          <w:rFonts w:hint="eastAsia" w:ascii="宋体" w:hAnsi="宋体" w:eastAsia="宋体" w:cs="宋体"/>
          <w:b/>
          <w:color w:val="auto"/>
          <w:sz w:val="24"/>
          <w:szCs w:val="24"/>
          <w:highlight w:val="none"/>
        </w:rPr>
        <w:t xml:space="preserve">、合同生效及其它</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.1 合同经双方法定代表人或授权委托代表人签字并加盖单位公章后生效。</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.2本合同未尽事宜，遵照《民法典》、《政府采购法》有关条文执行。</w:t>
      </w:r>
      <w:r/>
    </w:p>
    <w:p>
      <w:pPr>
        <w:ind w:left="480" w:hanging="48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rPr>
        <w:t xml:space="preserve">.3 本合同正本一式</w:t>
      </w:r>
      <w:r>
        <w:rPr>
          <w:rFonts w:hint="eastAsia" w:ascii="宋体" w:hAnsi="宋体" w:eastAsia="宋体" w:cs="宋体"/>
          <w:color w:val="auto"/>
          <w:sz w:val="24"/>
          <w:szCs w:val="24"/>
          <w:highlight w:val="none"/>
          <w:lang w:eastAsia="zh-CN"/>
        </w:rPr>
        <w:t xml:space="preserve">五</w:t>
      </w:r>
      <w:r>
        <w:rPr>
          <w:rFonts w:hint="eastAsia" w:ascii="宋体" w:hAnsi="宋体" w:eastAsia="宋体" w:cs="宋体"/>
          <w:color w:val="auto"/>
          <w:sz w:val="24"/>
          <w:szCs w:val="24"/>
          <w:highlight w:val="none"/>
        </w:rPr>
        <w:t xml:space="preserve">份，具有同等法律效力，甲方</w:t>
      </w:r>
      <w:r>
        <w:rPr>
          <w:rFonts w:hint="eastAsia" w:ascii="宋体" w:hAnsi="宋体" w:eastAsia="宋体" w:cs="宋体"/>
          <w:color w:val="auto"/>
          <w:sz w:val="24"/>
          <w:szCs w:val="24"/>
          <w:highlight w:val="none"/>
          <w:lang w:eastAsia="zh-CN"/>
        </w:rPr>
        <w:t xml:space="preserve">四份</w:t>
      </w:r>
      <w:r>
        <w:rPr>
          <w:rFonts w:hint="eastAsia" w:ascii="宋体" w:hAnsi="宋体" w:eastAsia="宋体" w:cs="宋体"/>
          <w:color w:val="auto"/>
          <w:sz w:val="24"/>
          <w:szCs w:val="24"/>
          <w:highlight w:val="none"/>
        </w:rPr>
        <w:t xml:space="preserve">、乙方</w:t>
      </w:r>
      <w:r>
        <w:rPr>
          <w:rFonts w:hint="eastAsia" w:ascii="宋体" w:hAnsi="宋体" w:eastAsia="宋体" w:cs="宋体"/>
          <w:color w:val="auto"/>
          <w:sz w:val="24"/>
          <w:szCs w:val="24"/>
          <w:highlight w:val="none"/>
          <w:lang w:eastAsia="zh-CN"/>
        </w:rPr>
        <w:t xml:space="preserve">一</w:t>
      </w:r>
      <w:r>
        <w:rPr>
          <w:rFonts w:hint="eastAsia" w:ascii="宋体" w:hAnsi="宋体" w:eastAsia="宋体" w:cs="宋体"/>
          <w:color w:val="auto"/>
          <w:sz w:val="24"/>
          <w:szCs w:val="24"/>
          <w:highlight w:val="none"/>
        </w:rPr>
        <w:t xml:space="preserve">份。</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甲方：                        乙方：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地址：                        地址： </w:t>
      </w:r>
      <w:r/>
    </w:p>
    <w:p>
      <w:pPr>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法定代表人或授权代表：        法定代表人或授权代表：</w:t>
      </w:r>
      <w:r/>
    </w:p>
    <w:p>
      <w:p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联系电话：                    联系电话：          签订日期：    年  月 日  </w:t>
      </w:r>
      <w:r/>
    </w:p>
    <w:p>
      <w:pPr>
        <w:ind w:firstLine="480"/>
        <w:jc w:val="left"/>
        <w:pageBreakBefore w:val="0"/>
        <w:spacing w:after="0" w:line="360" w:lineRule="auto"/>
        <w:rPr>
          <w:rFonts w:ascii="黑体" w:hAnsi="黑体" w:eastAsia="黑体" w:cs="黑体"/>
          <w:color w:val="auto"/>
          <w:sz w:val="44"/>
          <w:highlight w:val="none"/>
          <w:lang w:eastAsia="zh-CN"/>
        </w:rPr>
      </w:pPr>
      <w:r>
        <w:rPr>
          <w:rFonts w:hint="eastAsia" w:ascii="宋体" w:hAnsi="宋体" w:eastAsia="宋体" w:cs="宋体"/>
          <w:color w:val="auto"/>
          <w:sz w:val="24"/>
          <w:szCs w:val="24"/>
          <w:highlight w:val="none"/>
        </w:rPr>
        <w:t xml:space="preserve">                    </w:t>
      </w:r>
      <w:bookmarkEnd w:id="19"/>
      <w:r/>
      <w:bookmarkEnd w:id="20"/>
      <w:r/>
      <w:bookmarkEnd w:id="21"/>
      <w:r>
        <w:rPr>
          <w:rFonts w:hint="eastAsia" w:ascii="黑体" w:hAnsi="黑体" w:eastAsia="黑体" w:cs="黑体"/>
          <w:color w:val="auto"/>
          <w:sz w:val="44"/>
          <w:highlight w:val="none"/>
          <w:lang w:val="en-US" w:eastAsia="zh-CN"/>
        </w:rPr>
        <w:t xml:space="preserve">第四章 </w:t>
      </w:r>
      <w:r>
        <w:rPr>
          <w:rFonts w:ascii="黑体" w:hAnsi="黑体" w:eastAsia="黑体" w:cs="黑体"/>
          <w:color w:val="auto"/>
          <w:sz w:val="44"/>
          <w:highlight w:val="none"/>
          <w:lang w:eastAsia="zh-CN"/>
        </w:rPr>
        <w:t xml:space="preserve">项目需求</w:t>
      </w:r>
      <w:bookmarkEnd w:id="17"/>
      <w:r/>
      <w:r/>
    </w:p>
    <w:p>
      <w:pPr>
        <w:numPr>
          <w:ilvl w:val="0"/>
          <w:numId w:val="0"/>
        </w:numPr>
        <w:jc w:val="both"/>
        <w:pageBreakBefore w:val="0"/>
        <w:spacing w:after="0" w:line="360" w:lineRule="auto"/>
        <w:rPr>
          <w:rFonts w:ascii="黑体" w:hAnsi="黑体" w:eastAsia="黑体" w:cs="黑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24"/>
          <w:szCs w:val="24"/>
          <w:highlight w:val="none"/>
          <w:lang w:eastAsia="zh-CN"/>
        </w:rPr>
      </w:r>
      <w:r/>
    </w:p>
    <w:p>
      <w:pPr>
        <w:ind w:firstLine="480"/>
        <w:jc w:val="both"/>
        <w:keepLines w:val="0"/>
        <w:keepNext w:val="0"/>
        <w:pageBreakBefore w:val="0"/>
        <w:spacing w:after="0" w:line="360" w:lineRule="auto"/>
        <w:widowControl/>
        <w:rPr>
          <w:rFonts w:hint="eastAsia" w:ascii="宋体" w:hAnsi="宋体" w:eastAsia="宋体" w:cs="宋体"/>
          <w:b/>
          <w:color w:val="auto"/>
          <w:sz w:val="24"/>
          <w:szCs w:val="24"/>
          <w:highlight w:val="none"/>
          <w:lang w:val="en-US" w:eastAsia="zh-CN"/>
        </w:rPr>
      </w:pPr>
      <w:r>
        <w:rPr>
          <w:rFonts w:hint="eastAsia" w:ascii="宋体" w:hAnsi="宋体" w:eastAsia="宋体" w:cs="宋体"/>
          <w:b w:val="0"/>
          <w:bCs/>
          <w:color w:val="auto"/>
          <w:sz w:val="24"/>
          <w:szCs w:val="24"/>
          <w:highlight w:val="none"/>
          <w:lang w:eastAsia="zh-CN"/>
        </w:rPr>
        <w:t xml:space="preserve">说明：本项目属性为货物，采购标的对应的中小企业划分标准所属行业为</w:t>
      </w:r>
      <w:r>
        <w:rPr>
          <w:rFonts w:hint="eastAsia" w:ascii="宋体" w:hAnsi="宋体" w:eastAsia="宋体" w:cs="宋体"/>
          <w:b/>
          <w:color w:val="auto"/>
          <w:sz w:val="24"/>
          <w:szCs w:val="24"/>
          <w:highlight w:val="none"/>
          <w:u w:val="single"/>
          <w:lang w:val="en-US" w:eastAsia="zh-CN"/>
        </w:rPr>
        <w:t xml:space="preserve">工业</w:t>
      </w:r>
      <w:r>
        <w:rPr>
          <w:rFonts w:hint="eastAsia" w:ascii="宋体" w:hAnsi="宋体" w:eastAsia="宋体" w:cs="宋体"/>
          <w:b/>
          <w:color w:val="auto"/>
          <w:sz w:val="24"/>
          <w:szCs w:val="24"/>
          <w:highlight w:val="none"/>
          <w:u w:val="none"/>
          <w:lang w:val="en-US" w:eastAsia="zh-CN"/>
        </w:rPr>
        <w:t xml:space="preserve">。</w:t>
      </w:r>
      <w:r>
        <w:rPr>
          <w:rFonts w:hint="eastAsia" w:ascii="宋体" w:hAnsi="宋体" w:eastAsia="宋体" w:cs="宋体"/>
          <w:color w:val="auto"/>
          <w:sz w:val="24"/>
          <w:szCs w:val="24"/>
        </w:rPr>
        <w:t xml:space="preserve">本项目</w:t>
      </w:r>
      <w:r>
        <w:rPr>
          <w:rFonts w:hint="eastAsia" w:ascii="宋体" w:hAnsi="宋体" w:eastAsia="宋体" w:cs="宋体"/>
          <w:color w:val="auto"/>
          <w:sz w:val="24"/>
          <w:szCs w:val="24"/>
          <w:u w:val="single"/>
        </w:rPr>
        <w:t xml:space="preserve"> </w:t>
      </w:r>
      <w:r>
        <w:rPr>
          <w:rFonts w:hint="eastAsia" w:ascii="宋体" w:hAnsi="宋体" w:eastAsia="宋体" w:cs="宋体"/>
          <w:b/>
          <w:bCs/>
          <w:color w:val="auto"/>
          <w:sz w:val="24"/>
          <w:szCs w:val="24"/>
          <w:u w:val="single"/>
        </w:rPr>
        <w:t xml:space="preserve">不接受</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 xml:space="preserve">进口产品投标。</w:t>
      </w:r>
      <w:r/>
    </w:p>
    <w:p>
      <w:pPr>
        <w:ind w:firstLine="480"/>
        <w:jc w:val="both"/>
        <w:keepLines w:val="0"/>
        <w:keepNext w:val="0"/>
        <w:pageBreakBefore w:val="0"/>
        <w:spacing w:after="0" w:line="360" w:lineRule="auto"/>
        <w:widowControl/>
        <w:rPr>
          <w:rFonts w:hint="eastAsia" w:ascii="宋体" w:hAnsi="宋体" w:eastAsia="宋体" w:cs="宋体"/>
          <w:b w:val="0"/>
          <w:bCs/>
          <w:color w:val="auto"/>
          <w:sz w:val="24"/>
          <w:szCs w:val="24"/>
          <w:highlight w:val="none"/>
          <w:lang w:eastAsia="zh-CN"/>
        </w:rPr>
      </w:pPr>
      <w:r>
        <w:rPr>
          <w:rFonts w:hint="eastAsia" w:ascii="宋体" w:hAnsi="宋体" w:eastAsia="宋体" w:cs="宋体"/>
          <w:b w:val="0"/>
          <w:bCs/>
          <w:color w:val="auto"/>
          <w:sz w:val="24"/>
          <w:szCs w:val="24"/>
          <w:highlight w:val="none"/>
          <w:lang w:eastAsia="zh-CN"/>
        </w:rPr>
        <w:t xml:space="preserve">本项目需求中标注★号的部分为实质性要求和条件，供应商必须作出满足或者优于原要求和条件的响应，否则投标无效。</w:t>
      </w:r>
      <w:r/>
    </w:p>
    <w:p>
      <w:pPr>
        <w:jc w:val="both"/>
        <w:keepLines w:val="0"/>
        <w:keepNext w:val="0"/>
        <w:pageBreakBefore w:val="0"/>
        <w:spacing w:after="0" w:line="360" w:lineRule="auto"/>
        <w:widowControl/>
        <w:rPr>
          <w:rFonts w:hint="eastAsia" w:ascii="宋体" w:hAnsi="宋体" w:eastAsia="宋体" w:cs="宋体"/>
          <w:b/>
          <w:color w:val="auto"/>
          <w:sz w:val="24"/>
          <w:szCs w:val="24"/>
          <w:highlight w:val="none"/>
          <w:lang w:eastAsia="zh-CN"/>
        </w:rPr>
      </w:pPr>
      <w:r>
        <w:rPr>
          <w:rFonts w:hint="eastAsia" w:ascii="宋体" w:hAnsi="宋体" w:eastAsia="宋体" w:cs="宋体"/>
          <w:b/>
          <w:color w:val="auto"/>
          <w:sz w:val="24"/>
          <w:szCs w:val="24"/>
          <w:highlight w:val="none"/>
          <w:lang w:val="en-US" w:eastAsia="zh-CN"/>
        </w:rPr>
        <w:t xml:space="preserve">一、</w:t>
      </w:r>
      <w:r>
        <w:rPr>
          <w:rFonts w:hint="eastAsia" w:ascii="宋体" w:hAnsi="宋体" w:eastAsia="宋体" w:cs="宋体"/>
          <w:b/>
          <w:color w:val="auto"/>
          <w:sz w:val="24"/>
          <w:szCs w:val="24"/>
          <w:highlight w:val="none"/>
          <w:lang w:eastAsia="zh-CN"/>
        </w:rPr>
        <w:t xml:space="preserve">采购清单</w:t>
      </w:r>
      <w:r/>
    </w:p>
    <w:tbl>
      <w:tblPr>
        <w:tblStyle w:val="688"/>
        <w:tblW w:w="9616" w:type="dxa"/>
        <w:jc w:val="center"/>
        <w:tblBorders>
          <w:top w:val="none" w:color="auto" w:sz="0" w:space="0"/>
          <w:left w:val="none" w:color="auto" w:sz="0" w:space="0"/>
          <w:bottom w:val="none" w:color="auto" w:sz="0" w:space="0"/>
          <w:right w:val="none" w:color="auto" w:sz="0"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33"/>
        <w:gridCol w:w="1250"/>
        <w:gridCol w:w="4283"/>
        <w:gridCol w:w="1275"/>
        <w:gridCol w:w="1975"/>
      </w:tblGrid>
      <w:tr>
        <w:trPr>
          <w:jc w:val="center"/>
          <w:trHeight w:val="442"/>
        </w:trPr>
        <w:tc>
          <w:tcPr>
            <w:tcBorders>
              <w:top w:val="single" w:color="000000" w:sz="4" w:space="0"/>
              <w:left w:val="single" w:color="000000" w:sz="4" w:space="0"/>
              <w:bottom w:val="single" w:color="000000" w:sz="4" w:space="0"/>
              <w:right w:val="single" w:color="000000" w:sz="4" w:space="0"/>
            </w:tcBorders>
            <w:tcW w:w="833"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包号</w:t>
            </w:r>
            <w:r/>
          </w:p>
        </w:tc>
        <w:tc>
          <w:tcPr>
            <w:tcBorders>
              <w:top w:val="single" w:color="000000" w:sz="4" w:space="0"/>
              <w:left w:val="single" w:color="000000" w:sz="4" w:space="0"/>
              <w:bottom w:val="single" w:color="000000" w:sz="4" w:space="0"/>
              <w:right w:val="single" w:color="000000" w:sz="4" w:space="0"/>
            </w:tcBorders>
            <w:tcW w:w="1250"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物品名称</w:t>
            </w:r>
            <w:r/>
          </w:p>
        </w:tc>
        <w:tc>
          <w:tcPr>
            <w:tcBorders>
              <w:top w:val="single" w:color="000000" w:sz="4" w:space="0"/>
              <w:left w:val="single" w:color="000000" w:sz="4" w:space="0"/>
              <w:bottom w:val="single" w:color="000000" w:sz="4" w:space="0"/>
              <w:right w:val="single" w:color="000000" w:sz="4" w:space="0"/>
            </w:tcBorders>
            <w:tcW w:w="4283" w:type="dxa"/>
            <w:vAlign w:val="center"/>
            <w:vMerge w:val="restart"/>
            <w:textDirection w:val="lrTb"/>
            <w:noWrap w:val="false"/>
          </w:tcPr>
          <w:p>
            <w:pPr>
              <w:jc w:val="center"/>
              <w:keepLines w:val="0"/>
              <w:keepNext w:val="0"/>
              <w:pageBreakBefore w:val="0"/>
              <w:spacing w:after="0" w:line="360" w:lineRule="auto"/>
              <w:widowControl/>
              <w:rPr>
                <w:rFonts w:hint="default" w:ascii="宋体" w:hAnsi="宋体" w:eastAsia="宋体" w:cs="宋体"/>
                <w:b/>
                <w:bCs/>
                <w:i w:val="0"/>
                <w:iCs w:val="0"/>
                <w:color w:val="auto"/>
                <w:sz w:val="21"/>
                <w:szCs w:val="21"/>
                <w:u w:val="none"/>
                <w:lang w:val="en-US" w:eastAsia="zh-CN"/>
              </w:rPr>
              <w:suppressLineNumbers w:val="0"/>
            </w:pPr>
            <w:r>
              <w:rPr>
                <w:rFonts w:hint="eastAsia" w:ascii="宋体" w:hAnsi="宋体" w:eastAsia="宋体" w:cs="宋体"/>
                <w:b/>
                <w:bCs/>
                <w:i w:val="0"/>
                <w:iCs w:val="0"/>
                <w:color w:val="auto"/>
                <w:sz w:val="21"/>
                <w:szCs w:val="21"/>
                <w:u w:val="none"/>
                <w:lang w:val="en-US" w:eastAsia="zh-CN" w:bidi="ar"/>
              </w:rPr>
              <w:t xml:space="preserve">技术规格参数</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预算金额</w:t>
            </w:r>
            <w:r/>
          </w:p>
        </w:tc>
        <w:tc>
          <w:tcPr>
            <w:tcBorders>
              <w:top w:val="single" w:color="000000" w:sz="4" w:space="0"/>
              <w:left w:val="single" w:color="000000" w:sz="4" w:space="0"/>
              <w:bottom w:val="single" w:color="000000" w:sz="4" w:space="0"/>
              <w:right w:val="single" w:color="000000" w:sz="4" w:space="0"/>
            </w:tcBorders>
            <w:tcW w:w="1975" w:type="dxa"/>
            <w:vAlign w:val="center"/>
            <w:vMerge w:val="restart"/>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报价不得高于</w:t>
            </w:r>
            <w:r/>
          </w:p>
        </w:tc>
      </w:tr>
      <w:tr>
        <w:trPr>
          <w:jc w:val="center"/>
          <w:trHeight w:val="312"/>
        </w:trPr>
        <w:tc>
          <w:tcPr>
            <w:tcBorders>
              <w:top w:val="single" w:color="000000" w:sz="4" w:space="0"/>
              <w:left w:val="single" w:color="000000" w:sz="4" w:space="0"/>
              <w:bottom w:val="single" w:color="000000" w:sz="4" w:space="0"/>
              <w:right w:val="single" w:color="000000" w:sz="4" w:space="0"/>
            </w:tcBorders>
            <w:tcW w:w="83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auto" w:sz="4" w:space="0"/>
              <w:right w:val="single" w:color="000000" w:sz="4" w:space="0"/>
            </w:tcBorders>
            <w:tcW w:w="1250"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4283"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b/>
                <w:bCs/>
                <w:i w:val="0"/>
                <w:iCs w:val="0"/>
                <w:color w:val="auto"/>
                <w:sz w:val="21"/>
                <w:szCs w:val="21"/>
                <w:u w:val="none"/>
                <w:lang w:eastAsia="zh-CN"/>
              </w:rPr>
              <w:suppressLineNumbers w:val="0"/>
            </w:pPr>
            <w:r>
              <w:rPr>
                <w:rFonts w:hint="eastAsia" w:ascii="宋体" w:hAnsi="宋体" w:eastAsia="宋体" w:cs="宋体"/>
                <w:b/>
                <w:bCs/>
                <w:i w:val="0"/>
                <w:iCs w:val="0"/>
                <w:color w:val="auto"/>
                <w:sz w:val="21"/>
                <w:szCs w:val="21"/>
                <w:u w:val="none"/>
                <w:lang w:val="en-US" w:eastAsia="zh-CN" w:bidi="ar"/>
              </w:rPr>
              <w:t xml:space="preserve">（万元）</w:t>
            </w:r>
            <w:r/>
          </w:p>
        </w:tc>
        <w:tc>
          <w:tcPr>
            <w:tcBorders>
              <w:top w:val="single" w:color="000000" w:sz="4" w:space="0"/>
              <w:left w:val="single" w:color="000000" w:sz="4" w:space="0"/>
              <w:bottom w:val="single" w:color="000000" w:sz="4" w:space="0"/>
              <w:right w:val="single" w:color="000000" w:sz="4" w:space="0"/>
            </w:tcBorders>
            <w:tcW w:w="1975" w:type="dxa"/>
            <w:vAlign w:val="center"/>
            <w:vMerge w:val="continue"/>
            <w:textDirection w:val="lrTb"/>
            <w:noWrap w:val="false"/>
          </w:tcPr>
          <w:p>
            <w:pPr>
              <w:jc w:val="center"/>
              <w:pageBreakBefore w:val="0"/>
              <w:spacing w:after="0" w:line="360" w:lineRule="auto"/>
              <w:widowControl w:val="off"/>
              <w:rPr>
                <w:rFonts w:hint="eastAsia" w:ascii="宋体" w:hAnsi="宋体" w:eastAsia="宋体" w:cs="宋体"/>
                <w:b/>
                <w:bCs/>
                <w:i w:val="0"/>
                <w:iCs w:val="0"/>
                <w:color w:val="auto"/>
                <w:sz w:val="21"/>
                <w:szCs w:val="21"/>
                <w:u w:val="none"/>
                <w:lang w:eastAsia="zh-CN"/>
              </w:rPr>
            </w:pPr>
            <w:r>
              <w:rPr>
                <w:rFonts w:hint="eastAsia" w:ascii="宋体" w:hAnsi="宋体" w:eastAsia="宋体" w:cs="宋体"/>
                <w:b/>
                <w:bCs/>
                <w:i w:val="0"/>
                <w:iCs w:val="0"/>
                <w:color w:val="auto"/>
                <w:sz w:val="21"/>
                <w:szCs w:val="21"/>
                <w:u w:val="none"/>
                <w:lang w:eastAsia="zh-CN"/>
              </w:rPr>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eastAsia="zh-CN"/>
              </w:rPr>
              <w:suppressLineNumbers w:val="0"/>
            </w:pPr>
            <w:r>
              <w:rPr>
                <w:rFonts w:hint="eastAsia" w:ascii="宋体" w:hAnsi="宋体" w:eastAsia="宋体" w:cs="宋体"/>
                <w:i w:val="0"/>
                <w:iCs w:val="0"/>
                <w:color w:val="auto"/>
                <w:sz w:val="18"/>
                <w:szCs w:val="18"/>
                <w:u w:val="none"/>
                <w:lang w:val="en-US" w:eastAsia="zh-CN" w:bidi="ar"/>
              </w:rPr>
              <w:t xml:space="preserve">采购包一</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both"/>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总养分（N+P₂O₅+K₂O）：≥45.0%，单一养分：氮（N）≥15%；五氧化二磷（P₂O₅）≥15%；氧化钾（K₂O）≥15%；具有肥料备案证明；供货规格：50kg/袋。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120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3600元/吨</w:t>
            </w:r>
            <w:r/>
          </w:p>
        </w:tc>
      </w:tr>
      <w:tr>
        <w:trPr>
          <w:jc w:val="center"/>
          <w:trHeight w:val="504"/>
        </w:trPr>
        <w:tc>
          <w:tcPr>
            <w:tcBorders>
              <w:top w:val="single" w:color="000000" w:sz="4" w:space="0"/>
              <w:left w:val="single" w:color="000000" w:sz="4" w:space="0"/>
              <w:bottom w:val="single" w:color="000000" w:sz="4" w:space="0"/>
              <w:right w:val="single" w:color="000000" w:sz="4" w:space="0"/>
            </w:tcBorders>
            <w:tcW w:w="833"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采购包二</w:t>
            </w:r>
            <w:r/>
          </w:p>
        </w:tc>
        <w:tc>
          <w:tcPr>
            <w:tcBorders>
              <w:top w:val="single" w:color="000000" w:sz="4" w:space="0"/>
              <w:left w:val="single" w:color="000000" w:sz="4" w:space="0"/>
              <w:bottom w:val="single" w:color="000000" w:sz="4" w:space="0"/>
              <w:right w:val="single" w:color="000000" w:sz="4" w:space="0"/>
            </w:tcBorders>
            <w:tcW w:w="125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高产试验示范攻关补助</w:t>
            </w:r>
            <w:r/>
          </w:p>
        </w:tc>
        <w:tc>
          <w:tcPr>
            <w:tcBorders>
              <w:top w:val="single" w:color="000000" w:sz="4" w:space="0"/>
              <w:left w:val="single" w:color="000000" w:sz="4" w:space="0"/>
              <w:bottom w:val="single" w:color="000000" w:sz="4" w:space="0"/>
              <w:right w:val="single" w:color="000000" w:sz="4" w:space="0"/>
            </w:tcBorders>
            <w:tcW w:w="4283" w:type="dxa"/>
            <w:vAlign w:val="center"/>
            <w:textDirection w:val="lrTb"/>
            <w:noWrap w:val="false"/>
          </w:tcPr>
          <w:p>
            <w:pPr>
              <w:jc w:val="left"/>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45%复合肥，氮(N)≥20%;五氧化二磷(P</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w:t>
            </w:r>
            <w:r>
              <w:rPr>
                <w:rFonts w:hint="eastAsia" w:ascii="宋体" w:hAnsi="宋体" w:eastAsia="宋体" w:cs="宋体"/>
                <w:i w:val="0"/>
                <w:iCs w:val="0"/>
                <w:color w:val="auto"/>
                <w:sz w:val="18"/>
                <w:szCs w:val="18"/>
                <w:u w:val="none"/>
                <w:vertAlign w:val="subscript"/>
                <w:lang w:val="en-US" w:eastAsia="zh-CN" w:bidi="ar"/>
              </w:rPr>
              <w:t xml:space="preserve">5</w:t>
            </w:r>
            <w:r>
              <w:rPr>
                <w:rFonts w:hint="eastAsia" w:ascii="宋体" w:hAnsi="宋体" w:eastAsia="宋体" w:cs="宋体"/>
                <w:i w:val="0"/>
                <w:iCs w:val="0"/>
                <w:color w:val="auto"/>
                <w:sz w:val="18"/>
                <w:szCs w:val="18"/>
                <w:u w:val="none"/>
                <w:lang w:val="en-US" w:eastAsia="zh-CN" w:bidi="ar"/>
              </w:rPr>
              <w:t xml:space="preserve">)≥15%;氧化钾(K</w:t>
            </w:r>
            <w:r>
              <w:rPr>
                <w:rFonts w:hint="eastAsia" w:ascii="宋体" w:hAnsi="宋体" w:eastAsia="宋体" w:cs="宋体"/>
                <w:i w:val="0"/>
                <w:iCs w:val="0"/>
                <w:color w:val="auto"/>
                <w:sz w:val="18"/>
                <w:szCs w:val="18"/>
                <w:u w:val="none"/>
                <w:vertAlign w:val="subscript"/>
                <w:lang w:val="en-US" w:eastAsia="zh-CN" w:bidi="ar"/>
              </w:rPr>
              <w:t xml:space="preserve">2 </w:t>
            </w:r>
            <w:r>
              <w:rPr>
                <w:rFonts w:hint="eastAsia" w:ascii="宋体" w:hAnsi="宋体" w:eastAsia="宋体" w:cs="宋体"/>
                <w:i w:val="0"/>
                <w:iCs w:val="0"/>
                <w:color w:val="auto"/>
                <w:sz w:val="18"/>
                <w:szCs w:val="18"/>
                <w:u w:val="none"/>
                <w:lang w:val="en-US" w:eastAsia="zh-CN" w:bidi="ar"/>
              </w:rPr>
              <w:t xml:space="preserve">0)≥10%；具有肥料备案证明；供货规格40kg/袋。</w:t>
            </w:r>
            <w:r/>
          </w:p>
        </w:tc>
        <w:tc>
          <w:tcPr>
            <w:tcBorders>
              <w:top w:val="single" w:color="000000" w:sz="4" w:space="0"/>
              <w:left w:val="single" w:color="000000" w:sz="4" w:space="0"/>
              <w:bottom w:val="single" w:color="000000" w:sz="4" w:space="0"/>
              <w:right w:val="single" w:color="000000" w:sz="4" w:space="0"/>
            </w:tcBorders>
            <w:tcW w:w="127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i w:val="0"/>
                <w:iCs w:val="0"/>
                <w:color w:val="auto"/>
                <w:sz w:val="18"/>
                <w:szCs w:val="18"/>
                <w:u w:val="none"/>
                <w:lang w:val="en-US" w:eastAsia="zh-CN" w:bidi="ar"/>
              </w:rPr>
              <w:suppressLineNumbers w:val="0"/>
            </w:pPr>
            <w:r>
              <w:rPr>
                <w:rFonts w:hint="eastAsia" w:ascii="宋体" w:hAnsi="宋体" w:eastAsia="宋体" w:cs="宋体"/>
                <w:i w:val="0"/>
                <w:iCs w:val="0"/>
                <w:color w:val="auto"/>
                <w:sz w:val="18"/>
                <w:szCs w:val="18"/>
                <w:u w:val="none"/>
                <w:lang w:val="en-US" w:eastAsia="zh-CN" w:bidi="ar"/>
              </w:rPr>
              <w:t xml:space="preserve">30</w:t>
            </w:r>
            <w:r/>
          </w:p>
        </w:tc>
        <w:tc>
          <w:tcPr>
            <w:tcBorders>
              <w:top w:val="single" w:color="000000" w:sz="4" w:space="0"/>
              <w:left w:val="single" w:color="000000" w:sz="4" w:space="0"/>
              <w:bottom w:val="single" w:color="000000" w:sz="4" w:space="0"/>
              <w:right w:val="single" w:color="000000" w:sz="4" w:space="0"/>
            </w:tcBorders>
            <w:tcW w:w="1975" w:type="dxa"/>
            <w:vAlign w:val="center"/>
            <w:textDirection w:val="lrTb"/>
            <w:noWrap w:val="false"/>
          </w:tcPr>
          <w:p>
            <w:pPr>
              <w:jc w:val="center"/>
              <w:pageBreakBefore w:val="0"/>
              <w:spacing w:after="0" w:line="360" w:lineRule="auto"/>
              <w:widowControl w:val="off"/>
              <w:rPr>
                <w:rFonts w:hint="eastAsia" w:ascii="宋体" w:hAnsi="宋体" w:eastAsia="宋体" w:cs="宋体"/>
                <w:color w:val="auto"/>
                <w:sz w:val="18"/>
                <w:szCs w:val="18"/>
                <w:lang w:val="en-US" w:eastAsia="zh-CN"/>
              </w:rPr>
            </w:pPr>
            <w:r>
              <w:rPr>
                <w:rFonts w:hint="eastAsia" w:ascii="宋体" w:hAnsi="宋体" w:eastAsia="宋体" w:cs="宋体"/>
                <w:i w:val="0"/>
                <w:iCs w:val="0"/>
                <w:color w:val="auto"/>
                <w:sz w:val="18"/>
                <w:szCs w:val="18"/>
                <w:u w:val="none"/>
                <w:lang w:val="en-US" w:eastAsia="zh-CN" w:bidi="ar"/>
              </w:rPr>
              <w:t xml:space="preserve">3800元/吨</w:t>
            </w:r>
            <w:r/>
          </w:p>
        </w:tc>
      </w:tr>
    </w:tbl>
    <w:p>
      <w:pPr>
        <w:pStyle w:val="712"/>
        <w:ind w:left="0" w:firstLine="0"/>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keepLines w:val="0"/>
        <w:keepNext w:val="0"/>
        <w:pageBreakBefore w:val="0"/>
        <w:spacing w:after="0" w:line="360" w:lineRule="auto"/>
        <w:widowControl w:val="off"/>
        <w:rPr>
          <w:rFonts w:hint="eastAsia" w:ascii="宋体" w:hAnsi="宋体" w:eastAsia="宋体" w:cs="宋体"/>
          <w:b/>
          <w:bCs/>
          <w:color w:val="auto"/>
          <w:sz w:val="24"/>
          <w:szCs w:val="24"/>
          <w:highlight w:val="none"/>
          <w:lang w:val="en-US" w:eastAsia="zh-CN"/>
        </w:rPr>
      </w:pPr>
      <w:r/>
      <w:bookmarkStart w:id="22" w:name="_Toc139966432"/>
      <w:r/>
      <w:bookmarkStart w:id="23" w:name="_Toc139967216"/>
      <w:r/>
      <w:bookmarkStart w:id="24" w:name="_Toc165205711"/>
      <w:r>
        <w:rPr>
          <w:rFonts w:hint="eastAsia" w:ascii="宋体" w:hAnsi="宋体" w:eastAsia="宋体" w:cs="宋体"/>
          <w:b/>
          <w:bCs/>
          <w:color w:val="auto"/>
          <w:sz w:val="24"/>
          <w:szCs w:val="24"/>
          <w:highlight w:val="none"/>
          <w:lang w:val="en-US" w:eastAsia="zh-CN"/>
        </w:rPr>
        <w:t xml:space="preserve">二、技术参数</w:t>
      </w:r>
      <w:bookmarkEnd w:id="22"/>
      <w:bookmarkEnd w:id="23"/>
      <w:r/>
    </w:p>
    <w:p>
      <w:pPr>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rPr>
      </w:pPr>
      <w:r/>
      <w:bookmarkStart w:id="25" w:name="_Toc504995980"/>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1、采购包三</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45%复合肥：</w:t>
      </w:r>
      <w:r/>
    </w:p>
    <w:p>
      <w:pPr>
        <w:numPr>
          <w:ilvl w:val="0"/>
          <w:numId w:val="0"/>
        </w:num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lang w:val="en-US" w:eastAsia="zh-CN" w:bidi="ar"/>
        </w:rPr>
        <w:t xml:space="preserve">（1）</w:t>
      </w:r>
      <w:r>
        <w:rPr>
          <w:rFonts w:hint="eastAsia" w:ascii="宋体" w:hAnsi="宋体" w:eastAsia="宋体" w:cs="宋体"/>
          <w:i w:val="0"/>
          <w:iCs w:val="0"/>
          <w:color w:val="auto"/>
          <w:sz w:val="24"/>
          <w:szCs w:val="24"/>
          <w:u w:val="none"/>
          <w:lang w:val="en-US" w:eastAsia="zh-CN" w:bidi="ar"/>
        </w:rPr>
        <w:t xml:space="preserve">总养分（N+P₂O₅+K₂O）：≥45.0%，单一养分：氮（N）≥15%；五氧化二磷（P₂O₅）≥15%；氧化钾（K₂O）≥15%；水溶性磷占有效磷：≥70%（高浓度）50kg/袋；</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第三方检测报告，具备CMA资质，覆盖上述全项指标；</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（2）</w:t>
      </w:r>
      <w:r>
        <w:rPr>
          <w:rFonts w:hint="eastAsia" w:ascii="宋体" w:hAnsi="宋体" w:eastAsia="宋体" w:cs="宋体"/>
          <w:i w:val="0"/>
          <w:iCs w:val="0"/>
          <w:color w:val="auto"/>
          <w:sz w:val="24"/>
          <w:szCs w:val="24"/>
          <w:u w:val="none"/>
          <w:lang w:val="en-US" w:eastAsia="zh-CN" w:bidi="ar"/>
        </w:rPr>
        <w:t xml:space="preserve">外观：颗粒均匀、无机械杂质、不结块；</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rPr>
      </w:pPr>
      <w:r>
        <w:rPr>
          <w:rFonts w:hint="eastAsia" w:ascii="宋体" w:hAnsi="宋体" w:eastAsia="宋体" w:cs="宋体"/>
          <w:i w:val="0"/>
          <w:iCs w:val="0"/>
          <w:color w:val="auto"/>
          <w:sz w:val="24"/>
          <w:szCs w:val="24"/>
          <w:u w:val="none"/>
          <w:lang w:val="en-US" w:eastAsia="zh-CN"/>
        </w:rPr>
        <w:t xml:space="preserve">★</w:t>
      </w:r>
      <w:r>
        <w:rPr>
          <w:rFonts w:hint="eastAsia" w:ascii="宋体" w:hAnsi="宋体" w:eastAsia="宋体" w:cs="宋体"/>
          <w:b/>
          <w:bCs/>
          <w:i w:val="0"/>
          <w:iCs w:val="0"/>
          <w:color w:val="auto"/>
          <w:sz w:val="24"/>
          <w:szCs w:val="24"/>
          <w:u w:val="none"/>
          <w:lang w:val="en-US" w:eastAsia="zh-CN"/>
        </w:rPr>
        <w:t xml:space="preserve">2、采购包四</w:t>
      </w:r>
      <w:r/>
    </w:p>
    <w:p>
      <w:pPr>
        <w:ind w:firstLine="241"/>
        <w:keepLines w:val="0"/>
        <w:keepNext w:val="0"/>
        <w:pageBreakBefore w:val="0"/>
        <w:spacing w:after="0" w:line="360" w:lineRule="auto"/>
        <w:widowControl w:val="off"/>
        <w:rPr>
          <w:rFonts w:hint="eastAsia" w:ascii="宋体" w:hAnsi="宋体" w:eastAsia="宋体" w:cs="宋体"/>
          <w:b/>
          <w:bCs/>
          <w:i w:val="0"/>
          <w:iCs w:val="0"/>
          <w:color w:val="auto"/>
          <w:sz w:val="24"/>
          <w:szCs w:val="24"/>
          <w:u w:val="none"/>
          <w:lang w:val="en-US" w:eastAsia="zh-CN" w:bidi="ar"/>
        </w:rPr>
      </w:pPr>
      <w:r>
        <w:rPr>
          <w:rFonts w:hint="eastAsia" w:ascii="宋体" w:hAnsi="宋体" w:eastAsia="宋体" w:cs="宋体"/>
          <w:b/>
          <w:bCs/>
          <w:i w:val="0"/>
          <w:iCs w:val="0"/>
          <w:color w:val="auto"/>
          <w:sz w:val="24"/>
          <w:szCs w:val="24"/>
          <w:u w:val="none"/>
          <w:lang w:val="en-US" w:eastAsia="zh-CN" w:bidi="ar"/>
        </w:rPr>
        <w:t xml:space="preserve">高产试验示范攻关补助：</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(1)45%复合肥，氮(N)≥20%;五氧化二磷(P</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w:t>
      </w:r>
      <w:r>
        <w:rPr>
          <w:rFonts w:hint="eastAsia" w:ascii="宋体" w:hAnsi="宋体" w:eastAsia="宋体" w:cs="宋体"/>
          <w:i w:val="0"/>
          <w:iCs w:val="0"/>
          <w:color w:val="auto"/>
          <w:sz w:val="24"/>
          <w:szCs w:val="24"/>
          <w:u w:val="none"/>
          <w:vertAlign w:val="subscript"/>
          <w:lang w:val="en-US" w:eastAsia="zh-CN" w:bidi="ar"/>
        </w:rPr>
        <w:t xml:space="preserve">5</w:t>
      </w:r>
      <w:r>
        <w:rPr>
          <w:rFonts w:hint="eastAsia" w:ascii="宋体" w:hAnsi="宋体" w:eastAsia="宋体" w:cs="宋体"/>
          <w:i w:val="0"/>
          <w:iCs w:val="0"/>
          <w:color w:val="auto"/>
          <w:sz w:val="24"/>
          <w:szCs w:val="24"/>
          <w:u w:val="none"/>
          <w:lang w:val="en-US" w:eastAsia="zh-CN" w:bidi="ar"/>
        </w:rPr>
        <w:t xml:space="preserve">)≥15%;氧化钾(K</w:t>
      </w:r>
      <w:r>
        <w:rPr>
          <w:rFonts w:hint="eastAsia" w:ascii="宋体" w:hAnsi="宋体" w:eastAsia="宋体" w:cs="宋体"/>
          <w:i w:val="0"/>
          <w:iCs w:val="0"/>
          <w:color w:val="auto"/>
          <w:sz w:val="24"/>
          <w:szCs w:val="24"/>
          <w:u w:val="none"/>
          <w:vertAlign w:val="subscript"/>
          <w:lang w:val="en-US" w:eastAsia="zh-CN" w:bidi="ar"/>
        </w:rPr>
        <w:t xml:space="preserve">2 </w:t>
      </w:r>
      <w:r>
        <w:rPr>
          <w:rFonts w:hint="eastAsia" w:ascii="宋体" w:hAnsi="宋体" w:eastAsia="宋体" w:cs="宋体"/>
          <w:i w:val="0"/>
          <w:iCs w:val="0"/>
          <w:color w:val="auto"/>
          <w:sz w:val="24"/>
          <w:szCs w:val="24"/>
          <w:u w:val="none"/>
          <w:lang w:val="en-US" w:eastAsia="zh-CN" w:bidi="ar"/>
        </w:rPr>
        <w:t xml:space="preserve">0)≥10%，水溶性磷占有效磷：≥60%（高浓度）提供第三方检测报告，具备CMA资质，覆盖上述全项指标;</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（2）外观：颗粒均匀、无机械杂质、不结块；</w:t>
      </w:r>
      <w:r/>
    </w:p>
    <w:p>
      <w:pPr>
        <w:ind w:firstLine="240"/>
        <w:keepLines w:val="0"/>
        <w:keepNext w:val="0"/>
        <w:pageBreakBefore w:val="0"/>
        <w:spacing w:after="0" w:line="360" w:lineRule="auto"/>
        <w:widowControl w:val="off"/>
        <w:rPr>
          <w:rFonts w:hint="eastAsia" w:ascii="宋体" w:hAnsi="宋体" w:eastAsia="宋体" w:cs="宋体"/>
          <w:i w:val="0"/>
          <w:iCs w:val="0"/>
          <w:color w:val="auto"/>
          <w:sz w:val="24"/>
          <w:szCs w:val="24"/>
          <w:u w:val="none"/>
          <w:lang w:val="en-US" w:eastAsia="zh-CN" w:bidi="ar"/>
        </w:rPr>
      </w:pPr>
      <w:r>
        <w:rPr>
          <w:rFonts w:hint="eastAsia" w:ascii="宋体" w:hAnsi="宋体" w:eastAsia="宋体" w:cs="宋体"/>
          <w:i w:val="0"/>
          <w:iCs w:val="0"/>
          <w:color w:val="auto"/>
          <w:sz w:val="24"/>
          <w:szCs w:val="24"/>
          <w:u w:val="none"/>
          <w:lang w:val="en-US" w:eastAsia="zh-CN" w:bidi="ar"/>
        </w:rPr>
        <w:t xml:space="preserve">(3)供货规格40kg/袋。</w:t>
      </w:r>
      <w:r/>
    </w:p>
    <w:p>
      <w:pPr>
        <w:numPr>
          <w:ilvl w:val="0"/>
          <w:numId w:val="0"/>
        </w:numPr>
        <w:ind w:firstLine="240"/>
        <w:keepLines w:val="0"/>
        <w:keepNext w:val="0"/>
        <w:pageBreakBefore w:val="0"/>
        <w:spacing w:after="0" w:line="360" w:lineRule="auto"/>
        <w:widowControl w:val="off"/>
        <w:rPr>
          <w:rFonts w:hint="eastAsia" w:ascii="宋体" w:hAnsi="宋体" w:eastAsia="宋体" w:cs="宋体"/>
          <w:color w:val="auto"/>
          <w:sz w:val="24"/>
          <w:szCs w:val="24"/>
          <w:highlight w:val="yellow"/>
          <w:lang w:val="en-US" w:eastAsia="zh-CN"/>
        </w:rPr>
      </w:pPr>
      <w:r>
        <w:rPr>
          <w:rFonts w:hint="eastAsia" w:ascii="宋体" w:hAnsi="宋体" w:eastAsia="宋体" w:cs="宋体"/>
          <w:color w:val="auto"/>
          <w:sz w:val="24"/>
          <w:szCs w:val="24"/>
          <w:lang w:val="en-US" w:eastAsia="zh-CN" w:bidi="ar-SA"/>
        </w:rPr>
        <w:t xml:space="preserve">(3)</w:t>
      </w:r>
      <w:r>
        <w:rPr>
          <w:rFonts w:hint="eastAsia" w:ascii="宋体" w:hAnsi="宋体" w:eastAsia="宋体" w:cs="宋体"/>
          <w:b/>
          <w:bCs/>
          <w:i w:val="0"/>
          <w:iCs w:val="0"/>
          <w:color w:val="auto"/>
          <w:sz w:val="24"/>
          <w:szCs w:val="24"/>
          <w:u w:val="none"/>
          <w:lang w:val="en-US" w:eastAsia="zh-CN" w:bidi="ar"/>
        </w:rPr>
        <w:t xml:space="preserve">提供</w:t>
      </w:r>
      <w:r>
        <w:rPr>
          <w:rFonts w:hint="eastAsia" w:ascii="宋体" w:hAnsi="宋体" w:eastAsia="宋体" w:cs="宋体"/>
          <w:i w:val="0"/>
          <w:iCs w:val="0"/>
          <w:color w:val="auto"/>
          <w:sz w:val="24"/>
          <w:szCs w:val="24"/>
          <w:u w:val="none"/>
          <w:lang w:val="en-US" w:eastAsia="zh-CN" w:bidi="ar"/>
        </w:rPr>
        <w:t xml:space="preserve">肥料备案证明。</w:t>
      </w:r>
      <w:r/>
    </w:p>
    <w:p>
      <w:pPr>
        <w:jc w:val="left"/>
        <w:pageBreakBefore w:val="0"/>
        <w:spacing w:after="0" w:line="360" w:lineRule="auto"/>
        <w:rPr>
          <w:rFonts w:hint="eastAsia" w:ascii="宋体" w:hAnsi="宋体" w:eastAsia="宋体" w:cs="宋体"/>
          <w:b/>
          <w:bCs/>
          <w:color w:val="auto"/>
          <w:sz w:val="24"/>
          <w:szCs w:val="24"/>
          <w:lang w:val="en-US"/>
        </w:rPr>
        <w:outlineLvl w:val="1"/>
      </w:pPr>
      <w:r>
        <w:rPr>
          <w:rFonts w:hint="eastAsia" w:ascii="宋体" w:hAnsi="宋体" w:eastAsia="宋体" w:cs="宋体"/>
          <w:b/>
          <w:bCs/>
          <w:color w:val="auto"/>
          <w:sz w:val="24"/>
          <w:szCs w:val="24"/>
          <w:lang w:val="en-US" w:eastAsia="zh-CN"/>
        </w:rPr>
        <w:t xml:space="preserve">二、</w:t>
      </w:r>
      <w:r>
        <w:rPr>
          <w:rFonts w:hint="eastAsia" w:ascii="宋体" w:hAnsi="宋体" w:eastAsia="宋体" w:cs="宋体"/>
          <w:b/>
          <w:bCs/>
          <w:color w:val="auto"/>
          <w:sz w:val="24"/>
          <w:szCs w:val="24"/>
          <w:highlight w:val="none"/>
          <w:lang w:val="en-US" w:eastAsia="zh-CN"/>
        </w:rPr>
        <w:t xml:space="preserve">商务条款</w:t>
      </w:r>
      <w:bookmarkEnd w:id="25"/>
      <w:r>
        <w:rPr>
          <w:rFonts w:hint="eastAsia" w:ascii="宋体" w:hAnsi="宋体" w:eastAsia="宋体" w:cs="宋体"/>
          <w:b/>
          <w:bCs/>
          <w:color w:val="auto"/>
          <w:sz w:val="24"/>
          <w:szCs w:val="24"/>
          <w:highlight w:val="none"/>
          <w:lang w:val="en-US" w:eastAsia="zh-CN"/>
        </w:rPr>
        <w:t xml:space="preserve">  </w:t>
      </w:r>
      <w:bookmarkEnd w:id="24"/>
      <w:r/>
    </w:p>
    <w:p>
      <w:pPr>
        <w:ind w:firstLine="480"/>
        <w:jc w:val="both"/>
        <w:pageBreakBefore w:val="0"/>
        <w:spacing w:after="0" w:line="360" w:lineRule="auto"/>
        <w:rPr>
          <w:rFonts w:hint="eastAsia" w:ascii="宋体" w:hAnsi="宋体" w:eastAsia="宋体" w:cs="宋体"/>
          <w:b/>
          <w:bCs/>
          <w:color w:val="auto"/>
          <w:sz w:val="24"/>
          <w:szCs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b w:val="0"/>
          <w:bCs w:val="0"/>
          <w:color w:val="auto"/>
          <w:sz w:val="24"/>
          <w:szCs w:val="24"/>
          <w:highlight w:val="none"/>
          <w:lang w:eastAsia="zh-CN"/>
        </w:rPr>
        <w:t xml:space="preserve">供货期：</w:t>
      </w: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bCs/>
          <w:color w:val="auto"/>
          <w:sz w:val="24"/>
          <w:szCs w:val="24"/>
          <w:highlight w:val="none"/>
          <w:lang w:val="en-US" w:eastAsia="zh-CN"/>
        </w:rPr>
        <w:t xml:space="preserve">★</w:t>
      </w:r>
      <w:r>
        <w:rPr>
          <w:rFonts w:hint="eastAsia" w:ascii="宋体" w:hAnsi="宋体" w:eastAsia="宋体" w:cs="宋体"/>
          <w:b w:val="0"/>
          <w:bCs w:val="0"/>
          <w:color w:val="auto"/>
          <w:sz w:val="24"/>
          <w:szCs w:val="24"/>
          <w:highlight w:val="none"/>
          <w:lang w:val="en-US" w:eastAsia="zh-CN"/>
        </w:rPr>
        <w:t xml:space="preserve">2、成交供应商必须按规定将货物运输至采购人指定地点并负责分发、质量检验、第三方核查等伴随服务，具体服务成本由采购方根据工作量统筹安排，并考虑应承担的风险 。</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val="0"/>
          <w:color w:val="auto"/>
          <w:sz w:val="24"/>
          <w:szCs w:val="24"/>
          <w:highlight w:val="none"/>
          <w:lang w:val="en-US" w:eastAsia="zh-CN"/>
        </w:rPr>
        <w:t xml:space="preserve">3、</w:t>
      </w:r>
      <w:r>
        <w:rPr>
          <w:rFonts w:hint="eastAsia" w:ascii="宋体" w:hAnsi="宋体" w:eastAsia="宋体" w:cs="宋体"/>
          <w:color w:val="auto"/>
          <w:sz w:val="24"/>
          <w:szCs w:val="24"/>
          <w:highlight w:val="none"/>
          <w:lang w:val="en-US" w:eastAsia="zh-CN"/>
        </w:rPr>
        <w:t xml:space="preserve">供应商必须考虑货物（产品）供应、运输、装卸过程中的安全问题，由中标（成交）供应商承担全部责任。</w:t>
      </w:r>
      <w:r/>
    </w:p>
    <w:p>
      <w:pPr>
        <w:ind w:firstLine="480"/>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4、成交供应商在交货时应提供详细的中文产品使用说明书、产品合格检验报告；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、供货过程中，采购人将会对所供产品进行随机抽样检测，凡检测不合格，由此引发的一切责任由成交供应商负责承担；</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eastAsia="zh-CN"/>
        </w:rPr>
        <w:t xml:space="preserve">、成交供应商在供货时要充分考虑相关验收规范要求，若因产品质量等原因造成不能通过验收，中标供应商应承担全部责任，并赔偿由此造成的经济损失；</w:t>
      </w:r>
      <w:r/>
    </w:p>
    <w:p>
      <w:pPr>
        <w:ind w:firstLine="480"/>
        <w:jc w:val="both"/>
        <w:pageBreakBefore w:val="0"/>
        <w:spacing w:after="0" w:line="360" w:lineRule="auto"/>
        <w:rPr>
          <w:rFonts w:hint="eastAsia" w:ascii="宋体" w:hAnsi="宋体" w:eastAsia="宋体" w:cs="宋体"/>
          <w:b w:val="0"/>
          <w:bCs w:val="0"/>
          <w:color w:val="auto"/>
          <w:spacing w:val="-8"/>
          <w:sz w:val="24"/>
          <w:szCs w:val="24"/>
          <w:highlight w:val="none"/>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7、</w:t>
      </w:r>
      <w:r>
        <w:rPr>
          <w:rFonts w:hint="eastAsia" w:ascii="宋体" w:hAnsi="宋体" w:eastAsia="宋体" w:cs="宋体"/>
          <w:b w:val="0"/>
          <w:bCs w:val="0"/>
          <w:color w:val="auto"/>
          <w:spacing w:val="-8"/>
          <w:sz w:val="24"/>
          <w:szCs w:val="24"/>
          <w:highlight w:val="none"/>
        </w:rPr>
        <w:t xml:space="preserve">质保期：1年。</w:t>
      </w:r>
      <w:r/>
    </w:p>
    <w:p>
      <w:pPr>
        <w:pStyle w:val="692"/>
        <w:numPr>
          <w:ilvl w:val="0"/>
          <w:numId w:val="0"/>
        </w:numPr>
        <w:ind w:firstLine="482"/>
        <w:pageBreakBefore w:val="0"/>
        <w:spacing w:after="0" w:line="360" w:lineRule="auto"/>
        <w:rPr>
          <w:rFonts w:hint="eastAsia" w:ascii="宋体" w:hAnsi="宋体" w:eastAsia="宋体" w:cs="宋体"/>
          <w:b w:val="0"/>
          <w:bCs w:val="0"/>
          <w:color w:val="auto"/>
          <w:sz w:val="24"/>
          <w:szCs w:val="24"/>
          <w:highlight w:val="none"/>
          <w:lang w:val="en-US" w:eastAsia="zh-CN"/>
        </w:rPr>
      </w:pPr>
      <w:r>
        <w:rPr>
          <w:rFonts w:hint="eastAsia" w:ascii="宋体" w:hAnsi="宋体" w:eastAsia="宋体" w:cs="宋体"/>
          <w:b w:val="0"/>
          <w:bCs w:val="0"/>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bidi="ar-SA"/>
        </w:rPr>
        <w:t xml:space="preserve">8、合同签订的时间：成交供应商应当在成交通知书发出之日起30日内，与采购人签订供货合同。</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9</w:t>
      </w:r>
      <w:r>
        <w:rPr>
          <w:rFonts w:hint="eastAsia" w:ascii="宋体" w:hAnsi="宋体" w:eastAsia="宋体" w:cs="宋体"/>
          <w:color w:val="auto"/>
          <w:sz w:val="24"/>
          <w:szCs w:val="24"/>
          <w:highlight w:val="none"/>
          <w:lang w:eastAsia="zh-CN"/>
        </w:rPr>
        <w:t xml:space="preserve">、供应商必须对材料的真实性负责，一旦发现造假行为，采购人将取消其报价资格，已成交的将取消其成交资格。</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10</w:t>
      </w:r>
      <w:r>
        <w:rPr>
          <w:rFonts w:hint="eastAsia" w:ascii="宋体" w:hAnsi="宋体" w:eastAsia="宋体" w:cs="宋体"/>
          <w:color w:val="auto"/>
          <w:sz w:val="24"/>
          <w:szCs w:val="24"/>
          <w:highlight w:val="none"/>
          <w:lang w:eastAsia="zh-CN"/>
        </w:rPr>
        <w:t xml:space="preserve">、本次采购过程中采购人提供的全部文件资料以及经采购人同意的项目技术要求等有关文件材料，均为合同的组成部分。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11</w:t>
      </w:r>
      <w:r>
        <w:rPr>
          <w:rFonts w:hint="eastAsia" w:ascii="宋体" w:hAnsi="宋体" w:eastAsia="宋体" w:cs="宋体"/>
          <w:color w:val="auto"/>
          <w:sz w:val="24"/>
          <w:szCs w:val="24"/>
          <w:highlight w:val="none"/>
          <w:lang w:eastAsia="zh-CN"/>
        </w:rPr>
        <w:t xml:space="preserve">、成交供应商在履行合同过程中,所发生的全部生产、生活费用均由成交供应商负责。</w:t>
      </w:r>
      <w:r/>
    </w:p>
    <w:p>
      <w:pPr>
        <w:ind w:firstLine="482"/>
        <w:jc w:val="both"/>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b/>
          <w:bCs/>
          <w:color w:val="auto"/>
          <w:sz w:val="24"/>
          <w:szCs w:val="24"/>
          <w:highlight w:val="none"/>
        </w:rPr>
        <w:t xml:space="preserve">★</w:t>
      </w:r>
      <w:r>
        <w:rPr>
          <w:rFonts w:hint="eastAsia" w:ascii="宋体" w:hAnsi="宋体" w:eastAsia="宋体" w:cs="宋体"/>
          <w:b w:val="0"/>
          <w:bCs/>
          <w:color w:val="auto"/>
          <w:sz w:val="24"/>
          <w:szCs w:val="24"/>
          <w:highlight w:val="none"/>
          <w:lang w:val="en-US" w:eastAsia="zh-CN"/>
        </w:rPr>
        <w:t xml:space="preserve">12</w:t>
      </w:r>
      <w:r>
        <w:rPr>
          <w:rFonts w:hint="eastAsia" w:ascii="宋体" w:hAnsi="宋体" w:eastAsia="宋体" w:cs="宋体"/>
          <w:b w:val="0"/>
          <w:bCs/>
          <w:color w:val="auto"/>
          <w:sz w:val="24"/>
          <w:szCs w:val="24"/>
          <w:highlight w:val="none"/>
          <w:lang w:eastAsia="zh-CN"/>
        </w:rPr>
        <w:t xml:space="preserve">、付款方式：</w:t>
      </w:r>
      <w:r>
        <w:rPr>
          <w:rFonts w:hint="eastAsia" w:ascii="宋体" w:hAnsi="宋体" w:eastAsia="宋体" w:cs="宋体"/>
          <w:color w:val="auto"/>
          <w:sz w:val="24"/>
          <w:szCs w:val="24"/>
          <w:highlight w:val="none"/>
          <w:lang w:val="en-US" w:eastAsia="zh-CN"/>
        </w:rPr>
        <w:t xml:space="preserve">分批次供货，货到现场经验收合格（含随机取样送检），根据县财政局拨款情况，资金到位后30日内支付（无息）。</w:t>
      </w:r>
      <w:r/>
    </w:p>
    <w:p>
      <w:pPr>
        <w:numPr>
          <w:ilvl w:val="0"/>
          <w:numId w:val="0"/>
        </w:numPr>
        <w:ind w:firstLine="482"/>
        <w:jc w:val="both"/>
        <w:pageBreakBefore w:val="0"/>
        <w:spacing w:after="0" w:line="360" w:lineRule="auto"/>
        <w:rPr>
          <w:rFonts w:hint="eastAsia" w:ascii="宋体" w:hAnsi="宋体" w:eastAsia="宋体" w:cs="宋体"/>
          <w:color w:val="auto"/>
          <w:sz w:val="24"/>
          <w:szCs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rPr>
        <w:t xml:space="preserve">★</w:t>
      </w:r>
      <w:r>
        <w:rPr>
          <w:rFonts w:hint="eastAsia" w:ascii="宋体" w:hAnsi="宋体" w:eastAsia="宋体" w:cs="宋体"/>
          <w:color w:val="auto"/>
          <w:sz w:val="24"/>
          <w:szCs w:val="24"/>
          <w:lang w:val="en-US" w:eastAsia="zh-CN" w:bidi="ar-SA"/>
        </w:rPr>
        <w:t xml:space="preserve">13、</w:t>
      </w:r>
      <w:r>
        <w:rPr>
          <w:rFonts w:hint="eastAsia" w:ascii="宋体" w:hAnsi="宋体" w:eastAsia="宋体" w:cs="宋体"/>
          <w:b w:val="0"/>
          <w:bCs/>
          <w:color w:val="auto"/>
          <w:sz w:val="24"/>
          <w:szCs w:val="24"/>
          <w:highlight w:val="none"/>
          <w:lang w:val="en-US" w:eastAsia="zh-CN"/>
        </w:rPr>
        <w:t xml:space="preserve">报价包含但不限于产品价格、供货、运输（含装卸）、验收、售后服务及招标代理费等其它相关服务，中标后费用不再另行增加，请投标人综合考虑。供应方负责产品的上下力资、分发、技术服务、质量检验、第三方核查等伴随服务，并考虑应承担的风险。</w:t>
      </w:r>
      <w:r/>
    </w:p>
    <w:p>
      <w:pPr>
        <w:pageBreakBefore w:val="0"/>
        <w:spacing w:after="0" w:line="360" w:lineRule="auto"/>
        <w:rPr>
          <w:rFonts w:hint="eastAsia"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四、其他条款：</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1.供应商须明确所投货物的生产厂家、品牌、型号、规格、</w:t>
      </w:r>
      <w:r>
        <w:rPr>
          <w:rFonts w:hint="eastAsia" w:ascii="宋体" w:hAnsi="宋体" w:eastAsia="宋体" w:cs="宋体"/>
          <w:color w:val="auto"/>
          <w:sz w:val="24"/>
          <w:szCs w:val="24"/>
          <w:lang w:val="en-US" w:eastAsia="zh-CN"/>
        </w:rPr>
        <w:t xml:space="preserve">具体包装形式</w:t>
      </w:r>
      <w:r>
        <w:rPr>
          <w:rFonts w:hint="eastAsia" w:ascii="宋体" w:hAnsi="宋体" w:eastAsia="宋体" w:cs="宋体"/>
          <w:color w:val="auto"/>
          <w:sz w:val="24"/>
          <w:szCs w:val="24"/>
        </w:rPr>
        <w:t xml:space="preserve">等。</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2.供应商应保证货物是全新、未使用过的原装合格正品，并完全符合采购文件规定的质量、规格和性能的要求。验收过程中发现产品不符合上述要求的，将视作不合格产品，采购人有权终止合同，造成的一切损失由成交供应商承担。</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3.产品的包装，国家或行业主管部门有规定的，按规定执行。 </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4.供应商应保证提供的产品不得侵犯第三方专利权、商标权和工业设计权、版权等。否则，成交供应商应负全部责任，并承担由此引起的一切后果。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5.供应商应保证其货物在正确安装、正常使用和保养条件下，在其使用寿命期内应具有满意的性能。</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6.供应商应采取必要的安全措施保证货物的运输及安装的安全，并承担货物的运输及安装过程中产生的风险。</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7.供应商必须保证所提供的产品符合国家相应质量要求，供货时必须随产品提供出厂材料，包括但不限于检验报告（复印件）、产品合格证（原件）以及设备的测试、运行、保养手册。</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8.供应商所供货物最终验收后，成交供应商应对由于设计、工艺或材料的缺陷而发生的任何不足或故障负责，并承担由此引起的一切后果。</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9.成交产品的技术标准按国家标准执行，无国家标准的，按行业标准执行，无国家和行业标准的，按企业标准执行；但在采购文件中有特别要求的，按采购文件中规定的要求执行，并且符合相关法律、法规规定的要求。</w:t>
      </w:r>
      <w:r/>
    </w:p>
    <w:p>
      <w:pPr>
        <w:ind w:left="0" w:firstLine="0"/>
        <w:pageBreakBefore w:val="0"/>
        <w:spacing w:after="0"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10.在项目采购或实施过程中，如国家标准修改，应按照新国家标准实施；如本采购文件规定高于国家标准，无论新旧标准，均按本采购文件规定实施；如本采购文件规定低于国家标准，均按国家标准规定实施；如本采购文件内有内容相互矛盾，以高标准高要求的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p>
      <w:pPr>
        <w:pStyle w:val="712"/>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pageBreakBefore w:val="0"/>
        <w:spacing w:after="0" w:line="36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r>
      <w:r/>
    </w:p>
    <w:p>
      <w:pPr>
        <w:jc w:val="center"/>
        <w:pageBreakBefore w:val="0"/>
        <w:spacing w:after="0" w:line="360" w:lineRule="auto"/>
        <w:tabs>
          <w:tab w:val="left" w:pos="1080" w:leader="none"/>
        </w:tabs>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6" w:name="_Toc28884"/>
      <w:r>
        <w:rPr>
          <w:rFonts w:ascii="黑体" w:hAnsi="黑体" w:eastAsia="黑体" w:cs="黑体"/>
          <w:color w:val="auto"/>
          <w:sz w:val="44"/>
          <w:highlight w:val="none"/>
          <w:lang w:eastAsia="zh-CN"/>
        </w:rPr>
        <w:t xml:space="preserve">第五章 成交供应商确定办法（评审程序）</w:t>
      </w:r>
      <w:bookmarkEnd w:id="26"/>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一、询价小组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1、由采购人依法组织技术专家和有关人员组成询价小组。</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2、询价小组独立开展工作，负责审议所有参加询价（投标）的响应文件，并推荐中标（成交）候选供应商。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3、询价小组判断响应文件的响应性仅基于响应文件本身，而不寻找外部证据。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4、评审过程接受纪检、检察、财政监管部门、招标投标管理、公证等有关部门的监察和监督。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5、评审过程保密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（1）开标后，直至向中标（成交）供应商授予合同时止，凡是与审查、澄清、评价和比较响应文件的有关资料以及授标建议等，均不得向供应商及与评审无关的其他人员透露。</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（2）在评审过程中，如果供应商试图向采购人或询价小组组成人员施加任何影响，都将会导致其响应文件被拒绝或无效响应文件。</w:t>
      </w:r>
      <w:r/>
    </w:p>
    <w:p>
      <w:pPr>
        <w:ind w:firstLine="480"/>
        <w:jc w:val="both"/>
        <w:pageBreakBefore w:val="0"/>
        <w:spacing w:after="0" w:line="360" w:lineRule="auto"/>
        <w:rPr>
          <w:rFonts w:hint="eastAsia" w:ascii="宋体" w:hAnsi="宋体" w:eastAsia="宋体" w:cs="宋体"/>
          <w:b/>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二、政府采购政策功能落实</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、政策功能</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本项目执行财政部、工业和信息化部关于印发《政府采购促进中小企业发展管理办法》的通知（财库〔2020〕46号，以下简称《办法》）、《关于印发中小企业划型标准规定的通知》（工信部联企业〔2011〕300号，以下简称《通知》）、《财政部 司法部关于政府采购支持监狱企业发展有关问题的通知》（财库〔2014〕68号）、《关于促进残疾人就业政府采购政策的通知》（财库〔2017〕141号）、《关于进一步加大政府采购支持中小企业力度的通知》（财库〔2022〕19号）的规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根据《办法》规定，中小企业是指在中华人民共和国境内依法设立，依据国务院批准的中小企业划分标准确定的中</w:t>
      </w:r>
      <w:r>
        <w:rPr>
          <w:rFonts w:hint="eastAsia" w:ascii="宋体" w:hAnsi="宋体" w:eastAsia="宋体" w:cs="宋体"/>
          <w:color w:val="auto"/>
          <w:sz w:val="24"/>
          <w:szCs w:val="24"/>
          <w:highlight w:val="none"/>
          <w:lang w:eastAsia="zh-CN"/>
        </w:rPr>
        <w:t xml:space="preserve">型企业、小型企业、微型企业，但与大企业的负责人为同一人，或者与大企业存在直接控股、管理关系的除外。符合中小企业划分标准的个体工商户，在政府采购活动中视同中小企业。服务由中小企业承接，即提供服务的人员为中小企业依照《中华人民共和国劳动合同法》订立劳动合同的从业人员。根据《通知》规定，该划型标准适用于在中国境内依法设立的各类所有制和各种组织形式的企业。依据现有规范性文件规定，事业单位、团体组织等非企业性质的政府采购供应商，不属于中小企业划分标准确定的中小企业，不得按《通知》规定声明为中小企业，也不适用《办法》。</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 本项目专门面向中小</w:t>
      </w:r>
      <w:r>
        <w:rPr>
          <w:rFonts w:hint="eastAsia" w:ascii="宋体" w:hAnsi="宋体" w:eastAsia="宋体" w:cs="宋体"/>
          <w:b/>
          <w:bCs/>
          <w:color w:val="auto"/>
          <w:sz w:val="24"/>
          <w:szCs w:val="24"/>
          <w:highlight w:val="none"/>
          <w:lang w:val="en-US" w:eastAsia="zh-CN"/>
        </w:rPr>
        <w:t xml:space="preserve">微</w:t>
      </w:r>
      <w:r>
        <w:rPr>
          <w:rFonts w:hint="eastAsia" w:ascii="宋体" w:hAnsi="宋体" w:eastAsia="宋体" w:cs="宋体"/>
          <w:b/>
          <w:bCs/>
          <w:color w:val="auto"/>
          <w:sz w:val="24"/>
          <w:szCs w:val="24"/>
          <w:highlight w:val="none"/>
          <w:lang w:eastAsia="zh-CN"/>
        </w:rPr>
        <w:t xml:space="preserve">企业采购，参加本项目政府采购活动的供应商应当提供的材料：</w:t>
      </w:r>
      <w:r>
        <w:rPr>
          <w:rFonts w:hint="eastAsia" w:ascii="宋体" w:hAnsi="宋体" w:eastAsia="宋体" w:cs="宋体"/>
          <w:b w:val="0"/>
          <w:bCs w:val="0"/>
          <w:color w:val="auto"/>
          <w:sz w:val="24"/>
          <w:szCs w:val="24"/>
          <w:highlight w:val="none"/>
          <w:lang w:eastAsia="zh-CN"/>
        </w:rPr>
        <w:t xml:space="preserve">供应商为中型企业、小型企业、微型企业的，提供《中小企业声明函》（详见文件格式）。残疾人福利性单位视同小型、微型企业，提供《残疾人福利性单位声明函》（详见文件格式）。</w:t>
      </w:r>
      <w:r/>
    </w:p>
    <w:p>
      <w:pPr>
        <w:ind w:firstLine="480"/>
        <w:jc w:val="both"/>
        <w:pageBreakBefore w:val="0"/>
        <w:spacing w:after="0" w:line="360" w:lineRule="auto"/>
        <w:rPr>
          <w:rFonts w:hint="eastAsia" w:ascii="宋体" w:hAnsi="宋体" w:eastAsia="宋体" w:cs="宋体"/>
          <w:b w:val="0"/>
          <w:bCs w:val="0"/>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val="0"/>
          <w:color w:val="auto"/>
          <w:sz w:val="24"/>
          <w:szCs w:val="24"/>
          <w:highlight w:val="none"/>
          <w:lang w:eastAsia="zh-CN"/>
        </w:rPr>
        <w:t xml:space="preserve">符合《关于政府采购支持监狱企业发展有关问题的通知》（财库〔2014〕68号）规定的监狱企业并提供由省级以上监狱管理局、戒毒管理局（含新疆生产建设兵团）出具的属于监狱企业证明文件的，视同小型、微型企业。</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、供应商按照本办法规定提供声明函内容不实的，属于提供虚假材料谋取中标、成交，依照《中华人民共和国政府采购法》等国家有关规定追究相应责任。</w:t>
      </w:r>
      <w:r/>
    </w:p>
    <w:p>
      <w:pPr>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三、响应文件初步评审（资格性审查和符合性审查）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本项目的资格审查采购人将委托询价小组进行审查。</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1、资格性审查</w:t>
      </w:r>
      <w:r>
        <w:rPr>
          <w:rFonts w:hint="eastAsia" w:ascii="宋体" w:hAnsi="宋体" w:eastAsia="宋体" w:cs="宋体"/>
          <w:color w:val="auto"/>
          <w:sz w:val="24"/>
          <w:szCs w:val="24"/>
          <w:highlight w:val="none"/>
          <w:lang w:eastAsia="zh-CN"/>
        </w:rPr>
        <w:t xml:space="preserve">。依据法律法规和询价采购文件的规定，对响应文件中的资格证件证明等进行审查，以确定供应商是否具备询价（投标）资格。</w:t>
      </w:r>
      <w:r>
        <w:rPr>
          <w:rFonts w:hint="eastAsia" w:ascii="宋体" w:hAnsi="宋体" w:eastAsia="宋体" w:cs="宋体"/>
          <w:b/>
          <w:color w:val="auto"/>
          <w:sz w:val="24"/>
          <w:szCs w:val="24"/>
          <w:highlight w:val="none"/>
          <w:lang w:eastAsia="zh-CN"/>
        </w:rPr>
        <w:t xml:space="preserve">只有通过资格审查的供应商才能进入下一步评审。</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4"/>
          <w:highlight w:val="none"/>
          <w:lang w:eastAsia="zh-CN"/>
        </w:rPr>
        <w:t xml:space="preserve">2、符合性审查</w:t>
      </w:r>
      <w:r>
        <w:rPr>
          <w:rFonts w:hint="eastAsia" w:ascii="宋体" w:hAnsi="宋体" w:eastAsia="宋体" w:cs="宋体"/>
          <w:color w:val="auto"/>
          <w:sz w:val="24"/>
          <w:szCs w:val="24"/>
          <w:highlight w:val="none"/>
          <w:lang w:eastAsia="zh-CN"/>
        </w:rPr>
        <w:t xml:space="preserve">。依据询价采购文件的规定，从响应文件的有效性、完整性和对询价采购文件的响应程度进行审查，以确定响应文件是否对询价采购文件的实质性要求作出响应。</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澄清有关问题。对响应文件中含义不明确、同类问题表述不一致或者有明显文字和计算错误的内容，询价小组可以书面形式（应当由询价小组专家签字）要求供应商作出必要的澄清、说明或者纠正。供应商的重要澄清、说明或者补正应当采用书面形式，由其授权的代表签字，并不得超出响应文件的范围或者改变响应文件的实质性内容。，不澄清者，以不利于供应商为原则处理。</w:t>
      </w:r>
      <w:r/>
    </w:p>
    <w:p>
      <w:pPr>
        <w:ind w:firstLine="60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响应文件报价出现前后不一致的，按照下列规定修正：</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（1）响应文件中开标一览表（询价响应报价表）内容与响应文件中相应内容不一致的，以开标一览表（询价响应报价表）为准；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（2）大写金额和小写金额不一致的，以大写金额为准；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（3）单价金额小数点或者百分比有明显错位的，以开标一览表（询价响应报价表）的总价为准，并修改单价；</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（4）总价金额与按单价汇总金额不一致的，以单价金额计算结果为准。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同时出现两种以上不一致的，按照上述规定的顺序修正。询价小组将按上述修正错误的方法调整响应文件中的响应报价，调整后的价格对供应商具有约束力。如果供应商不接受修正后的价格，则其响应文件将被拒绝。</w:t>
      </w:r>
      <w:r/>
    </w:p>
    <w:p>
      <w:pPr>
        <w:ind w:left="0" w:firstLine="482"/>
        <w:jc w:val="both"/>
        <w:spacing w:after="0" w:line="360" w:lineRule="auto"/>
        <w:widowControl w:val="off"/>
        <w:rPr>
          <w:rFonts w:hint="eastAsia" w:ascii="宋体" w:hAnsi="宋体" w:eastAsia="宋体" w:cs="宋体"/>
          <w:b w:val="0"/>
          <w:bCs w:val="0"/>
          <w:color w:val="auto"/>
          <w:sz w:val="24"/>
          <w:szCs w:val="24"/>
          <w:highlight w:val="none"/>
          <w:lang w:val="en-US" w:eastAsia="zh-CN" w:bidi="ar-SA"/>
        </w:rPr>
      </w:pPr>
      <w:r>
        <w:rPr>
          <w:rFonts w:hint="eastAsia" w:ascii="宋体" w:hAnsi="宋体" w:eastAsia="宋体" w:cs="宋体"/>
          <w:b w:val="0"/>
          <w:bCs w:val="0"/>
          <w:color w:val="auto"/>
          <w:sz w:val="24"/>
          <w:szCs w:val="24"/>
          <w:highlight w:val="none"/>
          <w:lang w:val="en-US" w:eastAsia="zh-CN" w:bidi="ar-SA"/>
        </w:rPr>
        <w:t xml:space="preserve">4政府采购异常低价审查：</w:t>
      </w:r>
      <w:r/>
    </w:p>
    <w:p>
      <w:pPr>
        <w:ind w:firstLine="482"/>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4.1政府采购评审中出现下列情形之一的，评审委员会应当启动异常低价投标（响应）审查程序：</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（1）投标（响应）报价低于全部通过符合性审查供应商投标（响应）报价平均值50%的，即投标（响应）报价&lt;全部通过符合性审查供应商投标（响应）报价平均值×50%；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（2）投标（响应）报价低于通过符合性审查的次低报价供应商投标（响应）报价50%的，即投标（响应）报价&lt;通过符合性审查的次低报价供应商投标（响应）报价×50%；</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（3）投标（响应）报价低于采购项目最高限价45%的，即投标（响应）报价&lt;采购项目最高限价×45%；</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（4）评审委员会基于专业判断，认为供应商报价过低，有可能影响产品质量或者不能诚信履约的其他情形。</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相关法律法规对供应商报价有规定的，从其规定。</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4.2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80"/>
        <w:jc w:val="both"/>
        <w:spacing w:after="0" w:line="360" w:lineRule="auto"/>
        <w:widowControl w:val="off"/>
        <w:rPr>
          <w:rFonts w:hint="eastAsia" w:ascii="宋体" w:hAnsi="宋体" w:eastAsia="宋体" w:cs="宋体"/>
          <w:b w:val="0"/>
          <w:bCs w:val="0"/>
          <w:color w:val="auto"/>
          <w:sz w:val="24"/>
          <w:szCs w:val="21"/>
          <w:highlight w:val="none"/>
          <w:lang w:val="en-US" w:eastAsia="zh-CN"/>
        </w:rPr>
      </w:pPr>
      <w:r>
        <w:rPr>
          <w:rFonts w:hint="eastAsia" w:ascii="宋体" w:hAnsi="宋体" w:eastAsia="宋体" w:cs="宋体"/>
          <w:b w:val="0"/>
          <w:bCs w:val="0"/>
          <w:color w:val="auto"/>
          <w:sz w:val="24"/>
          <w:szCs w:val="21"/>
          <w:highlight w:val="none"/>
          <w:lang w:val="en-US" w:eastAsia="zh-CN"/>
        </w:rPr>
        <w:t xml:space="preserve">采购人应当落实履约验收责任，依法组织履约验收工作，验收内容要包括每一项技术和商务要求的履约情况。对报价触发异常低价投标（响应）审查程序后仍中标（成交）的供应商，采购人要重点关注其履约承诺、实际履约情况等。对可以分期实施的采购项目，实行分期考核、分期验收、分期支付，及时掌握供应商履约进展。如供应商中标（成交）后无正当理由拒不签订政府采购合同的，依法予以处理；如供应商不履行合同或者未按合同约定履行合同导致验收不合格的，采购人应当依法追究其违约责任。</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5、如果响应文件实质上没有响应询价采购文件的要求，询价小组将予以拒绝，供应商不得通过修改或撤销不符合要求的偏离或保留而使其响应文件成为实质性响应的响应文件。</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询价小组将允许修正响应文件中不构成重大偏离的、微小的、非正规的、不一致的或不规则的地方，但这些修改不能影响任何供应商相应的名次排列。</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四、详细评审</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1、询价小组仅对通过以上评审、确定为实质性响应询价采购文件要求的响应文件进行评价和比较。</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2、成交供应商确定办法：按《政府采购法》规定的询价采购方式成交标准执行，即符合采购需求、质量和服务相等且货物单价</w:t>
      </w:r>
      <w:r>
        <w:rPr>
          <w:rFonts w:hint="eastAsia" w:ascii="宋体" w:hAnsi="宋体" w:eastAsia="宋体" w:cs="宋体"/>
          <w:b w:val="0"/>
          <w:bCs/>
          <w:color w:val="auto"/>
          <w:sz w:val="24"/>
          <w:szCs w:val="24"/>
          <w:highlight w:val="none"/>
          <w:lang w:val="en-US" w:eastAsia="zh-CN"/>
        </w:rPr>
        <w:t xml:space="preserve">总</w:t>
      </w:r>
      <w:r>
        <w:rPr>
          <w:rFonts w:hint="eastAsia" w:ascii="宋体" w:hAnsi="宋体" w:eastAsia="宋体" w:cs="宋体"/>
          <w:b w:val="0"/>
          <w:bCs/>
          <w:color w:val="auto"/>
          <w:sz w:val="24"/>
          <w:szCs w:val="24"/>
          <w:highlight w:val="none"/>
          <w:lang w:eastAsia="zh-CN"/>
        </w:rPr>
        <w:t xml:space="preserve">报价最低（即综合单价最低）的原则。</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符合采购需求是指供应商的响应文件符合询价采购文件的所有条款、条件和规定且没有重大偏离或保留。重大偏离或保留系指影响到询价采购文件规定的范围、质量和性能，或限制了买方的权力，或供应商的义务的规定，而纠正这些偏离将影响到其他提交实质性响应文件的供应商的公平竞争地位。</w:t>
      </w:r>
      <w:r/>
    </w:p>
    <w:p>
      <w:pPr>
        <w:ind w:firstLine="480"/>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质量和服务相等是指供应商提供的产品和服务均能满足询价采购文件规定的实质性要求。</w:t>
      </w:r>
      <w:r/>
    </w:p>
    <w:p>
      <w:pPr>
        <w:ind w:left="38" w:firstLine="508"/>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五、中标（成交）供应商的确定</w:t>
      </w:r>
      <w:r/>
    </w:p>
    <w:p>
      <w:pPr>
        <w:ind w:firstLine="482"/>
        <w:jc w:val="both"/>
        <w:pageBreakBefore w:val="0"/>
        <w:spacing w:after="0" w:line="360" w:lineRule="auto"/>
        <w:rPr>
          <w:rFonts w:hint="eastAsia" w:ascii="宋体" w:hAnsi="宋体" w:eastAsia="宋体" w:cs="宋体"/>
          <w:b w:val="0"/>
          <w:bCs/>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color w:val="auto"/>
          <w:sz w:val="24"/>
          <w:szCs w:val="24"/>
          <w:highlight w:val="none"/>
          <w:lang w:eastAsia="zh-CN"/>
        </w:rPr>
        <w:t xml:space="preserve">1、采购人应当在收到评审报告后5个工作日内，从评审报告提出的成交候选人中，根据质量和服务均能满足采购文件实质性响应要求且报价最低的原则确定成交供应商，也可以书面授权询价小组直接确定成交供应商。采购人逾期未确定成交供应商且不提出异议的，视为确定评审报告提出的最后报价最低</w:t>
      </w:r>
      <w:r>
        <w:rPr>
          <w:rFonts w:hint="eastAsia" w:ascii="宋体" w:hAnsi="宋体" w:eastAsia="宋体" w:cs="宋体"/>
          <w:b w:val="0"/>
          <w:bCs/>
          <w:color w:val="auto"/>
          <w:sz w:val="24"/>
          <w:szCs w:val="24"/>
          <w:highlight w:val="none"/>
          <w:lang w:val="en-US" w:eastAsia="zh-CN"/>
        </w:rPr>
        <w:t xml:space="preserve">(即综合单价最低）</w:t>
      </w:r>
      <w:r>
        <w:rPr>
          <w:rFonts w:hint="eastAsia" w:ascii="宋体" w:hAnsi="宋体" w:eastAsia="宋体" w:cs="宋体"/>
          <w:b w:val="0"/>
          <w:bCs/>
          <w:color w:val="auto"/>
          <w:sz w:val="24"/>
          <w:szCs w:val="24"/>
          <w:highlight w:val="none"/>
          <w:lang w:eastAsia="zh-CN"/>
        </w:rPr>
        <w:t xml:space="preserve">的供应商为成交供应商。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2、询价小组应当从质量和服务均能满足采购文件实质性响应要求的供应商中，按照报价由低到高的顺序提出3名以上成交候选人，并编写评审报告。</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3、采用询价采购方式采购的，评审结果按响应（投标）报价由低到高顺序排列。响应（投标）报价相同的并列。符合采购需求、质量和服务相等且报价最低的供应商为排名第一的中标（成交）候选供应商。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3、中标（成交）候选供应商并列的，采购人委托询价小组采取随机抽取的方式确定中标（成交）供应商。</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4、询价小组决定响应文件的响应性只根据响应文件本身的内容，而不寻求外部的证据。</w:t>
      </w:r>
      <w:r/>
    </w:p>
    <w:p>
      <w:pPr>
        <w:ind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5、对未中标（成交）的供应商，采购人有权不作任何解释。</w:t>
      </w:r>
      <w:r/>
    </w:p>
    <w:p>
      <w:pPr>
        <w:ind w:left="63" w:right="63" w:firstLine="47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24"/>
          <w:szCs w:val="24"/>
          <w:highlight w:val="none"/>
          <w:lang w:eastAsia="zh-CN"/>
        </w:rPr>
        <w:t xml:space="preserve">六、 其它</w:t>
      </w:r>
      <w:r/>
    </w:p>
    <w:p>
      <w:pPr>
        <w:ind w:left="63" w:right="63" w:firstLine="480"/>
        <w:jc w:val="both"/>
        <w:pageBreakBefore w:val="0"/>
        <w:spacing w:after="0" w:line="360" w:lineRule="auto"/>
        <w:rPr>
          <w:rFonts w:hint="eastAsia"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szCs w:val="24"/>
          <w:highlight w:val="none"/>
          <w:lang w:eastAsia="zh-CN"/>
        </w:rPr>
        <w:t xml:space="preserve">本办法未述及的事宜，由询价小组依据法律法规规定处理。</w:t>
      </w:r>
      <w:r/>
    </w:p>
    <w:p>
      <w:pPr>
        <w:pageBreakBefore w:val="0"/>
        <w:spacing w:after="0" w:line="360" w:lineRule="auto"/>
        <w:rPr>
          <w:rFonts w:hint="eastAsia" w:ascii="宋体" w:hAnsi="宋体" w:eastAsia="宋体" w:cs="宋体"/>
          <w:color w:val="auto"/>
          <w:sz w:val="28"/>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8"/>
          <w:szCs w:val="28"/>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bookmarkStart w:id="27" w:name="_Toc24885"/>
      <w:r>
        <w:rPr>
          <w:rFonts w:ascii="黑体" w:hAnsi="黑体" w:eastAsia="黑体" w:cs="黑体"/>
          <w:color w:val="auto"/>
          <w:sz w:val="44"/>
          <w:highlight w:val="none"/>
          <w:lang w:eastAsia="zh-CN"/>
        </w:rPr>
        <w:t xml:space="preserve">第六章  </w:t>
      </w:r>
      <w:r>
        <w:rPr>
          <w:rFonts w:hint="eastAsia" w:ascii="黑体" w:hAnsi="黑体" w:eastAsia="黑体" w:cs="黑体"/>
          <w:color w:val="auto"/>
          <w:sz w:val="44"/>
          <w:highlight w:val="none"/>
          <w:lang w:eastAsia="zh-CN"/>
        </w:rPr>
        <w:t xml:space="preserve">响应</w:t>
      </w:r>
      <w:r>
        <w:rPr>
          <w:rFonts w:ascii="黑体" w:hAnsi="黑体" w:eastAsia="黑体" w:cs="黑体"/>
          <w:color w:val="auto"/>
          <w:sz w:val="44"/>
          <w:highlight w:val="none"/>
          <w:lang w:eastAsia="zh-CN"/>
        </w:rPr>
        <w:t xml:space="preserve">文件格式</w:t>
      </w:r>
      <w:bookmarkEnd w:id="27"/>
      <w:r>
        <w:rPr>
          <w:rFonts w:ascii="黑体" w:hAnsi="黑体" w:eastAsia="黑体" w:cs="黑体"/>
          <w:color w:val="auto"/>
          <w:sz w:val="44"/>
          <w:highlight w:val="none"/>
          <w:lang w:eastAsia="zh-CN"/>
        </w:rPr>
        <w:t xml:space="preserve"> </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auto"/>
          <w:sz w:val="72"/>
          <w:highlight w:val="none"/>
          <w:lang w:eastAsia="zh-CN"/>
        </w:rPr>
        <w:t xml:space="preserve">响</w:t>
      </w:r>
      <w:r>
        <w:rPr>
          <w:rFonts w:hint="eastAsia" w:ascii="宋体" w:hAnsi="宋体" w:eastAsia="宋体" w:cs="宋体"/>
          <w:b/>
          <w:color w:val="auto"/>
          <w:sz w:val="72"/>
          <w:highlight w:val="none"/>
          <w:lang w:val="en-US" w:eastAsia="zh-CN"/>
        </w:rPr>
        <w:t xml:space="preserve"> </w:t>
      </w:r>
      <w:r>
        <w:rPr>
          <w:rFonts w:hint="eastAsia" w:ascii="宋体" w:hAnsi="宋体" w:eastAsia="宋体" w:cs="宋体"/>
          <w:b/>
          <w:color w:val="auto"/>
          <w:sz w:val="72"/>
          <w:highlight w:val="none"/>
          <w:lang w:eastAsia="zh-CN"/>
        </w:rPr>
        <w:t xml:space="preserve">应</w:t>
      </w:r>
      <w:r>
        <w:rPr>
          <w:rFonts w:ascii="宋体" w:hAnsi="宋体" w:eastAsia="宋体" w:cs="宋体"/>
          <w:b/>
          <w:color w:val="auto"/>
          <w:sz w:val="72"/>
          <w:highlight w:val="none"/>
          <w:lang w:eastAsia="zh-CN"/>
        </w:rPr>
        <w:t xml:space="preserve"> 文 件</w:t>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jc w:val="center"/>
        <w:pageBreakBefore w:val="0"/>
        <w:spacing w:after="0" w:line="360" w:lineRule="auto"/>
        <w:rPr>
          <w:rFonts w:ascii="宋体" w:hAnsi="宋体" w:eastAsia="宋体" w:cs="宋体"/>
          <w:b/>
          <w:color w:val="auto"/>
          <w:sz w:val="7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72"/>
          <w:highlight w:val="none"/>
          <w:lang w:eastAsia="zh-CN"/>
        </w:rPr>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名 称：</w:t>
      </w:r>
      <w:r>
        <w:rPr>
          <w:rFonts w:ascii="宋体" w:hAnsi="宋体" w:eastAsia="宋体" w:cs="宋体"/>
          <w:b/>
          <w:color w:val="auto"/>
          <w:sz w:val="36"/>
          <w:highlight w:val="none"/>
          <w:u w:val="single"/>
          <w:lang w:eastAsia="zh-CN"/>
        </w:rPr>
        <w:t xml:space="preserve"> </w:t>
      </w:r>
      <w:r/>
    </w:p>
    <w:p>
      <w:pPr>
        <w:ind w:firstLine="1084"/>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项 目 编 号：</w:t>
      </w:r>
      <w:r>
        <w:rPr>
          <w:rFonts w:ascii="宋体" w:hAnsi="宋体" w:eastAsia="宋体" w:cs="宋体"/>
          <w:b/>
          <w:color w:val="auto"/>
          <w:sz w:val="36"/>
          <w:highlight w:val="none"/>
          <w:u w:val="singl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w:t>
      </w:r>
      <w:r>
        <w:rPr>
          <w:rFonts w:hint="eastAsia" w:ascii="宋体" w:hAnsi="宋体" w:eastAsia="宋体" w:cs="宋体"/>
          <w:b/>
          <w:color w:val="auto"/>
          <w:sz w:val="36"/>
          <w:highlight w:val="none"/>
          <w:lang w:eastAsia="zh-CN"/>
        </w:rPr>
        <w:t xml:space="preserve">供应商</w:t>
      </w:r>
      <w:r>
        <w:rPr>
          <w:rFonts w:ascii="宋体" w:hAnsi="宋体" w:eastAsia="宋体" w:cs="宋体"/>
          <w:b/>
          <w:color w:val="auto"/>
          <w:sz w:val="36"/>
          <w:highlight w:val="none"/>
          <w:lang w:eastAsia="zh-CN"/>
        </w:rPr>
        <w:t xml:space="preserve">名称 ：</w:t>
      </w:r>
      <w:r>
        <w:rPr>
          <w:rFonts w:ascii="宋体" w:hAnsi="宋体" w:eastAsia="宋体" w:cs="宋体"/>
          <w:b/>
          <w:color w:val="auto"/>
          <w:sz w:val="36"/>
          <w:highlight w:val="none"/>
          <w:u w:val="single"/>
          <w:lang w:eastAsia="zh-CN"/>
        </w:rPr>
        <w:t xml:space="preserve">（加盖CA电子公章）</w:t>
      </w:r>
      <w:r/>
    </w:p>
    <w:p>
      <w:pPr>
        <w:jc w:val="both"/>
        <w:pageBreakBefore w:val="0"/>
        <w:spacing w:after="0" w:line="360" w:lineRule="auto"/>
        <w:rPr>
          <w:color w:val="auto"/>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b/>
          <w:color w:val="auto"/>
          <w:sz w:val="36"/>
          <w:highlight w:val="none"/>
          <w:lang w:eastAsia="zh-CN"/>
        </w:rPr>
        <w:t xml:space="preserve">   日   期 ：</w:t>
      </w:r>
      <w:r>
        <w:rPr>
          <w:rFonts w:hint="eastAsia" w:ascii="宋体" w:hAnsi="宋体" w:eastAsia="宋体" w:cs="宋体"/>
          <w:b/>
          <w:color w:val="auto"/>
          <w:sz w:val="36"/>
          <w:highlight w:val="none"/>
          <w:u w:val="single"/>
          <w:lang w:val="en-US"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b/>
          <w:color w:val="auto"/>
          <w:sz w:val="30"/>
          <w:highlight w:val="none"/>
          <w:lang w:eastAsia="zh-CN"/>
        </w:rPr>
        <w:t xml:space="preserve"> </w:t>
      </w:r>
      <w:r/>
    </w:p>
    <w:p>
      <w:pPr>
        <w:jc w:val="center"/>
        <w:pageBreakBefore w:val="0"/>
        <w:spacing w:after="0" w:line="360" w:lineRule="auto"/>
        <w:rPr>
          <w:rFonts w:ascii="黑体" w:hAnsi="黑体" w:eastAsia="黑体" w:cs="宋体"/>
          <w:bCs/>
          <w:color w:val="auto"/>
          <w:sz w:val="28"/>
          <w:szCs w:val="28"/>
          <w:highlight w:val="none"/>
        </w:rPr>
      </w:pPr>
      <w:r>
        <w:rPr>
          <w:rFonts w:hint="eastAsia" w:ascii="黑体" w:hAnsi="黑体" w:eastAsia="黑体" w:cs="宋体"/>
          <w:bCs/>
          <w:color w:val="auto"/>
          <w:sz w:val="28"/>
          <w:szCs w:val="28"/>
          <w:highlight w:val="none"/>
        </w:rPr>
        <w:t xml:space="preserve">响 应 函</w:t>
      </w:r>
      <w:r/>
    </w:p>
    <w:p>
      <w:pPr>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致：【采购单位】</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根据贵方</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lang w:eastAsia="zh-CN"/>
        </w:rPr>
        <w:t xml:space="preserve">项目</w:t>
      </w:r>
      <w:r>
        <w:rPr>
          <w:rFonts w:hint="eastAsia" w:ascii="宋体" w:hAnsi="宋体"/>
          <w:color w:val="auto"/>
          <w:sz w:val="24"/>
          <w:szCs w:val="24"/>
          <w:highlight w:val="none"/>
        </w:rPr>
        <w:t xml:space="preserve">编号：</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）采购文件，遵照《中华人民共和国政府采购法》《中华人民共和国政府采购法实施条例》等有关规定，经研究上述采购文件的须知、合同条款、项目需求及其他条款后，正式授权</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全权代表</w:t>
      </w:r>
      <w:r>
        <w:rPr>
          <w:rFonts w:hint="eastAsia" w:ascii="宋体" w:hAnsi="宋体"/>
          <w:color w:val="auto"/>
          <w:sz w:val="24"/>
          <w:szCs w:val="24"/>
          <w:highlight w:val="none"/>
          <w:u w:val="single"/>
        </w:rPr>
        <w:t xml:space="preserve">     </w:t>
      </w:r>
      <w:r>
        <w:rPr>
          <w:rFonts w:hint="eastAsia" w:ascii="宋体" w:hAnsi="宋体"/>
          <w:color w:val="auto"/>
          <w:sz w:val="24"/>
          <w:szCs w:val="24"/>
          <w:highlight w:val="none"/>
        </w:rPr>
        <w:t xml:space="preserve">参加贵方组织的采购活动，并按照采购文件要求提交响应文件。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据此函，签字人兹宣布同意如下：</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1.按采购文件项目需求提交响应报价，报价、交货期等详见开标一览表。</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2.我方同意在本采购文件中规定的响应文件递交截止之日起60天内遵守本响应文件中的承诺且在此期限期满之前均具有约束力。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3.我方承诺已经具备《中华人民共和国政府采购法》中规定的参加政府采购活动的供应商应当具备的条件：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（1）具有独立承担民事责任的能力；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（2）具有良好的商业信誉和健全的财务会计制度；</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（3）具有履行合同所必需的设备和专业技术能力；</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（4）有依法缴纳税收和社会保障资金的良好记录；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（5）参加此项采购活动前三年内，在经营活动中没有重大违法记录。</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4.我方根据采购文件的规定，承担完成合同的责任和义务。</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5.我方已详细审核采购文件，我方知道必须放弃提出含糊不清或误解问题的权利。</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6.如果在响应文件有效期内撤回或者有其他违约行为，我方的保证金可被贵方全部或部分没收。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7.同意应贵方要求提供与本次采购活动有关的任何数据或资料。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8.我方完全理解，最低报价不是中标（成交）的唯一条件。</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9.若贵方需要，我方愿意提供我方作出的一切承诺的证明材料。</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10.我方将严格遵守《中华人民共和国政府采购法》第七十七条规定，供应商有下列情形之一的，处以采购金额5‰以上10‰以下的罚款，列入不良行为记录名单，在一至三年内禁止参加政府采购活动，有违法所得的，并处没收违法所得，情节严重的，由工商行政管理机关吊销营业执照；构成犯罪的，依法追究刑事责任：</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（1）提供虚假材料谋取中标、成交的；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（2）采取不正当手段诋毁、排挤其他供应商的；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（3）与采购人、其他供应商或者采购代理机构恶意串通的；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（4）向采购人、采购代理机构行贿或者提供其他不正当利益的；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（5）在招标采购过程中与采购人进行协商谈判的；</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（6）拒绝有关部门监督检查或提供虚假情况的。</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法定代表人签字（或盖章）：</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供应商公章： </w:t>
      </w:r>
      <w:r/>
    </w:p>
    <w:p>
      <w:pPr>
        <w:ind w:firstLine="480"/>
        <w:jc w:val="left"/>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日期： </w:t>
      </w:r>
      <w:r/>
    </w:p>
    <w:p>
      <w:pPr>
        <w:ind w:firstLine="480"/>
        <w:jc w:val="left"/>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w:t>
      </w:r>
      <w:r/>
    </w:p>
    <w:p>
      <w:pPr>
        <w:ind w:firstLine="480"/>
        <w:jc w:val="left"/>
        <w:pageBreakBefore w:val="0"/>
        <w:spacing w:after="0" w:line="360" w:lineRule="auto"/>
        <w:rPr>
          <w:rFonts w:hint="eastAsia" w:ascii="宋体" w:hAnsi="宋体"/>
          <w:bCs/>
          <w:color w:val="auto"/>
          <w:sz w:val="24"/>
          <w:szCs w:val="24"/>
          <w:highlight w:val="none"/>
        </w:rPr>
      </w:pPr>
      <w:r>
        <w:rPr>
          <w:rFonts w:hint="eastAsia" w:ascii="宋体" w:hAnsi="宋体"/>
          <w:bCs/>
          <w:color w:val="auto"/>
          <w:sz w:val="24"/>
          <w:szCs w:val="24"/>
          <w:highlight w:val="none"/>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keepNext/>
        <w:pageBreakBefore w:val="0"/>
        <w:spacing w:after="0" w:line="360" w:lineRule="auto"/>
        <w:rPr>
          <w:rFonts w:ascii="宋体" w:hAnsi="宋体"/>
          <w:b/>
          <w:bCs/>
          <w:color w:val="auto"/>
          <w:sz w:val="28"/>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1</w:t>
      </w:r>
      <w:r>
        <w:rPr>
          <w:rFonts w:hint="eastAsia" w:ascii="宋体" w:hAnsi="宋体"/>
          <w:b/>
          <w:bCs/>
          <w:color w:val="auto"/>
          <w:sz w:val="24"/>
          <w:szCs w:val="24"/>
          <w:highlight w:val="none"/>
        </w:rPr>
        <w:t xml:space="preserve">、开标一览表</w:t>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开标一览表</w:t>
      </w:r>
      <w:r/>
    </w:p>
    <w:p>
      <w:pPr>
        <w:ind w:firstLine="720"/>
        <w:jc w:val="left"/>
        <w:pageBreakBefore w:val="0"/>
        <w:spacing w:after="0" w:line="360" w:lineRule="auto"/>
        <w:rPr>
          <w:rFonts w:hint="eastAsia" w:ascii="宋体" w:hAnsi="宋体" w:eastAsia="宋体" w:cs="方正仿宋_GBK"/>
          <w:color w:val="auto"/>
          <w:sz w:val="24"/>
          <w:szCs w:val="24"/>
          <w:highlight w:val="none"/>
          <w:lang w:eastAsia="zh-CN"/>
        </w:rPr>
      </w:pPr>
      <w:r>
        <w:rPr>
          <w:rFonts w:hint="eastAsia" w:ascii="宋体" w:hAnsi="宋体" w:cs="方正仿宋_GBK"/>
          <w:color w:val="auto"/>
          <w:sz w:val="24"/>
          <w:szCs w:val="24"/>
          <w:highlight w:val="none"/>
        </w:rPr>
        <w:t xml:space="preserve">项目编号：</w:t>
      </w:r>
      <w:r/>
    </w:p>
    <w:p>
      <w:pPr>
        <w:ind w:firstLine="720"/>
        <w:jc w:val="left"/>
        <w:pageBreakBefore w:val="0"/>
        <w:spacing w:after="0" w:line="360" w:lineRule="auto"/>
        <w:rPr>
          <w:rFonts w:hint="eastAsia" w:ascii="宋体" w:hAnsi="宋体" w:eastAsia="宋体"/>
          <w:color w:val="auto"/>
          <w:sz w:val="24"/>
          <w:szCs w:val="24"/>
          <w:highlight w:val="none"/>
          <w:lang w:eastAsia="zh-CN"/>
        </w:rPr>
      </w:pPr>
      <w:r>
        <w:rPr>
          <w:rFonts w:hint="eastAsia" w:ascii="宋体" w:hAnsi="宋体" w:cs="方正仿宋_GBK"/>
          <w:color w:val="auto"/>
          <w:sz w:val="24"/>
          <w:szCs w:val="24"/>
          <w:highlight w:val="none"/>
        </w:rPr>
        <w:t xml:space="preserve">项目名称：</w:t>
      </w:r>
      <w:r/>
    </w:p>
    <w:tbl>
      <w:tblPr>
        <w:tblStyle w:val="68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369"/>
        <w:gridCol w:w="4678"/>
      </w:tblGrid>
      <w:tr>
        <w:trPr>
          <w:cantSplit/>
          <w:jc w:val="center"/>
          <w:trHeight w:val="1310"/>
        </w:trPr>
        <w:tc>
          <w:tcPr>
            <w:tcW w:w="3369" w:type="dxa"/>
            <w:vAlign w:val="center"/>
            <w:textDirection w:val="lrTb"/>
            <w:noWrap w:val="false"/>
          </w:tcPr>
          <w:p>
            <w:pPr>
              <w:jc w:val="center"/>
              <w:pageBreakBefore w:val="0"/>
              <w:spacing w:after="0" w:line="360" w:lineRule="auto"/>
              <w:rPr>
                <w:rFonts w:ascii="宋体" w:hAnsi="宋体"/>
                <w:bCs/>
                <w:color w:val="auto"/>
                <w:sz w:val="24"/>
                <w:szCs w:val="24"/>
                <w:highlight w:val="none"/>
              </w:rPr>
            </w:pPr>
            <w:r>
              <w:rPr>
                <w:rFonts w:ascii="宋体" w:hAnsi="宋体"/>
                <w:bCs/>
                <w:color w:val="auto"/>
                <w:sz w:val="24"/>
                <w:szCs w:val="24"/>
                <w:highlight w:val="none"/>
              </w:rPr>
              <w:t xml:space="preserve">标题</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内容</w:t>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rPr>
              <w:t xml:space="preserve">单价报价</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元/*</w:t>
            </w:r>
            <w:r>
              <w:rPr>
                <w:rFonts w:hint="eastAsia" w:ascii="宋体" w:hAnsi="宋体"/>
                <w:bCs/>
                <w:color w:val="auto"/>
                <w:sz w:val="24"/>
                <w:szCs w:val="24"/>
                <w:highlight w:val="none"/>
                <w:lang w:eastAsia="zh-CN"/>
              </w:rPr>
              <w:t xml:space="preserve">）</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tc>
      </w:tr>
      <w:tr>
        <w:trPr>
          <w:cantSplit/>
          <w:jc w:val="center"/>
          <w:trHeight w:val="1310"/>
        </w:trPr>
        <w:tc>
          <w:tcPr>
            <w:tcW w:w="3369" w:type="dxa"/>
            <w:vAlign w:val="center"/>
            <w:textDirection w:val="lrTb"/>
            <w:noWrap w:val="false"/>
          </w:tcPr>
          <w:p>
            <w:pPr>
              <w:jc w:val="center"/>
              <w:pageBreakBefore w:val="0"/>
              <w:spacing w:after="0" w:line="360" w:lineRule="auto"/>
              <w:rPr>
                <w:rFonts w:hint="eastAsia" w:ascii="宋体" w:hAnsi="宋体" w:eastAsiaTheme="minorEastAsia"/>
                <w:bCs/>
                <w:color w:val="auto"/>
                <w:sz w:val="24"/>
                <w:szCs w:val="24"/>
                <w:highlight w:val="none"/>
                <w:lang w:eastAsia="zh-CN"/>
              </w:rPr>
            </w:pPr>
            <w:r>
              <w:rPr>
                <w:rFonts w:hint="eastAsia" w:ascii="宋体" w:hAnsi="宋体"/>
                <w:bCs/>
                <w:color w:val="auto"/>
                <w:sz w:val="24"/>
                <w:szCs w:val="24"/>
                <w:highlight w:val="none"/>
                <w:lang w:eastAsia="zh-CN"/>
              </w:rPr>
              <w:t xml:space="preserve">交货期</w:t>
            </w:r>
            <w:r/>
          </w:p>
        </w:tc>
        <w:tc>
          <w:tcPr>
            <w:tcW w:w="4678" w:type="dxa"/>
            <w:vAlign w:val="center"/>
            <w:textDirection w:val="lrTb"/>
            <w:noWrap w:val="false"/>
          </w:tcPr>
          <w:p>
            <w:pPr>
              <w:jc w:val="center"/>
              <w:pageBreakBefore w:val="0"/>
              <w:spacing w:after="0" w:line="360" w:lineRule="auto"/>
              <w:rPr>
                <w:rFonts w:ascii="宋体" w:hAnsi="宋体"/>
                <w:color w:val="auto"/>
                <w:sz w:val="24"/>
                <w:szCs w:val="24"/>
                <w:highlight w:val="none"/>
              </w:rPr>
            </w:pPr>
            <w:r>
              <w:rPr>
                <w:rFonts w:hint="eastAsia" w:ascii="宋体" w:hAnsi="宋体" w:eastAsia="宋体" w:cs="宋体"/>
                <w:b w:val="0"/>
                <w:bCs w:val="0"/>
                <w:color w:val="auto"/>
                <w:sz w:val="24"/>
                <w:szCs w:val="24"/>
                <w:highlight w:val="none"/>
                <w:lang w:val="en-US" w:eastAsia="zh-CN"/>
              </w:rPr>
              <w:t xml:space="preserve">在接到采购人通知供货后7日内将货物送至采购人指定的地点完成供货。</w:t>
            </w:r>
            <w:r/>
          </w:p>
        </w:tc>
      </w:tr>
    </w:tbl>
    <w:p>
      <w:pPr>
        <w:pStyle w:val="909"/>
        <w:ind w:firstLine="551"/>
        <w:pageBreakBefore w:val="0"/>
        <w:spacing w:line="360" w:lineRule="auto"/>
        <w:rPr>
          <w:rFonts w:hint="eastAsia"/>
          <w:b/>
          <w:color w:val="auto"/>
          <w:sz w:val="24"/>
          <w:szCs w:val="24"/>
          <w:highlight w:val="none"/>
          <w:lang w:val="en-US" w:eastAsia="zh-CN"/>
        </w:rPr>
      </w:pPr>
      <w:r>
        <w:rPr>
          <w:rFonts w:hint="eastAsia"/>
          <w:b/>
          <w:color w:val="auto"/>
          <w:sz w:val="24"/>
          <w:szCs w:val="24"/>
          <w:highlight w:val="none"/>
          <w:lang w:val="en-US" w:eastAsia="zh-CN"/>
        </w:rPr>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lang w:eastAsia="zh-CN"/>
        </w:rPr>
        <w:t xml:space="preserve">供应商</w:t>
      </w:r>
      <w:r>
        <w:rPr>
          <w:rFonts w:hint="eastAsia" w:ascii="宋体" w:hAnsi="宋体" w:cs="方正仿宋_GBK"/>
          <w:color w:val="auto"/>
          <w:sz w:val="24"/>
          <w:szCs w:val="24"/>
          <w:highlight w:val="none"/>
        </w:rPr>
        <w:t xml:space="preserve">（盖章）：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法定代表人或委托代理人（签字或盖章）：</w:t>
      </w:r>
      <w:r/>
    </w:p>
    <w:p>
      <w:pPr>
        <w:ind w:firstLine="720"/>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日期：    年     月     日</w:t>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hint="default" w:ascii="Times New Roman" w:hAnsi="Times New Roman" w:eastAsia="Times New Roman" w:cs="Times New Roman"/>
          <w:b/>
          <w:color w:val="auto"/>
          <w:sz w:val="24"/>
          <w:szCs w:val="24"/>
          <w:highlight w:val="none"/>
          <w:lang w:val="en-US" w:eastAsia="zh-CN"/>
        </w:rPr>
      </w:pPr>
      <w:r>
        <w:rPr>
          <w:rFonts w:hint="eastAsia" w:ascii="Times New Roman" w:hAnsi="Times New Roman" w:eastAsia="Times New Roman" w:cs="Times New Roman"/>
          <w:b/>
          <w:color w:val="auto"/>
          <w:sz w:val="24"/>
          <w:szCs w:val="24"/>
          <w:highlight w:val="none"/>
          <w:lang w:val="en-US" w:eastAsia="zh-CN"/>
        </w:rPr>
        <w:t xml:space="preserve">注：如采购包中有多个采购产品的，单价报价为多个采购产品单价累加进行报价评审。</w:t>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pStyle w:val="909"/>
        <w:pageBreakBefore w:val="0"/>
        <w:spacing w:line="360" w:lineRule="auto"/>
        <w:rPr>
          <w:rFonts w:hint="default" w:ascii="Times New Roman" w:hAnsi="Times New Roman" w:eastAsia="Times New Roman" w:cs="Times New Roman"/>
          <w:b/>
          <w:color w:val="auto"/>
          <w:sz w:val="30"/>
          <w:highlight w:val="none"/>
          <w:lang w:val="en-US" w:eastAsia="zh-CN"/>
        </w:rPr>
      </w:pPr>
      <w:r>
        <w:rPr>
          <w:rFonts w:hint="default" w:ascii="Times New Roman" w:hAnsi="Times New Roman" w:eastAsia="Times New Roman" w:cs="Times New Roman"/>
          <w:b/>
          <w:color w:val="auto"/>
          <w:sz w:val="30"/>
          <w:highlight w:val="none"/>
          <w:lang w:val="en-US" w:eastAsia="zh-CN"/>
        </w:rPr>
      </w:r>
      <w:r/>
    </w:p>
    <w:p>
      <w:pPr>
        <w:keepNext/>
        <w:pageBreakBefore w:val="0"/>
        <w:spacing w:after="0" w:line="360" w:lineRule="auto"/>
        <w:rPr>
          <w:rFonts w:ascii="宋体" w:hAnsi="宋体"/>
          <w:b/>
          <w:bCs/>
          <w:color w:val="auto"/>
          <w:sz w:val="32"/>
          <w:szCs w:val="20"/>
          <w:highlight w:val="none"/>
        </w:rPr>
        <w:outlineLvl w:val="1"/>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、报价明细表</w:t>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t xml:space="preserve">报价明细表</w:t>
      </w:r>
      <w:r/>
    </w:p>
    <w:p>
      <w:pPr>
        <w:jc w:val="left"/>
        <w:pageBreakBefore w:val="0"/>
        <w:spacing w:after="0" w:line="360" w:lineRule="auto"/>
        <w:rPr>
          <w:rFonts w:ascii="宋体" w:hAnsi="宋体" w:cs="方正仿宋_GBK"/>
          <w:color w:val="auto"/>
          <w:sz w:val="24"/>
          <w:szCs w:val="24"/>
          <w:highlight w:val="none"/>
        </w:rPr>
      </w:pPr>
      <w:r>
        <w:rPr>
          <w:rFonts w:hint="eastAsia" w:ascii="宋体" w:hAnsi="宋体" w:cs="方正仿宋_GBK"/>
          <w:color w:val="auto"/>
          <w:sz w:val="24"/>
          <w:szCs w:val="24"/>
          <w:highlight w:val="none"/>
        </w:rPr>
        <w:t xml:space="preserve">项目名称：</w:t>
      </w:r>
      <w:r/>
    </w:p>
    <w:p>
      <w:pPr>
        <w:jc w:val="left"/>
        <w:pageBreakBefore w:val="0"/>
        <w:spacing w:after="0" w:line="360" w:lineRule="auto"/>
        <w:rPr>
          <w:rFonts w:ascii="Times New Roman" w:hAnsi="Times New Roman" w:eastAsia="Times New Roman" w:cs="Times New Roman"/>
          <w:b/>
          <w:color w:val="auto"/>
          <w:sz w:val="30"/>
          <w:highlight w:val="none"/>
          <w:lang w:eastAsia="zh-CN"/>
        </w:rPr>
      </w:pPr>
      <w:r>
        <w:rPr>
          <w:rFonts w:hint="eastAsia" w:ascii="宋体" w:hAnsi="宋体" w:cs="方正仿宋_GBK"/>
          <w:color w:val="auto"/>
          <w:sz w:val="24"/>
          <w:szCs w:val="24"/>
          <w:highlight w:val="none"/>
        </w:rPr>
        <w:t xml:space="preserve">项目编号：</w:t>
      </w:r>
      <w:r/>
    </w:p>
    <w:tbl>
      <w:tblPr>
        <w:tblStyle w:val="688"/>
        <w:tblpPr w:horzAnchor="page" w:tblpX="1629" w:vertAnchor="text" w:tblpY="273" w:leftFromText="180" w:topFromText="0" w:rightFromText="180" w:bottomFromText="0"/>
        <w:tblW w:w="937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32"/>
        <w:gridCol w:w="1424"/>
        <w:gridCol w:w="900"/>
        <w:gridCol w:w="840"/>
        <w:gridCol w:w="1755"/>
        <w:gridCol w:w="1245"/>
        <w:gridCol w:w="990"/>
        <w:gridCol w:w="1284"/>
      </w:tblGrid>
      <w:tr>
        <w:trPr>
          <w:jc w:val="center"/>
          <w:trHeight w:val="1086"/>
        </w:trPr>
        <w:tc>
          <w:tcPr>
            <w:tcBorders>
              <w:bottom w:val="single" w:color="auto" w:sz="4" w:space="0"/>
            </w:tcBorders>
            <w:tcW w:w="932"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包号</w:t>
            </w:r>
            <w:r/>
          </w:p>
        </w:tc>
        <w:tc>
          <w:tcPr>
            <w:tcBorders>
              <w:bottom w:val="single" w:color="auto" w:sz="4" w:space="0"/>
            </w:tcBorders>
            <w:tcW w:w="142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采购产品</w:t>
            </w:r>
            <w:r/>
          </w:p>
        </w:tc>
        <w:tc>
          <w:tcPr>
            <w:tcW w:w="900" w:type="dxa"/>
            <w:vAlign w:val="center"/>
            <w:textDirection w:val="lrTb"/>
            <w:noWrap w:val="false"/>
          </w:tcPr>
          <w:p>
            <w:pPr>
              <w:jc w:val="center"/>
              <w:keepLines w:val="0"/>
              <w:keepNext w:val="0"/>
              <w:pageBreakBefore w:val="0"/>
              <w:spacing w:after="0"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品牌</w:t>
            </w:r>
            <w:r/>
          </w:p>
        </w:tc>
        <w:tc>
          <w:tcPr>
            <w:tcW w:w="840"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规格</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型号</w:t>
            </w:r>
            <w:r/>
          </w:p>
        </w:tc>
        <w:tc>
          <w:tcPr>
            <w:tcW w:w="1755"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单价（元/*）</w:t>
            </w:r>
            <w:r/>
          </w:p>
        </w:tc>
        <w:tc>
          <w:tcPr>
            <w:tcW w:w="1245" w:type="dxa"/>
            <w:vAlign w:val="center"/>
            <w:textDirection w:val="lrTb"/>
            <w:noWrap w:val="false"/>
          </w:tcPr>
          <w:p>
            <w:pPr>
              <w:jc w:val="center"/>
              <w:keepLines w:val="0"/>
              <w:keepNext w:val="0"/>
              <w:pageBreakBefore w:val="0"/>
              <w:spacing w:after="0"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数量（*）</w:t>
            </w:r>
            <w:r/>
          </w:p>
        </w:tc>
        <w:tc>
          <w:tcPr>
            <w:tcW w:w="990"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金额</w:t>
            </w:r>
            <w:r/>
          </w:p>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（元）</w:t>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备注</w:t>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r>
        <w:trPr>
          <w:jc w:val="center"/>
          <w:trHeight w:val="742" w:hRule="exact"/>
        </w:trPr>
        <w:tc>
          <w:tcPr>
            <w:tcBorders>
              <w:top w:val="single" w:color="auto" w:sz="4" w:space="0"/>
              <w:left w:val="single" w:color="auto" w:sz="4" w:space="0"/>
              <w:bottom w:val="single" w:color="auto" w:sz="4" w:space="0"/>
              <w:right w:val="single" w:color="auto" w:sz="4" w:space="0"/>
            </w:tcBorders>
            <w:tcW w:w="932"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Borders>
              <w:top w:val="single" w:color="auto" w:sz="4" w:space="0"/>
              <w:left w:val="single" w:color="auto" w:sz="4" w:space="0"/>
              <w:bottom w:val="single" w:color="auto" w:sz="4" w:space="0"/>
              <w:right w:val="single" w:color="auto" w:sz="4" w:space="0"/>
            </w:tcBorders>
            <w:tcW w:w="1424" w:type="dxa"/>
            <w:vAlign w:val="center"/>
            <w:textDirection w:val="lrTb"/>
            <w:noWrap w:val="false"/>
          </w:tcPr>
          <w:p>
            <w:pPr>
              <w:jc w:val="center"/>
              <w:keepLines w:val="0"/>
              <w:keepNext w:val="0"/>
              <w:pageBreakBefore w:val="0"/>
              <w:spacing w:after="0" w:line="360" w:lineRule="auto"/>
              <w:widowControl/>
              <w:rPr>
                <w:rFonts w:hint="default" w:ascii="仿宋" w:hAnsi="仿宋" w:eastAsia="仿宋" w:cs="仿宋"/>
                <w:color w:val="auto"/>
                <w:sz w:val="24"/>
                <w:szCs w:val="24"/>
                <w:lang w:val="en-US" w:eastAsia="zh-CN" w:bidi="ar-SA"/>
              </w:rPr>
              <w:suppressLineNumbers w:val="0"/>
            </w:pPr>
            <w:r>
              <w:rPr>
                <w:rFonts w:hint="default" w:ascii="仿宋" w:hAnsi="仿宋" w:eastAsia="仿宋" w:cs="仿宋"/>
                <w:color w:val="auto"/>
                <w:sz w:val="24"/>
                <w:szCs w:val="24"/>
                <w:lang w:val="en-US" w:eastAsia="zh-CN" w:bidi="ar-SA"/>
              </w:rPr>
            </w:r>
            <w:r/>
          </w:p>
        </w:tc>
        <w:tc>
          <w:tcPr>
            <w:tcBorders>
              <w:left w:val="single" w:color="auto" w:sz="4" w:space="0"/>
            </w:tcBorders>
            <w:tcW w:w="900"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szCs w:val="24"/>
                <w:lang w:val="en-US" w:eastAsia="zh-CN" w:bidi="ar-SA"/>
              </w:rPr>
              <w:suppressLineNumbers w:val="0"/>
            </w:pPr>
            <w:r>
              <w:rPr>
                <w:rFonts w:hint="eastAsia" w:ascii="仿宋" w:hAnsi="仿宋" w:eastAsia="仿宋" w:cs="仿宋"/>
                <w:color w:val="auto"/>
                <w:sz w:val="24"/>
                <w:szCs w:val="24"/>
                <w:lang w:val="en-US" w:eastAsia="zh-CN" w:bidi="ar-SA"/>
              </w:rPr>
            </w:r>
            <w:r/>
          </w:p>
        </w:tc>
        <w:tc>
          <w:tcPr>
            <w:tcBorders>
              <w:left w:val="single" w:color="auto" w:sz="4" w:space="0"/>
            </w:tcBorders>
            <w:tcW w:w="840"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755" w:type="dxa"/>
            <w:vAlign w:val="center"/>
            <w:textDirection w:val="lrTb"/>
            <w:noWrap w:val="false"/>
          </w:tcPr>
          <w:p>
            <w:pPr>
              <w:jc w:val="center"/>
              <w:keepLines w:val="0"/>
              <w:keepNext w:val="0"/>
              <w:pageBreakBefore w:val="0"/>
              <w:spacing w:after="0" w:line="360" w:lineRule="auto"/>
              <w:widowControl/>
              <w:rPr>
                <w:rFonts w:hint="eastAsia" w:ascii="宋体" w:hAnsi="宋体" w:eastAsia="宋体" w:cs="宋体"/>
                <w:color w:val="auto"/>
                <w:sz w:val="24"/>
                <w:szCs w:val="24"/>
                <w:highlight w:val="red"/>
                <w:lang w:val="en-US" w:eastAsia="zh-CN" w:bidi="ar-SA"/>
              </w:rPr>
              <w:suppressLineNumbers w:val="0"/>
            </w:pPr>
            <w:r>
              <w:rPr>
                <w:rFonts w:hint="eastAsia" w:ascii="宋体" w:hAnsi="宋体" w:eastAsia="宋体" w:cs="宋体"/>
                <w:color w:val="auto"/>
                <w:sz w:val="24"/>
                <w:szCs w:val="24"/>
                <w:highlight w:val="red"/>
                <w:lang w:val="en-US" w:eastAsia="zh-CN" w:bidi="ar-SA"/>
              </w:rPr>
            </w:r>
            <w:r/>
          </w:p>
        </w:tc>
        <w:tc>
          <w:tcPr>
            <w:tcW w:w="1245" w:type="dxa"/>
            <w:vAlign w:val="center"/>
            <w:textDirection w:val="lrTb"/>
            <w:noWrap w:val="false"/>
          </w:tcPr>
          <w:p>
            <w:pPr>
              <w:jc w:val="center"/>
              <w:keepLines w:val="0"/>
              <w:keepNext w:val="0"/>
              <w:pageBreakBefore w:val="0"/>
              <w:spacing w:after="0" w:line="360" w:lineRule="auto"/>
              <w:widowControl/>
              <w:rPr>
                <w:rFonts w:hint="eastAsia" w:ascii="仿宋" w:hAnsi="仿宋" w:eastAsia="仿宋" w:cs="仿宋"/>
                <w:color w:val="auto"/>
                <w:sz w:val="24"/>
                <w:lang w:val="en-US" w:eastAsia="zh-CN"/>
              </w:rPr>
            </w:pPr>
            <w:r>
              <w:rPr>
                <w:rFonts w:hint="eastAsia" w:ascii="仿宋" w:hAnsi="仿宋" w:eastAsia="仿宋" w:cs="仿宋"/>
                <w:color w:val="auto"/>
                <w:sz w:val="24"/>
                <w:lang w:val="en-US" w:eastAsia="zh-CN"/>
              </w:rPr>
            </w:r>
            <w:r/>
          </w:p>
        </w:tc>
        <w:tc>
          <w:tcPr>
            <w:tcW w:w="990" w:type="dxa"/>
            <w:vAlign w:val="center"/>
            <w:textDirection w:val="lrTb"/>
            <w:noWrap w:val="false"/>
          </w:tcPr>
          <w:p>
            <w:pPr>
              <w:jc w:val="center"/>
              <w:keepLines w:val="0"/>
              <w:keepNext w:val="0"/>
              <w:pageBreakBefore w:val="0"/>
              <w:spacing w:after="0" w:line="360" w:lineRule="auto"/>
              <w:widowControl/>
              <w:rPr>
                <w:rFonts w:hint="default" w:ascii="宋体" w:hAnsi="宋体" w:eastAsia="宋体" w:cs="宋体"/>
                <w:color w:val="auto"/>
                <w:sz w:val="24"/>
                <w:szCs w:val="24"/>
                <w:highlight w:val="none"/>
                <w:lang w:val="en-US" w:eastAsia="zh-CN" w:bidi="ar-SA"/>
              </w:rPr>
            </w:pPr>
            <w:r>
              <w:rPr>
                <w:rFonts w:hint="default" w:ascii="宋体" w:hAnsi="宋体" w:eastAsia="宋体" w:cs="宋体"/>
                <w:color w:val="auto"/>
                <w:sz w:val="24"/>
                <w:szCs w:val="24"/>
                <w:highlight w:val="none"/>
                <w:lang w:val="en-US" w:eastAsia="zh-CN" w:bidi="ar-SA"/>
              </w:rPr>
            </w:r>
            <w:r/>
          </w:p>
        </w:tc>
        <w:tc>
          <w:tcPr>
            <w:tcW w:w="1284" w:type="dxa"/>
            <w:vAlign w:val="center"/>
            <w:textDirection w:val="lrTb"/>
            <w:noWrap w:val="false"/>
          </w:tcPr>
          <w:p>
            <w:pPr>
              <w:jc w:val="center"/>
              <w:keepLines w:val="0"/>
              <w:keepNext w:val="0"/>
              <w:pageBreakBefore w:val="0"/>
              <w:spacing w:after="0"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r>
    </w:tbl>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717"/>
        <w:ind w:left="0" w:firstLine="0"/>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jc w:val="center"/>
        <w:pageBreakBefore w:val="0"/>
        <w:spacing w:after="0" w:line="360" w:lineRule="auto"/>
        <w:rPr>
          <w:rFonts w:hint="eastAsia" w:ascii="宋体" w:hAnsi="宋体" w:cs="宋体"/>
          <w:b/>
          <w:bCs/>
          <w:color w:val="auto"/>
          <w:sz w:val="36"/>
          <w:szCs w:val="28"/>
          <w:highlight w:val="none"/>
        </w:rPr>
      </w:pPr>
      <w:r>
        <w:rPr>
          <w:rFonts w:hint="eastAsia" w:ascii="宋体" w:hAnsi="宋体" w:cs="宋体"/>
          <w:b/>
          <w:bCs/>
          <w:color w:val="auto"/>
          <w:sz w:val="36"/>
          <w:szCs w:val="28"/>
          <w:highlight w:val="none"/>
        </w:rPr>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（盖章）：</w:t>
      </w:r>
      <w:r/>
    </w:p>
    <w:p>
      <w:pPr>
        <w:ind w:firstLine="440"/>
        <w:pageBreakBefore w:val="0"/>
        <w:spacing w:after="0" w:line="360" w:lineRule="auto"/>
        <w:rPr>
          <w:rFonts w:ascii="宋体" w:hAnsi="宋体"/>
          <w:color w:val="auto"/>
          <w:szCs w:val="24"/>
          <w:highlight w:val="none"/>
        </w:rPr>
      </w:pPr>
      <w:r>
        <w:rPr>
          <w:rFonts w:hint="eastAsia" w:ascii="宋体" w:hAnsi="宋体"/>
          <w:color w:val="auto"/>
          <w:szCs w:val="24"/>
          <w:highlight w:val="none"/>
        </w:rPr>
        <w:t xml:space="preserve">法定代表人或委托代理人（签字或盖章）：</w:t>
      </w:r>
      <w:r/>
    </w:p>
    <w:p>
      <w:pPr>
        <w:ind w:firstLine="440"/>
        <w:pageBreakBefore w:val="0"/>
        <w:spacing w:after="0" w:line="360" w:lineRule="auto"/>
        <w:rPr>
          <w:rFonts w:ascii="宋体" w:hAnsi="宋体"/>
          <w:color w:val="auto"/>
          <w:szCs w:val="20"/>
          <w:highlight w:val="none"/>
        </w:rPr>
      </w:pPr>
      <w:r>
        <w:rPr>
          <w:rFonts w:hint="eastAsia" w:ascii="宋体" w:hAnsi="宋体"/>
          <w:color w:val="auto"/>
          <w:szCs w:val="24"/>
          <w:highlight w:val="none"/>
        </w:rPr>
        <w:t xml:space="preserve">日期：    年     月     日</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rPr>
        <w:t xml:space="preserve">填报说明：</w:t>
      </w:r>
      <w:r/>
    </w:p>
    <w:p>
      <w:pPr>
        <w:ind w:right="0"/>
        <w:jc w:val="both"/>
        <w:keepLines w:val="0"/>
        <w:keepNext w:val="0"/>
        <w:pageBreakBefore w:val="0"/>
        <w:spacing w:after="0" w:line="360" w:lineRule="auto"/>
        <w:widowControl w:val="off"/>
        <w:rPr>
          <w:rFonts w:hint="eastAsia" w:ascii="宋体" w:hAnsi="宋体" w:eastAsia="宋体" w:cs="宋体"/>
          <w:b/>
          <w:bCs/>
          <w:color w:val="auto"/>
          <w:sz w:val="22"/>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2"/>
          <w:lang w:val="en-US" w:eastAsia="zh-CN"/>
        </w:rPr>
        <w:t xml:space="preserve">1</w:t>
      </w:r>
      <w:r>
        <w:rPr>
          <w:rFonts w:hint="eastAsia" w:ascii="宋体" w:hAnsi="宋体" w:eastAsia="宋体" w:cs="宋体"/>
          <w:b/>
          <w:bCs/>
          <w:color w:val="auto"/>
          <w:sz w:val="22"/>
        </w:rPr>
        <w:t xml:space="preserve">、本表中事项填写不得有缺失，请如实填写，行数或事项不够，可自行增加。</w:t>
      </w:r>
      <w:r/>
    </w:p>
    <w:p>
      <w:pPr>
        <w:pStyle w:val="717"/>
        <w:ind w:left="0" w:firstLine="0"/>
        <w:pageBreakBefore w:val="0"/>
        <w:spacing w:after="0" w:line="360" w:lineRule="auto"/>
        <w:rPr>
          <w:rFonts w:hint="eastAsia" w:ascii="宋体" w:hAnsi="宋体" w:eastAsia="宋体" w:cs="宋体"/>
          <w:b/>
          <w:bCs/>
          <w:color w:val="auto"/>
          <w:sz w:val="22"/>
        </w:rPr>
      </w:pPr>
      <w:r>
        <w:rPr>
          <w:rFonts w:hint="eastAsia" w:ascii="宋体" w:hAnsi="宋体" w:cs="宋体"/>
          <w:b/>
          <w:bCs/>
          <w:color w:val="auto"/>
          <w:sz w:val="22"/>
          <w:lang w:val="en-US" w:eastAsia="zh-CN"/>
        </w:rPr>
        <w:t xml:space="preserve">2</w:t>
      </w:r>
      <w:r>
        <w:rPr>
          <w:rFonts w:hint="eastAsia" w:ascii="宋体" w:hAnsi="宋体" w:eastAsia="宋体" w:cs="宋体"/>
          <w:b/>
          <w:bCs/>
          <w:color w:val="auto"/>
          <w:sz w:val="22"/>
        </w:rPr>
        <w:t xml:space="preserve">、除不尽的情况，</w:t>
      </w:r>
      <w:r>
        <w:rPr>
          <w:rFonts w:hint="eastAsia" w:ascii="宋体" w:hAnsi="宋体" w:eastAsia="宋体" w:cs="宋体"/>
          <w:b/>
          <w:bCs/>
          <w:color w:val="auto"/>
          <w:sz w:val="22"/>
          <w:lang w:eastAsia="zh-CN"/>
        </w:rPr>
        <w:t xml:space="preserve">余数</w:t>
      </w:r>
      <w:r>
        <w:rPr>
          <w:rFonts w:hint="eastAsia" w:ascii="宋体" w:hAnsi="宋体" w:eastAsia="宋体" w:cs="宋体"/>
          <w:b/>
          <w:bCs/>
          <w:color w:val="auto"/>
          <w:sz w:val="22"/>
        </w:rPr>
        <w:t xml:space="preserve">一律按</w:t>
      </w:r>
      <w:r>
        <w:rPr>
          <w:rFonts w:hint="eastAsia" w:ascii="宋体" w:hAnsi="宋体" w:eastAsia="宋体" w:cs="宋体"/>
          <w:b/>
          <w:bCs/>
          <w:color w:val="auto"/>
          <w:sz w:val="22"/>
          <w:lang w:eastAsia="zh-CN"/>
        </w:rPr>
        <w:t xml:space="preserve">整瓶</w:t>
      </w:r>
      <w:r>
        <w:rPr>
          <w:rFonts w:hint="eastAsia" w:ascii="宋体" w:hAnsi="宋体" w:cs="宋体"/>
          <w:b/>
          <w:bCs/>
          <w:color w:val="auto"/>
          <w:sz w:val="22"/>
          <w:lang w:eastAsia="zh-CN"/>
        </w:rPr>
        <w:t xml:space="preserve">、</w:t>
      </w:r>
      <w:r>
        <w:rPr>
          <w:rFonts w:hint="eastAsia" w:ascii="宋体" w:hAnsi="宋体" w:eastAsia="宋体" w:cs="宋体"/>
          <w:b/>
          <w:bCs/>
          <w:color w:val="auto"/>
          <w:sz w:val="22"/>
          <w:lang w:eastAsia="zh-CN"/>
        </w:rPr>
        <w:t xml:space="preserve">整袋计取，如</w:t>
      </w:r>
      <w:r>
        <w:rPr>
          <w:rFonts w:hint="eastAsia" w:ascii="宋体" w:hAnsi="宋体" w:eastAsia="宋体" w:cs="宋体"/>
          <w:b/>
          <w:bCs/>
          <w:color w:val="auto"/>
          <w:sz w:val="22"/>
          <w:lang w:val="en-US" w:eastAsia="zh-CN"/>
        </w:rPr>
        <w:t xml:space="preserve">105.11瓶则确定为106瓶</w:t>
      </w:r>
      <w:r>
        <w:rPr>
          <w:rFonts w:hint="eastAsia" w:ascii="宋体" w:hAnsi="宋体" w:eastAsia="宋体" w:cs="宋体"/>
          <w:b/>
          <w:bCs/>
          <w:color w:val="auto"/>
          <w:sz w:val="22"/>
        </w:rPr>
        <w:t xml:space="preserve">。</w:t>
      </w:r>
      <w:r/>
    </w:p>
    <w:p>
      <w:pPr>
        <w:ind w:right="0"/>
        <w:jc w:val="both"/>
        <w:keepLines w:val="0"/>
        <w:keepNext w:val="0"/>
        <w:pageBreakBefore w:val="0"/>
        <w:spacing w:after="0" w:line="360" w:lineRule="auto"/>
        <w:widowControl w:val="off"/>
        <w:rPr>
          <w:rFonts w:hint="default" w:ascii="宋体" w:hAnsi="宋体" w:eastAsia="宋体" w:cs="宋体"/>
          <w:b/>
          <w:bCs/>
          <w:color w:val="auto"/>
          <w:sz w:val="22"/>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2"/>
          <w:lang w:val="en-US" w:eastAsia="zh-CN"/>
        </w:rPr>
        <w:t xml:space="preserve">3、以吨报价保留3位小数。</w:t>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pStyle w:val="909"/>
        <w:pageBreakBefore w:val="0"/>
        <w:spacing w:line="360" w:lineRule="auto"/>
        <w:rPr>
          <w:rFonts w:ascii="Times New Roman" w:hAnsi="Times New Roman" w:eastAsia="Times New Roman" w:cs="Times New Roman"/>
          <w:b/>
          <w:color w:val="auto"/>
          <w:sz w:val="30"/>
          <w:highlight w:val="none"/>
          <w:lang w:eastAsia="zh-CN"/>
        </w:rP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color w:val="auto"/>
          <w:highlight w:val="none"/>
          <w:lang w:eastAsia="zh-CN"/>
        </w:rPr>
        <w:pBdr>
          <w:top w:val="none" w:color="000000" w:sz="0" w:space="0"/>
          <w:left w:val="none" w:color="000000" w:sz="0" w:space="0"/>
          <w:bottom w:val="none" w:color="000000" w:sz="0" w:space="0"/>
          <w:right w:val="none" w:color="000000" w:sz="0" w:space="0"/>
        </w:pBdr>
      </w:pPr>
      <w:r>
        <w:rPr>
          <w:rFonts w:ascii="Times New Roman" w:hAnsi="Times New Roman" w:eastAsia="Times New Roman" w:cs="Times New Roman"/>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24"/>
          <w:szCs w:val="20"/>
          <w:highlight w:val="none"/>
          <w:lang w:eastAsia="zh-CN"/>
        </w:rPr>
        <w:t xml:space="preserve">格式</w:t>
      </w:r>
      <w:r>
        <w:rPr>
          <w:rFonts w:hint="eastAsia" w:ascii="宋体" w:hAnsi="宋体" w:eastAsia="宋体" w:cs="宋体"/>
          <w:b/>
          <w:bCs/>
          <w:color w:val="auto"/>
          <w:sz w:val="24"/>
          <w:szCs w:val="20"/>
          <w:highlight w:val="none"/>
          <w:lang w:val="en-US" w:eastAsia="zh-CN"/>
        </w:rPr>
        <w:t xml:space="preserve">3</w:t>
      </w:r>
      <w:r>
        <w:rPr>
          <w:rFonts w:ascii="宋体" w:hAnsi="宋体" w:eastAsia="宋体" w:cs="宋体"/>
          <w:color w:val="auto"/>
          <w:sz w:val="32"/>
          <w:highlight w:val="none"/>
          <w:lang w:eastAsia="zh-CN"/>
        </w:rPr>
        <w:t xml:space="preserve">、</w:t>
      </w:r>
      <w:r>
        <w:rPr>
          <w:rFonts w:ascii="宋体" w:hAnsi="宋体" w:eastAsia="宋体" w:cs="宋体"/>
          <w:color w:val="auto"/>
          <w:sz w:val="30"/>
          <w:highlight w:val="none"/>
          <w:u w:val="single"/>
          <w:lang w:eastAsia="zh-CN"/>
        </w:rPr>
        <w:t xml:space="preserve">法人或者其他组织的营业执照等证明文件，自然人的身份证明</w:t>
      </w:r>
      <w:r/>
    </w:p>
    <w:p>
      <w:pPr>
        <w:ind w:firstLine="480"/>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hint="eastAsia"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b/>
          <w:bCs/>
          <w:color w:val="auto"/>
          <w:sz w:val="24"/>
          <w:szCs w:val="24"/>
          <w:highlight w:val="none"/>
        </w:rPr>
        <w:t xml:space="preserve">格式</w:t>
      </w:r>
      <w:r>
        <w:rPr>
          <w:rFonts w:hint="eastAsia" w:ascii="宋体" w:hAnsi="宋体"/>
          <w:b/>
          <w:bCs/>
          <w:color w:val="auto"/>
          <w:sz w:val="24"/>
          <w:szCs w:val="24"/>
          <w:highlight w:val="none"/>
          <w:lang w:val="en-US" w:eastAsia="zh-CN"/>
        </w:rPr>
        <w:t xml:space="preserve">4</w:t>
      </w:r>
      <w:r>
        <w:rPr>
          <w:rFonts w:hint="eastAsia"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财务状况报告及税收、社会保障资金缴纳情况承诺函 </w:t>
      </w:r>
      <w:r/>
    </w:p>
    <w:p>
      <w:pPr>
        <w:jc w:val="center"/>
        <w:pageBreakBefore w:val="0"/>
        <w:spacing w:after="0" w:line="360" w:lineRule="auto"/>
        <w:rPr>
          <w:rFonts w:hint="eastAsia" w:ascii="黑体" w:hAnsi="黑体" w:eastAsia="黑体" w:cs="宋体"/>
          <w:bCs/>
          <w:color w:val="auto"/>
          <w:sz w:val="36"/>
          <w:szCs w:val="36"/>
          <w:highlight w:val="none"/>
        </w:rPr>
      </w:pPr>
      <w:r>
        <w:rPr>
          <w:rFonts w:hint="eastAsia" w:ascii="黑体" w:hAnsi="黑体" w:eastAsia="黑体" w:cs="宋体"/>
          <w:bCs/>
          <w:color w:val="auto"/>
          <w:sz w:val="36"/>
          <w:szCs w:val="36"/>
          <w:highlight w:val="none"/>
        </w:rPr>
        <w:t xml:space="preserve">财务状况报告及税收、社会保障资金</w:t>
      </w:r>
      <w:r/>
    </w:p>
    <w:p>
      <w:pPr>
        <w:jc w:val="center"/>
        <w:pageBreakBefore w:val="0"/>
        <w:spacing w:after="0" w:line="360" w:lineRule="auto"/>
        <w:rPr>
          <w:rFonts w:hint="eastAsia" w:ascii="宋体" w:hAnsi="宋体"/>
          <w:color w:val="auto"/>
          <w:sz w:val="24"/>
          <w:highlight w:val="none"/>
        </w:rPr>
      </w:pPr>
      <w:r>
        <w:rPr>
          <w:rFonts w:hint="eastAsia" w:ascii="黑体" w:hAnsi="黑体" w:eastAsia="黑体" w:cs="宋体"/>
          <w:bCs/>
          <w:color w:val="auto"/>
          <w:sz w:val="36"/>
          <w:szCs w:val="36"/>
          <w:highlight w:val="none"/>
        </w:rPr>
        <w:t xml:space="preserve">缴纳情况承诺函</w:t>
      </w:r>
      <w:r>
        <w:rPr>
          <w:rFonts w:hint="eastAsia" w:ascii="宋体" w:hAnsi="宋体"/>
          <w:color w:val="auto"/>
          <w:sz w:val="24"/>
          <w:highlight w:val="none"/>
        </w:rPr>
        <w:t xml:space="preserve"> </w:t>
      </w:r>
      <w:r/>
    </w:p>
    <w:p>
      <w:pPr>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致：</w:t>
      </w:r>
      <w:r>
        <w:rPr>
          <w:rFonts w:hint="eastAsia" w:ascii="宋体" w:hAnsi="宋体"/>
          <w:color w:val="auto"/>
          <w:sz w:val="24"/>
          <w:highlight w:val="none"/>
          <w:u w:val="single"/>
        </w:rPr>
        <w:t xml:space="preserve">采购人名称</w:t>
      </w:r>
      <w:r/>
    </w:p>
    <w:p>
      <w:pPr>
        <w:ind w:firstLine="48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我方</w:t>
      </w:r>
      <w:r>
        <w:rPr>
          <w:rFonts w:hint="eastAsia" w:ascii="宋体" w:hAnsi="宋体"/>
          <w:color w:val="auto"/>
          <w:sz w:val="24"/>
          <w:highlight w:val="none"/>
          <w:u w:val="single"/>
        </w:rPr>
        <w:t xml:space="preserve">供应商名称</w:t>
      </w:r>
      <w:r>
        <w:rPr>
          <w:rFonts w:hint="eastAsia" w:ascii="宋体" w:hAnsi="宋体"/>
          <w:color w:val="auto"/>
          <w:sz w:val="24"/>
          <w:highlight w:val="none"/>
        </w:rPr>
        <w:t xml:space="preserve">参加</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（项目编号：</w:t>
      </w:r>
      <w:r>
        <w:rPr>
          <w:rFonts w:hint="eastAsia" w:ascii="宋体" w:hAnsi="宋体"/>
          <w:color w:val="auto"/>
          <w:sz w:val="24"/>
          <w:highlight w:val="none"/>
          <w:u w:val="single"/>
        </w:rPr>
        <w:t xml:space="preserve">项目编号</w:t>
      </w:r>
      <w:r>
        <w:rPr>
          <w:rFonts w:hint="eastAsia" w:ascii="宋体" w:hAnsi="宋体"/>
          <w:color w:val="auto"/>
          <w:sz w:val="24"/>
          <w:highlight w:val="none"/>
        </w:rPr>
        <w:t xml:space="preserve">）采购，根据《</w:t>
      </w:r>
      <w:r>
        <w:rPr>
          <w:rStyle w:val="908"/>
          <w:rFonts w:hint="eastAsia" w:ascii="宋体" w:hAnsi="宋体" w:cs="Segoe UI"/>
          <w:b w:val="0"/>
          <w:color w:val="auto"/>
          <w:sz w:val="24"/>
          <w:highlight w:val="none"/>
        </w:rPr>
        <w:t xml:space="preserve">关于简化政府采购供应商资格审查有关事项的通知</w:t>
      </w:r>
      <w:r>
        <w:rPr>
          <w:rFonts w:hint="eastAsia" w:ascii="宋体" w:hAnsi="宋体"/>
          <w:color w:val="auto"/>
          <w:sz w:val="24"/>
          <w:highlight w:val="none"/>
        </w:rPr>
        <w:t xml:space="preserve">》（连财购〔2023〕4号），我方承诺具备</w:t>
      </w:r>
      <w:r>
        <w:rPr>
          <w:rFonts w:hint="eastAsia" w:ascii="宋体" w:hAnsi="宋体" w:cs="仿宋_GB2312"/>
          <w:color w:val="auto"/>
          <w:sz w:val="24"/>
          <w:highlight w:val="none"/>
        </w:rPr>
        <w:t xml:space="preserve">《中华人民共和国政府采购法》第二十二条第（二）、第（四）项，《中华人民共和国政府采购法实施条例》第十七条第（二）项规定条件的，</w:t>
      </w:r>
      <w:r>
        <w:rPr>
          <w:rFonts w:hint="eastAsia" w:ascii="宋体" w:hAnsi="宋体"/>
          <w:color w:val="auto"/>
          <w:sz w:val="24"/>
          <w:highlight w:val="none"/>
        </w:rPr>
        <w:t xml:space="preserve">具体包括：</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（1）具有良好的商业信誉和健全的财务会计制度（财务状况报告）；</w:t>
      </w:r>
      <w:r/>
    </w:p>
    <w:p>
      <w:pPr>
        <w:ind w:left="360" w:firstLine="240"/>
        <w:pageBreakBefore w:val="0"/>
        <w:spacing w:after="0" w:line="360" w:lineRule="auto"/>
        <w:rPr>
          <w:rFonts w:hint="eastAsia" w:ascii="宋体" w:hAnsi="宋体"/>
          <w:color w:val="auto"/>
          <w:sz w:val="24"/>
          <w:highlight w:val="none"/>
        </w:rPr>
      </w:pPr>
      <w:r>
        <w:rPr>
          <w:rFonts w:hint="eastAsia" w:ascii="宋体" w:hAnsi="宋体"/>
          <w:color w:val="auto"/>
          <w:sz w:val="24"/>
          <w:highlight w:val="none"/>
        </w:rPr>
        <w:t xml:space="preserve">（2）有依法缴纳税收和社会保障资金的良好记录。</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特此承诺</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供应商（公章）：          </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法定代表人或其委托代理人（签名或签章）：</w:t>
      </w:r>
      <w:r/>
    </w:p>
    <w:p>
      <w:pPr>
        <w:ind w:firstLine="480"/>
        <w:pageBreakBefore w:val="0"/>
        <w:spacing w:after="0" w:line="360" w:lineRule="auto"/>
        <w:rPr>
          <w:rStyle w:val="908"/>
          <w:rFonts w:hint="eastAsia" w:ascii="宋体" w:hAnsi="宋体" w:eastAsia="宋体" w:cs="Segoe UI"/>
          <w:b w:val="0"/>
          <w:color w:val="auto"/>
          <w:sz w:val="24"/>
          <w:highlight w:val="none"/>
        </w:rPr>
      </w:pPr>
      <w:r>
        <w:rPr>
          <w:rStyle w:val="908"/>
          <w:rFonts w:hint="eastAsia" w:ascii="宋体" w:hAnsi="宋体" w:eastAsia="宋体" w:cs="Segoe UI"/>
          <w:b w:val="0"/>
          <w:color w:val="auto"/>
          <w:sz w:val="24"/>
          <w:highlight w:val="none"/>
        </w:rPr>
        <w:t xml:space="preserve">日期：</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p>
      <w:pPr>
        <w:pStyle w:val="679"/>
        <w:numPr>
          <w:ilvl w:val="0"/>
          <w:numId w:val="0"/>
        </w:numPr>
        <w:pageBreakBefore w:val="0"/>
        <w:spacing w:before="0" w:after="0" w:line="360" w:lineRule="auto"/>
        <w:rPr>
          <w:rFonts w:hint="eastAsia" w:ascii="宋体" w:hAnsi="宋体" w:eastAsia="宋体" w:cs="宋体"/>
          <w:color w:val="auto"/>
          <w:sz w:val="32"/>
          <w:highlight w:val="none"/>
          <w:u w:val="single"/>
          <w:lang w:eastAsia="zh-CN"/>
        </w:rPr>
      </w:pPr>
      <w:r>
        <w:rPr>
          <w:rFonts w:hint="eastAsia" w:ascii="宋体" w:hAnsi="宋体" w:eastAsiaTheme="minorEastAsia" w:cstheme="minorBidi"/>
          <w:b/>
          <w:bCs/>
          <w:color w:val="auto"/>
          <w:sz w:val="24"/>
          <w:szCs w:val="24"/>
          <w:highlight w:val="none"/>
          <w:lang w:val="en-US" w:eastAsia="zh-CN" w:bidi="ar-SA"/>
        </w:rPr>
        <w:t xml:space="preserve">格式5</w:t>
      </w:r>
      <w:r>
        <w:rPr>
          <w:rFonts w:ascii="宋体" w:hAnsi="宋体" w:eastAsia="宋体" w:cs="宋体"/>
          <w:color w:val="auto"/>
          <w:sz w:val="32"/>
          <w:highlight w:val="none"/>
          <w:lang w:eastAsia="zh-CN"/>
        </w:rPr>
        <w:t xml:space="preserve">、</w:t>
      </w:r>
      <w:r>
        <w:rPr>
          <w:rFonts w:hint="eastAsia" w:ascii="宋体" w:hAnsi="宋体" w:eastAsia="宋体" w:cs="宋体"/>
          <w:color w:val="auto"/>
          <w:sz w:val="32"/>
          <w:highlight w:val="none"/>
          <w:u w:val="single"/>
          <w:lang w:eastAsia="zh-CN"/>
        </w:rPr>
        <w:t xml:space="preserve">具备履行合同所必需的设备和专业技术能力的声明及证明材料</w:t>
      </w:r>
      <w:r/>
    </w:p>
    <w:p>
      <w:pPr>
        <w:pStyle w:val="679"/>
        <w:numPr>
          <w:ilvl w:val="0"/>
          <w:numId w:val="0"/>
        </w:numPr>
        <w:pageBreakBefore w:val="0"/>
        <w:spacing w:before="0" w:after="0" w:line="360" w:lineRule="auto"/>
        <w:rPr>
          <w:rFonts w:ascii="宋体" w:hAnsi="宋体" w:eastAsia="宋体" w:cs="宋体"/>
          <w:color w:val="auto"/>
          <w:sz w:val="32"/>
          <w:highlight w:val="none"/>
          <w:u w:val="single"/>
          <w:lang w:eastAsia="zh-CN"/>
        </w:rPr>
        <w:outlineLvl w:val="9"/>
      </w:pPr>
      <w:r>
        <w:rPr>
          <w:rFonts w:ascii="宋体" w:hAnsi="宋体" w:eastAsia="宋体" w:cs="宋体"/>
          <w:color w:val="auto"/>
          <w:sz w:val="32"/>
          <w:highlight w:val="none"/>
          <w:u w:val="single"/>
          <w:lang w:eastAsia="zh-CN"/>
        </w:rPr>
      </w:r>
      <w:r/>
    </w:p>
    <w:p>
      <w:pPr>
        <w:pageBreakBefore w:val="0"/>
        <w:spacing w:after="0" w:line="360" w:lineRule="auto"/>
        <w:rPr>
          <w:rFonts w:hint="eastAsia"/>
          <w:color w:val="auto"/>
          <w:highlight w:val="none"/>
        </w:rPr>
      </w:pPr>
      <w:r>
        <w:rPr>
          <w:rFonts w:hint="eastAsia"/>
          <w:color w:val="auto"/>
          <w:highlight w:val="none"/>
        </w:rPr>
      </w:r>
      <w:r/>
    </w:p>
    <w:p>
      <w:pPr>
        <w:jc w:val="center"/>
        <w:pageBreakBefore w:val="0"/>
        <w:spacing w:after="0" w:line="360" w:lineRule="auto"/>
        <w:rPr>
          <w:color w:val="auto"/>
          <w:highlight w:val="none"/>
        </w:rPr>
      </w:pPr>
      <w:r>
        <w:rPr>
          <w:rFonts w:hint="eastAsia" w:ascii="黑体" w:hAnsi="黑体" w:eastAsia="黑体" w:cs="宋体"/>
          <w:bCs/>
          <w:color w:val="auto"/>
          <w:sz w:val="36"/>
          <w:szCs w:val="28"/>
          <w:highlight w:val="none"/>
        </w:rPr>
        <w:t xml:space="preserve">具备履行合同所必需的设备和专业技术能力的声明</w:t>
      </w:r>
      <w:r/>
    </w:p>
    <w:p>
      <w:pPr>
        <w:ind w:firstLine="480"/>
        <w:pageBreakBefore w:val="0"/>
        <w:spacing w:after="0" w:line="360" w:lineRule="auto"/>
        <w:rPr>
          <w:rFonts w:hint="eastAsia"/>
          <w:color w:val="auto"/>
          <w:sz w:val="24"/>
          <w:highlight w:val="none"/>
          <w:u w:val="single"/>
        </w:rPr>
      </w:pPr>
      <w:r>
        <w:rPr>
          <w:rFonts w:hint="eastAsia"/>
          <w:color w:val="auto"/>
          <w:sz w:val="24"/>
          <w:highlight w:val="none"/>
          <w:u w:val="single"/>
        </w:rPr>
      </w:r>
      <w:r/>
    </w:p>
    <w:p>
      <w:pPr>
        <w:ind w:firstLine="480"/>
        <w:pageBreakBefore w:val="0"/>
        <w:spacing w:after="0" w:line="360" w:lineRule="auto"/>
        <w:rPr>
          <w:color w:val="auto"/>
          <w:sz w:val="24"/>
          <w:szCs w:val="24"/>
          <w:highlight w:val="none"/>
        </w:rPr>
      </w:pPr>
      <w:r>
        <w:rPr>
          <w:rFonts w:hint="eastAsia"/>
          <w:color w:val="auto"/>
          <w:sz w:val="24"/>
          <w:szCs w:val="24"/>
          <w:highlight w:val="none"/>
          <w:u w:val="single"/>
        </w:rPr>
        <w:t xml:space="preserve">（供应商名称）</w:t>
      </w:r>
      <w:r>
        <w:rPr>
          <w:rFonts w:hint="eastAsia"/>
          <w:color w:val="auto"/>
          <w:sz w:val="24"/>
          <w:szCs w:val="24"/>
          <w:highlight w:val="none"/>
        </w:rPr>
        <w:t xml:space="preserve">郑重声明：我单位具备履行本项采购合同所必需的设备和专业技术能力，为履行本项采购合同我单位具备如下主要设备和主要专业技术能力：</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主要设备有：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09"/>
        <w:pageBreakBefore w:val="0"/>
        <w:spacing w:line="360" w:lineRule="auto"/>
        <w:rPr>
          <w:color w:val="auto"/>
          <w:sz w:val="24"/>
          <w:szCs w:val="24"/>
          <w:highlight w:val="none"/>
        </w:rPr>
      </w:pPr>
      <w:r>
        <w:rPr>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主要专业技术能力有：</w:t>
      </w:r>
      <w:r>
        <w:rPr>
          <w:rFonts w:hint="eastAsia"/>
          <w:color w:val="auto"/>
          <w:sz w:val="24"/>
          <w:szCs w:val="24"/>
          <w:highlight w:val="none"/>
          <w:u w:val="single"/>
        </w:rPr>
        <w:t xml:space="preserve">                          </w:t>
      </w:r>
      <w:r>
        <w:rPr>
          <w:rFonts w:hint="eastAsia"/>
          <w:color w:val="auto"/>
          <w:sz w:val="24"/>
          <w:szCs w:val="24"/>
          <w:highlight w:val="none"/>
        </w:rPr>
        <w:t xml:space="preserve">。（须附证明材料）</w:t>
      </w:r>
      <w:r/>
    </w:p>
    <w:p>
      <w:pPr>
        <w:pStyle w:val="909"/>
        <w:pageBreakBefore w:val="0"/>
        <w:spacing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声明人（盖章）：</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t xml:space="preserve">日期：  年   月  日</w:t>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rFonts w:hint="eastAsia"/>
          <w:color w:val="auto"/>
          <w:sz w:val="24"/>
          <w:szCs w:val="24"/>
          <w:highlight w:val="none"/>
        </w:rPr>
      </w:pPr>
      <w:r>
        <w:rPr>
          <w:rFonts w:hint="eastAsia"/>
          <w:color w:val="auto"/>
          <w:sz w:val="24"/>
          <w:szCs w:val="24"/>
          <w:highlight w:val="none"/>
        </w:rPr>
      </w:r>
      <w:r/>
    </w:p>
    <w:p>
      <w:pPr>
        <w:ind w:firstLine="480"/>
        <w:pageBreakBefore w:val="0"/>
        <w:spacing w:after="0" w:line="360" w:lineRule="auto"/>
        <w:rPr>
          <w:color w:val="auto"/>
          <w:sz w:val="24"/>
          <w:szCs w:val="24"/>
          <w:highlight w:val="none"/>
        </w:rPr>
      </w:pPr>
      <w:r>
        <w:rPr>
          <w:rFonts w:hint="eastAsia"/>
          <w:color w:val="auto"/>
          <w:sz w:val="24"/>
          <w:szCs w:val="24"/>
          <w:highlight w:val="none"/>
        </w:rPr>
        <w:t xml:space="preserve">附主要设备和主要专业技术能力的证明材料如下：</w:t>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br w:type="page" w:clear="all"/>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8"/>
          <w:highlight w:val="none"/>
          <w:lang w:eastAsia="zh-CN"/>
        </w:rPr>
        <w:t xml:space="preserve"> </w:t>
      </w: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6</w:t>
      </w:r>
      <w:r>
        <w:rPr>
          <w:rFonts w:ascii="宋体" w:hAnsi="宋体" w:eastAsia="宋体" w:cs="宋体"/>
          <w:color w:val="auto"/>
          <w:sz w:val="32"/>
          <w:highlight w:val="none"/>
          <w:lang w:eastAsia="zh-CN"/>
        </w:rPr>
        <w:t xml:space="preserve">、</w:t>
      </w:r>
      <w:r>
        <w:rPr>
          <w:rFonts w:ascii="宋体" w:hAnsi="宋体" w:eastAsia="宋体" w:cs="宋体"/>
          <w:color w:val="auto"/>
          <w:sz w:val="32"/>
          <w:highlight w:val="none"/>
          <w:u w:val="single"/>
          <w:lang w:eastAsia="zh-CN"/>
        </w:rPr>
        <w:t xml:space="preserve">参加政府采购活动前 3 年内在经营活动中没有重大违法记录的书面声明</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我公司郑重声明：参加本次政府采购活动前 3 年内，我公司在经营活动中没有因违法经营受到刑事处罚或者责令停产停业、吊销许可证或者执照、较大数额罚款等行政处罚。</w:t>
      </w:r>
      <w:r/>
    </w:p>
    <w:p>
      <w:pPr>
        <w:ind w:firstLine="5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如我公司在前3年内有重大违法记录，则视为我公司出具的声明为虚假材料，我单位愿意接收监管部门的相应处罚。</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供应商全称（公章）：</w:t>
      </w:r>
      <w:r/>
    </w:p>
    <w:p>
      <w:pPr>
        <w:ind w:firstLine="3360"/>
        <w:jc w:val="both"/>
        <w:pageBreakBefore w:val="0"/>
        <w:spacing w:after="0" w:line="360" w:lineRule="auto"/>
        <w:rPr>
          <w:rFonts w:ascii="宋体" w:hAnsi="宋体" w:eastAsia="宋体" w:cs="宋体"/>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r>
      <w:r/>
    </w:p>
    <w:p>
      <w:pPr>
        <w:ind w:firstLine="3360"/>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lang w:eastAsia="zh-CN"/>
        </w:rPr>
        <w:t xml:space="preserve">法定代表人或其被授权人(盖章或签字)：</w:t>
      </w:r>
      <w:r/>
    </w:p>
    <w:p>
      <w:pPr>
        <w:ind w:firstLine="3360"/>
        <w:jc w:val="both"/>
        <w:pageBreakBefore w:val="0"/>
        <w:spacing w:after="0" w:line="360" w:lineRule="auto"/>
        <w:rPr>
          <w:rFonts w:ascii="宋体" w:hAnsi="宋体" w:eastAsia="宋体" w:cs="宋体"/>
          <w:color w:val="auto"/>
          <w:sz w:val="24"/>
          <w:szCs w:val="24"/>
          <w:highlight w:val="none"/>
          <w:u w:val="singl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r>
      <w:r/>
    </w:p>
    <w:p>
      <w:pPr>
        <w:ind w:firstLine="4144"/>
        <w:jc w:val="both"/>
        <w:pageBreakBefore w:val="0"/>
        <w:spacing w:after="0" w:line="360" w:lineRule="auto"/>
        <w:rPr>
          <w:color w:val="auto"/>
          <w:sz w:val="24"/>
          <w:szCs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年</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月</w:t>
      </w:r>
      <w:r>
        <w:rPr>
          <w:rFonts w:ascii="宋体" w:hAnsi="宋体" w:eastAsia="宋体" w:cs="宋体"/>
          <w:color w:val="auto"/>
          <w:sz w:val="24"/>
          <w:szCs w:val="24"/>
          <w:highlight w:val="none"/>
          <w:u w:val="single"/>
          <w:lang w:eastAsia="zh-CN"/>
        </w:rPr>
        <w:t xml:space="preserve"> </w:t>
      </w:r>
      <w:r>
        <w:rPr>
          <w:rFonts w:ascii="宋体" w:hAnsi="宋体" w:eastAsia="宋体" w:cs="宋体"/>
          <w:color w:val="auto"/>
          <w:sz w:val="24"/>
          <w:szCs w:val="24"/>
          <w:highlight w:val="none"/>
          <w:lang w:eastAsia="zh-CN"/>
        </w:rPr>
        <w:t xml:space="preserve">日</w:t>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jc w:val="both"/>
        <w:pageBreakBefore w:val="0"/>
        <w:spacing w:after="0" w:line="360" w:lineRule="auto"/>
        <w:rPr>
          <w:rFonts w:ascii="宋体" w:hAnsi="宋体" w:eastAsia="宋体" w:cs="宋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Style w:val="692"/>
        <w:pageBreakBefore w:val="0"/>
        <w:spacing w:after="0" w:line="360" w:lineRule="auto"/>
        <w:rPr>
          <w:rFonts w:ascii="宋体" w:hAnsi="宋体" w:eastAsia="宋体" w:cs="宋体"/>
          <w:color w:val="auto"/>
          <w:sz w:val="32"/>
          <w:highlight w:val="none"/>
          <w:lang w:eastAsia="zh-CN"/>
        </w:rPr>
      </w:pPr>
      <w:r>
        <w:rPr>
          <w:rFonts w:ascii="宋体" w:hAnsi="宋体" w:eastAsia="宋体" w:cs="宋体"/>
          <w:color w:val="auto"/>
          <w:sz w:val="32"/>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7</w:t>
      </w:r>
      <w:r>
        <w:rPr>
          <w:rFonts w:ascii="新宋体" w:hAnsi="新宋体" w:eastAsia="新宋体" w:cs="新宋体"/>
          <w:color w:val="auto"/>
          <w:sz w:val="32"/>
          <w:highlight w:val="none"/>
          <w:u w:val="none"/>
          <w:lang w:eastAsia="zh-CN"/>
        </w:rPr>
        <w:t xml:space="preserve">、</w:t>
      </w:r>
      <w:r>
        <w:rPr>
          <w:rFonts w:hint="eastAsia" w:ascii="新宋体" w:hAnsi="新宋体" w:eastAsia="新宋体" w:cs="新宋体"/>
          <w:color w:val="auto"/>
          <w:sz w:val="32"/>
          <w:highlight w:val="none"/>
          <w:u w:val="single"/>
          <w:lang w:eastAsia="zh-CN"/>
        </w:rPr>
        <w:t xml:space="preserve">授权委托书与法定代表人（单位负责人）身份证明</w:t>
      </w:r>
      <w:r/>
    </w:p>
    <w:p>
      <w:pPr>
        <w:jc w:val="center"/>
        <w:pageBreakBefore w:val="0"/>
        <w:spacing w:after="0" w:line="360" w:lineRule="auto"/>
        <w:rPr>
          <w:rFonts w:hint="eastAsia"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r>
      <w:r/>
    </w:p>
    <w:p>
      <w:pPr>
        <w:jc w:val="center"/>
        <w:pageBreakBefore w:val="0"/>
        <w:spacing w:after="0" w:line="360" w:lineRule="auto"/>
        <w:rPr>
          <w:rFonts w:ascii="宋体" w:hAnsi="宋体" w:eastAsia="宋体" w:cs="宋体"/>
          <w:b/>
          <w:bCs/>
          <w:color w:val="auto"/>
          <w:sz w:val="32"/>
          <w:szCs w:val="28"/>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auto"/>
          <w:sz w:val="32"/>
          <w:szCs w:val="28"/>
          <w:highlight w:val="none"/>
          <w:lang w:eastAsia="zh-CN"/>
        </w:rPr>
        <w:t xml:space="preserve">授权委托书</w:t>
      </w:r>
      <w:r/>
    </w:p>
    <w:p>
      <w:pPr>
        <w:jc w:val="both"/>
        <w:pageBreakBefore w:val="0"/>
        <w:spacing w:after="0" w:line="360" w:lineRule="auto"/>
        <w:rPr>
          <w:rFonts w:hint="eastAsia"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本人</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系</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w:t>
      </w:r>
      <w:r>
        <w:rPr>
          <w:rFonts w:hint="eastAsia" w:ascii="宋体" w:hAnsi="宋体" w:eastAsia="宋体" w:cs="宋体"/>
          <w:color w:val="auto"/>
          <w:sz w:val="24"/>
          <w:highlight w:val="none"/>
          <w:lang w:eastAsia="zh-CN"/>
        </w:rPr>
        <w:t xml:space="preserve">的</w:t>
      </w:r>
      <w:r>
        <w:rPr>
          <w:rFonts w:ascii="宋体" w:hAnsi="宋体" w:eastAsia="宋体" w:cs="宋体"/>
          <w:color w:val="auto"/>
          <w:sz w:val="24"/>
          <w:highlight w:val="none"/>
          <w:lang w:eastAsia="zh-CN"/>
        </w:rPr>
        <w:t xml:space="preserve">法定代表人（</w:t>
      </w:r>
      <w:r>
        <w:rPr>
          <w:rFonts w:hint="eastAsia" w:ascii="宋体" w:hAnsi="宋体" w:eastAsia="宋体" w:cs="宋体"/>
          <w:color w:val="auto"/>
          <w:sz w:val="24"/>
          <w:highlight w:val="none"/>
          <w:lang w:eastAsia="zh-CN"/>
        </w:rPr>
        <w:t xml:space="preserve">单位</w:t>
      </w:r>
      <w:r>
        <w:rPr>
          <w:rFonts w:ascii="宋体" w:hAnsi="宋体" w:eastAsia="宋体" w:cs="宋体"/>
          <w:color w:val="auto"/>
          <w:sz w:val="24"/>
          <w:highlight w:val="none"/>
          <w:lang w:eastAsia="zh-CN"/>
        </w:rPr>
        <w:t xml:space="preserve">负责人）</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现委托</w:t>
      </w:r>
      <w:r>
        <w:rPr>
          <w:rFonts w:ascii="宋体" w:hAnsi="宋体" w:eastAsia="宋体" w:cs="宋体"/>
          <w:color w:val="auto"/>
          <w:sz w:val="24"/>
          <w:highlight w:val="none"/>
          <w:lang w:val="zh-CN" w:eastAsia="zh-CN"/>
        </w:rPr>
        <w:t xml:space="preserve">_______</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姓名</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为</w:t>
      </w:r>
      <w:r>
        <w:rPr>
          <w:rFonts w:ascii="宋体" w:hAnsi="宋体" w:eastAsia="宋体" w:cs="宋体"/>
          <w:color w:val="auto"/>
          <w:sz w:val="24"/>
          <w:highlight w:val="none"/>
          <w:lang w:eastAsia="zh-CN"/>
        </w:rPr>
        <w:t xml:space="preserve">我方代理人。</w:t>
      </w:r>
      <w:r>
        <w:rPr>
          <w:rFonts w:hint="eastAsia" w:ascii="宋体" w:hAnsi="宋体" w:eastAsia="宋体" w:cs="宋体"/>
          <w:color w:val="auto"/>
          <w:sz w:val="24"/>
          <w:highlight w:val="none"/>
          <w:lang w:eastAsia="zh-CN"/>
        </w:rPr>
        <w:t xml:space="preserve">代理人根据</w:t>
      </w:r>
      <w:r>
        <w:rPr>
          <w:rFonts w:ascii="宋体" w:hAnsi="宋体" w:eastAsia="宋体" w:cs="宋体"/>
          <w:color w:val="auto"/>
          <w:sz w:val="24"/>
          <w:highlight w:val="none"/>
          <w:lang w:eastAsia="zh-CN"/>
        </w:rPr>
        <w:t xml:space="preserve">授权，以我方名义签署、澄清确认、递交、撤回、修改</w:t>
      </w:r>
      <w:r>
        <w:rPr>
          <w:rFonts w:hint="eastAsia" w:ascii="宋体" w:hAnsi="宋体" w:eastAsia="宋体" w:cs="宋体"/>
          <w:color w:val="auto"/>
          <w:sz w:val="24"/>
          <w:highlight w:val="none"/>
          <w:lang w:eastAsia="zh-CN"/>
        </w:rPr>
        <w:t xml:space="preserve">【项目名称】项目（项目编号：【项目编号】）询价</w:t>
      </w:r>
      <w:r>
        <w:rPr>
          <w:rFonts w:ascii="宋体" w:hAnsi="宋体" w:eastAsia="宋体" w:cs="宋体"/>
          <w:color w:val="auto"/>
          <w:sz w:val="24"/>
          <w:highlight w:val="none"/>
          <w:lang w:eastAsia="zh-CN"/>
        </w:rPr>
        <w:t xml:space="preserve">文件</w:t>
      </w:r>
      <w:r>
        <w:rPr>
          <w:rFonts w:hint="eastAsia" w:ascii="宋体" w:hAnsi="宋体" w:eastAsia="宋体" w:cs="宋体"/>
          <w:color w:val="auto"/>
          <w:sz w:val="24"/>
          <w:highlight w:val="none"/>
          <w:lang w:eastAsia="zh-CN"/>
        </w:rPr>
        <w:t xml:space="preserve">和</w:t>
      </w:r>
      <w:r>
        <w:rPr>
          <w:rFonts w:ascii="宋体" w:hAnsi="宋体" w:eastAsia="宋体" w:cs="宋体"/>
          <w:color w:val="auto"/>
          <w:sz w:val="24"/>
          <w:highlight w:val="none"/>
          <w:lang w:eastAsia="zh-CN"/>
        </w:rPr>
        <w:t xml:space="preserve">处理有关事宜，其法律后果由我方承担。</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w:t>
      </w:r>
      <w:r>
        <w:rPr>
          <w:rFonts w:ascii="宋体" w:hAnsi="宋体" w:eastAsia="宋体" w:cs="宋体"/>
          <w:color w:val="auto"/>
          <w:sz w:val="24"/>
          <w:highlight w:val="none"/>
          <w:lang w:eastAsia="zh-CN"/>
        </w:rPr>
        <w:t xml:space="preserve">期限：自本</w:t>
      </w:r>
      <w:r>
        <w:rPr>
          <w:rFonts w:hint="eastAsia" w:ascii="宋体" w:hAnsi="宋体" w:eastAsia="宋体" w:cs="宋体"/>
          <w:color w:val="auto"/>
          <w:sz w:val="24"/>
          <w:highlight w:val="none"/>
          <w:lang w:eastAsia="zh-CN"/>
        </w:rPr>
        <w:t xml:space="preserve">授权</w:t>
      </w:r>
      <w:r>
        <w:rPr>
          <w:rFonts w:ascii="宋体" w:hAnsi="宋体" w:eastAsia="宋体" w:cs="宋体"/>
          <w:color w:val="auto"/>
          <w:sz w:val="24"/>
          <w:highlight w:val="none"/>
          <w:lang w:eastAsia="zh-CN"/>
        </w:rPr>
        <w:t xml:space="preserve">委托书签署之日起至</w:t>
      </w:r>
      <w:r>
        <w:rPr>
          <w:rFonts w:hint="eastAsia" w:ascii="宋体" w:hAnsi="宋体" w:eastAsia="宋体" w:cs="宋体"/>
          <w:color w:val="auto"/>
          <w:sz w:val="24"/>
          <w:highlight w:val="none"/>
          <w:lang w:eastAsia="zh-CN"/>
        </w:rPr>
        <w:t xml:space="preserve">响应</w:t>
      </w:r>
      <w:r>
        <w:rPr>
          <w:rFonts w:ascii="宋体" w:hAnsi="宋体" w:eastAsia="宋体" w:cs="宋体"/>
          <w:color w:val="auto"/>
          <w:sz w:val="24"/>
          <w:highlight w:val="none"/>
          <w:lang w:eastAsia="zh-CN"/>
        </w:rPr>
        <w:t xml:space="preserve">有效期</w:t>
      </w:r>
      <w:r>
        <w:rPr>
          <w:rFonts w:hint="eastAsia" w:ascii="宋体" w:hAnsi="宋体" w:eastAsia="宋体" w:cs="宋体"/>
          <w:color w:val="auto"/>
          <w:sz w:val="24"/>
          <w:highlight w:val="none"/>
          <w:lang w:eastAsia="zh-CN"/>
        </w:rPr>
        <w:t xml:space="preserve">届满</w:t>
      </w:r>
      <w:r>
        <w:rPr>
          <w:rFonts w:ascii="宋体" w:hAnsi="宋体" w:eastAsia="宋体" w:cs="宋体"/>
          <w:color w:val="auto"/>
          <w:sz w:val="24"/>
          <w:highlight w:val="none"/>
          <w:lang w:eastAsia="zh-CN"/>
        </w:rPr>
        <w:t xml:space="preserve">之日止。</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代理人</w:t>
      </w:r>
      <w:r>
        <w:rPr>
          <w:rFonts w:ascii="宋体" w:hAnsi="宋体" w:eastAsia="宋体" w:cs="宋体"/>
          <w:color w:val="auto"/>
          <w:sz w:val="24"/>
          <w:highlight w:val="none"/>
          <w:lang w:eastAsia="zh-CN"/>
        </w:rPr>
        <w:t xml:space="preserve">无转委托权。</w:t>
      </w:r>
      <w:r>
        <w:rPr>
          <w:rFonts w:ascii="宋体" w:hAnsi="宋体" w:eastAsia="宋体" w:cs="宋体"/>
          <w:color w:val="auto"/>
          <w:sz w:val="24"/>
          <w:highlight w:val="none"/>
          <w:lang w:eastAsia="zh-CN"/>
        </w:rPr>
        <w:b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或</w:t>
      </w:r>
      <w:r>
        <w:rPr>
          <w:rFonts w:hint="eastAsia" w:ascii="宋体" w:hAnsi="宋体" w:eastAsia="宋体" w:cs="宋体"/>
          <w:color w:val="auto"/>
          <w:sz w:val="24"/>
          <w:highlight w:val="none"/>
          <w:lang w:eastAsia="zh-CN"/>
        </w:rPr>
        <w:t xml:space="preserve">印鉴）</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w:t>
      </w:r>
      <w:r>
        <w:rPr>
          <w:rFonts w:ascii="宋体" w:hAnsi="宋体" w:eastAsia="宋体" w:cs="宋体"/>
          <w:color w:val="auto"/>
          <w:sz w:val="24"/>
          <w:highlight w:val="none"/>
          <w:lang w:eastAsia="zh-CN"/>
        </w:rPr>
        <w:t xml:space="preserve">人（签字</w:t>
      </w:r>
      <w:r>
        <w:rPr>
          <w:rFonts w:hint="eastAsia" w:ascii="宋体" w:hAnsi="宋体" w:eastAsia="宋体" w:cs="宋体"/>
          <w:color w:val="auto"/>
          <w:sz w:val="24"/>
          <w:highlight w:val="none"/>
          <w:lang w:eastAsia="zh-CN"/>
        </w:rPr>
        <w:t xml:space="preserve">/签章</w:t>
      </w:r>
      <w:r>
        <w:rPr>
          <w:rFonts w:ascii="宋体" w:hAnsi="宋体" w:eastAsia="宋体" w:cs="宋体"/>
          <w:color w:val="auto"/>
          <w:sz w:val="24"/>
          <w:highlight w:val="none"/>
          <w:lang w:eastAsia="zh-CN"/>
        </w:rPr>
        <w:t xml:space="preserve">）：</w:t>
      </w:r>
      <w:r>
        <w:rPr>
          <w:rFonts w:ascii="宋体" w:hAnsi="宋体" w:eastAsia="宋体" w:cs="宋体"/>
          <w:color w:val="auto"/>
          <w:sz w:val="24"/>
          <w:highlight w:val="none"/>
          <w:lang w:val="zh-CN" w:eastAsia="zh-CN"/>
        </w:rPr>
        <w:t xml:space="preserve">________________</w:t>
      </w:r>
      <w:r>
        <w:rPr>
          <w:rFonts w:ascii="宋体" w:hAnsi="宋体" w:eastAsia="宋体" w:cs="宋体"/>
          <w:color w:val="auto"/>
          <w:sz w:val="24"/>
          <w:highlight w:val="none"/>
          <w:lang w:eastAsia="zh-CN"/>
        </w:rPr>
        <w:t xml:space="preserve">    </w:t>
      </w:r>
      <w:r>
        <w:rPr>
          <w:rFonts w:ascii="宋体" w:hAnsi="宋体" w:eastAsia="宋体" w:cs="宋体"/>
          <w:color w:val="auto"/>
          <w:sz w:val="24"/>
          <w:highlight w:val="none"/>
          <w:lang w:val="zh-CN" w:eastAsia="zh-CN"/>
        </w:rPr>
        <w:t xml:space="preserve">                      </w:t>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法定代表人（单位负责人）有效期内的身份证正反面电子件：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委托代理人</w:t>
      </w:r>
      <w:r>
        <w:rPr>
          <w:rFonts w:ascii="宋体" w:hAnsi="宋体" w:eastAsia="宋体" w:cs="宋体"/>
          <w:color w:val="auto"/>
          <w:sz w:val="24"/>
          <w:highlight w:val="none"/>
          <w:lang w:eastAsia="zh-CN"/>
        </w:rPr>
        <w:t xml:space="preserve">有效期内的身份证正反面电子件：</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填报说明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1、若供应商为事业单位或其他组织或分支机构（仅当</w:t>
      </w:r>
      <w:r>
        <w:rPr>
          <w:rFonts w:hint="eastAsia" w:ascii="宋体" w:hAnsi="宋体" w:eastAsia="宋体" w:cs="宋体"/>
          <w:color w:val="auto"/>
          <w:sz w:val="24"/>
          <w:highlight w:val="none"/>
          <w:lang w:eastAsia="zh-CN"/>
        </w:rPr>
        <w:t xml:space="preserve">招标</w:t>
      </w:r>
      <w:r>
        <w:rPr>
          <w:rFonts w:ascii="宋体" w:hAnsi="宋体" w:eastAsia="宋体" w:cs="宋体"/>
          <w:color w:val="auto"/>
          <w:sz w:val="24"/>
          <w:highlight w:val="none"/>
          <w:lang w:eastAsia="zh-CN"/>
        </w:rPr>
        <w:t xml:space="preserve">文件注明允许分支机构</w:t>
      </w:r>
      <w:r>
        <w:rPr>
          <w:rFonts w:hint="eastAsia" w:ascii="宋体" w:hAnsi="宋体" w:eastAsia="宋体" w:cs="宋体"/>
          <w:color w:val="auto"/>
          <w:sz w:val="24"/>
          <w:highlight w:val="none"/>
          <w:lang w:eastAsia="zh-CN"/>
        </w:rPr>
        <w:t xml:space="preserve">投标</w:t>
      </w:r>
      <w:r>
        <w:rPr>
          <w:rFonts w:ascii="宋体" w:hAnsi="宋体" w:eastAsia="宋体" w:cs="宋体"/>
          <w:color w:val="auto"/>
          <w:sz w:val="24"/>
          <w:highlight w:val="none"/>
          <w:lang w:eastAsia="zh-CN"/>
        </w:rPr>
        <w:t xml:space="preserve">的），则法定代表人（单位负责人）</w:t>
      </w:r>
      <w:r>
        <w:rPr>
          <w:rFonts w:hint="eastAsia" w:ascii="宋体" w:hAnsi="宋体" w:eastAsia="宋体" w:cs="宋体"/>
          <w:color w:val="auto"/>
          <w:sz w:val="24"/>
          <w:highlight w:val="none"/>
          <w:lang w:eastAsia="zh-CN"/>
        </w:rPr>
        <w:t xml:space="preserve">处</w:t>
      </w:r>
      <w:r>
        <w:rPr>
          <w:rFonts w:ascii="宋体" w:hAnsi="宋体" w:eastAsia="宋体" w:cs="宋体"/>
          <w:color w:val="auto"/>
          <w:sz w:val="24"/>
          <w:highlight w:val="none"/>
          <w:lang w:eastAsia="zh-CN"/>
        </w:rPr>
        <w:t xml:space="preserve">的签署人可为单位负责人</w:t>
      </w:r>
      <w:r>
        <w:rPr>
          <w:rFonts w:hint="eastAsia"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2、</w:t>
      </w:r>
      <w:r>
        <w:rPr>
          <w:rFonts w:ascii="宋体" w:hAnsi="宋体" w:eastAsia="宋体" w:cs="宋体"/>
          <w:color w:val="auto"/>
          <w:sz w:val="24"/>
          <w:highlight w:val="none"/>
          <w:lang w:eastAsia="zh-CN"/>
        </w:rPr>
        <w:t xml:space="preserve">若</w:t>
      </w:r>
      <w:r>
        <w:rPr>
          <w:rFonts w:hint="eastAsia" w:ascii="宋体" w:hAnsi="宋体" w:eastAsia="宋体" w:cs="宋体"/>
          <w:color w:val="auto"/>
          <w:sz w:val="24"/>
          <w:highlight w:val="none"/>
          <w:lang w:eastAsia="zh-CN"/>
        </w:rPr>
        <w:t xml:space="preserve">询价</w:t>
      </w:r>
      <w:r>
        <w:rPr>
          <w:rFonts w:ascii="宋体" w:hAnsi="宋体" w:eastAsia="宋体" w:cs="宋体"/>
          <w:color w:val="auto"/>
          <w:sz w:val="24"/>
          <w:highlight w:val="none"/>
          <w:lang w:eastAsia="zh-CN"/>
        </w:rPr>
        <w:t xml:space="preserve">文件中全部签字之处均为法定代表人（单位负责人）本人签署，则可不提供本《</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》，但须提供</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法定代表人（单位负责人）身份证</w:t>
      </w:r>
      <w:r>
        <w:rPr>
          <w:rFonts w:hint="eastAsia" w:ascii="宋体" w:hAnsi="宋体" w:eastAsia="宋体" w:cs="宋体"/>
          <w:color w:val="auto"/>
          <w:sz w:val="24"/>
          <w:highlight w:val="none"/>
          <w:lang w:eastAsia="zh-CN"/>
        </w:rPr>
        <w:t xml:space="preserve">明》</w:t>
      </w:r>
      <w:r>
        <w:rPr>
          <w:rFonts w:ascii="宋体" w:hAnsi="宋体" w:eastAsia="宋体" w:cs="宋体"/>
          <w:color w:val="auto"/>
          <w:sz w:val="24"/>
          <w:highlight w:val="none"/>
          <w:lang w:eastAsia="zh-CN"/>
        </w:rPr>
        <w:t xml:space="preserve">。</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3、</w:t>
      </w:r>
      <w:r>
        <w:rPr>
          <w:rFonts w:hint="eastAsia" w:ascii="宋体" w:hAnsi="宋体" w:eastAsia="宋体" w:cs="宋体"/>
          <w:color w:val="auto"/>
          <w:sz w:val="24"/>
          <w:highlight w:val="none"/>
          <w:lang w:eastAsia="zh-CN"/>
        </w:rPr>
        <w:t xml:space="preserve">供应商为自然人的情形，可不提供本</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授权委托书</w:t>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w:t>
      </w:r>
      <w:r/>
    </w:p>
    <w:p>
      <w:pPr>
        <w:jc w:val="center"/>
        <w:pageBreakBefore w:val="0"/>
        <w:spacing w:after="0" w:line="360" w:lineRule="auto"/>
        <w:rPr>
          <w:rFonts w:ascii="宋体" w:hAnsi="宋体" w:eastAsia="宋体" w:cs="宋体"/>
          <w:b/>
          <w:bCs/>
          <w:color w:val="auto"/>
          <w:sz w:val="24"/>
          <w:highlight w:val="none"/>
          <w:lang w:eastAsia="zh-CN"/>
        </w:rPr>
        <w:pBdr>
          <w:top w:val="none" w:color="000000" w:sz="0" w:space="0"/>
          <w:left w:val="none" w:color="000000" w:sz="0" w:space="0"/>
          <w:bottom w:val="none" w:color="000000" w:sz="0" w:space="0"/>
          <w:right w:val="none" w:color="000000" w:sz="0" w:space="0"/>
        </w:pBdr>
        <w:outlineLvl w:val="0"/>
      </w:pPr>
      <w:r/>
      <w:bookmarkStart w:id="28" w:name="_Toc26274"/>
      <w:r>
        <w:rPr>
          <w:rFonts w:ascii="宋体" w:hAnsi="宋体" w:eastAsia="宋体" w:cs="宋体"/>
          <w:b/>
          <w:bCs/>
          <w:color w:val="auto"/>
          <w:sz w:val="24"/>
          <w:highlight w:val="none"/>
          <w:lang w:eastAsia="zh-CN"/>
        </w:rPr>
        <w:t xml:space="preserve">法定代表人（单位负责人）身份证明</w:t>
      </w:r>
      <w:bookmarkEnd w:id="28"/>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致：</w:t>
      </w:r>
      <w:r>
        <w:rPr>
          <w:rFonts w:hint="eastAsia" w:ascii="宋体" w:hAnsi="宋体" w:eastAsia="宋体" w:cs="宋体"/>
          <w:color w:val="auto"/>
          <w:sz w:val="24"/>
          <w:highlight w:val="none"/>
          <w:lang w:eastAsia="zh-CN"/>
        </w:rPr>
        <w:t xml:space="preserve">【采购单位】</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兹证明，</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姓名</w:t>
      </w:r>
      <w:r>
        <w:rPr>
          <w:rFonts w:hint="eastAsia" w:ascii="宋体" w:hAnsi="宋体" w:eastAsia="宋体" w:cs="宋体"/>
          <w:color w:val="auto"/>
          <w:sz w:val="24"/>
          <w:highlight w:val="none"/>
          <w:lang w:eastAsia="zh-CN"/>
        </w:rPr>
        <w:t xml:space="preserve">：</w:t>
      </w:r>
      <w:r>
        <w:rPr>
          <w:rFonts w:ascii="宋体" w:hAnsi="宋体" w:eastAsia="宋体" w:cs="宋体"/>
          <w:color w:val="auto"/>
          <w:sz w:val="24"/>
          <w:highlight w:val="none"/>
          <w:lang w:eastAsia="zh-CN"/>
        </w:rPr>
        <w:t xml:space="preserve">____性别：____年龄：____职务：____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系</w:t>
      </w:r>
      <w:r>
        <w:rPr>
          <w:rFonts w:ascii="宋体" w:hAnsi="宋体" w:eastAsia="宋体" w:cs="宋体"/>
          <w:color w:val="auto"/>
          <w:sz w:val="24"/>
          <w:highlight w:val="none"/>
          <w:lang w:eastAsia="zh-CN"/>
        </w:rPr>
        <w:tab/>
      </w:r>
      <w:r>
        <w:rPr>
          <w:rFonts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名称）的法定代表人（单位负责人）。</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附：法定代表人（单位负责人）有效期内的身</w:t>
      </w:r>
      <w:r>
        <w:rPr>
          <w:rFonts w:hint="eastAsia" w:ascii="宋体" w:hAnsi="宋体" w:eastAsia="宋体" w:cs="宋体"/>
          <w:color w:val="auto"/>
          <w:sz w:val="24"/>
          <w:highlight w:val="none"/>
          <w:lang w:eastAsia="zh-CN"/>
        </w:rPr>
        <w:t xml:space="preserve">份</w:t>
      </w:r>
      <w:r>
        <w:rPr>
          <w:rFonts w:ascii="宋体" w:hAnsi="宋体" w:eastAsia="宋体" w:cs="宋体"/>
          <w:color w:val="auto"/>
          <w:sz w:val="24"/>
          <w:highlight w:val="none"/>
          <w:lang w:eastAsia="zh-CN"/>
        </w:rPr>
        <w:t xml:space="preserve">证正反面</w:t>
      </w:r>
      <w:r>
        <w:rPr>
          <w:rFonts w:hint="eastAsia" w:ascii="宋体" w:hAnsi="宋体" w:eastAsia="宋体" w:cs="宋体"/>
          <w:color w:val="auto"/>
          <w:sz w:val="24"/>
          <w:highlight w:val="none"/>
          <w:lang w:eastAsia="zh-CN"/>
        </w:rPr>
        <w:t xml:space="preserve">电子</w:t>
      </w:r>
      <w:r>
        <w:rPr>
          <w:rFonts w:ascii="宋体" w:hAnsi="宋体" w:eastAsia="宋体" w:cs="宋体"/>
          <w:color w:val="auto"/>
          <w:sz w:val="24"/>
          <w:highlight w:val="none"/>
          <w:lang w:eastAsia="zh-CN"/>
        </w:rPr>
        <w:t xml:space="preserve">件</w:t>
      </w:r>
      <w:r>
        <w:rPr>
          <w:rFonts w:hint="eastAsia" w:ascii="宋体" w:hAnsi="宋体" w:eastAsia="宋体" w:cs="宋体"/>
          <w:color w:val="auto"/>
          <w:sz w:val="24"/>
          <w:highlight w:val="none"/>
          <w:lang w:eastAsia="zh-CN"/>
        </w:rPr>
        <w:t xml:space="preserve">。</w:t>
      </w:r>
      <w:r/>
    </w:p>
    <w:tbl>
      <w:tblPr>
        <w:tblStyle w:val="688"/>
        <w:tblW w:w="9209"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c>
          <w:tcPr>
            <w:tcW w:w="4536" w:type="dxa"/>
            <w:vAlign w:val="top"/>
            <w:textDirection w:val="lrTb"/>
            <w:noWrap w:val="false"/>
          </w:tcPr>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tc>
      </w:tr>
    </w:tbl>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供应商</w:t>
      </w:r>
      <w:r>
        <w:rPr>
          <w:rFonts w:ascii="宋体" w:hAnsi="宋体" w:eastAsia="宋体" w:cs="宋体"/>
          <w:color w:val="auto"/>
          <w:sz w:val="24"/>
          <w:highlight w:val="none"/>
          <w:lang w:eastAsia="zh-CN"/>
        </w:rPr>
        <w:t xml:space="preserve">名称（加盖公章）</w:t>
      </w:r>
      <w:r>
        <w:rPr>
          <w:rFonts w:ascii="宋体" w:hAnsi="宋体" w:eastAsia="宋体" w:cs="宋体"/>
          <w:color w:val="auto"/>
          <w:sz w:val="24"/>
          <w:highlight w:val="none"/>
          <w:lang w:val="zh-CN" w:eastAsia="zh-CN"/>
        </w:rPr>
        <w:t xml:space="preserve">：________________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eastAsia="zh-CN"/>
        </w:rPr>
        <w:t xml:space="preserve">法定代表人（</w:t>
      </w:r>
      <w:r>
        <w:rPr>
          <w:rFonts w:ascii="宋体" w:hAnsi="宋体" w:eastAsia="宋体" w:cs="宋体"/>
          <w:color w:val="auto"/>
          <w:sz w:val="24"/>
          <w:highlight w:val="none"/>
          <w:lang w:eastAsia="zh-CN"/>
        </w:rPr>
        <w:t xml:space="preserve">单位负责人</w:t>
      </w:r>
      <w:r>
        <w:rPr>
          <w:rFonts w:hint="eastAsia" w:ascii="宋体" w:hAnsi="宋体" w:eastAsia="宋体" w:cs="宋体"/>
          <w:color w:val="auto"/>
          <w:sz w:val="24"/>
          <w:highlight w:val="none"/>
          <w:lang w:eastAsia="zh-CN"/>
        </w:rPr>
        <w:t xml:space="preserve">）（签字、签章或印鉴）：_</w:t>
      </w:r>
      <w:r>
        <w:rPr>
          <w:rFonts w:ascii="宋体" w:hAnsi="宋体" w:eastAsia="宋体" w:cs="宋体"/>
          <w:color w:val="auto"/>
          <w:sz w:val="24"/>
          <w:highlight w:val="none"/>
          <w:lang w:eastAsia="zh-CN"/>
        </w:rPr>
        <w:t xml:space="preserve">______</w:t>
      </w:r>
      <w:r/>
    </w:p>
    <w:p>
      <w:pPr>
        <w:jc w:val="both"/>
        <w:pageBreakBefore w:val="0"/>
        <w:spacing w:after="0" w:line="360" w:lineRule="auto"/>
        <w:rPr>
          <w:rFonts w:ascii="宋体" w:hAnsi="宋体" w:eastAsia="宋体" w:cs="宋体"/>
          <w:color w:val="auto"/>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r>
      <w:r/>
    </w:p>
    <w:p>
      <w:pPr>
        <w:jc w:val="both"/>
        <w:pageBreakBefore w:val="0"/>
        <w:spacing w:after="0" w:line="360" w:lineRule="auto"/>
        <w:rPr>
          <w:rFonts w:ascii="宋体" w:hAnsi="宋体" w:eastAsia="宋体" w:cs="宋体"/>
          <w:color w:val="auto"/>
          <w:sz w:val="24"/>
          <w:highlight w:val="none"/>
          <w:lang w:val="zh-CN"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日期：_____年______月______日</w:t>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Times New Roman" w:hAnsi="Times New Roman" w:eastAsia="Times New Roman" w:cs="Times New Roman"/>
          <w:b/>
          <w:color w:val="auto"/>
          <w:sz w:val="30"/>
          <w:highlight w:val="none"/>
          <w:lang w:eastAsia="zh-CN"/>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r>
      <w:r/>
    </w:p>
    <w:p>
      <w:pPr>
        <w:jc w:val="both"/>
        <w:pageBreakBefore w:val="0"/>
        <w:spacing w:after="0" w:line="360" w:lineRule="auto"/>
        <w:rPr>
          <w:rFonts w:ascii="宋体" w:hAnsi="宋体"/>
          <w:b/>
          <w:bCs/>
          <w:color w:val="auto"/>
          <w:sz w:val="28"/>
          <w:szCs w:val="20"/>
          <w:highlight w:val="none"/>
        </w:rPr>
        <w:pBdr>
          <w:top w:val="none" w:color="000000" w:sz="0" w:space="0"/>
          <w:left w:val="none" w:color="000000" w:sz="0" w:space="0"/>
          <w:bottom w:val="none" w:color="000000" w:sz="0" w:space="31"/>
          <w:right w:val="none" w:color="000000" w:sz="0" w:space="0"/>
        </w:pBdr>
      </w:pPr>
      <w:r>
        <w:rPr>
          <w:rFonts w:ascii="Times New Roman" w:hAnsi="Times New Roman" w:eastAsia="Times New Roman" w:cs="Times New Roman"/>
          <w:b/>
          <w:color w:val="auto"/>
          <w:sz w:val="30"/>
          <w:highlight w:val="none"/>
          <w:lang w:eastAsia="zh-CN"/>
        </w:rPr>
        <w:t xml:space="preserve"> </w:t>
      </w:r>
      <w:bookmarkStart w:id="29" w:name="_Toc2550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8</w:t>
      </w:r>
      <w:r>
        <w:rPr>
          <w:rFonts w:hint="eastAsia" w:ascii="宋体" w:hAnsi="宋体"/>
          <w:b/>
          <w:bCs/>
          <w:color w:val="auto"/>
          <w:sz w:val="24"/>
          <w:szCs w:val="24"/>
          <w:highlight w:val="none"/>
        </w:rPr>
        <w:t xml:space="preserve">、中小企业声明函</w:t>
      </w:r>
      <w:bookmarkEnd w:id="29"/>
      <w:r/>
      <w:r/>
    </w:p>
    <w:p>
      <w:pPr>
        <w:jc w:val="center"/>
        <w:pageBreakBefore w:val="0"/>
        <w:spacing w:after="0" w:line="360" w:lineRule="auto"/>
        <w:rPr>
          <w:rFonts w:ascii="宋体" w:hAnsi="宋体" w:cs="宋体"/>
          <w:b/>
          <w:bCs/>
          <w:color w:val="auto"/>
          <w:sz w:val="36"/>
          <w:szCs w:val="28"/>
          <w:highlight w:val="none"/>
        </w:rPr>
      </w:pPr>
      <w:r>
        <w:rPr>
          <w:rFonts w:hint="eastAsia" w:ascii="宋体" w:hAnsi="宋体" w:cs="宋体"/>
          <w:b/>
          <w:bCs/>
          <w:color w:val="auto"/>
          <w:sz w:val="36"/>
          <w:szCs w:val="28"/>
          <w:highlight w:val="none"/>
        </w:rPr>
        <w:t xml:space="preserve">中小企业声明函</w:t>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本公司郑重声明，根据《政府采购促进中小企业发展管理办法》（财库﹝2020﹞46号）的规定，本公司参加</w:t>
      </w:r>
      <w:r>
        <w:rPr>
          <w:rFonts w:ascii="宋体" w:hAnsi="宋体"/>
          <w:color w:val="auto"/>
          <w:sz w:val="24"/>
          <w:szCs w:val="24"/>
          <w:highlight w:val="none"/>
          <w:u w:val="single"/>
        </w:rPr>
        <w:t xml:space="preserve">（单位名称）</w:t>
      </w:r>
      <w:r>
        <w:rPr>
          <w:rFonts w:ascii="宋体" w:hAnsi="宋体"/>
          <w:color w:val="auto"/>
          <w:sz w:val="24"/>
          <w:szCs w:val="24"/>
          <w:highlight w:val="none"/>
        </w:rPr>
        <w:t xml:space="preserve">的</w:t>
      </w:r>
      <w:r>
        <w:rPr>
          <w:rFonts w:ascii="宋体" w:hAnsi="宋体"/>
          <w:color w:val="auto"/>
          <w:sz w:val="24"/>
          <w:szCs w:val="24"/>
          <w:highlight w:val="none"/>
          <w:u w:val="single"/>
        </w:rPr>
        <w:t xml:space="preserve">（项目名称）</w:t>
      </w:r>
      <w:r>
        <w:rPr>
          <w:rFonts w:ascii="宋体" w:hAnsi="宋体"/>
          <w:color w:val="auto"/>
          <w:sz w:val="24"/>
          <w:szCs w:val="24"/>
          <w:highlight w:val="none"/>
        </w:rPr>
        <w:t xml:space="preserve">采购活动，提供的货物全部由符合政策要求的中小企业制造。相关企业的具体情况如下：</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 1. </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货物</w:t>
      </w:r>
      <w:r>
        <w:rPr>
          <w:rFonts w:ascii="宋体" w:hAnsi="宋体"/>
          <w:color w:val="auto"/>
          <w:sz w:val="24"/>
          <w:szCs w:val="24"/>
          <w:highlight w:val="none"/>
          <w:u w:val="single"/>
        </w:rPr>
        <w:t xml:space="preserve">名称） </w:t>
      </w:r>
      <w:r>
        <w:rPr>
          <w:rFonts w:ascii="宋体" w:hAnsi="宋体"/>
          <w:color w:val="auto"/>
          <w:sz w:val="24"/>
          <w:szCs w:val="24"/>
          <w:highlight w:val="none"/>
        </w:rPr>
        <w:t xml:space="preserve">，属于</w:t>
      </w:r>
      <w:r>
        <w:rPr>
          <w:rFonts w:ascii="宋体" w:hAnsi="宋体"/>
          <w:color w:val="auto"/>
          <w:sz w:val="24"/>
          <w:szCs w:val="24"/>
          <w:highlight w:val="none"/>
          <w:u w:val="single"/>
        </w:rPr>
        <w:t xml:space="preserve">（采购文件中明确的所属行业） </w:t>
      </w:r>
      <w:r>
        <w:rPr>
          <w:rFonts w:ascii="宋体" w:hAnsi="宋体"/>
          <w:color w:val="auto"/>
          <w:sz w:val="24"/>
          <w:szCs w:val="24"/>
          <w:highlight w:val="none"/>
        </w:rPr>
        <w:t xml:space="preserve">行业；制造商为</w:t>
      </w:r>
      <w:r>
        <w:rPr>
          <w:rFonts w:ascii="宋体" w:hAnsi="宋体"/>
          <w:color w:val="auto"/>
          <w:sz w:val="24"/>
          <w:szCs w:val="24"/>
          <w:highlight w:val="none"/>
          <w:u w:val="single"/>
        </w:rPr>
        <w:t xml:space="preserve">（企业名称）</w:t>
      </w:r>
      <w:r>
        <w:rPr>
          <w:rFonts w:ascii="宋体" w:hAnsi="宋体"/>
          <w:color w:val="auto"/>
          <w:sz w:val="24"/>
          <w:szCs w:val="24"/>
          <w:highlight w:val="none"/>
        </w:rPr>
        <w:t xml:space="preserve">，从业人员</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人，营业收入为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万元，资产总额为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万元，属于</w:t>
      </w:r>
      <w:r>
        <w:rPr>
          <w:rFonts w:ascii="宋体" w:hAnsi="宋体"/>
          <w:color w:val="auto"/>
          <w:sz w:val="24"/>
          <w:szCs w:val="24"/>
          <w:highlight w:val="none"/>
          <w:u w:val="single"/>
        </w:rPr>
        <w:t xml:space="preserve">（</w:t>
      </w:r>
      <w:r>
        <w:rPr>
          <w:rFonts w:hint="eastAsia" w:ascii="宋体" w:hAnsi="宋体"/>
          <w:color w:val="auto"/>
          <w:sz w:val="24"/>
          <w:szCs w:val="24"/>
          <w:highlight w:val="none"/>
          <w:u w:val="single"/>
        </w:rPr>
        <w:t xml:space="preserve">中型企业、</w:t>
      </w:r>
      <w:r>
        <w:rPr>
          <w:rFonts w:ascii="宋体" w:hAnsi="宋体"/>
          <w:color w:val="auto"/>
          <w:sz w:val="24"/>
          <w:szCs w:val="24"/>
          <w:highlight w:val="none"/>
          <w:u w:val="single"/>
        </w:rPr>
        <w:t xml:space="preserve">小型企业、微型企业）</w:t>
      </w:r>
      <w:r>
        <w:rPr>
          <w:rFonts w:ascii="宋体" w:hAnsi="宋体"/>
          <w:color w:val="auto"/>
          <w:sz w:val="24"/>
          <w:szCs w:val="24"/>
          <w:highlight w:val="none"/>
        </w:rPr>
        <w:t xml:space="preserve">；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以上企业，不属于大企业的分支机构，不存在控股股东为大企业的情形，也不存在与大企业的负责人为同一人的情形。 </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本企业对上述声明内容的真实性负责。如有虚假，将依法承担相应责任。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企业名称（盖章）： </w:t>
      </w:r>
      <w:r/>
    </w:p>
    <w:p>
      <w:pPr>
        <w:ind w:right="480" w:firstLine="492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t xml:space="preserve">日 期：</w:t>
      </w:r>
      <w:r>
        <w:rPr>
          <w:rFonts w:hint="eastAsia" w:ascii="宋体" w:hAnsi="宋体"/>
          <w:color w:val="auto"/>
          <w:sz w:val="24"/>
          <w:szCs w:val="24"/>
          <w:highlight w:val="none"/>
        </w:rPr>
        <w:t xml:space="preserve">   年   月   日</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填报说明：</w:t>
      </w:r>
      <w:r/>
    </w:p>
    <w:p>
      <w:pPr>
        <w:ind w:right="480"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从业人员、营业收入、资产总额填报</w:t>
      </w:r>
      <w:r>
        <w:rPr>
          <w:rFonts w:hint="eastAsia" w:ascii="宋体" w:hAnsi="宋体"/>
          <w:color w:val="auto"/>
          <w:sz w:val="24"/>
          <w:szCs w:val="24"/>
          <w:highlight w:val="none"/>
        </w:rPr>
        <w:t xml:space="preserve">上一年</w:t>
      </w:r>
      <w:r>
        <w:rPr>
          <w:rFonts w:ascii="宋体" w:hAnsi="宋体"/>
          <w:color w:val="auto"/>
          <w:sz w:val="24"/>
          <w:szCs w:val="24"/>
          <w:highlight w:val="none"/>
        </w:rPr>
        <w:t xml:space="preserve">度数据</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无上一年度数据</w:t>
      </w:r>
      <w:r>
        <w:rPr>
          <w:rFonts w:ascii="宋体" w:hAnsi="宋体"/>
          <w:color w:val="auto"/>
          <w:sz w:val="24"/>
          <w:szCs w:val="24"/>
          <w:highlight w:val="none"/>
        </w:rPr>
        <w:t xml:space="preserve">的新成立企业可不填报。</w:t>
      </w:r>
      <w:r/>
    </w:p>
    <w:p>
      <w:pPr>
        <w:ind w:firstLine="440"/>
        <w:pageBreakBefore w:val="0"/>
        <w:spacing w:after="0"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2、请</w:t>
      </w:r>
      <w:r>
        <w:rPr>
          <w:rFonts w:hint="eastAsia" w:ascii="宋体" w:hAnsi="宋体"/>
          <w:color w:val="auto"/>
          <w:sz w:val="24"/>
          <w:szCs w:val="24"/>
          <w:highlight w:val="none"/>
          <w:lang w:eastAsia="zh-CN"/>
        </w:rPr>
        <w:t xml:space="preserve">供应商</w:t>
      </w:r>
      <w:r>
        <w:rPr>
          <w:rFonts w:hint="eastAsia" w:ascii="宋体" w:hAnsi="宋体"/>
          <w:color w:val="auto"/>
          <w:sz w:val="24"/>
          <w:szCs w:val="24"/>
          <w:highlight w:val="none"/>
        </w:rPr>
        <w:t xml:space="preserve">如实填写，所填内容将作为评审的依据。其内容填写须与报价明细表一致，如填写不完整或不一致，将不享受扶持政策。</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3</w:t>
      </w:r>
      <w:r>
        <w:rPr>
          <w:rFonts w:hint="eastAsia" w:ascii="宋体" w:hAnsi="宋体"/>
          <w:color w:val="auto"/>
          <w:szCs w:val="24"/>
          <w:highlight w:val="none"/>
        </w:rPr>
        <w:t xml:space="preserve">、“制造商企业类型”栏填写内容为“中型”“小型”“微型”“监狱企业”或“残疾人福利性单位”。如</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提供的货物制造商全部为</w:t>
      </w:r>
      <w:r>
        <w:rPr>
          <w:rFonts w:hint="eastAsia" w:ascii="宋体" w:hAnsi="宋体"/>
          <w:color w:val="auto"/>
          <w:szCs w:val="24"/>
          <w:highlight w:val="none"/>
          <w:lang w:val="en-US" w:eastAsia="zh-CN"/>
        </w:rPr>
        <w:t xml:space="preserve">中型</w:t>
      </w:r>
      <w:r>
        <w:rPr>
          <w:rFonts w:hint="eastAsia" w:ascii="宋体" w:hAnsi="宋体"/>
          <w:color w:val="auto"/>
          <w:szCs w:val="24"/>
          <w:highlight w:val="none"/>
        </w:rPr>
        <w:t xml:space="preserve">企业</w:t>
      </w:r>
      <w:r>
        <w:rPr>
          <w:rFonts w:hint="eastAsia" w:ascii="宋体" w:hAnsi="宋体"/>
          <w:color w:val="auto"/>
          <w:szCs w:val="24"/>
          <w:highlight w:val="none"/>
          <w:lang w:val="en-US" w:eastAsia="zh-CN"/>
        </w:rPr>
        <w:t xml:space="preserve">、</w:t>
      </w:r>
      <w:r>
        <w:rPr>
          <w:rFonts w:hint="eastAsia" w:ascii="宋体" w:hAnsi="宋体"/>
          <w:color w:val="auto"/>
          <w:szCs w:val="24"/>
          <w:highlight w:val="none"/>
        </w:rPr>
        <w:t xml:space="preserve">小型企业、微型企业的，提供《中小企业声明函》（见格式）；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为残疾人福利性单位且提供的货物全部由残疾人福利性单位制造的，提供《残疾人福利性单位声明函》（见格式）；</w:t>
      </w:r>
      <w:r>
        <w:rPr>
          <w:rFonts w:hint="eastAsia" w:ascii="宋体" w:hAnsi="宋体"/>
          <w:color w:val="auto"/>
          <w:szCs w:val="24"/>
          <w:highlight w:val="none"/>
          <w:lang w:eastAsia="zh-CN"/>
        </w:rPr>
        <w:t xml:space="preserve">供应商</w:t>
      </w:r>
      <w:r>
        <w:rPr>
          <w:rFonts w:hint="eastAsia" w:ascii="宋体" w:hAnsi="宋体"/>
          <w:color w:val="auto"/>
          <w:szCs w:val="24"/>
          <w:highlight w:val="none"/>
        </w:rPr>
        <w:t xml:space="preserve">为监狱企业或提供的货物由监狱企业制造的，提供由省级以上监狱管理局、戒毒管理局(含新疆生产建设兵团)出具的属于监狱企业的证明文件。</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lang w:val="en-US" w:eastAsia="zh-CN"/>
        </w:rPr>
        <w:t xml:space="preserve">4</w:t>
      </w:r>
      <w:r>
        <w:rPr>
          <w:rFonts w:hint="eastAsia" w:ascii="宋体" w:hAnsi="宋体"/>
          <w:color w:val="auto"/>
          <w:szCs w:val="24"/>
          <w:highlight w:val="none"/>
        </w:rPr>
        <w:t xml:space="preserve">、本表中事项填写不得有缺失，请如实填写，行数或事项不够，可自行增加。</w:t>
      </w:r>
      <w:r/>
    </w:p>
    <w:p>
      <w:pPr>
        <w:ind w:firstLine="440"/>
        <w:pageBreakBefore w:val="0"/>
        <w:spacing w:after="0" w:line="360" w:lineRule="auto"/>
        <w:rPr>
          <w:rFonts w:hint="eastAsia" w:ascii="宋体" w:hAnsi="宋体"/>
          <w:color w:val="auto"/>
          <w:szCs w:val="24"/>
          <w:highlight w:val="none"/>
        </w:rPr>
      </w:pPr>
      <w:r>
        <w:rPr>
          <w:rFonts w:hint="eastAsia" w:ascii="宋体" w:hAnsi="宋体"/>
          <w:color w:val="auto"/>
          <w:szCs w:val="24"/>
          <w:highlight w:val="none"/>
        </w:rPr>
      </w:r>
      <w:r/>
    </w:p>
    <w:p>
      <w:pPr>
        <w:pStyle w:val="692"/>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keepNext/>
        <w:pageBreakBefore w:val="0"/>
        <w:spacing w:after="0" w:line="360" w:lineRule="auto"/>
        <w:rPr>
          <w:rFonts w:ascii="宋体" w:hAnsi="宋体"/>
          <w:b/>
          <w:bCs/>
          <w:color w:val="auto"/>
          <w:sz w:val="28"/>
          <w:szCs w:val="20"/>
          <w:highlight w:val="none"/>
        </w:rPr>
        <w:outlineLvl w:val="0"/>
      </w:pPr>
      <w:r/>
      <w:bookmarkStart w:id="30" w:name="_Toc21012"/>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9</w:t>
      </w:r>
      <w:r>
        <w:rPr>
          <w:rFonts w:hint="eastAsia" w:ascii="宋体" w:hAnsi="宋体"/>
          <w:b/>
          <w:bCs/>
          <w:color w:val="auto"/>
          <w:sz w:val="24"/>
          <w:szCs w:val="24"/>
          <w:highlight w:val="none"/>
        </w:rPr>
        <w:t xml:space="preserve">、残疾人福利性企业声明函</w:t>
      </w:r>
      <w:bookmarkEnd w:id="30"/>
      <w:r/>
      <w:r/>
    </w:p>
    <w:p>
      <w:pPr>
        <w:jc w:val="center"/>
        <w:pageBreakBefore w:val="0"/>
        <w:spacing w:after="0" w:line="360" w:lineRule="auto"/>
        <w:rPr>
          <w:rFonts w:ascii="宋体" w:hAnsi="宋体" w:cs="宋体"/>
          <w:b/>
          <w:bCs/>
          <w:color w:val="auto"/>
          <w:sz w:val="36"/>
          <w:szCs w:val="28"/>
          <w:highlight w:val="none"/>
        </w:rPr>
        <w:outlineLvl w:val="0"/>
      </w:pPr>
      <w:r/>
      <w:bookmarkStart w:id="31" w:name="_Toc28383"/>
      <w:r>
        <w:rPr>
          <w:rFonts w:hint="eastAsia" w:ascii="宋体" w:hAnsi="宋体" w:cs="宋体"/>
          <w:b/>
          <w:bCs/>
          <w:color w:val="auto"/>
          <w:sz w:val="36"/>
          <w:szCs w:val="28"/>
          <w:highlight w:val="none"/>
        </w:rPr>
        <w:t xml:space="preserve">残疾人福利性单位声明函</w:t>
      </w:r>
      <w:bookmarkEnd w:id="31"/>
      <w:r/>
      <w:r/>
    </w:p>
    <w:p>
      <w:pPr>
        <w:jc w:val="left"/>
        <w:pageBreakBefore w:val="0"/>
        <w:spacing w:after="0" w:line="360" w:lineRule="auto"/>
        <w:rPr>
          <w:rFonts w:ascii="宋体" w:hAnsi="宋体"/>
          <w:color w:val="auto"/>
          <w:szCs w:val="24"/>
          <w:highlight w:val="none"/>
        </w:rPr>
      </w:pPr>
      <w:r>
        <w:rPr>
          <w:rFonts w:ascii="宋体" w:hAnsi="宋体"/>
          <w:color w:val="auto"/>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或者提供其他残疾人福利性单位制造的货物(不包括使用非残疾人福利性单位注册商标的货物)。相关企业的具体情况如下：</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1.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2. </w:t>
      </w:r>
      <w:r>
        <w:rPr>
          <w:rFonts w:hint="eastAsia" w:ascii="宋体" w:hAnsi="宋体"/>
          <w:color w:val="auto"/>
          <w:sz w:val="24"/>
          <w:szCs w:val="24"/>
          <w:highlight w:val="none"/>
          <w:u w:val="single"/>
        </w:rPr>
        <w:t xml:space="preserve">（货物名称）</w:t>
      </w:r>
      <w:r>
        <w:rPr>
          <w:rFonts w:hint="eastAsia" w:ascii="宋体" w:hAnsi="宋体"/>
          <w:color w:val="auto"/>
          <w:sz w:val="24"/>
          <w:szCs w:val="24"/>
          <w:highlight w:val="none"/>
        </w:rPr>
        <w:t xml:space="preserve"> ，制造商为</w:t>
      </w:r>
      <w:r>
        <w:rPr>
          <w:rFonts w:hint="eastAsia" w:ascii="宋体" w:hAnsi="宋体"/>
          <w:color w:val="auto"/>
          <w:sz w:val="24"/>
          <w:szCs w:val="24"/>
          <w:highlight w:val="none"/>
          <w:u w:val="single"/>
        </w:rPr>
        <w:t xml:space="preserve">　（企业名称）　</w:t>
      </w:r>
      <w:r>
        <w:rPr>
          <w:rFonts w:hint="eastAsia" w:ascii="宋体" w:hAnsi="宋体"/>
          <w:color w:val="auto"/>
          <w:sz w:val="24"/>
          <w:szCs w:val="24"/>
          <w:highlight w:val="none"/>
        </w:rPr>
        <w:t xml:space="preserve">，属于残疾人福利性单位；</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 </w:t>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本企业对上述声明内容的真实性负责。如有虚假，将依法承担相应责任。</w:t>
      </w:r>
      <w:r/>
    </w:p>
    <w:p>
      <w:pPr>
        <w:ind w:firstLine="480"/>
        <w:pageBreakBefore w:val="0"/>
        <w:spacing w:after="0" w:line="360" w:lineRule="auto"/>
        <w:rPr>
          <w:rFonts w:ascii="宋体" w:hAnsi="宋体"/>
          <w:color w:val="auto"/>
          <w:sz w:val="24"/>
          <w:szCs w:val="24"/>
          <w:highlight w:val="none"/>
        </w:rPr>
      </w:pPr>
      <w:r>
        <w:rPr>
          <w:rFonts w:ascii="宋体" w:hAnsi="宋体"/>
          <w:color w:val="auto"/>
          <w:sz w:val="24"/>
          <w:szCs w:val="24"/>
          <w:highlight w:val="none"/>
        </w:rPr>
      </w:r>
      <w:r/>
    </w:p>
    <w:p>
      <w:pPr>
        <w:ind w:firstLine="480"/>
        <w:pageBreakBefore w:val="0"/>
        <w:spacing w:after="0" w:line="360" w:lineRule="auto"/>
        <w:rPr>
          <w:rFonts w:ascii="宋体" w:hAnsi="宋体"/>
          <w:color w:val="auto"/>
          <w:sz w:val="24"/>
          <w:szCs w:val="24"/>
          <w:highlight w:val="none"/>
        </w:rPr>
      </w:pPr>
      <w:r>
        <w:rPr>
          <w:rFonts w:hint="eastAsia" w:ascii="宋体" w:hAnsi="宋体"/>
          <w:color w:val="auto"/>
          <w:sz w:val="24"/>
          <w:szCs w:val="24"/>
          <w:highlight w:val="none"/>
        </w:rPr>
        <w:t xml:space="preserve">　　　　　　　　　　　　　　　　　　企业名称(盖章)：</w:t>
      </w:r>
      <w:r/>
    </w:p>
    <w:p>
      <w:pPr>
        <w:ind w:firstLine="480"/>
        <w:pageBreakBefore w:val="0"/>
        <w:spacing w:after="0" w:line="360" w:lineRule="auto"/>
        <w:rPr>
          <w:rFonts w:ascii="宋体" w:hAnsi="宋体"/>
          <w:b/>
          <w:color w:val="auto"/>
          <w:sz w:val="22"/>
          <w:szCs w:val="21"/>
          <w:highlight w:val="none"/>
        </w:rPr>
      </w:pPr>
      <w:r>
        <w:rPr>
          <w:rFonts w:hint="eastAsia" w:ascii="宋体" w:hAnsi="宋体"/>
          <w:color w:val="auto"/>
          <w:sz w:val="24"/>
          <w:szCs w:val="24"/>
          <w:highlight w:val="none"/>
        </w:rPr>
        <w:t xml:space="preserve">　　　　　　　　　　　　　　　　　　日期：   年   月   日</w:t>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jc w:val="center"/>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31"/>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ind w:firstLine="2240"/>
        <w:jc w:val="both"/>
        <w:pageBreakBefore w:val="0"/>
        <w:spacing w:after="0" w:line="360" w:lineRule="auto"/>
        <w:rPr>
          <w:rFonts w:ascii="黑体" w:hAnsi="黑体" w:eastAsia="黑体" w:cs="黑体"/>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bookmarkStart w:id="32" w:name="_Toc22182"/>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p>
      <w:pPr>
        <w:jc w:val="left"/>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t xml:space="preserve">格式</w:t>
      </w:r>
      <w:r>
        <w:rPr>
          <w:rFonts w:hint="eastAsia" w:ascii="宋体" w:hAnsi="宋体" w:cstheme="minorBidi"/>
          <w:b/>
          <w:bCs/>
          <w:color w:val="auto"/>
          <w:sz w:val="24"/>
          <w:szCs w:val="24"/>
          <w:highlight w:val="none"/>
          <w:lang w:val="en-US" w:eastAsia="zh-CN" w:bidi="ar-SA"/>
        </w:rPr>
        <w:t xml:space="preserve">10</w:t>
      </w:r>
      <w:r>
        <w:rPr>
          <w:rFonts w:hint="eastAsia" w:ascii="宋体" w:hAnsi="宋体" w:eastAsiaTheme="minorEastAsia" w:cstheme="minorBidi"/>
          <w:b/>
          <w:bCs/>
          <w:color w:val="auto"/>
          <w:sz w:val="24"/>
          <w:szCs w:val="24"/>
          <w:highlight w:val="none"/>
          <w:lang w:val="en-US" w:eastAsia="zh-CN" w:bidi="ar-SA"/>
        </w:rPr>
        <w:t xml:space="preserve">、技术要求响应及偏离表</w:t>
      </w:r>
      <w:bookmarkEnd w:id="32"/>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center"/>
        <w:pageBreakBefore w:val="0"/>
        <w:spacing w:after="0" w:line="360" w:lineRule="auto"/>
        <w:rPr>
          <w:rFonts w:ascii="黑体" w:hAnsi="黑体" w:eastAsia="黑体" w:cs="黑体"/>
          <w:b/>
          <w:color w:val="auto"/>
          <w:sz w:val="32"/>
          <w:highlight w:val="none"/>
          <w:lang w:eastAsia="zh-CN"/>
        </w:rPr>
        <w:pBdr>
          <w:top w:val="none" w:color="000000" w:sz="0" w:space="0"/>
          <w:left w:val="none" w:color="000000" w:sz="0" w:space="0"/>
          <w:bottom w:val="none" w:color="000000" w:sz="0" w:space="0"/>
          <w:right w:val="none" w:color="000000" w:sz="0" w:space="0"/>
        </w:pBdr>
      </w:pPr>
      <w:r>
        <w:rPr>
          <w:rFonts w:ascii="黑体" w:hAnsi="黑体" w:eastAsia="黑体" w:cs="黑体"/>
          <w:b/>
          <w:color w:val="auto"/>
          <w:sz w:val="32"/>
          <w:highlight w:val="none"/>
          <w:lang w:eastAsia="zh-CN"/>
        </w:rPr>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pPr>
      <w:r/>
      <w:bookmarkStart w:id="33" w:name="_Toc16591"/>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1</w:t>
      </w:r>
      <w:r>
        <w:rPr>
          <w:rFonts w:hint="eastAsia" w:ascii="宋体" w:hAnsi="宋体" w:eastAsiaTheme="minorEastAsia" w:cstheme="minorBidi"/>
          <w:b/>
          <w:bCs/>
          <w:color w:val="auto"/>
          <w:sz w:val="24"/>
          <w:szCs w:val="24"/>
          <w:highlight w:val="none"/>
          <w:lang w:val="en-US" w:eastAsia="zh-CN" w:bidi="ar-SA"/>
        </w:rPr>
        <w:t xml:space="preserve">、商务要求响应及偏离表</w:t>
      </w:r>
      <w:bookmarkEnd w:id="33"/>
      <w:r/>
      <w:r/>
    </w:p>
    <w:p>
      <w:pPr>
        <w:jc w:val="left"/>
        <w:pageBreakBefore w:val="0"/>
        <w:spacing w:after="0" w:line="360" w:lineRule="auto"/>
        <w:rPr>
          <w:rFonts w:hint="eastAsia" w:ascii="宋体" w:hAnsi="宋体" w:eastAsiaTheme="minorEastAsia" w:cstheme="minorBidi"/>
          <w:b/>
          <w:bCs/>
          <w:color w:val="auto"/>
          <w:sz w:val="24"/>
          <w:szCs w:val="24"/>
          <w:highlight w:val="none"/>
          <w:lang w:val="en-US" w:eastAsia="zh-CN" w:bidi="ar-SA"/>
        </w:rPr>
        <w:pBdr>
          <w:top w:val="none" w:color="000000" w:sz="0" w:space="0"/>
          <w:left w:val="none" w:color="000000" w:sz="0" w:space="0"/>
          <w:bottom w:val="none" w:color="000000" w:sz="0" w:space="0"/>
          <w:right w:val="none" w:color="000000" w:sz="0" w:space="0"/>
        </w:pBdr>
        <w:outlineLvl w:val="0"/>
      </w:pPr>
      <w:r>
        <w:rPr>
          <w:rFonts w:hint="eastAsia" w:ascii="宋体" w:hAnsi="宋体" w:eastAsiaTheme="minorEastAsia" w:cstheme="minorBidi"/>
          <w:b/>
          <w:bCs/>
          <w:color w:val="auto"/>
          <w:sz w:val="24"/>
          <w:szCs w:val="24"/>
          <w:highlight w:val="none"/>
          <w:lang w:val="en-US" w:eastAsia="zh-CN" w:bidi="ar-SA"/>
        </w:rPr>
      </w:r>
      <w:r/>
    </w:p>
    <w:tbl>
      <w:tblPr>
        <w:tblStyle w:val="713"/>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5"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序号</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291"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采购文件要求</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52"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投标响应情况</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08"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超出、符合或偏离</w:t>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173" w:type="dxa"/>
            <w:vAlign w:val="center"/>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证明</w:t>
            </w:r>
            <w:r/>
          </w:p>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材料</w:t>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r>
        <w:trPr>
          <w:trHeight w:val="64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5"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291"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w:t>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52"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08"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173" w:type="dxa"/>
            <w:textDirection w:val="lrTb"/>
            <w:noWrap w:val="false"/>
          </w:tcPr>
          <w:p>
            <w:pPr>
              <w:jc w:val="center"/>
              <w:pageBreakBefore w:val="0"/>
              <w:spacing w:after="0" w:line="360" w:lineRule="auto"/>
              <w:rPr>
                <w:color w:val="auto"/>
                <w:highlight w:val="none"/>
              </w:rPr>
              <w:pBdr>
                <w:top w:val="none" w:color="000000" w:sz="0" w:space="0"/>
                <w:left w:val="none" w:color="000000" w:sz="0" w:space="0"/>
                <w:bottom w:val="none" w:color="000000" w:sz="0" w:space="0"/>
                <w:right w:val="none" w:color="000000" w:sz="0" w:space="0"/>
              </w:pBdr>
            </w:pPr>
            <w:r>
              <w:rPr>
                <w:color w:val="auto"/>
                <w:highlight w:val="none"/>
              </w:rPr>
            </w:r>
            <w:r/>
          </w:p>
        </w:tc>
      </w:tr>
    </w:tbl>
    <w:p>
      <w:pPr>
        <w:jc w:val="both"/>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lang w:eastAsia="zh-CN"/>
        </w:rPr>
        <w:t xml:space="preserve">注： 行数不够，可自行添加。</w:t>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Style w:val="692"/>
        <w:pageBreakBefore w:val="0"/>
        <w:spacing w:after="0" w:line="360" w:lineRule="auto"/>
        <w:rPr>
          <w:rFonts w:ascii="宋体" w:hAnsi="宋体" w:eastAsia="宋体" w:cs="宋体"/>
          <w:b/>
          <w:color w:val="auto"/>
          <w:sz w:val="28"/>
          <w:highlight w:val="none"/>
          <w:lang w:eastAsia="zh-CN"/>
        </w:rPr>
      </w:pPr>
      <w:r>
        <w:rPr>
          <w:rFonts w:ascii="宋体" w:hAnsi="宋体" w:eastAsia="宋体" w:cs="宋体"/>
          <w:b/>
          <w:color w:val="auto"/>
          <w:sz w:val="28"/>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color w:val="auto"/>
          <w:highlight w:val="none"/>
          <w:lang w:eastAsia="zh-CN"/>
        </w:rPr>
      </w:pPr>
      <w:r>
        <w:rPr>
          <w:color w:val="auto"/>
          <w:highlight w:val="none"/>
          <w:lang w:eastAsia="zh-CN"/>
        </w:rPr>
      </w:r>
      <w:r/>
    </w:p>
    <w:p>
      <w:pPr>
        <w:pStyle w:val="692"/>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r>
      <w:r/>
    </w:p>
    <w:p>
      <w:pPr>
        <w:pageBreakBefore w:val="0"/>
        <w:spacing w:after="0" w:line="360" w:lineRule="auto"/>
        <w:rPr>
          <w:rFonts w:hint="eastAsia" w:ascii="宋体" w:hAnsi="宋体" w:eastAsia="宋体" w:cs="宋体"/>
          <w:color w:val="auto"/>
          <w:sz w:val="24"/>
          <w:highlight w:val="none"/>
          <w:lang w:val="en-US" w:eastAsia="zh-CN"/>
        </w:rPr>
      </w:pPr>
      <w:r>
        <w:rPr>
          <w:rFonts w:hint="eastAsia" w:ascii="宋体" w:hAnsi="宋体" w:eastAsiaTheme="minorEastAsia" w:cstheme="minorBidi"/>
          <w:b/>
          <w:bCs/>
          <w:color w:val="auto"/>
          <w:sz w:val="24"/>
          <w:szCs w:val="24"/>
          <w:highlight w:val="none"/>
          <w:lang w:val="en-US" w:eastAsia="zh-CN" w:bidi="ar-SA"/>
        </w:rPr>
        <w:t xml:space="preserve">格式1</w:t>
      </w:r>
      <w:r>
        <w:rPr>
          <w:rFonts w:hint="eastAsia" w:ascii="宋体" w:hAnsi="宋体" w:cstheme="minorBidi"/>
          <w:b/>
          <w:bCs/>
          <w:color w:val="auto"/>
          <w:sz w:val="24"/>
          <w:szCs w:val="24"/>
          <w:highlight w:val="none"/>
          <w:lang w:val="en-US" w:eastAsia="zh-CN" w:bidi="ar-SA"/>
        </w:rPr>
        <w:t xml:space="preserve">2</w:t>
      </w:r>
      <w:r>
        <w:rPr>
          <w:rFonts w:hint="eastAsia" w:ascii="宋体" w:hAnsi="宋体" w:eastAsiaTheme="minorEastAsia" w:cstheme="minorBidi"/>
          <w:b/>
          <w:bCs/>
          <w:color w:val="auto"/>
          <w:sz w:val="24"/>
          <w:szCs w:val="24"/>
          <w:highlight w:val="none"/>
          <w:lang w:val="en-US" w:eastAsia="zh-CN" w:bidi="ar-SA"/>
        </w:rPr>
        <w:t xml:space="preserve">、供应商认为需要提供的其他证明材料</w:t>
      </w:r>
      <w:r/>
    </w:p>
    <w:p>
      <w:pPr>
        <w:pStyle w:val="692"/>
        <w:pageBreakBefore w:val="0"/>
        <w:spacing w:after="0" w:line="360" w:lineRule="auto"/>
        <w:rPr>
          <w:rFonts w:hint="eastAsia"/>
          <w:color w:val="auto"/>
          <w:highlight w:val="none"/>
          <w:lang w:val="en-US" w:eastAsia="zh-CN"/>
        </w:rPr>
      </w:pPr>
      <w:r>
        <w:rPr>
          <w:rFonts w:hint="eastAsia"/>
          <w:color w:val="auto"/>
          <w:highlight w:val="none"/>
          <w:lang w:val="en-US" w:eastAsia="zh-CN"/>
        </w:rPr>
      </w:r>
      <w:r/>
    </w:p>
    <w:p>
      <w:pPr>
        <w:jc w:val="center"/>
        <w:pageBreakBefore w:val="0"/>
        <w:spacing w:after="0" w:line="360" w:lineRule="auto"/>
        <w:rPr>
          <w:color w:val="auto"/>
          <w:highlight w:val="none"/>
          <w:lang w:eastAsia="zh-CN"/>
        </w:rPr>
        <w:pBdr>
          <w:top w:val="none" w:color="000000" w:sz="0" w:space="0"/>
          <w:left w:val="none" w:color="000000" w:sz="0" w:space="0"/>
          <w:bottom w:val="none" w:color="000000" w:sz="0" w:space="0"/>
          <w:right w:val="none" w:color="000000" w:sz="0" w:space="0"/>
        </w:pBdr>
      </w:pPr>
      <w:r>
        <w:rPr>
          <w:color w:val="auto"/>
          <w:highlight w:val="none"/>
          <w:lang w:eastAsia="zh-CN"/>
        </w:rPr>
      </w:r>
      <w:r/>
    </w:p>
    <w:sectPr>
      <w:footerReference w:type="default" r:id="rId9"/>
      <w:footnotePr/>
      <w:endnotePr/>
      <w:type w:val="nextPage"/>
      <w:pgSz w:w="11906" w:h="16838" w:orient="portrait"/>
      <w:pgMar w:top="1134" w:right="850" w:bottom="1134" w:left="1701" w:header="709" w:footer="709" w:gutter="0"/>
      <w:cols w:num="1" w:sep="0" w:space="708"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仿宋_GBK">
    <w:panose1 w:val="020B0503020202020204"/>
  </w:font>
  <w:font w:name="Segoe UI">
    <w:panose1 w:val="020B0502040204020203"/>
  </w:font>
  <w:font w:name="新宋体">
    <w:panose1 w:val="02010609030101010101"/>
  </w:font>
  <w:font w:name="Symbol">
    <w:panose1 w:val="05050102010706020507"/>
  </w:font>
  <w:font w:name="Wingdings">
    <w:panose1 w:val="05000000000000000000"/>
  </w:font>
  <w:font w:name="MS Mincho">
    <w:panose1 w:val="02020603050405090304"/>
  </w:font>
  <w:font w:name="Calibri">
    <w:panose1 w:val="020F0502020204030204"/>
  </w:font>
  <w:font w:name="楷体_GB2312">
    <w:panose1 w:val="02010609060101010101"/>
  </w:font>
  <w:font w:name="黑体">
    <w:panose1 w:val="02010609060101010101"/>
  </w:font>
  <w:font w:name="仿宋_GB2312">
    <w:panose1 w:val="02010609060101010101"/>
  </w:font>
  <w:font w:name="方正小标宋简体">
    <w:panose1 w:val="020B050302020202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00"/>
    </w:pPr>
    <w:r>
      <w:rPr>
        <w:sz w:val="22"/>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00"/>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0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before="0" w:after="0" w:line="276" w:lineRule="auto"/>
      </w:pPr>
      <w:r>
        <w:separator/>
      </w:r>
      <w:r/>
    </w:p>
  </w:footnote>
  <w:footnote w:type="continuationSeparator" w:id="0">
    <w:p>
      <w:pPr>
        <w:spacing w:before="0" w:after="0" w:line="276"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7"/>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08"/>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77" w:default="1">
    <w:name w:val="Normal"/>
    <w:uiPriority w:val="0"/>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678">
    <w:name w:val="Heading 1"/>
    <w:basedOn w:val="677"/>
    <w:next w:val="677"/>
    <w:link w:val="757"/>
    <w:uiPriority w:val="9"/>
    <w:qFormat/>
    <w:pPr>
      <w:keepLines/>
      <w:keepNext/>
      <w:spacing w:before="480"/>
      <w:outlineLvl w:val="0"/>
    </w:pPr>
    <w:rPr>
      <w:rFonts w:ascii="Arial" w:hAnsi="Arial" w:eastAsia="Arial" w:cs="Arial"/>
      <w:sz w:val="40"/>
      <w:szCs w:val="40"/>
    </w:rPr>
  </w:style>
  <w:style w:type="paragraph" w:styleId="679">
    <w:name w:val="Heading 2"/>
    <w:basedOn w:val="677"/>
    <w:next w:val="677"/>
    <w:link w:val="758"/>
    <w:uiPriority w:val="9"/>
    <w:unhideWhenUsed/>
    <w:qFormat/>
    <w:pPr>
      <w:keepLines/>
      <w:keepNext/>
      <w:spacing w:before="360"/>
      <w:outlineLvl w:val="1"/>
    </w:pPr>
    <w:rPr>
      <w:rFonts w:ascii="Arial" w:hAnsi="Arial" w:eastAsia="Arial" w:cs="Arial"/>
      <w:sz w:val="34"/>
    </w:rPr>
  </w:style>
  <w:style w:type="paragraph" w:styleId="680">
    <w:name w:val="Heading 3"/>
    <w:basedOn w:val="677"/>
    <w:next w:val="677"/>
    <w:link w:val="759"/>
    <w:uiPriority w:val="9"/>
    <w:unhideWhenUsed/>
    <w:qFormat/>
    <w:pPr>
      <w:keepLines/>
      <w:keepNext/>
      <w:spacing w:before="320"/>
      <w:outlineLvl w:val="2"/>
    </w:pPr>
    <w:rPr>
      <w:rFonts w:ascii="Arial" w:hAnsi="Arial" w:eastAsia="Arial" w:cs="Arial"/>
      <w:sz w:val="30"/>
      <w:szCs w:val="30"/>
    </w:rPr>
  </w:style>
  <w:style w:type="paragraph" w:styleId="681">
    <w:name w:val="Heading 4"/>
    <w:basedOn w:val="677"/>
    <w:next w:val="677"/>
    <w:link w:val="760"/>
    <w:uiPriority w:val="9"/>
    <w:unhideWhenUsed/>
    <w:qFormat/>
    <w:pPr>
      <w:keepLines/>
      <w:keepNext/>
      <w:spacing w:before="320"/>
      <w:outlineLvl w:val="3"/>
    </w:pPr>
    <w:rPr>
      <w:rFonts w:ascii="Arial" w:hAnsi="Arial" w:eastAsia="Arial" w:cs="Arial"/>
      <w:b/>
      <w:bCs/>
      <w:sz w:val="26"/>
      <w:szCs w:val="26"/>
    </w:rPr>
  </w:style>
  <w:style w:type="paragraph" w:styleId="682">
    <w:name w:val="Heading 5"/>
    <w:basedOn w:val="677"/>
    <w:next w:val="677"/>
    <w:link w:val="761"/>
    <w:uiPriority w:val="9"/>
    <w:unhideWhenUsed/>
    <w:qFormat/>
    <w:pPr>
      <w:keepLines/>
      <w:keepNext/>
      <w:spacing w:before="320"/>
      <w:outlineLvl w:val="4"/>
    </w:pPr>
    <w:rPr>
      <w:rFonts w:ascii="Arial" w:hAnsi="Arial" w:eastAsia="Arial" w:cs="Arial"/>
      <w:b/>
      <w:bCs/>
      <w:sz w:val="24"/>
      <w:szCs w:val="24"/>
    </w:rPr>
  </w:style>
  <w:style w:type="paragraph" w:styleId="683">
    <w:name w:val="Heading 6"/>
    <w:basedOn w:val="677"/>
    <w:next w:val="677"/>
    <w:link w:val="762"/>
    <w:uiPriority w:val="9"/>
    <w:unhideWhenUsed/>
    <w:qFormat/>
    <w:pPr>
      <w:keepLines/>
      <w:keepNext/>
      <w:spacing w:before="320"/>
      <w:outlineLvl w:val="5"/>
    </w:pPr>
    <w:rPr>
      <w:rFonts w:ascii="Arial" w:hAnsi="Arial" w:eastAsia="Arial" w:cs="Arial"/>
      <w:b/>
      <w:bCs/>
    </w:rPr>
  </w:style>
  <w:style w:type="paragraph" w:styleId="684">
    <w:name w:val="Heading 7"/>
    <w:basedOn w:val="677"/>
    <w:next w:val="677"/>
    <w:link w:val="763"/>
    <w:uiPriority w:val="9"/>
    <w:unhideWhenUsed/>
    <w:qFormat/>
    <w:pPr>
      <w:keepLines/>
      <w:keepNext/>
      <w:spacing w:before="320"/>
      <w:outlineLvl w:val="6"/>
    </w:pPr>
    <w:rPr>
      <w:rFonts w:ascii="Arial" w:hAnsi="Arial" w:eastAsia="Arial" w:cs="Arial"/>
      <w:b/>
      <w:bCs/>
      <w:i/>
      <w:iCs/>
    </w:rPr>
  </w:style>
  <w:style w:type="paragraph" w:styleId="685">
    <w:name w:val="Heading 8"/>
    <w:basedOn w:val="677"/>
    <w:next w:val="677"/>
    <w:link w:val="764"/>
    <w:uiPriority w:val="9"/>
    <w:unhideWhenUsed/>
    <w:qFormat/>
    <w:pPr>
      <w:keepLines/>
      <w:keepNext/>
      <w:spacing w:before="320"/>
      <w:outlineLvl w:val="7"/>
    </w:pPr>
    <w:rPr>
      <w:rFonts w:ascii="Arial" w:hAnsi="Arial" w:eastAsia="Arial" w:cs="Arial"/>
      <w:i/>
      <w:iCs/>
    </w:rPr>
  </w:style>
  <w:style w:type="paragraph" w:styleId="686">
    <w:name w:val="Heading 9"/>
    <w:basedOn w:val="677"/>
    <w:next w:val="677"/>
    <w:link w:val="765"/>
    <w:uiPriority w:val="9"/>
    <w:unhideWhenUsed/>
    <w:qFormat/>
    <w:pPr>
      <w:keepLines/>
      <w:keepNext/>
      <w:spacing w:before="320"/>
      <w:outlineLvl w:val="8"/>
    </w:pPr>
    <w:rPr>
      <w:rFonts w:ascii="Arial" w:hAnsi="Arial" w:eastAsia="Arial" w:cs="Arial"/>
      <w:i/>
      <w:iCs/>
      <w:sz w:val="21"/>
      <w:szCs w:val="21"/>
    </w:rPr>
  </w:style>
  <w:style w:type="character" w:styleId="687" w:default="1">
    <w:name w:val="Default Paragraph Font"/>
    <w:uiPriority w:val="1"/>
    <w:semiHidden/>
    <w:unhideWhenUsed/>
    <w:qFormat/>
  </w:style>
  <w:style w:type="table" w:styleId="688" w:default="1">
    <w:name w:val="Normal Table"/>
    <w:uiPriority w:val="99"/>
    <w:semiHidden/>
    <w:unhideWhenUsed/>
    <w:qFormat/>
    <w:tblPr>
      <w:tblCellMar>
        <w:left w:w="108" w:type="dxa"/>
        <w:top w:w="0" w:type="dxa"/>
        <w:right w:w="108" w:type="dxa"/>
        <w:bottom w:w="0" w:type="dxa"/>
      </w:tblCellMar>
    </w:tblPr>
  </w:style>
  <w:style w:type="paragraph" w:styleId="689">
    <w:name w:val="toc 7"/>
    <w:basedOn w:val="677"/>
    <w:next w:val="677"/>
    <w:uiPriority w:val="39"/>
    <w:unhideWhenUsed/>
    <w:qFormat/>
    <w:pPr>
      <w:ind w:left="1701"/>
      <w:spacing w:after="57"/>
    </w:pPr>
  </w:style>
  <w:style w:type="paragraph" w:styleId="690">
    <w:name w:val="Caption"/>
    <w:basedOn w:val="677"/>
    <w:next w:val="677"/>
    <w:uiPriority w:val="35"/>
    <w:semiHidden/>
    <w:unhideWhenUsed/>
    <w:qFormat/>
    <w:rPr>
      <w:b/>
      <w:bCs/>
      <w:color w:val="5b9bd5" w:themeColor="accent1"/>
      <w:sz w:val="18"/>
      <w:szCs w:val="18"/>
      <w14:textFill>
        <w14:solidFill>
          <w14:schemeClr w14:val="accent1"/>
        </w14:solidFill>
      </w14:textFill>
    </w:rPr>
  </w:style>
  <w:style w:type="paragraph" w:styleId="691">
    <w:name w:val="annotation text"/>
    <w:basedOn w:val="677"/>
    <w:uiPriority w:val="99"/>
    <w:semiHidden/>
    <w:unhideWhenUsed/>
    <w:qFormat/>
    <w:pPr>
      <w:jc w:val="left"/>
    </w:pPr>
  </w:style>
  <w:style w:type="paragraph" w:styleId="692">
    <w:name w:val="Body Text"/>
    <w:basedOn w:val="677"/>
    <w:next w:val="693"/>
    <w:link w:val="906"/>
    <w:uiPriority w:val="99"/>
    <w:semiHidden/>
    <w:unhideWhenUsed/>
    <w:qFormat/>
    <w:pPr>
      <w:spacing w:after="120"/>
    </w:pPr>
  </w:style>
  <w:style w:type="paragraph" w:styleId="693" w:customStyle="1">
    <w:name w:val="style4"/>
    <w:basedOn w:val="677"/>
    <w:next w:val="694"/>
    <w:uiPriority w:val="0"/>
    <w:qFormat/>
    <w:pPr>
      <w:spacing w:before="280" w:after="280"/>
      <w:widowControl/>
    </w:pPr>
    <w:rPr>
      <w:rFonts w:ascii="宋体"/>
      <w:sz w:val="18"/>
    </w:rPr>
  </w:style>
  <w:style w:type="paragraph" w:styleId="694" w:customStyle="1">
    <w:name w:val="2"/>
    <w:next w:val="677"/>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695">
    <w:name w:val="toc 5"/>
    <w:basedOn w:val="677"/>
    <w:next w:val="677"/>
    <w:uiPriority w:val="39"/>
    <w:unhideWhenUsed/>
    <w:qFormat/>
    <w:pPr>
      <w:ind w:left="1134"/>
      <w:spacing w:after="57"/>
    </w:pPr>
  </w:style>
  <w:style w:type="paragraph" w:styleId="696">
    <w:name w:val="toc 3"/>
    <w:basedOn w:val="677"/>
    <w:next w:val="677"/>
    <w:uiPriority w:val="39"/>
    <w:unhideWhenUsed/>
    <w:qFormat/>
    <w:pPr>
      <w:ind w:left="567"/>
      <w:spacing w:after="57"/>
    </w:pPr>
  </w:style>
  <w:style w:type="paragraph" w:styleId="697">
    <w:name w:val="Plain Text"/>
    <w:basedOn w:val="677"/>
    <w:link w:val="905"/>
    <w:uiPriority w:val="0"/>
    <w:qFormat/>
    <w:pPr>
      <w:jc w:val="both"/>
      <w:spacing w:after="0" w:line="240" w:lineRule="auto"/>
      <w:widowControl w:val="off"/>
    </w:pPr>
    <w:rPr>
      <w:rFonts w:ascii="宋体" w:hAnsi="Courier New" w:eastAsia="宋体" w:cs="Times New Roman"/>
      <w:sz w:val="21"/>
      <w:szCs w:val="20"/>
      <w:lang w:eastAsia="zh-CN"/>
    </w:rPr>
  </w:style>
  <w:style w:type="paragraph" w:styleId="698">
    <w:name w:val="toc 8"/>
    <w:basedOn w:val="677"/>
    <w:next w:val="677"/>
    <w:uiPriority w:val="39"/>
    <w:unhideWhenUsed/>
    <w:qFormat/>
    <w:pPr>
      <w:ind w:left="1984"/>
      <w:spacing w:after="57"/>
    </w:pPr>
  </w:style>
  <w:style w:type="paragraph" w:styleId="699">
    <w:name w:val="endnote text"/>
    <w:basedOn w:val="677"/>
    <w:link w:val="901"/>
    <w:uiPriority w:val="99"/>
    <w:semiHidden/>
    <w:unhideWhenUsed/>
    <w:qFormat/>
    <w:pPr>
      <w:spacing w:after="0" w:line="240" w:lineRule="auto"/>
    </w:pPr>
    <w:rPr>
      <w:sz w:val="20"/>
    </w:rPr>
  </w:style>
  <w:style w:type="paragraph" w:styleId="700">
    <w:name w:val="Footer"/>
    <w:basedOn w:val="677"/>
    <w:link w:val="774"/>
    <w:uiPriority w:val="99"/>
    <w:unhideWhenUsed/>
    <w:qFormat/>
    <w:pPr>
      <w:spacing w:after="0" w:line="240" w:lineRule="auto"/>
      <w:tabs>
        <w:tab w:val="center" w:pos="7143" w:leader="none"/>
        <w:tab w:val="right" w:pos="14287" w:leader="none"/>
      </w:tabs>
    </w:pPr>
  </w:style>
  <w:style w:type="paragraph" w:styleId="701">
    <w:name w:val="Header"/>
    <w:basedOn w:val="677"/>
    <w:link w:val="772"/>
    <w:uiPriority w:val="99"/>
    <w:unhideWhenUsed/>
    <w:qFormat/>
    <w:pPr>
      <w:spacing w:after="0" w:line="240" w:lineRule="auto"/>
      <w:tabs>
        <w:tab w:val="center" w:pos="7143" w:leader="none"/>
        <w:tab w:val="right" w:pos="14287" w:leader="none"/>
      </w:tabs>
    </w:pPr>
  </w:style>
  <w:style w:type="paragraph" w:styleId="702">
    <w:name w:val="toc 1"/>
    <w:basedOn w:val="677"/>
    <w:next w:val="677"/>
    <w:uiPriority w:val="39"/>
    <w:unhideWhenUsed/>
    <w:qFormat/>
    <w:pPr>
      <w:spacing w:after="57"/>
    </w:pPr>
  </w:style>
  <w:style w:type="paragraph" w:styleId="703">
    <w:name w:val="toc 4"/>
    <w:basedOn w:val="677"/>
    <w:next w:val="677"/>
    <w:uiPriority w:val="39"/>
    <w:unhideWhenUsed/>
    <w:qFormat/>
    <w:pPr>
      <w:ind w:left="850"/>
      <w:spacing w:after="57"/>
    </w:pPr>
  </w:style>
  <w:style w:type="paragraph" w:styleId="704">
    <w:name w:val="Subtitle"/>
    <w:basedOn w:val="677"/>
    <w:next w:val="677"/>
    <w:link w:val="767"/>
    <w:uiPriority w:val="11"/>
    <w:qFormat/>
    <w:pPr>
      <w:spacing w:before="200"/>
    </w:pPr>
    <w:rPr>
      <w:sz w:val="24"/>
      <w:szCs w:val="24"/>
    </w:rPr>
  </w:style>
  <w:style w:type="paragraph" w:styleId="705">
    <w:name w:val="footnote text"/>
    <w:basedOn w:val="677"/>
    <w:link w:val="900"/>
    <w:uiPriority w:val="99"/>
    <w:semiHidden/>
    <w:unhideWhenUsed/>
    <w:qFormat/>
    <w:pPr>
      <w:spacing w:after="40" w:line="240" w:lineRule="auto"/>
    </w:pPr>
    <w:rPr>
      <w:sz w:val="18"/>
    </w:rPr>
  </w:style>
  <w:style w:type="paragraph" w:styleId="706">
    <w:name w:val="toc 6"/>
    <w:basedOn w:val="677"/>
    <w:next w:val="677"/>
    <w:uiPriority w:val="39"/>
    <w:unhideWhenUsed/>
    <w:qFormat/>
    <w:pPr>
      <w:ind w:left="1417"/>
      <w:spacing w:after="57"/>
    </w:pPr>
  </w:style>
  <w:style w:type="paragraph" w:styleId="707">
    <w:name w:val="table of figures"/>
    <w:basedOn w:val="677"/>
    <w:next w:val="677"/>
    <w:uiPriority w:val="99"/>
    <w:unhideWhenUsed/>
    <w:qFormat/>
    <w:pPr>
      <w:spacing w:after="0"/>
    </w:pPr>
  </w:style>
  <w:style w:type="paragraph" w:styleId="708">
    <w:name w:val="toc 2"/>
    <w:basedOn w:val="677"/>
    <w:next w:val="677"/>
    <w:uiPriority w:val="39"/>
    <w:unhideWhenUsed/>
    <w:qFormat/>
    <w:pPr>
      <w:ind w:left="283"/>
      <w:spacing w:after="57"/>
    </w:pPr>
  </w:style>
  <w:style w:type="paragraph" w:styleId="709">
    <w:name w:val="toc 9"/>
    <w:basedOn w:val="677"/>
    <w:next w:val="677"/>
    <w:uiPriority w:val="39"/>
    <w:unhideWhenUsed/>
    <w:qFormat/>
    <w:pPr>
      <w:ind w:left="2268"/>
      <w:spacing w:after="57"/>
    </w:pPr>
  </w:style>
  <w:style w:type="paragraph" w:styleId="710">
    <w:name w:val="Normal (Web)"/>
    <w:basedOn w:val="677"/>
    <w:uiPriority w:val="0"/>
    <w:qFormat/>
    <w:pPr>
      <w:spacing w:before="100" w:beforeAutospacing="1" w:after="100" w:afterAutospacing="1" w:line="240" w:lineRule="auto"/>
    </w:pPr>
    <w:rPr>
      <w:rFonts w:ascii="宋体" w:hAnsi="宋体" w:eastAsia="宋体" w:cs="宋体"/>
      <w:sz w:val="24"/>
      <w:szCs w:val="24"/>
      <w:lang w:eastAsia="zh-CN"/>
    </w:rPr>
  </w:style>
  <w:style w:type="paragraph" w:styleId="711">
    <w:name w:val="Title"/>
    <w:basedOn w:val="677"/>
    <w:next w:val="677"/>
    <w:link w:val="766"/>
    <w:uiPriority w:val="10"/>
    <w:qFormat/>
    <w:pPr>
      <w:contextualSpacing/>
      <w:spacing w:before="300"/>
    </w:pPr>
    <w:rPr>
      <w:sz w:val="48"/>
      <w:szCs w:val="48"/>
    </w:rPr>
  </w:style>
  <w:style w:type="paragraph" w:styleId="712">
    <w:name w:val="Body Text First Indent"/>
    <w:basedOn w:val="692"/>
    <w:next w:val="677"/>
    <w:link w:val="907"/>
    <w:uiPriority w:val="99"/>
    <w:unhideWhenUsed/>
    <w:qFormat/>
    <w:pPr>
      <w:ind w:firstLine="420"/>
      <w:jc w:val="both"/>
      <w:spacing w:line="240" w:lineRule="auto"/>
      <w:widowControl w:val="off"/>
    </w:pPr>
    <w:rPr>
      <w:rFonts w:ascii="Times New Roman" w:hAnsi="Times New Roman" w:eastAsia="宋体" w:cs="Times New Roman"/>
      <w:sz w:val="21"/>
      <w:szCs w:val="24"/>
      <w:lang w:eastAsia="zh-CN"/>
    </w:rPr>
  </w:style>
  <w:style w:type="table" w:styleId="713">
    <w:name w:val="Table Grid"/>
    <w:basedOn w:val="688"/>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14">
    <w:name w:val="endnote reference"/>
    <w:uiPriority w:val="99"/>
    <w:semiHidden/>
    <w:unhideWhenUsed/>
    <w:qFormat/>
    <w:rPr>
      <w:vertAlign w:val="superscript"/>
    </w:rPr>
  </w:style>
  <w:style w:type="character" w:styleId="715">
    <w:name w:val="Hyperlink"/>
    <w:uiPriority w:val="99"/>
    <w:unhideWhenUsed/>
    <w:qFormat/>
    <w:rPr>
      <w:color w:val="0563c1" w:themeColor="hyperlink"/>
      <w:u w:val="single"/>
      <w14:textFill>
        <w14:solidFill>
          <w14:schemeClr w14:val="hlink"/>
        </w14:solidFill>
      </w14:textFill>
    </w:rPr>
  </w:style>
  <w:style w:type="character" w:styleId="716">
    <w:name w:val="footnote reference"/>
    <w:uiPriority w:val="99"/>
    <w:unhideWhenUsed/>
    <w:qFormat/>
    <w:rPr>
      <w:vertAlign w:val="superscript"/>
    </w:rPr>
  </w:style>
  <w:style w:type="paragraph" w:styleId="717" w:customStyle="1">
    <w:name w:val="正文首行缩进1"/>
    <w:basedOn w:val="718"/>
    <w:uiPriority w:val="0"/>
    <w:qFormat/>
    <w:pPr>
      <w:ind w:firstLine="200"/>
      <w:spacing w:line="360" w:lineRule="auto"/>
    </w:pPr>
    <w:rPr>
      <w:rFonts w:ascii="仿宋_GB2312" w:hAnsi="Times New Roman" w:eastAsia="仿宋_GB2312" w:cs="Times New Roman"/>
      <w:sz w:val="30"/>
      <w:szCs w:val="30"/>
    </w:rPr>
  </w:style>
  <w:style w:type="paragraph" w:styleId="718" w:customStyle="1">
    <w:name w:val="正文文本1"/>
    <w:basedOn w:val="677"/>
    <w:next w:val="717"/>
    <w:uiPriority w:val="0"/>
    <w:qFormat/>
    <w:rPr>
      <w:rFonts w:ascii="楷体_GB2312" w:hAnsi="Arial" w:eastAsia="楷体_GB2312" w:cs="Times New Roman"/>
      <w:sz w:val="28"/>
      <w:szCs w:val="28"/>
    </w:rPr>
  </w:style>
  <w:style w:type="paragraph" w:styleId="719" w:customStyle="1">
    <w:name w:val="首行缩进"/>
    <w:basedOn w:val="677"/>
    <w:uiPriority w:val="0"/>
    <w:qFormat/>
    <w:pPr>
      <w:ind w:firstLine="480"/>
    </w:pPr>
    <w:rPr>
      <w:rFonts w:ascii="Calibri" w:hAnsi="Calibri" w:eastAsia="楷体_GB2312"/>
      <w:sz w:val="26"/>
      <w:szCs w:val="20"/>
      <w:lang w:val="zh-CN"/>
    </w:rPr>
  </w:style>
  <w:style w:type="character" w:styleId="720" w:customStyle="1">
    <w:name w:val="Heading 1 Char"/>
    <w:basedOn w:val="687"/>
    <w:uiPriority w:val="9"/>
    <w:qFormat/>
    <w:rPr>
      <w:rFonts w:ascii="Arial" w:hAnsi="Arial" w:eastAsia="Arial" w:cs="Arial"/>
      <w:sz w:val="40"/>
      <w:szCs w:val="40"/>
    </w:rPr>
  </w:style>
  <w:style w:type="character" w:styleId="721" w:customStyle="1">
    <w:name w:val="Heading 2 Char"/>
    <w:basedOn w:val="687"/>
    <w:uiPriority w:val="9"/>
    <w:qFormat/>
    <w:rPr>
      <w:rFonts w:ascii="Arial" w:hAnsi="Arial" w:eastAsia="Arial" w:cs="Arial"/>
      <w:sz w:val="34"/>
    </w:rPr>
  </w:style>
  <w:style w:type="character" w:styleId="722" w:customStyle="1">
    <w:name w:val="Heading 3 Char"/>
    <w:basedOn w:val="687"/>
    <w:uiPriority w:val="9"/>
    <w:qFormat/>
    <w:rPr>
      <w:rFonts w:ascii="Arial" w:hAnsi="Arial" w:eastAsia="Arial" w:cs="Arial"/>
      <w:sz w:val="30"/>
      <w:szCs w:val="30"/>
    </w:rPr>
  </w:style>
  <w:style w:type="character" w:styleId="723" w:customStyle="1">
    <w:name w:val="Heading 4 Char"/>
    <w:basedOn w:val="687"/>
    <w:uiPriority w:val="9"/>
    <w:qFormat/>
    <w:rPr>
      <w:rFonts w:ascii="Arial" w:hAnsi="Arial" w:eastAsia="Arial" w:cs="Arial"/>
      <w:b/>
      <w:bCs/>
      <w:sz w:val="26"/>
      <w:szCs w:val="26"/>
    </w:rPr>
  </w:style>
  <w:style w:type="character" w:styleId="724" w:customStyle="1">
    <w:name w:val="Heading 5 Char"/>
    <w:basedOn w:val="687"/>
    <w:uiPriority w:val="9"/>
    <w:qFormat/>
    <w:rPr>
      <w:rFonts w:ascii="Arial" w:hAnsi="Arial" w:eastAsia="Arial" w:cs="Arial"/>
      <w:b/>
      <w:bCs/>
      <w:sz w:val="24"/>
      <w:szCs w:val="24"/>
    </w:rPr>
  </w:style>
  <w:style w:type="character" w:styleId="725" w:customStyle="1">
    <w:name w:val="Heading 6 Char"/>
    <w:basedOn w:val="687"/>
    <w:uiPriority w:val="9"/>
    <w:qFormat/>
    <w:rPr>
      <w:rFonts w:ascii="Arial" w:hAnsi="Arial" w:eastAsia="Arial" w:cs="Arial"/>
      <w:b/>
      <w:bCs/>
      <w:sz w:val="22"/>
      <w:szCs w:val="22"/>
    </w:rPr>
  </w:style>
  <w:style w:type="character" w:styleId="726" w:customStyle="1">
    <w:name w:val="Heading 7 Char"/>
    <w:basedOn w:val="687"/>
    <w:uiPriority w:val="9"/>
    <w:qFormat/>
    <w:rPr>
      <w:rFonts w:ascii="Arial" w:hAnsi="Arial" w:eastAsia="Arial" w:cs="Arial"/>
      <w:b/>
      <w:bCs/>
      <w:i/>
      <w:iCs/>
      <w:sz w:val="22"/>
      <w:szCs w:val="22"/>
    </w:rPr>
  </w:style>
  <w:style w:type="character" w:styleId="727" w:customStyle="1">
    <w:name w:val="Heading 8 Char"/>
    <w:basedOn w:val="687"/>
    <w:uiPriority w:val="9"/>
    <w:qFormat/>
    <w:rPr>
      <w:rFonts w:ascii="Arial" w:hAnsi="Arial" w:eastAsia="Arial" w:cs="Arial"/>
      <w:i/>
      <w:iCs/>
      <w:sz w:val="22"/>
      <w:szCs w:val="22"/>
    </w:rPr>
  </w:style>
  <w:style w:type="character" w:styleId="728" w:customStyle="1">
    <w:name w:val="Heading 9 Char"/>
    <w:basedOn w:val="687"/>
    <w:uiPriority w:val="9"/>
    <w:qFormat/>
    <w:rPr>
      <w:rFonts w:ascii="Arial" w:hAnsi="Arial" w:eastAsia="Arial" w:cs="Arial"/>
      <w:i/>
      <w:iCs/>
      <w:sz w:val="21"/>
      <w:szCs w:val="21"/>
    </w:rPr>
  </w:style>
  <w:style w:type="character" w:styleId="729" w:customStyle="1">
    <w:name w:val="Title Char"/>
    <w:basedOn w:val="687"/>
    <w:uiPriority w:val="10"/>
    <w:qFormat/>
    <w:rPr>
      <w:sz w:val="48"/>
      <w:szCs w:val="48"/>
    </w:rPr>
  </w:style>
  <w:style w:type="character" w:styleId="730" w:customStyle="1">
    <w:name w:val="Subtitle Char"/>
    <w:basedOn w:val="687"/>
    <w:uiPriority w:val="11"/>
    <w:qFormat/>
    <w:rPr>
      <w:sz w:val="24"/>
      <w:szCs w:val="24"/>
    </w:rPr>
  </w:style>
  <w:style w:type="character" w:styleId="731" w:customStyle="1">
    <w:name w:val="Quote Char"/>
    <w:uiPriority w:val="29"/>
    <w:qFormat/>
    <w:rPr>
      <w:i/>
    </w:rPr>
  </w:style>
  <w:style w:type="character" w:styleId="732" w:customStyle="1">
    <w:name w:val="Intense Quote Char"/>
    <w:uiPriority w:val="30"/>
    <w:qFormat/>
    <w:rPr>
      <w:i/>
    </w:rPr>
  </w:style>
  <w:style w:type="character" w:styleId="733" w:customStyle="1">
    <w:name w:val="Header Char"/>
    <w:basedOn w:val="687"/>
    <w:uiPriority w:val="99"/>
    <w:qFormat/>
  </w:style>
  <w:style w:type="character" w:styleId="734" w:customStyle="1">
    <w:name w:val="Caption Char"/>
    <w:uiPriority w:val="99"/>
    <w:qFormat/>
  </w:style>
  <w:style w:type="table" w:styleId="735" w:customStyle="1">
    <w:name w:val="Plain Table 1"/>
    <w:basedOn w:val="68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6" w:customStyle="1">
    <w:name w:val="Plain Table 2"/>
    <w:basedOn w:val="68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7" w:customStyle="1">
    <w:name w:val="Plain Table 3"/>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8" w:customStyle="1">
    <w:name w:val="Plain Table 4"/>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39" w:customStyle="1">
    <w:name w:val="Plain Table 5"/>
    <w:basedOn w:val="68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40" w:customStyle="1">
    <w:name w:val="Grid Table 1 Light"/>
    <w:basedOn w:val="68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41" w:customStyle="1">
    <w:name w:val="Grid Table 2"/>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42" w:customStyle="1">
    <w:name w:val="Grid Table 3"/>
    <w:basedOn w:val="68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4"/>
    <w:basedOn w:val="68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4" w:customStyle="1">
    <w:name w:val="Grid Table 5 Dark"/>
    <w:basedOn w:val="68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45" w:customStyle="1">
    <w:name w:val="Grid Table 6 Colorful"/>
    <w:basedOn w:val="68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46" w:customStyle="1">
    <w:name w:val="Grid Table 7 Colorful"/>
    <w:basedOn w:val="68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47" w:customStyle="1">
    <w:name w:val="List Table 1 Light"/>
    <w:basedOn w:val="68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8" w:customStyle="1">
    <w:name w:val="List Table 2"/>
    <w:basedOn w:val="68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49" w:customStyle="1">
    <w:name w:val="List Table 3"/>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0" w:customStyle="1">
    <w:name w:val="List Table 4"/>
    <w:basedOn w:val="68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51" w:customStyle="1">
    <w:name w:val="List Table 5 Dark"/>
    <w:basedOn w:val="68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52" w:customStyle="1">
    <w:name w:val="List Table 6 Colorful"/>
    <w:basedOn w:val="68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53" w:customStyle="1">
    <w:name w:val="List Table 7 Colorful"/>
    <w:basedOn w:val="68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754" w:customStyle="1">
    <w:name w:val="Footnote Text Char"/>
    <w:uiPriority w:val="99"/>
    <w:qFormat/>
    <w:rPr>
      <w:sz w:val="18"/>
    </w:rPr>
  </w:style>
  <w:style w:type="character" w:styleId="755" w:customStyle="1">
    <w:name w:val="Endnote Text Char"/>
    <w:uiPriority w:val="99"/>
    <w:qFormat/>
    <w:rPr>
      <w:sz w:val="20"/>
    </w:rPr>
  </w:style>
  <w:style w:type="paragraph" w:styleId="756" w:customStyle="1">
    <w:name w:val="TOC Heading"/>
    <w:uiPriority w:val="39"/>
    <w:unhideWhenUsed/>
    <w:qFormat/>
    <w:rPr>
      <w:rFonts w:hint="default" w:ascii="Times New Roman" w:hAnsi="Times New Roman" w:eastAsia="宋体" w:cs="Times New Roman"/>
    </w:rPr>
  </w:style>
  <w:style w:type="character" w:styleId="757" w:customStyle="1">
    <w:name w:val="标题 1 字符"/>
    <w:link w:val="678"/>
    <w:uiPriority w:val="9"/>
    <w:qFormat/>
    <w:rPr>
      <w:rFonts w:ascii="Arial" w:hAnsi="Arial" w:eastAsia="Arial" w:cs="Arial"/>
      <w:sz w:val="40"/>
      <w:szCs w:val="40"/>
    </w:rPr>
  </w:style>
  <w:style w:type="character" w:styleId="758" w:customStyle="1">
    <w:name w:val="标题 2 字符"/>
    <w:link w:val="679"/>
    <w:uiPriority w:val="9"/>
    <w:qFormat/>
    <w:rPr>
      <w:rFonts w:ascii="Arial" w:hAnsi="Arial" w:eastAsia="Arial" w:cs="Arial"/>
      <w:sz w:val="34"/>
    </w:rPr>
  </w:style>
  <w:style w:type="character" w:styleId="759" w:customStyle="1">
    <w:name w:val="标题 3 字符"/>
    <w:link w:val="680"/>
    <w:uiPriority w:val="9"/>
    <w:qFormat/>
    <w:rPr>
      <w:rFonts w:ascii="Arial" w:hAnsi="Arial" w:eastAsia="Arial" w:cs="Arial"/>
      <w:sz w:val="30"/>
      <w:szCs w:val="30"/>
    </w:rPr>
  </w:style>
  <w:style w:type="character" w:styleId="760" w:customStyle="1">
    <w:name w:val="标题 4 字符"/>
    <w:link w:val="681"/>
    <w:uiPriority w:val="9"/>
    <w:qFormat/>
    <w:rPr>
      <w:rFonts w:ascii="Arial" w:hAnsi="Arial" w:eastAsia="Arial" w:cs="Arial"/>
      <w:b/>
      <w:bCs/>
      <w:sz w:val="26"/>
      <w:szCs w:val="26"/>
    </w:rPr>
  </w:style>
  <w:style w:type="character" w:styleId="761" w:customStyle="1">
    <w:name w:val="标题 5 字符"/>
    <w:link w:val="682"/>
    <w:uiPriority w:val="9"/>
    <w:qFormat/>
    <w:rPr>
      <w:rFonts w:ascii="Arial" w:hAnsi="Arial" w:eastAsia="Arial" w:cs="Arial"/>
      <w:b/>
      <w:bCs/>
      <w:sz w:val="24"/>
      <w:szCs w:val="24"/>
    </w:rPr>
  </w:style>
  <w:style w:type="character" w:styleId="762" w:customStyle="1">
    <w:name w:val="标题 6 字符"/>
    <w:link w:val="683"/>
    <w:uiPriority w:val="9"/>
    <w:qFormat/>
    <w:rPr>
      <w:rFonts w:ascii="Arial" w:hAnsi="Arial" w:eastAsia="Arial" w:cs="Arial"/>
      <w:b/>
      <w:bCs/>
      <w:sz w:val="22"/>
      <w:szCs w:val="22"/>
    </w:rPr>
  </w:style>
  <w:style w:type="character" w:styleId="763" w:customStyle="1">
    <w:name w:val="标题 7 字符"/>
    <w:link w:val="684"/>
    <w:uiPriority w:val="9"/>
    <w:qFormat/>
    <w:rPr>
      <w:rFonts w:ascii="Arial" w:hAnsi="Arial" w:eastAsia="Arial" w:cs="Arial"/>
      <w:b/>
      <w:bCs/>
      <w:i/>
      <w:iCs/>
      <w:sz w:val="22"/>
      <w:szCs w:val="22"/>
    </w:rPr>
  </w:style>
  <w:style w:type="character" w:styleId="764" w:customStyle="1">
    <w:name w:val="标题 8 字符"/>
    <w:link w:val="685"/>
    <w:uiPriority w:val="9"/>
    <w:qFormat/>
    <w:rPr>
      <w:rFonts w:ascii="Arial" w:hAnsi="Arial" w:eastAsia="Arial" w:cs="Arial"/>
      <w:i/>
      <w:iCs/>
      <w:sz w:val="22"/>
      <w:szCs w:val="22"/>
    </w:rPr>
  </w:style>
  <w:style w:type="character" w:styleId="765" w:customStyle="1">
    <w:name w:val="标题 9 字符"/>
    <w:link w:val="686"/>
    <w:uiPriority w:val="9"/>
    <w:qFormat/>
    <w:rPr>
      <w:rFonts w:ascii="Arial" w:hAnsi="Arial" w:eastAsia="Arial" w:cs="Arial"/>
      <w:i/>
      <w:iCs/>
      <w:sz w:val="21"/>
      <w:szCs w:val="21"/>
    </w:rPr>
  </w:style>
  <w:style w:type="character" w:styleId="766" w:customStyle="1">
    <w:name w:val="标题 字符"/>
    <w:link w:val="711"/>
    <w:uiPriority w:val="10"/>
    <w:qFormat/>
    <w:rPr>
      <w:sz w:val="48"/>
      <w:szCs w:val="48"/>
    </w:rPr>
  </w:style>
  <w:style w:type="character" w:styleId="767" w:customStyle="1">
    <w:name w:val="副标题 字符"/>
    <w:link w:val="704"/>
    <w:uiPriority w:val="11"/>
    <w:qFormat/>
    <w:rPr>
      <w:sz w:val="24"/>
      <w:szCs w:val="24"/>
    </w:rPr>
  </w:style>
  <w:style w:type="paragraph" w:styleId="768">
    <w:name w:val="Quote"/>
    <w:basedOn w:val="677"/>
    <w:next w:val="677"/>
    <w:link w:val="769"/>
    <w:uiPriority w:val="29"/>
    <w:qFormat/>
    <w:pPr>
      <w:ind w:left="720" w:right="720"/>
    </w:pPr>
    <w:rPr>
      <w:i/>
    </w:rPr>
  </w:style>
  <w:style w:type="character" w:styleId="769" w:customStyle="1">
    <w:name w:val="引用 字符"/>
    <w:link w:val="768"/>
    <w:uiPriority w:val="29"/>
    <w:qFormat/>
    <w:rPr>
      <w:i/>
    </w:rPr>
  </w:style>
  <w:style w:type="paragraph" w:styleId="770">
    <w:name w:val="Intense Quote"/>
    <w:basedOn w:val="677"/>
    <w:next w:val="677"/>
    <w:link w:val="771"/>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1" w:customStyle="1">
    <w:name w:val="明显引用 字符"/>
    <w:link w:val="770"/>
    <w:uiPriority w:val="30"/>
    <w:qFormat/>
    <w:rPr>
      <w:i/>
    </w:rPr>
  </w:style>
  <w:style w:type="character" w:styleId="772" w:customStyle="1">
    <w:name w:val="页眉 字符"/>
    <w:link w:val="701"/>
    <w:uiPriority w:val="99"/>
    <w:qFormat/>
  </w:style>
  <w:style w:type="character" w:styleId="773" w:customStyle="1">
    <w:name w:val="Footer Char"/>
    <w:uiPriority w:val="99"/>
    <w:qFormat/>
  </w:style>
  <w:style w:type="character" w:styleId="774" w:customStyle="1">
    <w:name w:val="页脚 字符"/>
    <w:link w:val="700"/>
    <w:uiPriority w:val="99"/>
    <w:qFormat/>
  </w:style>
  <w:style w:type="table" w:styleId="775" w:customStyle="1">
    <w:name w:val="Table Grid Light"/>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style>
  <w:style w:type="table" w:styleId="776" w:customStyle="1">
    <w:name w:val="无格式表格 11"/>
    <w:basedOn w:val="688"/>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7" w:customStyle="1">
    <w:name w:val="无格式表格 21"/>
    <w:basedOn w:val="688"/>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8" w:customStyle="1">
    <w:name w:val="无格式表格 3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9" w:customStyle="1">
    <w:name w:val="无格式表格 4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80" w:customStyle="1">
    <w:name w:val="无格式表格 51"/>
    <w:basedOn w:val="688"/>
    <w:uiPriority w:val="99"/>
    <w:qFormat/>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81" w:customStyle="1">
    <w:name w:val="网格表 1 浅色1"/>
    <w:basedOn w:val="688"/>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b/>
        <w:color w:val="404040"/>
      </w:rPr>
    </w:tblStylePr>
    <w:tblStylePr w:type="firstRow">
      <w:rPr>
        <w:b/>
        <w:color w:val="404040"/>
      </w:rPr>
      <w:tcPr>
        <w:tcBorders>
          <w:bottom w:val="single" w:color="9FC4E6" w:themeColor="accent1"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84" w:customStyle="1">
    <w:name w:val="Grid Table 1 Light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85" w:customStyle="1">
    <w:name w:val="Grid Table 1 Light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86" w:customStyle="1">
    <w:name w:val="Grid Table 1 Light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b/>
        <w:color w:val="404040"/>
      </w:rPr>
    </w:tblStylePr>
    <w:tblStylePr w:type="firstRow">
      <w:rPr>
        <w:b/>
        <w:color w:val="404040"/>
      </w:rPr>
      <w:tcPr>
        <w:tcBorders>
          <w:bottom w:val="single" w:color="91ACDC" w:themeColor="accent5" w:themeTint="95" w:sz="12" w:space="0"/>
        </w:tcBorders>
      </w:tcPr>
    </w:tblStylePr>
    <w:tblStylePr w:type="lastCol">
      <w:rPr>
        <w:b/>
        <w:color w:val="404040"/>
      </w:rPr>
    </w:tblStylePr>
    <w:tblStylePr w:type="lastRow">
      <w:rPr>
        <w:b/>
        <w:color w:val="404040"/>
      </w:rPr>
    </w:tblStylePr>
  </w:style>
  <w:style w:type="table" w:styleId="787" w:customStyle="1">
    <w:name w:val="Grid Table 1 Light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88" w:customStyle="1">
    <w:name w:val="网格表 2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9" w:customStyle="1">
    <w:name w:val="Grid Table 2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8A3D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8A3D8" w:themeColor="accent1" w:themeTint="EA" w:sz="4" w:space="0"/>
          <w:left w:val="none" w:color="000000" w:sz="4" w:space="0"/>
          <w:bottom w:val="none" w:color="000000" w:sz="4" w:space="0"/>
          <w:right w:val="none" w:color="000000" w:sz="4" w:space="0"/>
        </w:tcBorders>
      </w:tcPr>
    </w:tblStylePr>
  </w:style>
  <w:style w:type="table" w:styleId="790" w:customStyle="1">
    <w:name w:val="Grid Table 2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91" w:customStyle="1">
    <w:name w:val="Grid Table 2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92" w:customStyle="1">
    <w:name w:val="Grid Table 2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93" w:customStyle="1">
    <w:name w:val="Grid Table 2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472C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472C4" w:themeColor="accent5" w:sz="4" w:space="0"/>
          <w:left w:val="none" w:color="000000" w:sz="4" w:space="0"/>
          <w:bottom w:val="none" w:color="000000" w:sz="4" w:space="0"/>
          <w:right w:val="none" w:color="000000" w:sz="4" w:space="0"/>
        </w:tcBorders>
      </w:tcPr>
    </w:tblStylePr>
  </w:style>
  <w:style w:type="table" w:styleId="794" w:customStyle="1">
    <w:name w:val="Grid Table 2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95" w:customStyle="1">
    <w:name w:val="网格表 31"/>
    <w:basedOn w:val="688"/>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1"/>
    <w:basedOn w:val="688"/>
    <w:uiPriority w:val="99"/>
    <w:qFormat/>
    <w:tblPr>
      <w:tblBorders>
        <w:bottom w:val="single" w:color="68A3D8" w:themeColor="accent1" w:themeTint="EA" w:sz="4" w:space="0"/>
        <w:insideH w:val="single" w:color="68A3D8" w:themeColor="accent1" w:themeTint="EA" w:sz="4" w:space="0"/>
        <w:insideV w:val="single" w:color="68A3D8" w:themeColor="accent1" w:themeTint="EA" w:sz="4" w:space="0"/>
      </w:tblBorders>
    </w:tblPr>
    <w:tblStylePr w:type="band1Horz">
      <w:rPr>
        <w:rFonts w:ascii="Arial" w:hAnsi="Arial"/>
        <w:color w:val="404040"/>
        <w:sz w:val="22"/>
      </w:rPr>
      <w:tcPr>
        <w:shd w:val="clear" w:color="ddeaf6" w:themeColor="accent1" w:themeTint="34" w:fill="ddeaf6" w:themeFill="accent1" w:themeFillTint="34"/>
      </w:tcPr>
    </w:tblStylePr>
    <w:tblStylePr w:type="band1Vert">
      <w:rPr>
        <w:rFonts w:ascii="Arial" w:hAnsi="Arial"/>
        <w:color w:val="404040"/>
        <w:sz w:val="22"/>
      </w:rPr>
      <w:tcPr>
        <w:shd w:val="clear" w:color="ddeaf6" w:themeColor="accent1" w:themeTint="34" w:fill="ddeaf6"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2"/>
    <w:basedOn w:val="688"/>
    <w:uiPriority w:val="99"/>
    <w:qFormat/>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3 - Accent 3"/>
    <w:basedOn w:val="688"/>
    <w:uiPriority w:val="99"/>
    <w:qFormat/>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9" w:customStyle="1">
    <w:name w:val="Grid Table 3 - Accent 4"/>
    <w:basedOn w:val="688"/>
    <w:uiPriority w:val="99"/>
    <w:qFormat/>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0" w:customStyle="1">
    <w:name w:val="Grid Table 3 - Accent 5"/>
    <w:basedOn w:val="688"/>
    <w:uiPriority w:val="99"/>
    <w:qFormat/>
    <w:tblPr>
      <w:tblBorders>
        <w:bottom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1" w:customStyle="1">
    <w:name w:val="Grid Table 3 - Accent 6"/>
    <w:basedOn w:val="688"/>
    <w:uiPriority w:val="99"/>
    <w:qFormat/>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2" w:customStyle="1">
    <w:name w:val="网格表 41"/>
    <w:basedOn w:val="688"/>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03" w:customStyle="1">
    <w:name w:val="Grid Table 4 - Accent 1"/>
    <w:basedOn w:val="688"/>
    <w:uiPriority w:val="5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insideV w:val="single" w:color="A2C6E7" w:themeColor="accent1" w:themeTint="90" w:sz="4" w:space="0"/>
      </w:tblBorders>
    </w:tblPr>
    <w:tblStylePr w:type="band1Horz">
      <w:rPr>
        <w:rFonts w:ascii="Arial" w:hAnsi="Arial"/>
        <w:color w:val="404040"/>
        <w:sz w:val="22"/>
      </w:rPr>
      <w:tcPr>
        <w:shd w:val="clear" w:color="deebf6" w:themeColor="accent1" w:themeTint="32" w:fill="deebf6" w:themeFill="accent1" w:themeFillTint="32"/>
      </w:tcPr>
    </w:tblStylePr>
    <w:tblStylePr w:type="band1Vert">
      <w:rPr>
        <w:rFonts w:ascii="Arial" w:hAnsi="Arial"/>
        <w:color w:val="404040"/>
        <w:sz w:val="22"/>
      </w:rPr>
      <w:tcPr>
        <w:shd w:val="clear" w:color="deebf6" w:themeColor="accent1" w:themeTint="32" w:fill="deebf6" w:themeFill="accent1" w:themeFillTint="32"/>
      </w:tcPr>
    </w:tblStylePr>
    <w:tblStylePr w:type="firstCol">
      <w:rPr>
        <w:b/>
        <w:color w:val="404040"/>
      </w:rPr>
    </w:tblStylePr>
    <w:tblStylePr w:type="firstRow">
      <w:rPr>
        <w:rFonts w:ascii="Arial" w:hAnsi="Arial"/>
        <w:b/>
        <w:color w:val="ffffff"/>
        <w:sz w:val="22"/>
      </w:rPr>
      <w:tcPr>
        <w:shd w:val="clear" w:color="68a3d8" w:themeColor="accent1" w:themeTint="EA" w:fill="68a3d8" w:themeFill="accent1" w:themeFillTint="EA"/>
        <w:tcBorders>
          <w:top w:val="single" w:color="68A3D8" w:themeColor="accent1" w:themeTint="EA" w:sz="4" w:space="0"/>
          <w:left w:val="single" w:color="68A3D8" w:themeColor="accent1" w:themeTint="EA" w:sz="4" w:space="0"/>
          <w:bottom w:val="single" w:color="68A3D8" w:themeColor="accent1" w:themeTint="EA" w:sz="4" w:space="0"/>
          <w:right w:val="single" w:color="68A3D8" w:themeColor="accent1" w:themeTint="EA" w:sz="4" w:space="0"/>
        </w:tcBorders>
      </w:tcPr>
    </w:tblStylePr>
    <w:tblStylePr w:type="lastCol">
      <w:rPr>
        <w:b/>
        <w:color w:val="404040"/>
      </w:rPr>
    </w:tblStylePr>
    <w:tblStylePr w:type="lastRow">
      <w:rPr>
        <w:b/>
        <w:color w:val="404040"/>
      </w:rPr>
      <w:tcPr>
        <w:tcBorders>
          <w:top w:val="single" w:color="68A3D8" w:themeColor="accent1" w:themeTint="EA" w:sz="4" w:space="0"/>
        </w:tcBorders>
      </w:tcPr>
    </w:tblStylePr>
  </w:style>
  <w:style w:type="table" w:styleId="804" w:customStyle="1">
    <w:name w:val="Grid Table 4 - Accent 2"/>
    <w:basedOn w:val="688"/>
    <w:uiPriority w:val="5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805" w:customStyle="1">
    <w:name w:val="Grid Table 4 - Accent 3"/>
    <w:basedOn w:val="688"/>
    <w:uiPriority w:val="5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806" w:customStyle="1">
    <w:name w:val="Grid Table 4 - Accent 4"/>
    <w:basedOn w:val="688"/>
    <w:uiPriority w:val="5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807" w:customStyle="1">
    <w:name w:val="Grid Table 4 - Accent 5"/>
    <w:basedOn w:val="688"/>
    <w:uiPriority w:val="5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404040"/>
        <w:sz w:val="22"/>
      </w:rPr>
      <w:tcPr>
        <w:shd w:val="clear" w:color="d8e2f2" w:themeColor="accent5" w:themeTint="34" w:fill="d8e2f2" w:themeFill="accent5" w:themeFillTint="34"/>
      </w:tcPr>
    </w:tblStylePr>
    <w:tblStylePr w:type="band1Vert">
      <w:rPr>
        <w:rFonts w:ascii="Arial" w:hAnsi="Arial"/>
        <w:color w:val="404040"/>
        <w:sz w:val="22"/>
      </w:rPr>
      <w:tcPr>
        <w:shd w:val="clear" w:color="d8e2f2" w:themeColor="accent5" w:themeTint="34" w:fill="d8e2f2" w:themeFill="accent5" w:themeFillTint="34"/>
      </w:tcPr>
    </w:tblStylePr>
    <w:tblStylePr w:type="firstCol">
      <w:rPr>
        <w:b/>
        <w:color w:val="404040"/>
      </w:rPr>
    </w:tblStylePr>
    <w:tblStylePr w:type="firstRow">
      <w:rPr>
        <w:rFonts w:ascii="Arial" w:hAnsi="Arial"/>
        <w:b/>
        <w:color w:val="ffffff"/>
        <w:sz w:val="22"/>
      </w:rPr>
      <w:tcPr>
        <w:shd w:val="clear" w:color="4472c4" w:themeColor="accent5" w:fill="4472c4" w:themeFill="accent5"/>
        <w:tcBorders>
          <w:top w:val="single" w:color="4472C4" w:themeColor="accent5" w:sz="4" w:space="0"/>
          <w:left w:val="single" w:color="4472C4" w:themeColor="accent5" w:sz="4" w:space="0"/>
          <w:bottom w:val="single" w:color="4472C4" w:themeColor="accent5" w:sz="4" w:space="0"/>
          <w:right w:val="single" w:color="4472C4" w:themeColor="accent5" w:sz="4" w:space="0"/>
        </w:tcBorders>
      </w:tcPr>
    </w:tblStylePr>
    <w:tblStylePr w:type="lastCol">
      <w:rPr>
        <w:b/>
        <w:color w:val="404040"/>
      </w:rPr>
    </w:tblStylePr>
    <w:tblStylePr w:type="lastRow">
      <w:rPr>
        <w:b/>
        <w:color w:val="404040"/>
      </w:rPr>
      <w:tcPr>
        <w:tcBorders>
          <w:top w:val="single" w:color="4472C4" w:themeColor="accent5" w:sz="4" w:space="0"/>
        </w:tcBorders>
      </w:tcPr>
    </w:tblStylePr>
  </w:style>
  <w:style w:type="table" w:styleId="808" w:customStyle="1">
    <w:name w:val="Grid Table 4 - Accent 6"/>
    <w:basedOn w:val="688"/>
    <w:uiPriority w:val="5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809" w:customStyle="1">
    <w:name w:val="网格表 5 深色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10" w:customStyle="1">
    <w:name w:val="Grid Table 5 Dark- Accent 1"/>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1" w:themeTint="75" w:fill="b3d1eb" w:themeFill="accent1" w:themeFillTint="75"/>
      </w:tcPr>
    </w:tblStylePr>
    <w:tblStylePr w:type="band1Vert">
      <w:tcPr>
        <w:shd w:val="clear" w:color="b3d1eb" w:themeColor="accent1" w:themeTint="75" w:fill="b3d1eb" w:themeFill="accent1" w:themeFillTint="75"/>
      </w:tcPr>
    </w:tblStylePr>
    <w:tblStylePr w:type="firstCol">
      <w:rPr>
        <w:rFonts w:ascii="Arial" w:hAnsi="Arial"/>
        <w:b/>
        <w:color w:val="ffffff"/>
        <w:sz w:val="22"/>
      </w:rPr>
      <w:tcPr>
        <w:shd w:val="clear" w:color="5b9bd5" w:themeColor="accent1" w:fill="5b9bd5" w:themeFill="accent1"/>
      </w:tcPr>
    </w:tblStylePr>
    <w:tblStylePr w:type="firstRow">
      <w:rPr>
        <w:rFonts w:ascii="Arial" w:hAnsi="Arial"/>
        <w:b/>
        <w:color w:val="ffffff"/>
        <w:sz w:val="22"/>
      </w:rPr>
      <w:tcPr>
        <w:shd w:val="clear" w:color="5b9bd5" w:themeColor="accent1" w:fill="5b9bd5" w:themeFill="accent1"/>
      </w:tcPr>
    </w:tblStylePr>
    <w:tblStylePr w:type="lastCol">
      <w:rPr>
        <w:rFonts w:ascii="Arial" w:hAnsi="Arial"/>
        <w:b/>
        <w:color w:val="ffffff"/>
        <w:sz w:val="22"/>
      </w:rPr>
      <w:tcPr>
        <w:shd w:val="clear" w:color="5b9bd5" w:themeColor="accent1" w:fill="5b9bd5" w:themeFill="accent1"/>
      </w:tcPr>
    </w:tblStylePr>
    <w:tblStylePr w:type="lastRow">
      <w:rPr>
        <w:rFonts w:ascii="Arial" w:hAnsi="Arial"/>
        <w:b/>
        <w:color w:val="ffffff"/>
        <w:sz w:val="22"/>
      </w:rPr>
      <w:tcPr>
        <w:shd w:val="clear" w:color="5b9bd5" w:themeColor="accent1" w:fill="5b9bd5" w:themeFill="accent1"/>
        <w:tcBorders>
          <w:top w:val="single" w:color="FFFFFF" w:themeColor="light1" w:sz="4" w:space="0"/>
        </w:tcBorders>
      </w:tcPr>
    </w:tblStylePr>
  </w:style>
  <w:style w:type="table" w:styleId="811" w:customStyle="1">
    <w:name w:val="Grid Table 5 Dark - Accent 2"/>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812" w:customStyle="1">
    <w:name w:val="Grid Table 5 Dark - Accent 3"/>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813" w:customStyle="1">
    <w:name w:val="Grid Table 5 Dark- Accent 4"/>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814" w:customStyle="1">
    <w:name w:val="Grid Table 5 Dark - Accent 5"/>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5" w:themeTint="75" w:fill="a9bee3" w:themeFill="accent5" w:themeFillTint="75"/>
      </w:tcPr>
    </w:tblStylePr>
    <w:tblStylePr w:type="band1Vert">
      <w:tcPr>
        <w:shd w:val="clear" w:color="a9bee3" w:themeColor="accent5" w:themeTint="75" w:fill="a9bee3" w:themeFill="accent5" w:themeFillTint="75"/>
      </w:tcPr>
    </w:tblStylePr>
    <w:tblStylePr w:type="firstCol">
      <w:rPr>
        <w:rFonts w:ascii="Arial" w:hAnsi="Arial"/>
        <w:b/>
        <w:color w:val="ffffff"/>
        <w:sz w:val="22"/>
      </w:rPr>
      <w:tcPr>
        <w:shd w:val="clear" w:color="4472c4" w:themeColor="accent5" w:fill="4472c4" w:themeFill="accent5"/>
      </w:tcPr>
    </w:tblStylePr>
    <w:tblStylePr w:type="firstRow">
      <w:rPr>
        <w:rFonts w:ascii="Arial" w:hAnsi="Arial"/>
        <w:b/>
        <w:color w:val="ffffff"/>
        <w:sz w:val="22"/>
      </w:rPr>
      <w:tcPr>
        <w:shd w:val="clear" w:color="4472c4" w:themeColor="accent5" w:fill="4472c4" w:themeFill="accent5"/>
      </w:tcPr>
    </w:tblStylePr>
    <w:tblStylePr w:type="lastCol">
      <w:rPr>
        <w:rFonts w:ascii="Arial" w:hAnsi="Arial"/>
        <w:b/>
        <w:color w:val="ffffff"/>
        <w:sz w:val="22"/>
      </w:rPr>
      <w:tcPr>
        <w:shd w:val="clear" w:color="4472c4" w:themeColor="accent5" w:fill="4472c4" w:themeFill="accent5"/>
      </w:tcPr>
    </w:tblStylePr>
    <w:tblStylePr w:type="lastRow">
      <w:rPr>
        <w:rFonts w:ascii="Arial" w:hAnsi="Arial"/>
        <w:b/>
        <w:color w:val="ffffff"/>
        <w:sz w:val="22"/>
      </w:rPr>
      <w:tcPr>
        <w:shd w:val="clear" w:color="4472c4" w:themeColor="accent5" w:fill="4472c4" w:themeFill="accent5"/>
        <w:tcBorders>
          <w:top w:val="single" w:color="FFFFFF" w:themeColor="light1" w:sz="4" w:space="0"/>
        </w:tcBorders>
      </w:tcPr>
    </w:tblStylePr>
  </w:style>
  <w:style w:type="table" w:styleId="815" w:customStyle="1">
    <w:name w:val="Grid Table 5 Dark - Accent 6"/>
    <w:basedOn w:val="688"/>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816" w:customStyle="1">
    <w:name w:val="网格表 6 彩色1"/>
    <w:basedOn w:val="688"/>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7" w:customStyle="1">
    <w:name w:val="Grid Table 6 Colorful - Accent 1"/>
    <w:basedOn w:val="688"/>
    <w:uiPriority w:val="99"/>
    <w:qFormat/>
    <w:tblPr>
      <w:tblBorders>
        <w:top w:val="single" w:color="ACCCE9" w:themeColor="accent1" w:themeTint="80" w:sz="4" w:space="0"/>
        <w:left w:val="single" w:color="ACCCE9" w:themeColor="accent1" w:themeTint="80" w:sz="4" w:space="0"/>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b/>
        <w:color w:val="adcdea" w:themeColor="accent1" w:themeTint="80"/>
        <w14:textFill>
          <w14:solidFill>
            <w14:schemeClr w14:val="accent1">
              <w14:lumMod w14:val="50000"/>
              <w14:lumOff w14:val="50000"/>
            </w14:schemeClr>
          </w14:solidFill>
        </w14:textFill>
      </w:rPr>
    </w:tblStylePr>
    <w:tblStylePr w:type="firstRow">
      <w:rPr>
        <w:b/>
        <w:color w:val="adcdea" w:themeColor="accent1" w:themeTint="80"/>
        <w14:textFill>
          <w14:solidFill>
            <w14:schemeClr w14:val="accent1">
              <w14:lumMod w14:val="50000"/>
              <w14:lumOff w14:val="50000"/>
            </w14:schemeClr>
          </w14:solidFill>
        </w14:textFill>
      </w:rPr>
      <w:tcPr>
        <w:tcBorders>
          <w:bottom w:val="single" w:color="ACCCE9" w:themeColor="accent1" w:themeTint="80" w:sz="12" w:space="0"/>
        </w:tcBorders>
      </w:tcPr>
    </w:tblStylePr>
    <w:tblStylePr w:type="lastCol">
      <w:rPr>
        <w:b/>
        <w:color w:val="adcdea" w:themeColor="accent1" w:themeTint="80"/>
        <w14:textFill>
          <w14:solidFill>
            <w14:schemeClr w14:val="accent1">
              <w14:lumMod w14:val="50000"/>
              <w14:lumOff w14:val="50000"/>
            </w14:schemeClr>
          </w14:solidFill>
        </w14:textFill>
      </w:rPr>
    </w:tblStylePr>
    <w:tblStylePr w:type="lastRow">
      <w:rPr>
        <w:b/>
        <w:color w:val="adcdea" w:themeColor="accent1" w:themeTint="80"/>
        <w14:textFill>
          <w14:solidFill>
            <w14:schemeClr w14:val="accent1">
              <w14:lumMod w14:val="50000"/>
              <w14:lumOff w14:val="50000"/>
            </w14:schemeClr>
          </w14:solidFill>
        </w14:textFill>
      </w:rPr>
    </w:tblStylePr>
  </w:style>
  <w:style w:type="table" w:styleId="818" w:customStyle="1">
    <w:name w:val="Grid Table 6 Colorful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19" w:customStyle="1">
    <w:name w:val="Grid Table 6 Colorful - Accent 3"/>
    <w:basedOn w:val="688"/>
    <w:uiPriority w:val="99"/>
    <w:qFormat/>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b/>
        <w:color w:val="a5a5a5" w:themeColor="accent3"/>
        <w14:textFill>
          <w14:solidFill>
            <w14:schemeClr w14:val="accent3"/>
          </w14:solidFill>
        </w14:textFill>
      </w:rPr>
    </w:tblStylePr>
    <w:tblStylePr w:type="firstRow">
      <w:rPr>
        <w:b/>
        <w:color w:val="a5a5a5" w:themeColor="accent3"/>
        <w14:textFill>
          <w14:solidFill>
            <w14:schemeClr w14:val="accent3"/>
          </w14:solidFill>
        </w14:textFill>
      </w:rPr>
      <w:tcPr>
        <w:tcBorders>
          <w:bottom w:val="single" w:color="A5A5A5" w:themeColor="accent3" w:themeTint="FE" w:sz="12" w:space="0"/>
        </w:tcBorders>
      </w:tcPr>
    </w:tblStylePr>
    <w:tblStylePr w:type="lastCol">
      <w:rPr>
        <w:b/>
        <w:color w:val="a5a5a5" w:themeColor="accent3"/>
        <w14:textFill>
          <w14:solidFill>
            <w14:schemeClr w14:val="accent3"/>
          </w14:solidFill>
        </w14:textFill>
      </w:rPr>
    </w:tblStylePr>
    <w:tblStylePr w:type="lastRow">
      <w:rPr>
        <w:b/>
        <w:color w:val="a5a5a5" w:themeColor="accent3"/>
        <w14:textFill>
          <w14:solidFill>
            <w14:schemeClr w14:val="accent3"/>
          </w14:solidFill>
        </w14:textFill>
      </w:rPr>
    </w:tblStylePr>
  </w:style>
  <w:style w:type="table" w:styleId="820" w:customStyle="1">
    <w:name w:val="Grid Table 6 Colorful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21" w:customStyle="1">
    <w:name w:val="Grid Table 6 Colorful - Accent 5"/>
    <w:basedOn w:val="688"/>
    <w:uiPriority w:val="99"/>
    <w:qFormat/>
    <w:tblPr>
      <w:tblBorders>
        <w:top w:val="single" w:color="4472C4" w:themeColor="accent5" w:sz="4" w:space="0"/>
        <w:left w:val="single" w:color="4472C4" w:themeColor="accent5" w:sz="4" w:space="0"/>
        <w:bottom w:val="single" w:color="4472C4" w:themeColor="accent5" w:sz="4" w:space="0"/>
        <w:right w:val="single" w:color="4472C4" w:themeColor="accent5" w:sz="4" w:space="0"/>
        <w:insideH w:val="single" w:color="4472C4" w:themeColor="accent5" w:sz="4" w:space="0"/>
        <w:insideV w:val="single" w:color="4472C4" w:themeColor="accent5"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4472C4" w:themeColor="accent5"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2" w:customStyle="1">
    <w:name w:val="Grid Table 6 Colorful - Accent 6"/>
    <w:basedOn w:val="688"/>
    <w:uiPriority w:val="99"/>
    <w:qFormat/>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54174"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54174" w:themeColor="accent5" w:themeShade="94"/>
        <w:sz w:val="22"/>
      </w:rPr>
    </w:tblStylePr>
    <w:tblStylePr w:type="firstCol">
      <w:rPr>
        <w:b/>
        <w:color w:val="254174" w:themeColor="accent5" w:themeShade="94"/>
      </w:rPr>
    </w:tblStylePr>
    <w:tblStylePr w:type="firstRow">
      <w:rPr>
        <w:b/>
        <w:color w:val="254174" w:themeColor="accent5" w:themeShade="94"/>
      </w:rPr>
      <w:tcPr>
        <w:tcBorders>
          <w:bottom w:val="single" w:color="70AD47" w:themeColor="accent6" w:sz="12" w:space="0"/>
        </w:tcBorders>
      </w:tcPr>
    </w:tblStylePr>
    <w:tblStylePr w:type="lastCol">
      <w:rPr>
        <w:b/>
        <w:color w:val="254174" w:themeColor="accent5" w:themeShade="94"/>
      </w:rPr>
    </w:tblStylePr>
    <w:tblStylePr w:type="lastRow">
      <w:rPr>
        <w:b/>
        <w:color w:val="254174" w:themeColor="accent5" w:themeShade="94"/>
      </w:rPr>
    </w:tblStylePr>
  </w:style>
  <w:style w:type="table" w:styleId="823" w:customStyle="1">
    <w:name w:val="网格表 7 彩色1"/>
    <w:basedOn w:val="688"/>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4" w:customStyle="1">
    <w:name w:val="Grid Table 7 Colorful - Accent 1"/>
    <w:basedOn w:val="688"/>
    <w:uiPriority w:val="99"/>
    <w:qFormat/>
    <w:tblPr>
      <w:tblBorders>
        <w:bottom w:val="single" w:color="ACCCE9" w:themeColor="accent1" w:themeTint="80" w:sz="4" w:space="0"/>
        <w:right w:val="single" w:color="ACCCE9" w:themeColor="accent1" w:themeTint="80" w:sz="4" w:space="0"/>
        <w:insideH w:val="single" w:color="ACCCE9" w:themeColor="accent1" w:themeTint="80" w:sz="4" w:space="0"/>
        <w:insideV w:val="single" w:color="ACCCE9" w:themeColor="accent1" w:themeTint="80" w:sz="4" w:space="0"/>
      </w:tblBorders>
    </w:tblPr>
    <w:tblStylePr w:type="band1Horz">
      <w:rPr>
        <w:rFonts w:ascii="Arial" w:hAnsi="Arial"/>
        <w:color w:val="adcdea" w:themeColor="accent1" w:themeTint="80"/>
        <w:sz w:val="22"/>
        <w14:textFill>
          <w14:solidFill>
            <w14:schemeClr w14:val="accent1">
              <w14:lumMod w14:val="50000"/>
              <w14:lumOff w14:val="50000"/>
            </w14:schemeClr>
          </w14:solidFill>
        </w14:textFill>
      </w:rPr>
      <w:tcPr>
        <w:shd w:val="clear" w:color="ddeaf6" w:themeColor="accent1" w:themeTint="34" w:fill="ddeaf6" w:themeFill="accent1" w:themeFillTint="34"/>
      </w:tcPr>
    </w:tblStylePr>
    <w:tblStylePr w:type="band1Vert">
      <w:tcPr>
        <w:shd w:val="clear" w:color="ddeaf6" w:themeColor="accent1" w:themeTint="34" w:fill="ddeaf6" w:themeFill="accent1" w:themeFillTint="34"/>
      </w:tcPr>
    </w:tblStylePr>
    <w:tblStylePr w:type="band2Horz">
      <w:rPr>
        <w:rFonts w:ascii="Arial" w:hAnsi="Arial"/>
        <w:color w:val="adcdea" w:themeColor="accent1" w:themeTint="80"/>
        <w:sz w:val="22"/>
        <w14:textFill>
          <w14:solidFill>
            <w14:schemeClr w14:val="accent1">
              <w14:lumMod w14:val="50000"/>
              <w14:lumOff w14:val="50000"/>
            </w14:schemeClr>
          </w14:solidFill>
        </w14:textFill>
      </w:rPr>
    </w:tblStylePr>
    <w:tblStylePr w:type="firstCol">
      <w:rPr>
        <w:rFonts w:ascii="Arial" w:hAnsi="Arial"/>
        <w:i/>
        <w:color w:val="adcdea"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CCCE9" w:themeColor="accent1" w:themeTint="80" w:sz="4" w:space="0"/>
        </w:tcBorders>
      </w:tcPr>
    </w:tblStylePr>
    <w:tblStylePr w:type="fir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CCCE9" w:themeColor="accent1" w:themeTint="80" w:sz="4" w:space="0"/>
          <w:right w:val="none" w:color="000000" w:sz="4" w:space="0"/>
        </w:tcBorders>
      </w:tcPr>
    </w:tblStylePr>
    <w:tblStylePr w:type="lastCol">
      <w:rPr>
        <w:rFonts w:ascii="Arial" w:hAnsi="Arial"/>
        <w:i/>
        <w:color w:val="adcdea"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CCCE9" w:themeColor="accent1" w:themeTint="80" w:sz="4" w:space="0"/>
          <w:bottom w:val="none" w:color="000000" w:sz="4" w:space="0"/>
          <w:right w:val="none" w:color="000000" w:sz="4" w:space="0"/>
        </w:tcBorders>
      </w:tcPr>
    </w:tblStylePr>
    <w:tblStylePr w:type="lastRow">
      <w:rPr>
        <w:rFonts w:ascii="Arial" w:hAnsi="Arial"/>
        <w:b/>
        <w:color w:val="adcdea"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CCCE9" w:themeColor="accent1" w:themeTint="80" w:sz="4" w:space="0"/>
          <w:left w:val="none" w:color="000000" w:sz="4" w:space="0"/>
          <w:bottom w:val="none" w:color="000000" w:sz="4" w:space="0"/>
          <w:right w:val="none" w:color="000000" w:sz="4" w:space="0"/>
        </w:tcBorders>
      </w:tcPr>
    </w:tblStylePr>
  </w:style>
  <w:style w:type="table" w:styleId="825" w:customStyle="1">
    <w:name w:val="Grid Table 7 Colorful - Accent 2"/>
    <w:basedOn w:val="688"/>
    <w:uiPriority w:val="99"/>
    <w:qFormat/>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26" w:customStyle="1">
    <w:name w:val="Grid Table 7 Colorful - Accent 3"/>
    <w:basedOn w:val="688"/>
    <w:uiPriority w:val="99"/>
    <w:qFormat/>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sz w:val="22"/>
        <w14:textFill>
          <w14:solidFill>
            <w14:schemeClr w14:val="accent3"/>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sz w:val="22"/>
        <w14:textFill>
          <w14:solidFill>
            <w14:schemeClr w14:val="accent3"/>
          </w14:solidFill>
        </w14:textFill>
      </w:rPr>
    </w:tblStylePr>
    <w:tblStylePr w:type="firstCol">
      <w:rPr>
        <w:rFonts w:ascii="Arial" w:hAnsi="Arial"/>
        <w:i/>
        <w:color w:val="a5a5a5" w:themeColor="accent3"/>
        <w:sz w:val="22"/>
        <w14:textFill>
          <w14:solidFill>
            <w14:schemeClr w14:val="accent3"/>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sz w:val="22"/>
        <w14:textFill>
          <w14:solidFill>
            <w14:schemeClr w14:val="accent3"/>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sz w:val="22"/>
        <w14:textFill>
          <w14:solidFill>
            <w14:schemeClr w14:val="accent3"/>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sz w:val="22"/>
        <w14:textFill>
          <w14:solidFill>
            <w14:schemeClr w14:val="accent3"/>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27" w:customStyle="1">
    <w:name w:val="Grid Table 7 Colorful - Accent 4"/>
    <w:basedOn w:val="688"/>
    <w:uiPriority w:val="99"/>
    <w:qFormat/>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28" w:customStyle="1">
    <w:name w:val="Grid Table 7 Colorful - Accent 5"/>
    <w:basedOn w:val="688"/>
    <w:uiPriority w:val="99"/>
    <w:qFormat/>
    <w:tblPr>
      <w:tblBorders>
        <w:bottom w:val="single" w:color="95AFDD" w:themeColor="accent5" w:themeTint="90" w:sz="4" w:space="0"/>
        <w:right w:val="single" w:color="95AFDD" w:themeColor="accent5" w:themeTint="90" w:sz="4" w:space="0"/>
        <w:insideH w:val="single" w:color="95AFDD" w:themeColor="accent5" w:themeTint="90" w:sz="4" w:space="0"/>
        <w:insideV w:val="single" w:color="95AFDD" w:themeColor="accent5" w:themeTint="90" w:sz="4" w:space="0"/>
      </w:tblBorders>
    </w:tblPr>
    <w:tblStylePr w:type="band1Horz">
      <w:rPr>
        <w:rFonts w:ascii="Arial" w:hAnsi="Arial"/>
        <w:color w:val="254174" w:themeColor="accent5" w:themeShade="94"/>
        <w:sz w:val="22"/>
      </w:rPr>
      <w:tcPr>
        <w:shd w:val="clear" w:color="d8e2f2" w:themeColor="accent5" w:themeTint="34" w:fill="d8e2f2" w:themeFill="accent5" w:themeFillTint="34"/>
      </w:tcPr>
    </w:tblStylePr>
    <w:tblStylePr w:type="band1Vert">
      <w:tcPr>
        <w:shd w:val="clear" w:color="d8e2f2" w:themeColor="accent5" w:themeTint="34" w:fill="d8e2f2" w:themeFill="accent5" w:themeFillTint="34"/>
      </w:tcPr>
    </w:tblStylePr>
    <w:tblStylePr w:type="band2Horz">
      <w:rPr>
        <w:rFonts w:ascii="Arial" w:hAnsi="Arial"/>
        <w:color w:val="254174" w:themeColor="accent5" w:themeShade="94"/>
        <w:sz w:val="22"/>
      </w:rPr>
    </w:tblStylePr>
    <w:tblStylePr w:type="firstCol">
      <w:rPr>
        <w:rFonts w:ascii="Arial" w:hAnsi="Arial"/>
        <w:i/>
        <w:color w:val="254174" w:themeColor="accent5" w:themeShade="94"/>
        <w:sz w:val="22"/>
      </w:rPr>
      <w:pPr>
        <w:jc w:val="right"/>
      </w:pPr>
      <w:tcPr>
        <w:shd w:val="clear" w:color="ffffff" w:fill="auto"/>
        <w:tcBorders>
          <w:top w:val="none" w:color="000000" w:sz="4" w:space="0"/>
          <w:left w:val="none" w:color="000000" w:sz="4" w:space="0"/>
          <w:bottom w:val="none" w:color="000000" w:sz="4" w:space="0"/>
          <w:right w:val="single" w:color="95AFDD" w:themeColor="accent5" w:themeTint="90" w:sz="4" w:space="0"/>
        </w:tcBorders>
      </w:tcPr>
    </w:tblStylePr>
    <w:tblStylePr w:type="firstRow">
      <w:rPr>
        <w:rFonts w:ascii="Arial" w:hAnsi="Arial"/>
        <w:b/>
        <w:color w:val="254174" w:themeColor="accent5" w:themeShade="94"/>
        <w:sz w:val="22"/>
      </w:rPr>
      <w:tcPr>
        <w:shd w:val="clear" w:color="ffffff" w:themeColor="light1" w:fill="ffffff" w:themeFill="light1"/>
        <w:tcBorders>
          <w:top w:val="none" w:color="000000" w:sz="4" w:space="0"/>
          <w:left w:val="none" w:color="000000" w:sz="4" w:space="0"/>
          <w:bottom w:val="single" w:color="95AFDD" w:themeColor="accent5" w:themeTint="90" w:sz="4" w:space="0"/>
          <w:right w:val="none" w:color="000000" w:sz="4" w:space="0"/>
        </w:tcBorders>
      </w:tcPr>
    </w:tblStylePr>
    <w:tblStylePr w:type="lastCol">
      <w:rPr>
        <w:rFonts w:ascii="Arial" w:hAnsi="Arial"/>
        <w:i/>
        <w:color w:val="254174" w:themeColor="accent5" w:themeShade="94"/>
        <w:sz w:val="22"/>
      </w:rPr>
      <w:tcPr>
        <w:shd w:val="clear" w:color="ffffff" w:fill="auto"/>
        <w:tcBorders>
          <w:top w:val="none" w:color="000000" w:sz="4" w:space="0"/>
          <w:left w:val="single" w:color="95AFDD" w:themeColor="accent5" w:themeTint="90" w:sz="4" w:space="0"/>
          <w:bottom w:val="none" w:color="000000" w:sz="4" w:space="0"/>
          <w:right w:val="none" w:color="000000" w:sz="4" w:space="0"/>
        </w:tcBorders>
      </w:tcPr>
    </w:tblStylePr>
    <w:tblStylePr w:type="lastRow">
      <w:rPr>
        <w:rFonts w:ascii="Arial" w:hAnsi="Arial"/>
        <w:b/>
        <w:color w:val="254174" w:themeColor="accent5" w:themeShade="94"/>
        <w:sz w:val="22"/>
      </w:rPr>
      <w:tcPr>
        <w:shd w:val="clear" w:color="ffffff" w:themeColor="light1" w:fill="ffffff" w:themeFill="light1"/>
        <w:tcBorders>
          <w:top w:val="single" w:color="95AFDD" w:themeColor="accent5" w:themeTint="90" w:sz="4" w:space="0"/>
          <w:left w:val="none" w:color="000000" w:sz="4" w:space="0"/>
          <w:bottom w:val="none" w:color="000000" w:sz="4" w:space="0"/>
          <w:right w:val="none" w:color="000000" w:sz="4" w:space="0"/>
        </w:tcBorders>
      </w:tcPr>
    </w:tblStylePr>
  </w:style>
  <w:style w:type="table" w:styleId="829" w:customStyle="1">
    <w:name w:val="Grid Table 7 Colorful - Accent 6"/>
    <w:basedOn w:val="688"/>
    <w:uiPriority w:val="99"/>
    <w:qFormat/>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30" w:customStyle="1">
    <w:name w:val="清单表 1 浅色1"/>
    <w:basedOn w:val="688"/>
    <w:uiPriority w:val="99"/>
    <w:qFormat/>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31" w:customStyle="1">
    <w:name w:val="List Table 1 Light - Accent 1"/>
    <w:basedOn w:val="688"/>
    <w:uiPriority w:val="99"/>
    <w:qFormat/>
    <w:tblPr/>
    <w:tblStylePr w:type="band1Horz">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1" w:sz="4" w:space="0"/>
          <w:right w:val="none" w:color="000000" w:sz="4" w:space="0"/>
        </w:tcBorders>
      </w:tcPr>
    </w:tblStylePr>
    <w:tblStylePr w:type="lastCol">
      <w:rPr>
        <w:b/>
        <w:color w:val="404040"/>
      </w:rPr>
    </w:tblStylePr>
    <w:tblStylePr w:type="lastRow">
      <w:rPr>
        <w:b/>
        <w:color w:val="404040"/>
      </w:rPr>
      <w:tcPr>
        <w:tcBorders>
          <w:top w:val="single" w:color="5B9BD5" w:themeColor="accent1" w:sz="4" w:space="0"/>
          <w:left w:val="none" w:color="000000" w:sz="4" w:space="0"/>
          <w:bottom w:val="none" w:color="000000" w:sz="4" w:space="0"/>
          <w:right w:val="none" w:color="000000" w:sz="4" w:space="0"/>
        </w:tcBorders>
      </w:tcPr>
    </w:tblStylePr>
  </w:style>
  <w:style w:type="table" w:styleId="832" w:customStyle="1">
    <w:name w:val="List Table 1 Light - Accent 2"/>
    <w:basedOn w:val="688"/>
    <w:uiPriority w:val="99"/>
    <w:qFormat/>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33" w:customStyle="1">
    <w:name w:val="List Table 1 Light - Accent 3"/>
    <w:basedOn w:val="688"/>
    <w:uiPriority w:val="99"/>
    <w:qFormat/>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34" w:customStyle="1">
    <w:name w:val="List Table 1 Light - Accent 4"/>
    <w:basedOn w:val="688"/>
    <w:uiPriority w:val="99"/>
    <w:qFormat/>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35" w:customStyle="1">
    <w:name w:val="List Table 1 Light - Accent 5"/>
    <w:basedOn w:val="688"/>
    <w:uiPriority w:val="99"/>
    <w:qFormat/>
    <w:tblPr/>
    <w:tblStylePr w:type="band1Horz">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5" w:sz="4" w:space="0"/>
          <w:right w:val="none" w:color="000000" w:sz="4" w:space="0"/>
        </w:tcBorders>
      </w:tcPr>
    </w:tblStylePr>
    <w:tblStylePr w:type="lastCol">
      <w:rPr>
        <w:b/>
        <w:color w:val="404040"/>
      </w:rPr>
    </w:tblStylePr>
    <w:tblStylePr w:type="lastRow">
      <w:rPr>
        <w:b/>
        <w:color w:val="404040"/>
      </w:rPr>
      <w:tcPr>
        <w:tcBorders>
          <w:top w:val="single" w:color="4472C4" w:themeColor="accent5" w:sz="4" w:space="0"/>
          <w:left w:val="none" w:color="000000" w:sz="4" w:space="0"/>
          <w:bottom w:val="none" w:color="000000" w:sz="4" w:space="0"/>
          <w:right w:val="none" w:color="000000" w:sz="4" w:space="0"/>
        </w:tcBorders>
      </w:tcPr>
    </w:tblStylePr>
  </w:style>
  <w:style w:type="table" w:styleId="836" w:customStyle="1">
    <w:name w:val="List Table 1 Light - Accent 6"/>
    <w:basedOn w:val="688"/>
    <w:uiPriority w:val="99"/>
    <w:qFormat/>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37" w:customStyle="1">
    <w:name w:val="清单表 21"/>
    <w:basedOn w:val="688"/>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8" w:customStyle="1">
    <w:name w:val="List Table 2 - Accent 1"/>
    <w:basedOn w:val="688"/>
    <w:uiPriority w:val="99"/>
    <w:qFormat/>
    <w:tblPr>
      <w:tblBorders>
        <w:top w:val="single" w:color="A2C6E7" w:themeColor="accent1" w:themeTint="90" w:sz="4" w:space="0"/>
        <w:bottom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1" w:themeTint="90" w:sz="4" w:space="0"/>
          <w:left w:val="none" w:color="000000" w:sz="4" w:space="0"/>
          <w:bottom w:val="single" w:color="A2C6E7" w:themeColor="accent1" w:themeTint="90" w:sz="4" w:space="0"/>
          <w:right w:val="none" w:color="000000" w:sz="4" w:space="0"/>
        </w:tcBorders>
      </w:tcPr>
    </w:tblStylePr>
  </w:style>
  <w:style w:type="table" w:styleId="839" w:customStyle="1">
    <w:name w:val="List Table 2 - Accent 2"/>
    <w:basedOn w:val="688"/>
    <w:uiPriority w:val="99"/>
    <w:qFormat/>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40" w:customStyle="1">
    <w:name w:val="List Table 2 - Accent 3"/>
    <w:basedOn w:val="688"/>
    <w:uiPriority w:val="99"/>
    <w:qFormat/>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41" w:customStyle="1">
    <w:name w:val="List Table 2 - Accent 4"/>
    <w:basedOn w:val="688"/>
    <w:uiPriority w:val="99"/>
    <w:qFormat/>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42" w:customStyle="1">
    <w:name w:val="List Table 2 - Accent 5"/>
    <w:basedOn w:val="688"/>
    <w:uiPriority w:val="99"/>
    <w:qFormat/>
    <w:tblPr>
      <w:tblBorders>
        <w:top w:val="single" w:color="95AFDD" w:themeColor="accent5" w:themeTint="90" w:sz="4" w:space="0"/>
        <w:bottom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5" w:themeTint="90" w:sz="4" w:space="0"/>
          <w:left w:val="none" w:color="000000" w:sz="4" w:space="0"/>
          <w:bottom w:val="single" w:color="95AFDD" w:themeColor="accent5" w:themeTint="90" w:sz="4" w:space="0"/>
          <w:right w:val="none" w:color="000000" w:sz="4" w:space="0"/>
        </w:tcBorders>
      </w:tcPr>
    </w:tblStylePr>
  </w:style>
  <w:style w:type="table" w:styleId="843" w:customStyle="1">
    <w:name w:val="List Table 2 - Accent 6"/>
    <w:basedOn w:val="688"/>
    <w:uiPriority w:val="99"/>
    <w:qFormat/>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44" w:customStyle="1">
    <w:name w:val="清单表 3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5" w:customStyle="1">
    <w:name w:val="List Table 3 - Accent 1"/>
    <w:basedOn w:val="688"/>
    <w:uiPriority w:val="99"/>
    <w:qFormat/>
    <w:tblPr>
      <w:tblBorders>
        <w:top w:val="single" w:color="5B9BD5" w:themeColor="accent1" w:sz="4" w:space="0"/>
        <w:left w:val="single" w:color="5B9BD5" w:themeColor="accent1" w:sz="4" w:space="0"/>
        <w:bottom w:val="single" w:color="5B9BD5" w:themeColor="accent1" w:sz="4" w:space="0"/>
        <w:right w:val="single" w:color="5B9BD5" w:themeColor="accent1" w:sz="4" w:space="0"/>
      </w:tblBorders>
    </w:tblPr>
    <w:tblStylePr w:type="band1Horz">
      <w:rPr>
        <w:rFonts w:ascii="Arial" w:hAnsi="Arial"/>
        <w:color w:val="404040"/>
        <w:sz w:val="22"/>
      </w:rPr>
      <w:tcPr>
        <w:tcBorders>
          <w:top w:val="single" w:color="5B9BD5" w:themeColor="accent1" w:sz="4" w:space="0"/>
          <w:bottom w:val="single" w:color="5B9BD5" w:themeColor="accent1" w:sz="4" w:space="0"/>
        </w:tcBorders>
      </w:tcPr>
    </w:tblStylePr>
    <w:tblStylePr w:type="band1Vert">
      <w:rPr>
        <w:rFonts w:ascii="Arial" w:hAnsi="Arial"/>
        <w:color w:val="404040"/>
        <w:sz w:val="22"/>
      </w:rPr>
      <w:tcPr>
        <w:tcBorders>
          <w:left w:val="single" w:color="5B9BD5" w:themeColor="accent1" w:sz="4" w:space="0"/>
          <w:right w:val="single" w:color="5B9BD5" w:themeColor="accent1" w:sz="4" w:space="0"/>
        </w:tcBorders>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46" w:customStyle="1">
    <w:name w:val="List Table 3 - Accent 2"/>
    <w:basedOn w:val="688"/>
    <w:uiPriority w:val="99"/>
    <w:qFormat/>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47" w:customStyle="1">
    <w:name w:val="List Table 3 - Accent 3"/>
    <w:basedOn w:val="688"/>
    <w:uiPriority w:val="99"/>
    <w:qFormat/>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48" w:customStyle="1">
    <w:name w:val="List Table 3 - Accent 4"/>
    <w:basedOn w:val="688"/>
    <w:uiPriority w:val="99"/>
    <w:qFormat/>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49" w:customStyle="1">
    <w:name w:val="List Table 3 - Accent 5"/>
    <w:basedOn w:val="688"/>
    <w:uiPriority w:val="99"/>
    <w:qFormat/>
    <w:tblPr>
      <w:tblBorders>
        <w:top w:val="single" w:color="8EA9DB" w:themeColor="accent5" w:themeTint="9A" w:sz="4" w:space="0"/>
        <w:left w:val="single" w:color="8EA9DB" w:themeColor="accent5" w:themeTint="9A" w:sz="4" w:space="0"/>
        <w:bottom w:val="single" w:color="8EA9DB" w:themeColor="accent5" w:themeTint="9A" w:sz="4" w:space="0"/>
        <w:right w:val="single" w:color="8EA9DB" w:themeColor="accent5" w:themeTint="9A" w:sz="4" w:space="0"/>
      </w:tblBorders>
    </w:tblPr>
    <w:tblStylePr w:type="band1Horz">
      <w:rPr>
        <w:rFonts w:ascii="Arial" w:hAnsi="Arial"/>
        <w:color w:val="404040"/>
        <w:sz w:val="22"/>
      </w:rPr>
      <w:tcPr>
        <w:tcBorders>
          <w:top w:val="single" w:color="8EA9DB" w:themeColor="accent5" w:themeTint="9A" w:sz="4" w:space="0"/>
          <w:bottom w:val="single" w:color="8EA9DB" w:themeColor="accent5" w:themeTint="9A" w:sz="4" w:space="0"/>
        </w:tcBorders>
      </w:tcPr>
    </w:tblStylePr>
    <w:tblStylePr w:type="band1Vert">
      <w:rPr>
        <w:rFonts w:ascii="Arial" w:hAnsi="Arial"/>
        <w:color w:val="404040"/>
        <w:sz w:val="22"/>
      </w:rPr>
      <w:tcPr>
        <w:tcBorders>
          <w:left w:val="single" w:color="8EA9DB" w:themeColor="accent5" w:themeTint="9A" w:sz="4" w:space="0"/>
          <w:right w:val="single" w:color="8EA9DB" w:themeColor="accent5" w:themeTint="9A" w:sz="4" w:space="0"/>
        </w:tcBorders>
      </w:tcPr>
    </w:tblStylePr>
    <w:tblStylePr w:type="firstCol">
      <w:rPr>
        <w:b/>
        <w:color w:val="404040"/>
      </w:rPr>
    </w:tblStylePr>
    <w:tblStylePr w:type="firstRow">
      <w:rPr>
        <w:rFonts w:ascii="Arial" w:hAnsi="Arial"/>
        <w:b/>
        <w:color w:val="ffffff"/>
        <w:sz w:val="22"/>
      </w:rPr>
      <w:tcPr>
        <w:shd w:val="clear" w:color="8ea9db" w:themeColor="accent5" w:themeTint="9A" w:fill="8ea9db" w:themeFill="accent5" w:themeFillTint="9A"/>
      </w:tcPr>
    </w:tblStylePr>
    <w:tblStylePr w:type="lastCol">
      <w:rPr>
        <w:b/>
        <w:color w:val="404040"/>
      </w:rPr>
    </w:tblStylePr>
    <w:tblStylePr w:type="lastRow">
      <w:rPr>
        <w:b/>
        <w:color w:val="404040"/>
      </w:rPr>
    </w:tblStylePr>
  </w:style>
  <w:style w:type="table" w:styleId="850" w:customStyle="1">
    <w:name w:val="List Table 3 - Accent 6"/>
    <w:basedOn w:val="688"/>
    <w:uiPriority w:val="99"/>
    <w:qFormat/>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51" w:customStyle="1">
    <w:name w:val="清单表 41"/>
    <w:basedOn w:val="688"/>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2" w:customStyle="1">
    <w:name w:val="List Table 4 - Accent 1"/>
    <w:basedOn w:val="688"/>
    <w:uiPriority w:val="99"/>
    <w:qFormat/>
    <w:tblPr>
      <w:tblBorders>
        <w:top w:val="single" w:color="A2C6E7" w:themeColor="accent1" w:themeTint="90" w:sz="4" w:space="0"/>
        <w:left w:val="single" w:color="A2C6E7" w:themeColor="accent1" w:themeTint="90" w:sz="4" w:space="0"/>
        <w:bottom w:val="single" w:color="A2C6E7" w:themeColor="accent1" w:themeTint="90" w:sz="4" w:space="0"/>
        <w:right w:val="single" w:color="A2C6E7" w:themeColor="accent1" w:themeTint="90" w:sz="4" w:space="0"/>
        <w:insideH w:val="single" w:color="A2C6E7" w:themeColor="accent1" w:themeTint="90" w:sz="4" w:space="0"/>
      </w:tblBorders>
    </w:tblPr>
    <w:tblStylePr w:type="band1Horz">
      <w:rPr>
        <w:rFonts w:ascii="Arial" w:hAnsi="Arial"/>
        <w:color w:val="404040"/>
        <w:sz w:val="22"/>
      </w:rPr>
      <w:tcPr>
        <w:shd w:val="clear" w:color="d5e5f4" w:themeColor="accent1" w:themeTint="40" w:fill="d5e5f4" w:themeFill="accent1" w:themeFillTint="40"/>
      </w:tcPr>
    </w:tblStylePr>
    <w:tblStylePr w:type="band1Vert">
      <w:rPr>
        <w:rFonts w:ascii="Arial" w:hAnsi="Arial"/>
        <w:color w:val="404040"/>
        <w:sz w:val="22"/>
      </w:rPr>
      <w:tcPr>
        <w:shd w:val="clear" w:color="d5e5f4" w:themeColor="accent1" w:themeTint="40" w:fill="d5e5f4" w:themeFill="accent1" w:themeFillTint="40"/>
      </w:tcPr>
    </w:tblStylePr>
    <w:tblStylePr w:type="firstCol">
      <w:rPr>
        <w:b/>
        <w:color w:val="404040"/>
      </w:rPr>
    </w:tblStylePr>
    <w:tblStylePr w:type="firstRow">
      <w:rPr>
        <w:rFonts w:ascii="Arial" w:hAnsi="Arial"/>
        <w:b/>
        <w:color w:val="ffffff"/>
        <w:sz w:val="22"/>
      </w:rPr>
      <w:tcPr>
        <w:shd w:val="clear" w:color="5b9bd5" w:themeColor="accent1" w:fill="5b9bd5" w:themeFill="accent1"/>
      </w:tcPr>
    </w:tblStylePr>
    <w:tblStylePr w:type="lastCol">
      <w:rPr>
        <w:b/>
        <w:color w:val="404040"/>
      </w:rPr>
    </w:tblStylePr>
    <w:tblStylePr w:type="lastRow">
      <w:rPr>
        <w:b/>
        <w:color w:val="404040"/>
      </w:rPr>
    </w:tblStylePr>
  </w:style>
  <w:style w:type="table" w:styleId="853" w:customStyle="1">
    <w:name w:val="List Table 4 - Accent 2"/>
    <w:basedOn w:val="688"/>
    <w:uiPriority w:val="99"/>
    <w:qFormat/>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54" w:customStyle="1">
    <w:name w:val="List Table 4 - Accent 3"/>
    <w:basedOn w:val="688"/>
    <w:uiPriority w:val="99"/>
    <w:qFormat/>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55" w:customStyle="1">
    <w:name w:val="List Table 4 - Accent 4"/>
    <w:basedOn w:val="688"/>
    <w:uiPriority w:val="99"/>
    <w:qFormat/>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56" w:customStyle="1">
    <w:name w:val="List Table 4 - Accent 5"/>
    <w:basedOn w:val="688"/>
    <w:uiPriority w:val="99"/>
    <w:qFormat/>
    <w:tblPr>
      <w:tblBorders>
        <w:top w:val="single" w:color="95AFDD" w:themeColor="accent5" w:themeTint="90" w:sz="4" w:space="0"/>
        <w:left w:val="single" w:color="95AFDD" w:themeColor="accent5" w:themeTint="90" w:sz="4" w:space="0"/>
        <w:bottom w:val="single" w:color="95AFDD" w:themeColor="accent5" w:themeTint="90" w:sz="4" w:space="0"/>
        <w:right w:val="single" w:color="95AFDD" w:themeColor="accent5" w:themeTint="90" w:sz="4" w:space="0"/>
        <w:insideH w:val="single" w:color="95AFDD" w:themeColor="accent5" w:themeTint="90" w:sz="4" w:space="0"/>
      </w:tblBorders>
    </w:tblPr>
    <w:tblStylePr w:type="band1Horz">
      <w:rPr>
        <w:rFonts w:ascii="Arial" w:hAnsi="Arial"/>
        <w:color w:val="404040"/>
        <w:sz w:val="22"/>
      </w:rPr>
      <w:tcPr>
        <w:shd w:val="clear" w:color="d0dbf0" w:themeColor="accent5" w:themeTint="40" w:fill="d0dbf0" w:themeFill="accent5" w:themeFillTint="40"/>
      </w:tcPr>
    </w:tblStylePr>
    <w:tblStylePr w:type="band1Vert">
      <w:rPr>
        <w:rFonts w:ascii="Arial" w:hAnsi="Arial"/>
        <w:color w:val="404040"/>
        <w:sz w:val="22"/>
      </w:rPr>
      <w:tcPr>
        <w:shd w:val="clear" w:color="d0dbf0" w:themeColor="accent5" w:themeTint="40" w:fill="d0dbf0" w:themeFill="accent5" w:themeFillTint="40"/>
      </w:tcPr>
    </w:tblStylePr>
    <w:tblStylePr w:type="firstCol">
      <w:rPr>
        <w:b/>
        <w:color w:val="404040"/>
      </w:rPr>
    </w:tblStylePr>
    <w:tblStylePr w:type="firstRow">
      <w:rPr>
        <w:rFonts w:ascii="Arial" w:hAnsi="Arial"/>
        <w:b/>
        <w:color w:val="ffffff"/>
        <w:sz w:val="22"/>
      </w:rPr>
      <w:tcPr>
        <w:shd w:val="clear" w:color="4472c4" w:themeColor="accent5" w:fill="4472c4" w:themeFill="accent5"/>
      </w:tcPr>
    </w:tblStylePr>
    <w:tblStylePr w:type="lastCol">
      <w:rPr>
        <w:b/>
        <w:color w:val="404040"/>
      </w:rPr>
    </w:tblStylePr>
    <w:tblStylePr w:type="lastRow">
      <w:rPr>
        <w:b/>
        <w:color w:val="404040"/>
      </w:rPr>
    </w:tblStylePr>
  </w:style>
  <w:style w:type="table" w:styleId="857" w:customStyle="1">
    <w:name w:val="List Table 4 - Accent 6"/>
    <w:basedOn w:val="688"/>
    <w:uiPriority w:val="99"/>
    <w:qFormat/>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58" w:customStyle="1">
    <w:name w:val="清单表 5 深色1"/>
    <w:basedOn w:val="688"/>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1"/>
    <w:basedOn w:val="688"/>
    <w:uiPriority w:val="99"/>
    <w:qFormat/>
    <w:tblPr>
      <w:tblBorders>
        <w:top w:val="single" w:color="5B9BD5" w:themeColor="accent1" w:sz="32" w:space="0"/>
        <w:left w:val="single" w:color="5B9BD5" w:themeColor="accent1" w:sz="32" w:space="0"/>
        <w:bottom w:val="single" w:color="5B9BD5" w:themeColor="accent1" w:sz="32" w:space="0"/>
        <w:right w:val="single" w:color="5B9BD5" w:themeColor="accent1" w:sz="32" w:space="0"/>
      </w:tblBorders>
    </w:tblPr>
    <w:tblStylePr w:type="band1Horz">
      <w:tcPr>
        <w:shd w:val="clear" w:color="5b9bd5" w:themeColor="accent1" w:fill="5b9bd5" w:themeFill="accent1"/>
        <w:tcBorders>
          <w:top w:val="single" w:color="FFFFFF" w:themeColor="light1" w:sz="4" w:space="0"/>
          <w:bottom w:val="single" w:color="FFFFFF" w:themeColor="light1" w:sz="4" w:space="0"/>
        </w:tcBorders>
      </w:tcPr>
    </w:tblStylePr>
    <w:tblStylePr w:type="band1Vert">
      <w:tcPr>
        <w:shd w:val="clear" w:color="5b9bd5" w:themeColor="accent1" w:fill="5b9bd5" w:themeFill="accent1"/>
        <w:tcBorders>
          <w:left w:val="single" w:color="FFFFFF" w:themeColor="light1" w:sz="4" w:space="0"/>
          <w:right w:val="single" w:color="FFFFFF" w:themeColor="light1" w:sz="4" w:space="0"/>
        </w:tcBorders>
      </w:tcPr>
    </w:tblStylePr>
    <w:tblStylePr w:type="band2Horz">
      <w:tcPr>
        <w:shd w:val="clear" w:color="5b9bd5" w:themeColor="accent1" w:fill="5b9bd5"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5B9BD5"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5b9bd5" w:themeColor="accent1" w:fill="5b9bd5" w:themeFill="accent1"/>
        <w:tcBorders>
          <w:top w:val="single" w:color="5B9BD5" w:themeColor="accent1" w:sz="32" w:space="0"/>
          <w:bottom w:val="single" w:color="FFFFFF" w:themeColor="light1" w:sz="12" w:space="0"/>
        </w:tcBorders>
      </w:tcPr>
    </w:tblStylePr>
    <w:tblStylePr w:type="lastCol">
      <w:tcPr>
        <w:tcBorders>
          <w:left w:val="single" w:color="FFFFFF" w:themeColor="light1" w:sz="4" w:space="0"/>
          <w:right w:val="single" w:color="5B9BD5"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2"/>
    <w:basedOn w:val="688"/>
    <w:uiPriority w:val="99"/>
    <w:qFormat/>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5 Dark - Accent 3"/>
    <w:basedOn w:val="688"/>
    <w:uiPriority w:val="99"/>
    <w:qFormat/>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2" w:customStyle="1">
    <w:name w:val="List Table 5 Dark - Accent 4"/>
    <w:basedOn w:val="688"/>
    <w:uiPriority w:val="99"/>
    <w:qFormat/>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3" w:customStyle="1">
    <w:name w:val="List Table 5 Dark - Accent 5"/>
    <w:basedOn w:val="688"/>
    <w:uiPriority w:val="99"/>
    <w:qFormat/>
    <w:tblPr>
      <w:tblBorders>
        <w:top w:val="single" w:color="8EA9DB" w:themeColor="accent5" w:themeTint="9A" w:sz="32" w:space="0"/>
        <w:left w:val="single" w:color="8EA9DB" w:themeColor="accent5" w:themeTint="9A" w:sz="32" w:space="0"/>
        <w:bottom w:val="single" w:color="8EA9DB" w:themeColor="accent5" w:themeTint="9A" w:sz="32" w:space="0"/>
        <w:right w:val="single" w:color="8EA9DB" w:themeColor="accent5" w:themeTint="9A" w:sz="32" w:space="0"/>
      </w:tblBorders>
    </w:tblPr>
    <w:tblStylePr w:type="band1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1Vert">
      <w:tcPr>
        <w:shd w:val="clear" w:color="8ea9db" w:themeColor="accent5" w:themeTint="9A" w:fill="8ea9db" w:themeFill="accent5" w:themeFillTint="9A"/>
        <w:tcBorders>
          <w:left w:val="single" w:color="FFFFFF" w:themeColor="light1" w:sz="4" w:space="0"/>
          <w:right w:val="single" w:color="FFFFFF" w:themeColor="light1" w:sz="4" w:space="0"/>
        </w:tcBorders>
      </w:tcPr>
    </w:tblStylePr>
    <w:tblStylePr w:type="band2Horz">
      <w:tcPr>
        <w:shd w:val="clear" w:color="8ea9db" w:themeColor="accent5" w:themeTint="9A" w:fill="8ea9db"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8EA9DB"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8ea9db" w:themeColor="accent5" w:themeTint="9A" w:fill="8ea9db" w:themeFill="accent5" w:themeFillTint="9A"/>
        <w:tcBorders>
          <w:top w:val="single" w:color="8EA9DB" w:themeColor="accent5" w:themeTint="9A" w:sz="32" w:space="0"/>
          <w:bottom w:val="single" w:color="FFFFFF" w:themeColor="light1" w:sz="12" w:space="0"/>
        </w:tcBorders>
      </w:tcPr>
    </w:tblStylePr>
    <w:tblStylePr w:type="lastCol">
      <w:tcPr>
        <w:tcBorders>
          <w:left w:val="single" w:color="FFFFFF" w:themeColor="light1" w:sz="4" w:space="0"/>
          <w:right w:val="single" w:color="8EA9DB"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4" w:customStyle="1">
    <w:name w:val="List Table 5 Dark - Accent 6"/>
    <w:basedOn w:val="688"/>
    <w:uiPriority w:val="99"/>
    <w:qFormat/>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5" w:customStyle="1">
    <w:name w:val="清单表 6 彩色1"/>
    <w:basedOn w:val="688"/>
    <w:uiPriority w:val="99"/>
    <w:qFormat/>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6" w:customStyle="1">
    <w:name w:val="List Table 6 Colorful - Accent 1"/>
    <w:basedOn w:val="688"/>
    <w:uiPriority w:val="99"/>
    <w:qFormat/>
    <w:tblPr>
      <w:tblBorders>
        <w:top w:val="single" w:color="5B9BD5" w:themeColor="accent1" w:sz="4" w:space="0"/>
        <w:bottom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b/>
        <w:color w:val="245b8c" w:themeColor="accent1" w:themeShade="94"/>
      </w:rPr>
    </w:tblStylePr>
    <w:tblStylePr w:type="firstRow">
      <w:rPr>
        <w:b/>
        <w:color w:val="245b8c" w:themeColor="accent1" w:themeShade="94"/>
      </w:rPr>
      <w:tcPr>
        <w:tcBorders>
          <w:bottom w:val="single" w:color="5B9BD5" w:themeColor="accent1" w:sz="4" w:space="0"/>
        </w:tcBorders>
      </w:tcPr>
    </w:tblStylePr>
    <w:tblStylePr w:type="lastCol">
      <w:rPr>
        <w:b/>
        <w:color w:val="245b8c" w:themeColor="accent1" w:themeShade="94"/>
      </w:rPr>
    </w:tblStylePr>
    <w:tblStylePr w:type="lastRow">
      <w:rPr>
        <w:b/>
        <w:color w:val="245b8c" w:themeColor="accent1" w:themeShade="94"/>
      </w:rPr>
      <w:tcPr>
        <w:tcBorders>
          <w:top w:val="single" w:color="5B9BD5" w:themeColor="accent1" w:sz="4" w:space="0"/>
        </w:tcBorders>
      </w:tcPr>
    </w:tblStylePr>
  </w:style>
  <w:style w:type="table" w:styleId="867" w:customStyle="1">
    <w:name w:val="List Table 6 Colorful - Accent 2"/>
    <w:basedOn w:val="688"/>
    <w:uiPriority w:val="99"/>
    <w:qFormat/>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68" w:customStyle="1">
    <w:name w:val="List Table 6 Colorful - Accent 3"/>
    <w:basedOn w:val="688"/>
    <w:uiPriority w:val="99"/>
    <w:qFormat/>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69" w:customStyle="1">
    <w:name w:val="List Table 6 Colorful - Accent 4"/>
    <w:basedOn w:val="688"/>
    <w:uiPriority w:val="99"/>
    <w:qFormat/>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70" w:customStyle="1">
    <w:name w:val="List Table 6 Colorful - Accent 5"/>
    <w:basedOn w:val="688"/>
    <w:uiPriority w:val="99"/>
    <w:qFormat/>
    <w:tblPr>
      <w:tblBorders>
        <w:top w:val="single" w:color="8EA9DB" w:themeColor="accent5" w:themeTint="9A" w:sz="4" w:space="0"/>
        <w:bottom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b/>
        <w:color w:val="8faadc" w:themeColor="accent5" w:themeTint="99"/>
        <w14:textFill>
          <w14:solidFill>
            <w14:schemeClr w14:val="accent5">
              <w14:lumMod w14:val="60000"/>
              <w14:lumOff w14:val="40000"/>
            </w14:schemeClr>
          </w14:solidFill>
        </w14:textFill>
      </w:rPr>
    </w:tblStylePr>
    <w:tblStylePr w:type="firstRow">
      <w:rPr>
        <w:b/>
        <w:color w:val="8faadc" w:themeColor="accent5" w:themeTint="99"/>
        <w14:textFill>
          <w14:solidFill>
            <w14:schemeClr w14:val="accent5">
              <w14:lumMod w14:val="60000"/>
              <w14:lumOff w14:val="40000"/>
            </w14:schemeClr>
          </w14:solidFill>
        </w14:textFill>
      </w:rPr>
      <w:tcPr>
        <w:tcBorders>
          <w:bottom w:val="single" w:color="8EA9DB" w:themeColor="accent5" w:themeTint="9A" w:sz="4" w:space="0"/>
        </w:tcBorders>
      </w:tcPr>
    </w:tblStylePr>
    <w:tblStylePr w:type="lastCol">
      <w:rPr>
        <w:b/>
        <w:color w:val="8faadc" w:themeColor="accent5" w:themeTint="99"/>
        <w14:textFill>
          <w14:solidFill>
            <w14:schemeClr w14:val="accent5">
              <w14:lumMod w14:val="60000"/>
              <w14:lumOff w14:val="40000"/>
            </w14:schemeClr>
          </w14:solidFill>
        </w14:textFill>
      </w:rPr>
    </w:tblStylePr>
    <w:tblStylePr w:type="lastRow">
      <w:rPr>
        <w:b/>
        <w:color w:val="8faadc" w:themeColor="accent5" w:themeTint="99"/>
        <w14:textFill>
          <w14:solidFill>
            <w14:schemeClr w14:val="accent5">
              <w14:lumMod w14:val="60000"/>
              <w14:lumOff w14:val="40000"/>
            </w14:schemeClr>
          </w14:solidFill>
        </w14:textFill>
      </w:rPr>
      <w:tcPr>
        <w:tcBorders>
          <w:top w:val="single" w:color="8EA9DB" w:themeColor="accent5" w:themeTint="9A" w:sz="4" w:space="0"/>
        </w:tcBorders>
      </w:tcPr>
    </w:tblStylePr>
  </w:style>
  <w:style w:type="table" w:styleId="871" w:customStyle="1">
    <w:name w:val="List Table 6 Colorful - Accent 6"/>
    <w:basedOn w:val="688"/>
    <w:uiPriority w:val="99"/>
    <w:qFormat/>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72" w:customStyle="1">
    <w:name w:val="清单表 7 彩色1"/>
    <w:basedOn w:val="688"/>
    <w:uiPriority w:val="99"/>
    <w:qFormat/>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73" w:customStyle="1">
    <w:name w:val="List Table 7 Colorful - Accent 1"/>
    <w:basedOn w:val="688"/>
    <w:uiPriority w:val="99"/>
    <w:qFormat/>
    <w:tblPr>
      <w:tblBorders>
        <w:right w:val="single" w:color="5B9BD5" w:themeColor="accent1" w:sz="4" w:space="0"/>
      </w:tblBorders>
    </w:tblPr>
    <w:tblStylePr w:type="band1Horz">
      <w:rPr>
        <w:rFonts w:ascii="Arial" w:hAnsi="Arial"/>
        <w:color w:val="245b8c" w:themeColor="accent1" w:themeShade="94"/>
        <w:sz w:val="22"/>
      </w:rPr>
      <w:tcPr>
        <w:shd w:val="clear" w:color="d5e5f4" w:themeColor="accent1" w:themeTint="40" w:fill="d5e5f4" w:themeFill="accent1" w:themeFillTint="40"/>
      </w:tcPr>
    </w:tblStylePr>
    <w:tblStylePr w:type="band1Vert">
      <w:tcPr>
        <w:shd w:val="clear" w:color="d5e5f4" w:themeColor="accent1" w:themeTint="40" w:fill="d5e5f4" w:themeFill="accent1" w:themeFillTint="40"/>
      </w:tcPr>
    </w:tblStylePr>
    <w:tblStylePr w:type="band2Horz">
      <w:rPr>
        <w:rFonts w:ascii="Arial" w:hAnsi="Arial"/>
        <w:color w:val="245b8c" w:themeColor="accent1" w:themeShade="94"/>
        <w:sz w:val="22"/>
      </w:rPr>
    </w:tblStylePr>
    <w:tblStylePr w:type="firstCol">
      <w:rPr>
        <w:rFonts w:ascii="Arial" w:hAnsi="Arial"/>
        <w:i/>
        <w:color w:val="245b8c" w:themeColor="accent1" w:themeShade="94"/>
        <w:sz w:val="22"/>
      </w:rPr>
      <w:pPr>
        <w:jc w:val="right"/>
      </w:pPr>
      <w:tcPr>
        <w:shd w:val="clear" w:color="ffffff" w:fill="auto"/>
        <w:tcBorders>
          <w:top w:val="none" w:color="000000" w:sz="4" w:space="0"/>
          <w:left w:val="none" w:color="000000" w:sz="4" w:space="0"/>
          <w:bottom w:val="none" w:color="000000" w:sz="4" w:space="0"/>
          <w:right w:val="single" w:color="5B9BD5" w:themeColor="accent1" w:sz="4" w:space="0"/>
        </w:tcBorders>
      </w:tcPr>
    </w:tblStylePr>
    <w:tblStylePr w:type="firstRow">
      <w:rPr>
        <w:rFonts w:ascii="Arial" w:hAnsi="Arial"/>
        <w:i/>
        <w:color w:val="245b8c" w:themeColor="accent1" w:themeShade="94"/>
        <w:sz w:val="22"/>
      </w:rPr>
      <w:tcPr>
        <w:shd w:val="clear" w:color="ffffff" w:themeColor="light1" w:fill="ffffff" w:themeFill="light1"/>
        <w:tcBorders>
          <w:top w:val="none" w:color="000000" w:sz="4" w:space="0"/>
          <w:left w:val="none" w:color="000000" w:sz="4" w:space="0"/>
          <w:bottom w:val="single" w:color="5B9BD5" w:themeColor="accent1" w:sz="4" w:space="0"/>
          <w:right w:val="none" w:color="000000" w:sz="4" w:space="0"/>
        </w:tcBorders>
      </w:tcPr>
    </w:tblStylePr>
    <w:tblStylePr w:type="lastCol">
      <w:rPr>
        <w:rFonts w:ascii="Arial" w:hAnsi="Arial"/>
        <w:i/>
        <w:color w:val="245b8c" w:themeColor="accent1" w:themeShade="94"/>
        <w:sz w:val="22"/>
      </w:rPr>
      <w:tcPr>
        <w:shd w:val="clear" w:color="ffffff" w:fill="auto"/>
        <w:tcBorders>
          <w:top w:val="none" w:color="000000" w:sz="4" w:space="0"/>
          <w:left w:val="single" w:color="5B9BD5" w:themeColor="accent1" w:sz="4" w:space="0"/>
          <w:bottom w:val="none" w:color="000000" w:sz="4" w:space="0"/>
          <w:right w:val="none" w:color="000000" w:sz="4" w:space="0"/>
        </w:tcBorders>
      </w:tcPr>
    </w:tblStylePr>
    <w:tblStylePr w:type="lastRow">
      <w:rPr>
        <w:rFonts w:ascii="Arial" w:hAnsi="Arial"/>
        <w:i/>
        <w:color w:val="245b8c" w:themeColor="accent1" w:themeShade="94"/>
        <w:sz w:val="22"/>
      </w:rPr>
      <w:tcPr>
        <w:shd w:val="clear" w:color="ffffff" w:themeColor="light1" w:fill="ffffff" w:themeFill="light1"/>
        <w:tcBorders>
          <w:top w:val="single" w:color="5B9BD5" w:themeColor="accent1" w:sz="4" w:space="0"/>
          <w:left w:val="none" w:color="000000" w:sz="4" w:space="0"/>
          <w:bottom w:val="none" w:color="000000" w:sz="4" w:space="0"/>
          <w:right w:val="none" w:color="000000" w:sz="4" w:space="0"/>
        </w:tcBorders>
      </w:tcPr>
    </w:tblStylePr>
  </w:style>
  <w:style w:type="table" w:styleId="874" w:customStyle="1">
    <w:name w:val="List Table 7 Colorful - Accent 2"/>
    <w:basedOn w:val="688"/>
    <w:uiPriority w:val="99"/>
    <w:qFormat/>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75" w:customStyle="1">
    <w:name w:val="List Table 7 Colorful - Accent 3"/>
    <w:basedOn w:val="688"/>
    <w:uiPriority w:val="99"/>
    <w:qFormat/>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76" w:customStyle="1">
    <w:name w:val="List Table 7 Colorful - Accent 4"/>
    <w:basedOn w:val="688"/>
    <w:uiPriority w:val="99"/>
    <w:qFormat/>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77" w:customStyle="1">
    <w:name w:val="List Table 7 Colorful - Accent 5"/>
    <w:basedOn w:val="688"/>
    <w:uiPriority w:val="99"/>
    <w:qFormat/>
    <w:tblPr>
      <w:tblBorders>
        <w:right w:val="single" w:color="8EA9DB" w:themeColor="accent5" w:themeTint="9A" w:sz="4" w:space="0"/>
      </w:tblBorders>
    </w:tblPr>
    <w:tblStylePr w:type="band1Horz">
      <w:rPr>
        <w:rFonts w:ascii="Arial" w:hAnsi="Arial"/>
        <w:color w:val="8faadc" w:themeColor="accent5" w:themeTint="99"/>
        <w:sz w:val="22"/>
        <w14:textFill>
          <w14:solidFill>
            <w14:schemeClr w14:val="accent5">
              <w14:lumMod w14:val="60000"/>
              <w14:lumOff w14:val="40000"/>
            </w14:schemeClr>
          </w14:solidFill>
        </w14:textFill>
      </w:rPr>
      <w:tcPr>
        <w:shd w:val="clear" w:color="d0dbf0" w:themeColor="accent5" w:themeTint="40" w:fill="d0dbf0" w:themeFill="accent5" w:themeFillTint="40"/>
      </w:tcPr>
    </w:tblStylePr>
    <w:tblStylePr w:type="band1Vert">
      <w:tcPr>
        <w:shd w:val="clear" w:color="d0dbf0" w:themeColor="accent5" w:themeTint="40" w:fill="d0dbf0" w:themeFill="accent5" w:themeFillTint="40"/>
      </w:tcPr>
    </w:tblStylePr>
    <w:tblStylePr w:type="band2Horz">
      <w:rPr>
        <w:rFonts w:ascii="Arial" w:hAnsi="Arial"/>
        <w:color w:val="8faadc" w:themeColor="accent5" w:themeTint="99"/>
        <w:sz w:val="22"/>
        <w14:textFill>
          <w14:solidFill>
            <w14:schemeClr w14:val="accent5">
              <w14:lumMod w14:val="60000"/>
              <w14:lumOff w14:val="40000"/>
            </w14:schemeClr>
          </w14:solidFill>
        </w14:textFill>
      </w:rPr>
    </w:tblStylePr>
    <w:tblStylePr w:type="firstCol">
      <w:rPr>
        <w:rFonts w:ascii="Arial" w:hAnsi="Arial"/>
        <w:i/>
        <w:color w:val="8faadc"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8EA9DB" w:themeColor="accent5" w:themeTint="9A" w:sz="4" w:space="0"/>
        </w:tcBorders>
      </w:tcPr>
    </w:tblStylePr>
    <w:tblStylePr w:type="fir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8EA9DB" w:themeColor="accent5" w:themeTint="9A" w:sz="4" w:space="0"/>
          <w:right w:val="none" w:color="000000" w:sz="4" w:space="0"/>
        </w:tcBorders>
      </w:tcPr>
    </w:tblStylePr>
    <w:tblStylePr w:type="lastCol">
      <w:rPr>
        <w:rFonts w:ascii="Arial" w:hAnsi="Arial"/>
        <w:i/>
        <w:color w:val="8faadc"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8EA9DB" w:themeColor="accent5" w:themeTint="9A" w:sz="4" w:space="0"/>
          <w:bottom w:val="none" w:color="000000" w:sz="4" w:space="0"/>
          <w:right w:val="none" w:color="000000" w:sz="4" w:space="0"/>
        </w:tcBorders>
      </w:tcPr>
    </w:tblStylePr>
    <w:tblStylePr w:type="lastRow">
      <w:rPr>
        <w:rFonts w:ascii="Arial" w:hAnsi="Arial"/>
        <w:i/>
        <w:color w:val="8faadc"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8EA9DB" w:themeColor="accent5" w:themeTint="9A" w:sz="4" w:space="0"/>
          <w:left w:val="none" w:color="000000" w:sz="4" w:space="0"/>
          <w:bottom w:val="none" w:color="000000" w:sz="4" w:space="0"/>
          <w:right w:val="none" w:color="000000" w:sz="4" w:space="0"/>
        </w:tcBorders>
      </w:tcPr>
    </w:tblStylePr>
  </w:style>
  <w:style w:type="table" w:styleId="878" w:customStyle="1">
    <w:name w:val="List Table 7 Colorful - Accent 6"/>
    <w:basedOn w:val="688"/>
    <w:uiPriority w:val="99"/>
    <w:qFormat/>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79" w:customStyle="1">
    <w:name w:val="Lined - Accent"/>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0" w:customStyle="1">
    <w:name w:val="Lined - Accent 1"/>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1" w:customStyle="1">
    <w:name w:val="Lined - Accent 2"/>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2" w:customStyle="1">
    <w:name w:val="Lined - Accent 3"/>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83" w:customStyle="1">
    <w:name w:val="Lined - Accent 4"/>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84" w:customStyle="1">
    <w:name w:val="Lined - Accent 5"/>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85" w:customStyle="1">
    <w:name w:val="Lined - Accent 6"/>
    <w:basedOn w:val="688"/>
    <w:uiPriority w:val="99"/>
    <w:qFormat/>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86" w:customStyle="1">
    <w:name w:val="Bordered &amp; Lined - Accent"/>
    <w:basedOn w:val="688"/>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7" w:customStyle="1">
    <w:name w:val="Bordered &amp; Lined - Accent 1"/>
    <w:basedOn w:val="688"/>
    <w:uiPriority w:val="99"/>
    <w:qFormat/>
    <w:rPr>
      <w:color w:val="404040"/>
    </w:rPr>
    <w:tblPr>
      <w:tblBorders>
        <w:top w:val="single" w:color="245B8D" w:themeColor="accent1" w:themeShade="95" w:sz="4" w:space="0"/>
        <w:left w:val="single" w:color="245B8D" w:themeColor="accent1" w:themeShade="95" w:sz="4" w:space="0"/>
        <w:bottom w:val="single" w:color="245B8D" w:themeColor="accent1" w:themeShade="95" w:sz="4" w:space="0"/>
        <w:right w:val="single" w:color="245B8D" w:themeColor="accent1" w:themeShade="95" w:sz="4" w:space="0"/>
        <w:insideH w:val="single" w:color="245B8D" w:themeColor="accent1" w:themeShade="95" w:sz="4" w:space="0"/>
        <w:insideV w:val="single" w:color="245B8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bdff1" w:themeColor="accent1" w:themeTint="50" w:fill="cbdff1" w:themeFill="accent1" w:themeFillTint="50"/>
      </w:tcPr>
    </w:tblStylePr>
    <w:tblStylePr w:type="band2Vert">
      <w:rPr>
        <w:rFonts w:ascii="Arial" w:hAnsi="Arial"/>
        <w:color w:val="404040"/>
        <w:sz w:val="22"/>
      </w:rPr>
      <w:tcPr>
        <w:shd w:val="clear" w:color="cbdff1" w:themeColor="accent1" w:themeTint="50" w:fill="cbdff1" w:themeFill="accent1" w:themeFillTint="50"/>
      </w:tcPr>
    </w:tblStylePr>
    <w:tblStylePr w:type="firstCol">
      <w:rPr>
        <w:rFonts w:ascii="Arial" w:hAnsi="Arial"/>
        <w:color w:val="f2f2f2"/>
        <w:sz w:val="22"/>
      </w:rPr>
      <w:tcPr>
        <w:shd w:val="clear" w:color="68a3d8" w:themeColor="accent1" w:themeTint="EA" w:fill="68a3d8" w:themeFill="accent1" w:themeFillTint="EA"/>
      </w:tcPr>
    </w:tblStylePr>
    <w:tblStylePr w:type="firstRow">
      <w:rPr>
        <w:rFonts w:ascii="Arial" w:hAnsi="Arial"/>
        <w:color w:val="f2f2f2"/>
        <w:sz w:val="22"/>
      </w:rPr>
      <w:tcPr>
        <w:shd w:val="clear" w:color="68a3d8" w:themeColor="accent1" w:themeTint="EA" w:fill="68a3d8" w:themeFill="accent1" w:themeFillTint="EA"/>
      </w:tcPr>
    </w:tblStylePr>
    <w:tblStylePr w:type="lastCol">
      <w:rPr>
        <w:rFonts w:ascii="Arial" w:hAnsi="Arial"/>
        <w:color w:val="f2f2f2"/>
        <w:sz w:val="22"/>
      </w:rPr>
      <w:tcPr>
        <w:shd w:val="clear" w:color="68a3d8" w:themeColor="accent1" w:themeTint="EA" w:fill="68a3d8" w:themeFill="accent1" w:themeFillTint="EA"/>
      </w:tcPr>
    </w:tblStylePr>
    <w:tblStylePr w:type="lastRow">
      <w:rPr>
        <w:rFonts w:ascii="Arial" w:hAnsi="Arial"/>
        <w:color w:val="f2f2f2"/>
        <w:sz w:val="22"/>
      </w:rPr>
      <w:tcPr>
        <w:shd w:val="clear" w:color="68a3d8" w:themeColor="accent1" w:themeTint="EA" w:fill="68a3d8" w:themeFill="accent1" w:themeFillTint="EA"/>
      </w:tcPr>
    </w:tblStylePr>
  </w:style>
  <w:style w:type="table" w:styleId="888" w:customStyle="1">
    <w:name w:val="Bordered &amp; Lined - Accent 2"/>
    <w:basedOn w:val="688"/>
    <w:uiPriority w:val="99"/>
    <w:qFormat/>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89" w:customStyle="1">
    <w:name w:val="Bordered &amp; Lined - Accent 3"/>
    <w:basedOn w:val="688"/>
    <w:uiPriority w:val="99"/>
    <w:qFormat/>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90" w:customStyle="1">
    <w:name w:val="Bordered &amp; Lined - Accent 4"/>
    <w:basedOn w:val="688"/>
    <w:uiPriority w:val="99"/>
    <w:qFormat/>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91" w:customStyle="1">
    <w:name w:val="Bordered &amp; Lined - Accent 5"/>
    <w:basedOn w:val="688"/>
    <w:uiPriority w:val="99"/>
    <w:qFormat/>
    <w:rPr>
      <w:color w:val="404040"/>
    </w:rPr>
    <w:tblPr>
      <w:tblBorders>
        <w:top w:val="single" w:color="244175" w:themeColor="accent5" w:themeShade="95" w:sz="4" w:space="0"/>
        <w:left w:val="single" w:color="244175" w:themeColor="accent5" w:themeShade="95" w:sz="4" w:space="0"/>
        <w:bottom w:val="single" w:color="244175" w:themeColor="accent5" w:themeShade="95" w:sz="4" w:space="0"/>
        <w:right w:val="single" w:color="244175" w:themeColor="accent5" w:themeShade="95" w:sz="4" w:space="0"/>
        <w:insideH w:val="single" w:color="244175" w:themeColor="accent5" w:themeShade="95" w:sz="4" w:space="0"/>
        <w:insideV w:val="single" w:color="244175"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8e2f2" w:themeColor="accent5" w:themeTint="34" w:fill="d8e2f2" w:themeFill="accent5" w:themeFillTint="34"/>
      </w:tcPr>
    </w:tblStylePr>
    <w:tblStylePr w:type="band2Vert">
      <w:rPr>
        <w:rFonts w:ascii="Arial" w:hAnsi="Arial"/>
        <w:color w:val="404040"/>
        <w:sz w:val="22"/>
      </w:rPr>
      <w:tcPr>
        <w:shd w:val="clear" w:color="d8e2f2" w:themeColor="accent5" w:themeTint="34" w:fill="d8e2f2" w:themeFill="accent5" w:themeFillTint="34"/>
      </w:tcPr>
    </w:tblStylePr>
    <w:tblStylePr w:type="firstCol">
      <w:rPr>
        <w:rFonts w:ascii="Arial" w:hAnsi="Arial"/>
        <w:color w:val="f2f2f2"/>
        <w:sz w:val="22"/>
      </w:rPr>
      <w:tcPr>
        <w:shd w:val="clear" w:color="4472c4" w:themeColor="accent5" w:fill="4472c4" w:themeFill="accent5"/>
      </w:tcPr>
    </w:tblStylePr>
    <w:tblStylePr w:type="firstRow">
      <w:rPr>
        <w:rFonts w:ascii="Arial" w:hAnsi="Arial"/>
        <w:color w:val="f2f2f2"/>
        <w:sz w:val="22"/>
      </w:rPr>
      <w:tcPr>
        <w:shd w:val="clear" w:color="4472c4" w:themeColor="accent5" w:fill="4472c4" w:themeFill="accent5"/>
      </w:tcPr>
    </w:tblStylePr>
    <w:tblStylePr w:type="lastCol">
      <w:rPr>
        <w:rFonts w:ascii="Arial" w:hAnsi="Arial"/>
        <w:color w:val="f2f2f2"/>
        <w:sz w:val="22"/>
      </w:rPr>
      <w:tcPr>
        <w:shd w:val="clear" w:color="4472c4" w:themeColor="accent5" w:fill="4472c4" w:themeFill="accent5"/>
      </w:tcPr>
    </w:tblStylePr>
    <w:tblStylePr w:type="lastRow">
      <w:rPr>
        <w:rFonts w:ascii="Arial" w:hAnsi="Arial"/>
        <w:color w:val="f2f2f2"/>
        <w:sz w:val="22"/>
      </w:rPr>
      <w:tcPr>
        <w:shd w:val="clear" w:color="4472c4" w:themeColor="accent5" w:fill="4472c4" w:themeFill="accent5"/>
      </w:tcPr>
    </w:tblStylePr>
  </w:style>
  <w:style w:type="table" w:styleId="892" w:customStyle="1">
    <w:name w:val="Bordered &amp; Lined - Accent 6"/>
    <w:basedOn w:val="688"/>
    <w:uiPriority w:val="99"/>
    <w:qFormat/>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93" w:customStyle="1">
    <w:name w:val="Bordered"/>
    <w:basedOn w:val="688"/>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4" w:customStyle="1">
    <w:name w:val="Bordered - Accent 1"/>
    <w:basedOn w:val="688"/>
    <w:uiPriority w:val="99"/>
    <w:qFormat/>
    <w:tblPr>
      <w:tbl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insideH w:val="single" w:color="BCD6EE" w:themeColor="accent1" w:themeTint="67" w:sz="4" w:space="0"/>
        <w:insideV w:val="single" w:color="BCD6EE" w:themeColor="accent1" w:themeTint="67" w:sz="4" w:space="0"/>
      </w:tblBorders>
    </w:tblPr>
    <w:tblStylePr w:type="band1Horz">
      <w:rPr>
        <w:rFonts w:ascii="Arial" w:hAnsi="Arial"/>
        <w:color w:val="404040"/>
        <w:sz w:val="22"/>
      </w:rPr>
      <w:tcPr>
        <w:tcBorders>
          <w:top w:val="single" w:color="BCD6EE" w:themeColor="accent1" w:themeTint="67" w:sz="4" w:space="0"/>
          <w:left w:val="single" w:color="BCD6EE" w:themeColor="accent1" w:themeTint="67" w:sz="4" w:space="0"/>
          <w:bottom w:val="single" w:color="BCD6EE" w:themeColor="accent1" w:themeTint="67" w:sz="4" w:space="0"/>
          <w:right w:val="single" w:color="BCD6EE"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5B9BD5" w:themeColor="accent1" w:sz="12" w:space="0"/>
        </w:tcBorders>
      </w:tcPr>
    </w:tblStylePr>
    <w:tblStylePr w:type="lastCol">
      <w:rPr>
        <w:rFonts w:ascii="Arial" w:hAnsi="Arial"/>
        <w:color w:val="404040"/>
        <w:sz w:val="22"/>
      </w:rPr>
      <w:tcPr>
        <w:tcBorders>
          <w:left w:val="single" w:color="5B9BD5" w:themeColor="accent1" w:sz="12" w:space="0"/>
        </w:tcBorders>
      </w:tcPr>
    </w:tblStylePr>
    <w:tblStylePr w:type="lastRow">
      <w:rPr>
        <w:rFonts w:ascii="Arial" w:hAnsi="Arial"/>
        <w:color w:val="404040"/>
        <w:sz w:val="22"/>
      </w:rPr>
      <w:tcPr>
        <w:tcBorders>
          <w:top w:val="single" w:color="5B9BD5" w:themeColor="accent1" w:sz="12" w:space="0"/>
        </w:tcBorders>
      </w:tcPr>
    </w:tblStylePr>
  </w:style>
  <w:style w:type="table" w:styleId="895" w:customStyle="1">
    <w:name w:val="Bordered - Accent 2"/>
    <w:basedOn w:val="688"/>
    <w:uiPriority w:val="99"/>
    <w:qFormat/>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96" w:customStyle="1">
    <w:name w:val="Bordered - Accent 3"/>
    <w:basedOn w:val="688"/>
    <w:uiPriority w:val="99"/>
    <w:qFormat/>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97" w:customStyle="1">
    <w:name w:val="Bordered - Accent 4"/>
    <w:basedOn w:val="688"/>
    <w:uiPriority w:val="99"/>
    <w:qFormat/>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98" w:customStyle="1">
    <w:name w:val="Bordered - Accent 5"/>
    <w:basedOn w:val="688"/>
    <w:uiPriority w:val="99"/>
    <w:qFormat/>
    <w:tblPr>
      <w:tbl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insideH w:val="single" w:color="B3C6E7" w:themeColor="accent5" w:themeTint="67" w:sz="4" w:space="0"/>
        <w:insideV w:val="single" w:color="B3C6E7" w:themeColor="accent5" w:themeTint="67" w:sz="4" w:space="0"/>
      </w:tblBorders>
    </w:tblPr>
    <w:tblStylePr w:type="band1Horz">
      <w:rPr>
        <w:rFonts w:ascii="Arial" w:hAnsi="Arial"/>
        <w:color w:val="404040"/>
        <w:sz w:val="22"/>
      </w:rPr>
      <w:tcPr>
        <w:tcBorders>
          <w:top w:val="single" w:color="B3C6E7" w:themeColor="accent5" w:themeTint="67" w:sz="4" w:space="0"/>
          <w:left w:val="single" w:color="B3C6E7" w:themeColor="accent5" w:themeTint="67" w:sz="4" w:space="0"/>
          <w:bottom w:val="single" w:color="B3C6E7" w:themeColor="accent5" w:themeTint="67" w:sz="4" w:space="0"/>
          <w:right w:val="single" w:color="B3C6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8EA9DB" w:themeColor="accent5" w:themeTint="9A" w:sz="12" w:space="0"/>
        </w:tcBorders>
      </w:tcPr>
    </w:tblStylePr>
    <w:tblStylePr w:type="lastCol">
      <w:rPr>
        <w:rFonts w:ascii="Arial" w:hAnsi="Arial"/>
        <w:color w:val="404040"/>
        <w:sz w:val="22"/>
      </w:rPr>
      <w:tcPr>
        <w:tcBorders>
          <w:left w:val="single" w:color="8EA9DB" w:themeColor="accent5" w:themeTint="9A" w:sz="12" w:space="0"/>
        </w:tcBorders>
      </w:tcPr>
    </w:tblStylePr>
    <w:tblStylePr w:type="lastRow">
      <w:rPr>
        <w:rFonts w:ascii="Arial" w:hAnsi="Arial"/>
        <w:color w:val="404040"/>
        <w:sz w:val="22"/>
      </w:rPr>
      <w:tcPr>
        <w:tcBorders>
          <w:top w:val="single" w:color="8EA9DB" w:themeColor="accent5" w:themeTint="9A" w:sz="12" w:space="0"/>
        </w:tcBorders>
      </w:tcPr>
    </w:tblStylePr>
  </w:style>
  <w:style w:type="table" w:styleId="899" w:customStyle="1">
    <w:name w:val="Bordered - Accent 6"/>
    <w:basedOn w:val="688"/>
    <w:uiPriority w:val="99"/>
    <w:qFormat/>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900" w:customStyle="1">
    <w:name w:val="脚注文本 字符"/>
    <w:link w:val="705"/>
    <w:uiPriority w:val="99"/>
    <w:qFormat/>
    <w:rPr>
      <w:sz w:val="18"/>
    </w:rPr>
  </w:style>
  <w:style w:type="character" w:styleId="901" w:customStyle="1">
    <w:name w:val="尾注文本 字符"/>
    <w:link w:val="699"/>
    <w:uiPriority w:val="99"/>
    <w:qFormat/>
    <w:rPr>
      <w:sz w:val="20"/>
    </w:rPr>
  </w:style>
  <w:style w:type="paragraph" w:styleId="902" w:customStyle="1">
    <w:name w:val="TOC 标题1"/>
    <w:uiPriority w:val="39"/>
    <w:unhideWhenUsed/>
    <w:qFormat/>
    <w:pPr>
      <w:spacing w:after="200" w:line="276" w:lineRule="auto"/>
    </w:pPr>
    <w:rPr>
      <w:rFonts w:hint="default" w:asciiTheme="minorHAnsi" w:hAnsiTheme="minorHAnsi" w:eastAsiaTheme="minorEastAsia" w:cstheme="minorBidi"/>
      <w:sz w:val="22"/>
      <w:szCs w:val="22"/>
      <w:lang w:val="en-US" w:eastAsia="en-US" w:bidi="ar-SA"/>
    </w:rPr>
  </w:style>
  <w:style w:type="paragraph" w:styleId="903">
    <w:name w:val="No Spacing"/>
    <w:basedOn w:val="677"/>
    <w:uiPriority w:val="1"/>
    <w:qFormat/>
    <w:pPr>
      <w:spacing w:after="0" w:line="240" w:lineRule="auto"/>
    </w:pPr>
  </w:style>
  <w:style w:type="paragraph" w:styleId="904">
    <w:name w:val="List Paragraph"/>
    <w:basedOn w:val="677"/>
    <w:uiPriority w:val="34"/>
    <w:qFormat/>
    <w:pPr>
      <w:contextualSpacing/>
      <w:ind w:left="720"/>
    </w:pPr>
  </w:style>
  <w:style w:type="character" w:styleId="905" w:customStyle="1">
    <w:name w:val="纯文本 字符"/>
    <w:basedOn w:val="687"/>
    <w:link w:val="697"/>
    <w:uiPriority w:val="0"/>
    <w:qFormat/>
    <w:rPr>
      <w:rFonts w:ascii="宋体" w:hAnsi="Courier New" w:eastAsia="宋体" w:cs="Times New Roman"/>
      <w:sz w:val="21"/>
      <w:szCs w:val="20"/>
      <w:lang w:eastAsia="zh-CN"/>
    </w:rPr>
  </w:style>
  <w:style w:type="character" w:styleId="906" w:customStyle="1">
    <w:name w:val="正文文本 字符"/>
    <w:basedOn w:val="687"/>
    <w:link w:val="692"/>
    <w:uiPriority w:val="99"/>
    <w:semiHidden/>
    <w:qFormat/>
    <w:rPr>
      <w:sz w:val="22"/>
      <w:szCs w:val="22"/>
      <w:lang w:eastAsia="en-US"/>
    </w:rPr>
  </w:style>
  <w:style w:type="character" w:styleId="907" w:customStyle="1">
    <w:name w:val="正文文本首行缩进 字符"/>
    <w:basedOn w:val="906"/>
    <w:link w:val="712"/>
    <w:uiPriority w:val="99"/>
    <w:qFormat/>
    <w:rPr>
      <w:rFonts w:ascii="Times New Roman" w:hAnsi="Times New Roman" w:eastAsia="宋体" w:cs="Times New Roman"/>
      <w:sz w:val="21"/>
      <w:szCs w:val="24"/>
      <w:lang w:eastAsia="en-US"/>
    </w:rPr>
  </w:style>
  <w:style w:type="character" w:styleId="908" w:customStyle="1">
    <w:name w:val="15"/>
    <w:uiPriority w:val="0"/>
    <w:qFormat/>
    <w:rPr>
      <w:rFonts w:hint="default" w:ascii="Times New Roman" w:hAnsi="Times New Roman" w:cs="Times New Roman"/>
      <w:b/>
      <w:bCs/>
    </w:rPr>
  </w:style>
  <w:style w:type="paragraph" w:styleId="909" w:customStyle="1">
    <w:name w:val="Default"/>
    <w:uiPriority w:val="99"/>
    <w:qFormat/>
    <w:pPr>
      <w:widowControl w:val="off"/>
    </w:pPr>
    <w:rPr>
      <w:rFonts w:hint="default" w:ascii="MS Mincho" w:hAnsi="Calibri" w:eastAsia="宋体" w:cs="Times New Roman"/>
      <w:color w:val="000000"/>
      <w:sz w:val="21"/>
      <w:szCs w:val="24"/>
      <w:lang w:val="en-US" w:eastAsia="zh-CN" w:bidi="ar-SA"/>
    </w:rPr>
  </w:style>
  <w:style w:type="paragraph" w:styleId="910" w:customStyle="1">
    <w:name w:val="WPSOffice手动目录 1"/>
    <w:uiPriority w:val="0"/>
    <w:qFormat/>
    <w:rPr>
      <w:rFonts w:hint="default" w:ascii="Times New Roman" w:hAnsi="Times New Roman" w:eastAsia="宋体" w:cs="Times New Roman"/>
      <w:sz w:val="20"/>
      <w:szCs w:val="20"/>
    </w:rPr>
  </w:style>
  <w:style w:type="paragraph" w:styleId="911" w:customStyle="1">
    <w:name w:val="列出段落1"/>
    <w:basedOn w:val="677"/>
    <w:uiPriority w:val="0"/>
    <w:unhideWhenUsed/>
    <w:qFormat/>
    <w:pPr>
      <w:ind w:left="720"/>
      <w:jc w:val="left"/>
      <w:widowControl/>
    </w:pPr>
    <w:rPr>
      <w:rFonts w:hint="default" w:ascii="Calibri" w:hAnsi="Calibri" w:eastAsia="宋体"/>
      <w:sz w:val="24"/>
      <w:szCs w:val="24"/>
      <w:lang w:eastAsia="en-US" w:bidi="en-US"/>
    </w:rPr>
  </w:style>
  <w:style w:type="table" w:styleId="912" w:customStyle="1">
    <w:name w:val="Table Normal"/>
    <w:uiPriority w:val="0"/>
    <w:semiHidden/>
    <w:unhideWhenUsed/>
    <w:qFormat/>
    <w:tblPr>
      <w:tblCellMar>
        <w:left w:w="0" w:type="dxa"/>
        <w:top w:w="0" w:type="dxa"/>
        <w:right w:w="0" w:type="dxa"/>
        <w:bottom w:w="0" w:type="dxa"/>
      </w:tblCellMar>
    </w:tblPr>
  </w:style>
  <w:style w:type="numbering" w:styleId="709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Theme">
  <a:themeElements>
    <a:clrScheme name="New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Classic 2">
      <a:majorFont>
        <a:latin typeface="Arial"/>
        <a:ea typeface="黑体"/>
        <a:cs typeface="Arial"/>
      </a:majorFont>
      <a:minorFont>
        <a:latin typeface="Arial"/>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6350" cap="flat" cmpd="sng" algn="ctr">
          <a:solidFill>
            <a:schemeClr val="phClr">
              <a:shade val="95000"/>
              <a:satMod val="105000"/>
            </a:schemeClr>
          </a:solidFill>
        </a:ln>
        <a:ln w="12700" cap="flat" cmpd="sng" algn="ctr">
          <a:solidFill>
            <a:schemeClr val="phClr"/>
          </a:solidFill>
        </a:ln>
        <a:ln w="19050" cap="flat" cmpd="sng" algn="ctr">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86138</dc:creator>
  <cp:lastModifiedBy>张桂杰</cp:lastModifiedBy>
  <cp:revision>8</cp:revision>
  <dcterms:created xsi:type="dcterms:W3CDTF">2024-03-29T06:15:00Z</dcterms:created>
  <dcterms:modified xsi:type="dcterms:W3CDTF">2026-09-09T07:07:12Z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DF7B4B128CB54B37B8403F580022EE5C_13</vt:lpwstr>
  </property>
  <property fmtid="{D5CDD505-2E9C-101B-9397-08002B2CF9AE}" pid="4" name="KSOTemplateDocerSaveRecord">
    <vt:lpwstr>eyJoZGlkIjoiMzc1ZGFhYjNkZTVmYmJkYTc0N2Q1NDFjZDYyMjQzNzYiLCJ1c2VySWQiOiI4ODAyMDc3NDQifQ==</vt:lpwstr>
  </property>
</Properties>
</file>