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宋体" w:hAnsi="宋体" w:cs="宋体"/>
          <w:b/>
          <w:bCs/>
          <w:sz w:val="44"/>
          <w:szCs w:val="44"/>
          <w:highlight w:val="none"/>
        </w:rPr>
      </w:pPr>
      <w:r>
        <w:rPr>
          <w:rFonts w:ascii="宋体" w:hAnsi="宋体" w:cs="宋体"/>
          <w:b/>
          <w:bCs/>
          <w:sz w:val="44"/>
          <w:szCs w:val="44"/>
          <w:highlight w:val="none"/>
        </w:rPr>
      </w:r>
      <w:r>
        <w:rPr>
          <w:highlight w:val="none"/>
        </w:rPr>
      </w:r>
    </w:p>
    <w:p>
      <w:pPr>
        <w:jc w:val="center"/>
        <w:spacing w:line="276" w:lineRule="auto"/>
        <w:rPr>
          <w:rFonts w:ascii="宋体" w:hAnsi="宋体" w:cs="宋体"/>
          <w:b/>
          <w:bCs/>
          <w:sz w:val="44"/>
          <w:szCs w:val="44"/>
          <w:highlight w:val="none"/>
        </w:rPr>
      </w:pPr>
      <w:r>
        <w:rPr>
          <w:rFonts w:hint="eastAsia" w:ascii="宋体" w:hAnsi="宋体" w:cs="宋体"/>
          <w:b/>
          <w:bCs/>
          <w:sz w:val="44"/>
          <w:szCs w:val="44"/>
          <w:highlight w:val="none"/>
        </w:rPr>
        <w:t xml:space="preserve">南京市浦口区中医院</w:t>
      </w:r>
      <w:r>
        <w:rPr>
          <w:highlight w:val="none"/>
        </w:rPr>
      </w:r>
    </w:p>
    <w:p>
      <w:pPr>
        <w:jc w:val="center"/>
        <w:spacing w:line="276" w:lineRule="auto"/>
        <w:rPr>
          <w:rFonts w:ascii="宋体" w:hAnsi="宋体" w:cs="宋体"/>
          <w:b/>
          <w:bCs/>
          <w:sz w:val="44"/>
          <w:szCs w:val="44"/>
          <w:highlight w:val="none"/>
        </w:rPr>
      </w:pPr>
      <w:r>
        <w:rPr>
          <w:rFonts w:hint="eastAsia" w:ascii="宋体" w:hAnsi="宋体" w:cs="宋体"/>
          <w:b/>
          <w:bCs/>
          <w:sz w:val="44"/>
          <w:szCs w:val="44"/>
          <w:highlight w:val="none"/>
          <w:u w:val="single"/>
        </w:rPr>
        <w:t xml:space="preserve">飞利浦CT保修服务采购项目</w:t>
      </w:r>
      <w:r>
        <w:rPr>
          <w:highlight w:val="none"/>
        </w:rPr>
      </w:r>
    </w:p>
    <w:p>
      <w:pPr>
        <w:jc w:val="center"/>
        <w:spacing w:line="276" w:lineRule="auto"/>
        <w:rPr>
          <w:rFonts w:ascii="宋体" w:hAnsi="宋体" w:cs="宋体"/>
          <w:b/>
          <w:bCs/>
          <w:sz w:val="44"/>
          <w:szCs w:val="44"/>
          <w:highlight w:val="none"/>
        </w:rPr>
      </w:pPr>
      <w:r>
        <w:rPr>
          <w:rFonts w:ascii="宋体" w:hAnsi="宋体" w:cs="宋体"/>
          <w:b/>
          <w:bCs/>
          <w:sz w:val="44"/>
          <w:szCs w:val="44"/>
          <w:highlight w:val="none"/>
        </w:rPr>
      </w:r>
      <w:r>
        <w:rPr>
          <w:highlight w:val="none"/>
        </w:rP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p>
    <w:p>
      <w:pPr>
        <w:jc w:val="center"/>
        <w:spacing w:line="276" w:lineRule="auto"/>
        <w:rPr>
          <w:rFonts w:ascii="宋体" w:hAnsi="宋体" w:cs="宋体"/>
          <w:b/>
          <w:bCs/>
          <w:sz w:val="36"/>
          <w:highlight w:val="none"/>
        </w:rPr>
      </w:pPr>
      <w:r>
        <w:rPr>
          <w:rFonts w:ascii="宋体" w:hAnsi="宋体" w:cs="宋体"/>
          <w:b/>
          <w:bCs/>
          <w:sz w:val="36"/>
          <w:highlight w:val="none"/>
        </w:rPr>
      </w:r>
      <w:r>
        <w:rPr>
          <w:highlight w:val="none"/>
        </w:rPr>
      </w:r>
    </w:p>
    <w:p>
      <w:pPr>
        <w:jc w:val="center"/>
        <w:spacing w:line="276" w:lineRule="auto"/>
        <w:rPr>
          <w:rFonts w:ascii="宋体" w:hAnsi="宋体" w:cs="宋体"/>
          <w:b/>
          <w:bCs/>
          <w:sz w:val="96"/>
          <w:highlight w:val="none"/>
        </w:rPr>
      </w:pPr>
      <w:r>
        <w:rPr>
          <w:rFonts w:hint="eastAsia" w:ascii="宋体" w:hAnsi="宋体" w:cs="宋体"/>
          <w:b/>
          <w:bCs/>
          <w:sz w:val="96"/>
          <w:szCs w:val="72"/>
          <w:highlight w:val="none"/>
        </w:rPr>
        <w:t xml:space="preserve">招标文件</w:t>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jc w:val="center"/>
        <w:spacing w:line="276" w:lineRule="auto"/>
        <w:rPr>
          <w:rFonts w:ascii="宋体" w:hAnsi="宋体" w:cs="宋体"/>
          <w:b/>
          <w:bCs/>
          <w:color w:val="0000ff"/>
          <w:sz w:val="36"/>
          <w:highlight w:val="none"/>
        </w:rPr>
      </w:pPr>
      <w:r>
        <w:rPr>
          <w:rFonts w:hint="eastAsia" w:ascii="宋体" w:hAnsi="宋体" w:cs="宋体"/>
          <w:b/>
          <w:bCs/>
          <w:color w:val="0000ff"/>
          <w:sz w:val="36"/>
          <w:highlight w:val="none"/>
        </w:rPr>
        <w:t xml:space="preserve">项目编号：JSZC-320111-SHGK-G2026-0074</w:t>
      </w:r>
      <w:r>
        <w:rPr>
          <w:highlight w:val="none"/>
        </w:rPr>
      </w:r>
    </w:p>
    <w:p>
      <w:pPr>
        <w:jc w:val="center"/>
        <w:rPr>
          <w:highlight w:val="none"/>
        </w:rPr>
      </w:pPr>
      <w:r>
        <w:rPr>
          <w:rFonts w:ascii="宋体" w:hAnsi="宋体" w:cs="宋体"/>
          <w:b/>
          <w:color w:val="000000"/>
          <w:sz w:val="36"/>
          <w:highlight w:val="none"/>
        </w:rPr>
        <w:t xml:space="preserve">（代理机构编号：</w:t>
      </w:r>
      <w:r>
        <w:rPr>
          <w:rFonts w:hint="eastAsia" w:ascii="宋体" w:hAnsi="宋体" w:cs="宋体"/>
          <w:b/>
          <w:color w:val="000000"/>
          <w:sz w:val="36"/>
          <w:highlight w:val="none"/>
          <w:lang w:eastAsia="zh-CN"/>
        </w:rPr>
        <w:t xml:space="preserve">1214-264208</w:t>
      </w:r>
      <w:r>
        <w:rPr>
          <w:rFonts w:hint="eastAsia" w:ascii="宋体" w:hAnsi="宋体" w:cs="宋体"/>
          <w:b/>
          <w:color w:val="000000"/>
          <w:sz w:val="36"/>
          <w:highlight w:val="none"/>
          <w:lang w:val="en-US" w:eastAsia="zh-CN"/>
        </w:rPr>
        <w:t xml:space="preserve">477</w:t>
      </w:r>
      <w:r>
        <w:rPr>
          <w:rFonts w:hint="eastAsia" w:ascii="宋体" w:hAnsi="宋体" w:cs="宋体"/>
          <w:b/>
          <w:color w:val="000000"/>
          <w:sz w:val="36"/>
          <w:highlight w:val="none"/>
          <w:lang w:eastAsia="zh-CN"/>
        </w:rPr>
        <w:t xml:space="preserve">KWZ</w:t>
      </w:r>
      <w:r>
        <w:rPr>
          <w:rFonts w:ascii="宋体" w:hAnsi="宋体" w:cs="宋体"/>
          <w:b/>
          <w:color w:val="000000"/>
          <w:sz w:val="36"/>
          <w:highlight w:val="none"/>
        </w:rPr>
        <w:t xml:space="preserve">）</w:t>
      </w:r>
      <w:bookmarkStart w:id="212" w:name="_GoBack"/>
      <w:r>
        <w:rPr>
          <w:highlight w:val="none"/>
        </w:rPr>
      </w:r>
      <w:bookmarkEnd w:id="212"/>
      <w:r>
        <w:rPr>
          <w:highlight w:val="none"/>
        </w:rPr>
      </w:r>
      <w:r>
        <w:rPr>
          <w:highlight w:val="none"/>
        </w:rPr>
      </w:r>
    </w:p>
    <w:p>
      <w:pPr>
        <w:jc w:val="center"/>
        <w:spacing w:line="276" w:lineRule="auto"/>
        <w:rPr>
          <w:rFonts w:ascii="宋体" w:hAnsi="宋体" w:cs="宋体"/>
          <w:b/>
          <w:bCs/>
          <w:color w:val="0000ff"/>
          <w:sz w:val="36"/>
          <w:highlight w:val="none"/>
        </w:rPr>
      </w:pPr>
      <w:r>
        <w:rPr>
          <w:rFonts w:ascii="宋体" w:hAnsi="宋体" w:cs="宋体"/>
          <w:b/>
          <w:bCs/>
          <w:color w:val="0000ff"/>
          <w:sz w:val="36"/>
          <w:highlight w:val="none"/>
        </w:rPr>
      </w:r>
      <w:r>
        <w:rPr>
          <w:highlight w:val="none"/>
        </w:rPr>
      </w:r>
    </w:p>
    <w:p>
      <w:pPr>
        <w:jc w:val="center"/>
        <w:spacing w:line="276" w:lineRule="auto"/>
        <w:rPr>
          <w:rFonts w:ascii="宋体" w:hAnsi="宋体" w:cs="宋体"/>
          <w:b/>
          <w:bCs/>
          <w:color w:val="0000ff"/>
          <w:sz w:val="36"/>
          <w:highlight w:val="none"/>
        </w:rPr>
      </w:pPr>
      <w:r>
        <w:rPr>
          <w:rFonts w:hint="eastAsia" w:ascii="宋体" w:hAnsi="宋体" w:cs="宋体"/>
          <w:b/>
          <w:bCs/>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1995805</wp:posOffset>
                </wp:positionH>
                <wp:positionV relativeFrom="paragraph">
                  <wp:posOffset>147320</wp:posOffset>
                </wp:positionV>
                <wp:extent cx="1619250" cy="1407160"/>
                <wp:effectExtent l="0" t="0" r="0" b="317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7"/>
                        <a:stretch/>
                      </pic:blipFill>
                      <pic:spPr bwMode="auto">
                        <a:xfrm>
                          <a:off x="0" y="0"/>
                          <a:ext cx="1628454" cy="141498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7.2pt;mso-position-horizontal:absolute;mso-position-vertical-relative:text;margin-top:11.6pt;mso-position-vertical:absolute;width:127.5pt;height:110.8pt;mso-wrap-distance-left:9.0pt;mso-wrap-distance-top:0.0pt;mso-wrap-distance-right:9.0pt;mso-wrap-distance-bottom:0.0pt;" stroked="false">
                <v:path textboxrect="0,0,0,0"/>
                <v:imagedata r:id="rId17" o:title=""/>
              </v:shape>
            </w:pict>
          </mc:Fallback>
        </mc:AlternateContent>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spacing w:line="276" w:lineRule="auto"/>
        <w:rPr>
          <w:rFonts w:ascii="宋体" w:hAnsi="宋体" w:cs="宋体"/>
          <w:b/>
          <w:bCs/>
          <w:sz w:val="36"/>
          <w:highlight w:val="none"/>
        </w:rPr>
      </w:pPr>
      <w:r>
        <w:rPr>
          <w:rFonts w:ascii="宋体" w:hAnsi="宋体" w:cs="宋体"/>
          <w:b/>
          <w:bCs/>
          <w:sz w:val="36"/>
          <w:highlight w:val="none"/>
        </w:rPr>
      </w:r>
      <w:r>
        <w:rPr>
          <w:highlight w:val="none"/>
        </w:rPr>
      </w:r>
    </w:p>
    <w:p>
      <w:pPr>
        <w:jc w:val="center"/>
        <w:spacing w:line="276" w:lineRule="auto"/>
        <w:rPr>
          <w:rFonts w:ascii="宋体" w:hAnsi="宋体" w:cs="宋体"/>
          <w:b/>
          <w:sz w:val="36"/>
          <w:szCs w:val="30"/>
          <w:highlight w:val="none"/>
        </w:rPr>
      </w:pPr>
      <w:r>
        <w:rPr>
          <w:rFonts w:hint="eastAsia" w:ascii="宋体" w:hAnsi="宋体" w:cs="宋体"/>
          <w:b/>
          <w:sz w:val="36"/>
          <w:szCs w:val="30"/>
          <w:highlight w:val="none"/>
        </w:rPr>
        <w:t xml:space="preserve">江苏苏豪创新科技集团高科有限公司</w:t>
      </w:r>
      <w:r>
        <w:rPr>
          <w:highlight w:val="none"/>
        </w:rPr>
      </w:r>
    </w:p>
    <w:p>
      <w:pPr>
        <w:jc w:val="center"/>
        <w:spacing w:line="276" w:lineRule="auto"/>
        <w:rPr>
          <w:rFonts w:ascii="宋体" w:hAnsi="宋体" w:cs="宋体"/>
          <w:b/>
          <w:bCs/>
          <w:spacing w:val="40"/>
          <w:sz w:val="36"/>
          <w:szCs w:val="30"/>
          <w:highlight w:val="none"/>
        </w:rPr>
        <w:sectPr>
          <w:headerReference w:type="default" r:id="rId9"/>
          <w:headerReference w:type="first" r:id="rId10"/>
          <w:footerReference w:type="default" r:id="rId12"/>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highlight w:val="none"/>
        </w:rPr>
        <w:t xml:space="preserve">二○二六年九月</w:t>
      </w:r>
      <w:r>
        <w:rPr>
          <w:highlight w:val="none"/>
        </w:rPr>
      </w:r>
    </w:p>
    <w:p>
      <w:pPr>
        <w:ind w:firstLine="422"/>
        <w:spacing w:line="276" w:lineRule="auto"/>
        <w:rPr>
          <w:rFonts w:ascii="宋体" w:hAnsi="宋体" w:cs="宋体"/>
          <w:b/>
          <w:szCs w:val="20"/>
          <w:highlight w:val="none"/>
        </w:rPr>
      </w:pPr>
      <w:r>
        <w:rPr>
          <w:rFonts w:ascii="宋体" w:hAnsi="宋体" w:cs="宋体"/>
          <w:b/>
          <w:szCs w:val="20"/>
          <w:highlight w:val="none"/>
        </w:rPr>
      </w:r>
      <w:r>
        <w:rPr>
          <w:highlight w:val="none"/>
        </w:rPr>
      </w:r>
    </w:p>
    <w:sdt>
      <w:sdtPr>
        <w15:appearance w15:val="boundingBox"/>
        <w15:color w:val="dbdbdb"/>
        <w:id w:val="147451534"/>
        <w:docPartObj>
          <w:docPartGallery w:val="Table of Contents"/>
          <w:docPartUnique w:val="true"/>
        </w:docPartObj>
        <w:rPr>
          <w:rFonts w:ascii="宋体" w:hAnsi="宋体"/>
        </w:rPr>
      </w:sdtPr>
      <w:sdtContent>
        <w:p>
          <w:pPr>
            <w:jc w:val="center"/>
            <w:spacing w:line="276" w:lineRule="auto"/>
            <w:rPr>
              <w:rFonts w:ascii="宋体" w:hAnsi="宋体" w:cs="宋体"/>
              <w:sz w:val="32"/>
              <w:szCs w:val="32"/>
              <w:highlight w:val="none"/>
            </w:rPr>
          </w:pPr>
          <w:r>
            <w:rPr>
              <w:rFonts w:ascii="宋体" w:hAnsi="宋体" w:cs="宋体"/>
              <w:sz w:val="32"/>
              <w:szCs w:val="32"/>
              <w:highlight w:val="none"/>
            </w:rPr>
            <w:t xml:space="preserve">目</w:t>
          </w:r>
          <w:r>
            <w:rPr>
              <w:rFonts w:hint="eastAsia" w:ascii="宋体" w:hAnsi="宋体" w:cs="宋体"/>
              <w:sz w:val="32"/>
              <w:szCs w:val="32"/>
              <w:highlight w:val="none"/>
            </w:rPr>
            <w:t xml:space="preserve"> </w:t>
          </w:r>
          <w:r>
            <w:rPr>
              <w:rFonts w:ascii="宋体" w:hAnsi="宋体" w:cs="宋体"/>
              <w:sz w:val="32"/>
              <w:szCs w:val="32"/>
              <w:highlight w:val="none"/>
            </w:rPr>
            <w:t xml:space="preserve"> 录</w:t>
          </w:r>
          <w:r>
            <w:rPr>
              <w:highlight w:val="none"/>
            </w:rPr>
          </w:r>
        </w:p>
        <w:p>
          <w:pPr>
            <w:pStyle w:val="939"/>
            <w:tabs>
              <w:tab w:val="right" w:pos="9062" w:leader="dot"/>
            </w:tabs>
            <w:rPr>
              <w:rFonts w:asciiTheme="minorHAnsi" w:hAnsiTheme="minorHAnsi" w:eastAsiaTheme="minorEastAsia" w:cstheme="minorBidi"/>
              <w:szCs w:val="22"/>
              <w:highlight w:val="none"/>
            </w:rPr>
          </w:pPr>
          <w:r>
            <w:rPr>
              <w:rFonts w:ascii="宋体" w:hAnsi="宋体" w:cs="宋体"/>
              <w:szCs w:val="20"/>
              <w:highlight w:val="none"/>
            </w:rPr>
            <w:fldChar w:fldCharType="begin"/>
          </w:r>
          <w:r>
            <w:rPr>
              <w:rFonts w:ascii="宋体" w:hAnsi="宋体" w:cs="宋体"/>
              <w:szCs w:val="20"/>
              <w:highlight w:val="none"/>
            </w:rPr>
            <w:instrText xml:space="preserve">TOC \o "1-3" \h \u </w:instrText>
          </w:r>
          <w:r>
            <w:rPr>
              <w:rFonts w:ascii="宋体" w:hAnsi="宋体" w:cs="宋体"/>
              <w:szCs w:val="20"/>
              <w:highlight w:val="none"/>
            </w:rPr>
            <w:fldChar w:fldCharType="separate"/>
          </w:r>
          <w:r>
            <w:rPr>
              <w:highlight w:val="none"/>
            </w:rPr>
            <w:fldChar w:fldCharType="begin"/>
          </w:r>
          <w:r>
            <w:rPr>
              <w:highlight w:val="none"/>
            </w:rPr>
            <w:instrText xml:space="preserve"> HYPERLINK \l "_Toc238220154" </w:instrText>
          </w:r>
          <w:r>
            <w:rPr>
              <w:highlight w:val="none"/>
            </w:rPr>
            <w:fldChar w:fldCharType="separate"/>
          </w:r>
          <w:r>
            <w:rPr>
              <w:rStyle w:val="951"/>
              <w:rFonts w:ascii="宋体" w:hAnsi="宋体" w:cs="宋体"/>
              <w:b/>
              <w:highlight w:val="none"/>
            </w:rPr>
            <w:t xml:space="preserve">第一章  投标邀请</w:t>
          </w:r>
          <w:r>
            <w:rPr>
              <w:highlight w:val="none"/>
            </w:rPr>
            <w:tab/>
          </w:r>
          <w:r>
            <w:rPr>
              <w:highlight w:val="none"/>
            </w:rPr>
            <w:fldChar w:fldCharType="begin"/>
          </w:r>
          <w:r>
            <w:rPr>
              <w:highlight w:val="none"/>
            </w:rPr>
            <w:instrText xml:space="preserve"> PAGEREF _Toc238220154 \h </w:instrText>
          </w:r>
          <w:r>
            <w:rPr>
              <w:highlight w:val="none"/>
            </w:rPr>
            <w:fldChar w:fldCharType="separate"/>
          </w:r>
          <w:r>
            <w:rPr>
              <w:highlight w:val="none"/>
            </w:rPr>
            <w:t xml:space="preserve">4</w:t>
          </w:r>
          <w:r>
            <w:rPr>
              <w:highlight w:val="none"/>
            </w:rPr>
            <w:fldChar w:fldCharType="end"/>
          </w:r>
          <w:r>
            <w:rPr>
              <w:highlight w:val="none"/>
            </w:rPr>
            <w:fldChar w:fldCharType="end"/>
          </w:r>
          <w:r>
            <w:rPr>
              <w:highlight w:val="none"/>
            </w:rPr>
          </w:r>
        </w:p>
        <w:p>
          <w:pPr>
            <w:pStyle w:val="939"/>
            <w:tabs>
              <w:tab w:val="right" w:pos="9062" w:leader="dot"/>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"_Toc238220163" </w:instrText>
          </w:r>
          <w:r>
            <w:rPr>
              <w:highlight w:val="none"/>
            </w:rPr>
            <w:fldChar w:fldCharType="separate"/>
          </w:r>
          <w:r>
            <w:rPr>
              <w:rStyle w:val="951"/>
              <w:rFonts w:ascii="宋体" w:hAnsi="宋体" w:cs="宋体"/>
              <w:b/>
              <w:highlight w:val="none"/>
            </w:rPr>
            <w:t xml:space="preserve">第二章  投标人须知</w:t>
          </w:r>
          <w:r>
            <w:rPr>
              <w:highlight w:val="none"/>
            </w:rPr>
            <w:tab/>
          </w:r>
          <w:r>
            <w:rPr>
              <w:highlight w:val="none"/>
            </w:rPr>
            <w:fldChar w:fldCharType="begin"/>
          </w:r>
          <w:r>
            <w:rPr>
              <w:highlight w:val="none"/>
            </w:rPr>
            <w:instrText xml:space="preserve"> PAGEREF _Toc238220163 \h </w:instrText>
          </w:r>
          <w:r>
            <w:rPr>
              <w:highlight w:val="none"/>
            </w:rPr>
            <w:fldChar w:fldCharType="separate"/>
          </w:r>
          <w:r>
            <w:rPr>
              <w:highlight w:val="none"/>
            </w:rPr>
            <w:t xml:space="preserve">8</w:t>
          </w:r>
          <w:r>
            <w:rPr>
              <w:highlight w:val="none"/>
            </w:rPr>
            <w:fldChar w:fldCharType="end"/>
          </w:r>
          <w:r>
            <w:rPr>
              <w:highlight w:val="none"/>
            </w:rPr>
            <w:fldChar w:fldCharType="end"/>
          </w:r>
          <w:r>
            <w:rPr>
              <w:highlight w:val="none"/>
            </w:rPr>
          </w:r>
        </w:p>
        <w:p>
          <w:pPr>
            <w:pStyle w:val="939"/>
            <w:tabs>
              <w:tab w:val="right" w:pos="9062" w:leader="dot"/>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"_Toc238220171" </w:instrText>
          </w:r>
          <w:r>
            <w:rPr>
              <w:highlight w:val="none"/>
            </w:rPr>
            <w:fldChar w:fldCharType="separate"/>
          </w:r>
          <w:r>
            <w:rPr>
              <w:rStyle w:val="951"/>
              <w:rFonts w:ascii="宋体" w:hAnsi="宋体" w:cs="宋体"/>
              <w:b/>
              <w:highlight w:val="none"/>
            </w:rPr>
            <w:t xml:space="preserve">第三章  合同文本</w:t>
          </w:r>
          <w:r>
            <w:rPr>
              <w:highlight w:val="none"/>
            </w:rPr>
            <w:tab/>
          </w:r>
          <w:r>
            <w:rPr>
              <w:highlight w:val="none"/>
            </w:rPr>
            <w:fldChar w:fldCharType="begin"/>
          </w:r>
          <w:r>
            <w:rPr>
              <w:highlight w:val="none"/>
            </w:rPr>
            <w:instrText xml:space="preserve"> PAGEREF _Toc238220171 \h </w:instrText>
          </w:r>
          <w:r>
            <w:rPr>
              <w:highlight w:val="none"/>
            </w:rPr>
            <w:fldChar w:fldCharType="separate"/>
          </w:r>
          <w:r>
            <w:rPr>
              <w:highlight w:val="none"/>
            </w:rPr>
            <w:t xml:space="preserve">18</w:t>
          </w:r>
          <w:r>
            <w:rPr>
              <w:highlight w:val="none"/>
            </w:rPr>
            <w:fldChar w:fldCharType="end"/>
          </w:r>
          <w:r>
            <w:rPr>
              <w:highlight w:val="none"/>
            </w:rPr>
            <w:fldChar w:fldCharType="end"/>
          </w:r>
          <w:r>
            <w:rPr>
              <w:highlight w:val="none"/>
            </w:rPr>
          </w:r>
        </w:p>
        <w:p>
          <w:pPr>
            <w:pStyle w:val="939"/>
            <w:tabs>
              <w:tab w:val="right" w:pos="9062" w:leader="dot"/>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"_Toc238220172" </w:instrText>
          </w:r>
          <w:r>
            <w:rPr>
              <w:highlight w:val="none"/>
            </w:rPr>
            <w:fldChar w:fldCharType="separate"/>
          </w:r>
          <w:r>
            <w:rPr>
              <w:rStyle w:val="951"/>
              <w:rFonts w:ascii="宋体" w:hAnsi="宋体" w:cs="宋体"/>
              <w:b/>
              <w:highlight w:val="none"/>
            </w:rPr>
            <w:t xml:space="preserve">第四章  采购需求</w:t>
          </w:r>
          <w:r>
            <w:rPr>
              <w:highlight w:val="none"/>
            </w:rPr>
            <w:tab/>
          </w:r>
          <w:r>
            <w:rPr>
              <w:highlight w:val="none"/>
            </w:rPr>
            <w:fldChar w:fldCharType="begin"/>
          </w:r>
          <w:r>
            <w:rPr>
              <w:highlight w:val="none"/>
            </w:rPr>
            <w:instrText xml:space="preserve"> PAGEREF _Toc238220172 \h </w:instrText>
          </w:r>
          <w:r>
            <w:rPr>
              <w:highlight w:val="none"/>
            </w:rPr>
            <w:fldChar w:fldCharType="separate"/>
          </w:r>
          <w:r>
            <w:rPr>
              <w:highlight w:val="none"/>
            </w:rPr>
            <w:t xml:space="preserve">21</w:t>
          </w:r>
          <w:r>
            <w:rPr>
              <w:highlight w:val="none"/>
            </w:rPr>
            <w:fldChar w:fldCharType="end"/>
          </w:r>
          <w:r>
            <w:rPr>
              <w:highlight w:val="none"/>
            </w:rPr>
            <w:fldChar w:fldCharType="end"/>
          </w:r>
          <w:r>
            <w:rPr>
              <w:highlight w:val="none"/>
            </w:rPr>
          </w:r>
        </w:p>
        <w:p>
          <w:pPr>
            <w:pStyle w:val="939"/>
            <w:tabs>
              <w:tab w:val="right" w:pos="9062" w:leader="dot"/>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"_Toc238220179" </w:instrText>
          </w:r>
          <w:r>
            <w:rPr>
              <w:highlight w:val="none"/>
            </w:rPr>
            <w:fldChar w:fldCharType="separate"/>
          </w:r>
          <w:r>
            <w:rPr>
              <w:rStyle w:val="951"/>
              <w:rFonts w:ascii="宋体" w:hAnsi="宋体" w:cs="宋体"/>
              <w:b/>
              <w:highlight w:val="none"/>
            </w:rPr>
            <w:t xml:space="preserve">第五章  评标方法与评标标准</w:t>
          </w:r>
          <w:r>
            <w:rPr>
              <w:highlight w:val="none"/>
            </w:rPr>
            <w:tab/>
          </w:r>
          <w:r>
            <w:rPr>
              <w:highlight w:val="none"/>
            </w:rPr>
            <w:fldChar w:fldCharType="begin"/>
          </w:r>
          <w:r>
            <w:rPr>
              <w:highlight w:val="none"/>
            </w:rPr>
            <w:instrText xml:space="preserve"> PAGEREF _Toc238220179 \h </w:instrText>
          </w:r>
          <w:r>
            <w:rPr>
              <w:highlight w:val="none"/>
            </w:rPr>
            <w:fldChar w:fldCharType="separate"/>
          </w:r>
          <w:r>
            <w:rPr>
              <w:highlight w:val="none"/>
            </w:rPr>
            <w:t xml:space="preserve">25</w:t>
          </w:r>
          <w:r>
            <w:rPr>
              <w:highlight w:val="none"/>
            </w:rPr>
            <w:fldChar w:fldCharType="end"/>
          </w:r>
          <w:r>
            <w:rPr>
              <w:highlight w:val="none"/>
            </w:rPr>
            <w:fldChar w:fldCharType="end"/>
          </w:r>
          <w:r>
            <w:rPr>
              <w:highlight w:val="none"/>
            </w:rPr>
          </w:r>
        </w:p>
        <w:p>
          <w:pPr>
            <w:pStyle w:val="939"/>
            <w:tabs>
              <w:tab w:val="right" w:pos="9062" w:leader="dot"/>
            </w:tabs>
            <w:rPr>
              <w:rFonts w:asciiTheme="minorHAnsi" w:hAnsiTheme="minorHAnsi" w:eastAsiaTheme="minorEastAsia" w:cstheme="minorBidi"/>
              <w:szCs w:val="22"/>
              <w:highlight w:val="none"/>
            </w:rPr>
          </w:pPr>
          <w:r>
            <w:rPr>
              <w:highlight w:val="none"/>
            </w:rPr>
            <w:fldChar w:fldCharType="begin"/>
          </w:r>
          <w:r>
            <w:rPr>
              <w:highlight w:val="none"/>
            </w:rPr>
            <w:instrText xml:space="preserve"> HYPERLINK \l "_Toc238220183" </w:instrText>
          </w:r>
          <w:r>
            <w:rPr>
              <w:highlight w:val="none"/>
            </w:rPr>
            <w:fldChar w:fldCharType="separate"/>
          </w:r>
          <w:r>
            <w:rPr>
              <w:rStyle w:val="951"/>
              <w:rFonts w:ascii="宋体" w:hAnsi="宋体" w:cs="宋体"/>
              <w:b/>
              <w:highlight w:val="none"/>
            </w:rPr>
            <w:t xml:space="preserve">第六章  投标文件格式</w:t>
          </w:r>
          <w:r>
            <w:rPr>
              <w:highlight w:val="none"/>
            </w:rPr>
            <w:tab/>
          </w:r>
          <w:r>
            <w:rPr>
              <w:highlight w:val="none"/>
            </w:rPr>
            <w:fldChar w:fldCharType="begin"/>
          </w:r>
          <w:r>
            <w:rPr>
              <w:highlight w:val="none"/>
            </w:rPr>
            <w:instrText xml:space="preserve"> PAGEREF _Toc238220183 \h </w:instrText>
          </w:r>
          <w:r>
            <w:rPr>
              <w:highlight w:val="none"/>
            </w:rPr>
            <w:fldChar w:fldCharType="separate"/>
          </w:r>
          <w:r>
            <w:rPr>
              <w:highlight w:val="none"/>
            </w:rPr>
            <w:t xml:space="preserve">28</w:t>
          </w:r>
          <w:r>
            <w:rPr>
              <w:highlight w:val="none"/>
            </w:rPr>
            <w:fldChar w:fldCharType="end"/>
          </w:r>
          <w:r>
            <w:rPr>
              <w:highlight w:val="none"/>
            </w:rPr>
            <w:fldChar w:fldCharType="end"/>
          </w:r>
          <w:r>
            <w:rPr>
              <w:highlight w:val="none"/>
            </w:rPr>
          </w:r>
        </w:p>
        <w:p>
          <w:pPr>
            <w:ind w:firstLine="420"/>
            <w:spacing w:line="276" w:lineRule="auto"/>
            <w:rPr>
              <w:rFonts w:ascii="宋体" w:hAnsi="宋体" w:cs="宋体"/>
              <w:szCs w:val="20"/>
              <w:highlight w:val="none"/>
            </w:rPr>
          </w:pPr>
          <w:r>
            <w:rPr>
              <w:rFonts w:ascii="宋体" w:hAnsi="宋体" w:cs="宋体"/>
              <w:szCs w:val="20"/>
              <w:highlight w:val="none"/>
            </w:rPr>
            <w:fldChar w:fldCharType="end"/>
          </w:r>
          <w:r>
            <w:rPr>
              <w:highlight w:val="none"/>
            </w:rPr>
          </w:r>
        </w:p>
      </w:sdtContent>
    </w:sdt>
    <w:p>
      <w:pPr>
        <w:ind w:firstLine="420"/>
        <w:spacing w:line="276" w:lineRule="auto"/>
        <w:rPr>
          <w:rFonts w:ascii="宋体" w:hAnsi="宋体" w:cs="宋体"/>
          <w:szCs w:val="20"/>
          <w:highlight w:val="none"/>
        </w:rPr>
      </w:pPr>
      <w:r>
        <w:rPr>
          <w:rFonts w:ascii="宋体" w:hAnsi="宋体" w:cs="宋体"/>
          <w:szCs w:val="20"/>
          <w:highlight w:val="none"/>
        </w:rPr>
      </w:r>
      <w:r>
        <w:rPr>
          <w:highlight w:val="none"/>
        </w:rPr>
      </w:r>
    </w:p>
    <w:p>
      <w:pPr>
        <w:ind w:firstLine="420"/>
        <w:spacing w:line="276" w:lineRule="auto"/>
        <w:rPr>
          <w:rFonts w:ascii="宋体" w:hAnsi="宋体" w:cs="宋体"/>
          <w:szCs w:val="20"/>
          <w:highlight w:val="none"/>
        </w:rPr>
      </w:pPr>
      <w:r>
        <w:rPr>
          <w:rFonts w:ascii="宋体" w:hAnsi="宋体" w:cs="宋体"/>
          <w:szCs w:val="20"/>
          <w:highlight w:val="none"/>
        </w:rPr>
      </w:r>
      <w:r>
        <w:rPr>
          <w:highlight w:val="none"/>
        </w:rPr>
      </w:r>
    </w:p>
    <w:p>
      <w:pPr>
        <w:ind w:firstLine="420"/>
        <w:spacing w:line="276" w:lineRule="auto"/>
        <w:rPr>
          <w:rFonts w:ascii="宋体" w:hAnsi="宋体" w:cs="宋体"/>
          <w:szCs w:val="20"/>
          <w:highlight w:val="none"/>
        </w:rPr>
        <w:sectPr>
          <w:headerReference w:type="default" r:id="rId11"/>
          <w:footerReference w:type="default" r:id="rId13"/>
          <w:footnotePr/>
          <w:endnotePr/>
          <w:type w:val="nextPage"/>
          <w:pgSz w:w="11906" w:h="16838" w:orient="portrait"/>
          <w:pgMar w:top="1543" w:right="1417" w:bottom="850" w:left="1417" w:header="850" w:footer="992" w:gutter="0"/>
          <w:cols w:num="1" w:sep="0" w:space="0" w:equalWidth="1"/>
          <w:docGrid w:linePitch="360"/>
        </w:sectPr>
      </w:pPr>
      <w:r>
        <w:rPr>
          <w:rFonts w:ascii="宋体" w:hAnsi="宋体" w:cs="宋体"/>
          <w:szCs w:val="20"/>
          <w:highlight w:val="none"/>
        </w:rPr>
      </w:r>
      <w:r>
        <w:rPr>
          <w:highlight w:val="none"/>
        </w:rPr>
      </w:r>
    </w:p>
    <w:p>
      <w:pPr>
        <w:jc w:val="left"/>
        <w:spacing w:line="276" w:lineRule="auto"/>
        <w:tabs>
          <w:tab w:val="left" w:pos="1180" w:leader="none"/>
          <w:tab w:val="center" w:pos="4536" w:leader="none"/>
        </w:tabs>
        <w:rPr>
          <w:rFonts w:ascii="宋体" w:hAnsi="宋体" w:cs="宋体"/>
          <w:b/>
          <w:sz w:val="32"/>
          <w:szCs w:val="32"/>
          <w:highlight w:val="none"/>
        </w:rPr>
        <w:outlineLvl w:val="0"/>
      </w:pPr>
      <w:r>
        <w:rPr>
          <w:rFonts w:ascii="宋体" w:hAnsi="宋体" w:cs="宋体"/>
          <w:b/>
          <w:sz w:val="32"/>
          <w:szCs w:val="32"/>
          <w:highlight w:val="none"/>
        </w:rPr>
        <w:tab/>
      </w:r>
      <w:r>
        <w:rPr>
          <w:rFonts w:ascii="宋体" w:hAnsi="宋体" w:cs="宋体"/>
          <w:b/>
          <w:sz w:val="32"/>
          <w:szCs w:val="32"/>
          <w:highlight w:val="none"/>
        </w:rPr>
        <w:tab/>
      </w:r>
      <w:bookmarkStart w:id="0" w:name="_Toc238220154"/>
      <w:r>
        <w:rPr>
          <w:rFonts w:hint="eastAsia" w:ascii="宋体" w:hAnsi="宋体" w:cs="宋体"/>
          <w:b/>
          <w:sz w:val="32"/>
          <w:szCs w:val="32"/>
          <w:highlight w:val="none"/>
        </w:rPr>
        <w:t xml:space="preserve">第一章  投标邀请</w:t>
      </w:r>
      <w:bookmarkEnd w:id="0"/>
      <w:r>
        <w:rPr>
          <w:highlight w:val="none"/>
        </w:rPr>
      </w:r>
      <w:r>
        <w:rPr>
          <w:highlight w:val="none"/>
        </w:rPr>
      </w:r>
    </w:p>
    <w:p>
      <w:pPr>
        <w:spacing w:line="276" w:lineRule="auto"/>
        <w:rPr>
          <w:rFonts w:ascii="宋体" w:hAnsi="宋体" w:cs="宋体"/>
          <w:sz w:val="24"/>
          <w:highlight w:val="none"/>
        </w:rPr>
      </w:pPr>
      <w:r>
        <w:rPr>
          <w:rFonts w:ascii="宋体" w:hAnsi="宋体" w:cs="宋体"/>
          <w:sz w:val="24"/>
          <w:highlight w:val="none"/>
        </w:rPr>
      </w:r>
      <w:r>
        <w:rPr>
          <w:highlight w:val="none"/>
        </w:rPr>
      </w:r>
    </w:p>
    <w:p>
      <w:pPr>
        <w:ind w:firstLine="480"/>
        <w:spacing w:line="276" w:lineRule="auto"/>
        <w:rPr>
          <w:rFonts w:ascii="宋体" w:hAnsi="宋体" w:cs="宋体"/>
          <w:sz w:val="24"/>
          <w:highlight w:val="none"/>
        </w:rPr>
        <w:pBdr>
          <w:top w:val="single" w:color="auto" w:sz="4" w:space="1"/>
          <w:left w:val="single" w:color="auto" w:sz="4" w:space="0"/>
          <w:bottom w:val="single" w:color="auto" w:sz="4" w:space="1"/>
          <w:right w:val="single" w:color="auto" w:sz="4" w:space="4"/>
        </w:pBdr>
      </w:pPr>
      <w:r>
        <w:rPr>
          <w:rFonts w:hint="eastAsia" w:ascii="宋体" w:hAnsi="宋体" w:cs="宋体"/>
          <w:sz w:val="24"/>
          <w:highlight w:val="none"/>
        </w:rPr>
        <w:t xml:space="preserve">项目概况：</w:t>
      </w:r>
      <w:r>
        <w:rPr>
          <w:rFonts w:hint="eastAsia" w:ascii="宋体" w:hAnsi="宋体" w:cs="宋体"/>
          <w:b/>
          <w:bCs/>
          <w:sz w:val="24"/>
          <w:highlight w:val="none"/>
          <w:u w:val="single"/>
        </w:rPr>
        <w:t xml:space="preserve">南京市浦口区中医院飞利浦CT保修服务</w:t>
      </w:r>
      <w:r>
        <w:rPr>
          <w:rFonts w:hint="eastAsia" w:ascii="宋体" w:hAnsi="宋体" w:cs="宋体"/>
          <w:sz w:val="24"/>
          <w:highlight w:val="none"/>
        </w:rPr>
        <w:t xml:space="preserve">招标项目的潜在投标人应在</w:t>
      </w:r>
      <w:r>
        <w:rPr>
          <w:rFonts w:hint="eastAsia" w:ascii="宋体" w:hAnsi="宋体" w:cs="宋体"/>
          <w:sz w:val="24"/>
          <w:highlight w:val="none"/>
          <w:u w:val="single"/>
        </w:rPr>
        <w:t xml:space="preserve">“江苏政府采购网”自行免费下载</w:t>
      </w:r>
      <w:r>
        <w:rPr>
          <w:rFonts w:hint="eastAsia" w:ascii="宋体" w:hAnsi="宋体" w:cs="宋体"/>
          <w:sz w:val="24"/>
          <w:highlight w:val="none"/>
        </w:rPr>
        <w:t xml:space="preserve">招标文件获取招标文件，并于</w:t>
      </w:r>
      <w:r>
        <w:rPr>
          <w:rFonts w:hint="eastAsia" w:ascii="宋体" w:hAnsi="宋体" w:cs="宋体"/>
          <w:b/>
          <w:iCs/>
          <w:sz w:val="24"/>
          <w:highlight w:val="none"/>
          <w:u w:val="single"/>
        </w:rPr>
        <w:t xml:space="preserve">202</w:t>
      </w:r>
      <w:r>
        <w:rPr>
          <w:rFonts w:ascii="宋体" w:hAnsi="宋体" w:cs="宋体"/>
          <w:b/>
          <w:iCs/>
          <w:sz w:val="24"/>
          <w:highlight w:val="none"/>
          <w:u w:val="single"/>
        </w:rPr>
        <w:t xml:space="preserve">6</w:t>
      </w:r>
      <w:r>
        <w:rPr>
          <w:rFonts w:hint="eastAsia" w:ascii="宋体" w:hAnsi="宋体" w:cs="宋体"/>
          <w:b/>
          <w:iCs/>
          <w:sz w:val="24"/>
          <w:highlight w:val="none"/>
          <w:u w:val="single"/>
        </w:rPr>
        <w:t xml:space="preserve">年</w:t>
      </w:r>
      <w:r>
        <w:rPr>
          <w:rFonts w:hint="eastAsia" w:ascii="宋体" w:hAnsi="宋体" w:cs="宋体"/>
          <w:b/>
          <w:iCs/>
          <w:sz w:val="24"/>
          <w:highlight w:val="none"/>
          <w:u w:val="single"/>
          <w:lang w:val="en-US" w:eastAsia="zh-CN"/>
        </w:rPr>
        <w:t xml:space="preserve">9</w:t>
      </w:r>
      <w:r>
        <w:rPr>
          <w:rFonts w:hint="eastAsia" w:ascii="宋体" w:hAnsi="宋体" w:cs="宋体"/>
          <w:b/>
          <w:iCs/>
          <w:sz w:val="24"/>
          <w:highlight w:val="none"/>
          <w:u w:val="single"/>
        </w:rPr>
        <w:t xml:space="preserve">月</w:t>
      </w:r>
      <w:r>
        <w:rPr>
          <w:rFonts w:hint="eastAsia" w:ascii="宋体" w:hAnsi="宋体" w:cs="宋体"/>
          <w:b/>
          <w:iCs/>
          <w:sz w:val="24"/>
          <w:highlight w:val="none"/>
          <w:u w:val="single"/>
          <w:lang w:val="en-US" w:eastAsia="zh-CN"/>
        </w:rPr>
        <w:t xml:space="preserve">16</w:t>
      </w:r>
      <w:r>
        <w:rPr>
          <w:rFonts w:hint="eastAsia" w:ascii="宋体" w:hAnsi="宋体" w:cs="宋体"/>
          <w:b/>
          <w:iCs/>
          <w:sz w:val="24"/>
          <w:highlight w:val="none"/>
          <w:u w:val="single"/>
        </w:rPr>
        <w:t xml:space="preserve">日1</w:t>
      </w:r>
      <w:r>
        <w:rPr>
          <w:rFonts w:ascii="宋体" w:hAnsi="宋体" w:cs="宋体"/>
          <w:b/>
          <w:iCs/>
          <w:sz w:val="24"/>
          <w:highlight w:val="none"/>
          <w:u w:val="single"/>
        </w:rPr>
        <w:t xml:space="preserve">4</w:t>
      </w:r>
      <w:r>
        <w:rPr>
          <w:rFonts w:hint="eastAsia" w:ascii="宋体" w:hAnsi="宋体" w:cs="宋体"/>
          <w:b/>
          <w:iCs/>
          <w:sz w:val="24"/>
          <w:highlight w:val="none"/>
          <w:u w:val="single"/>
        </w:rPr>
        <w:t xml:space="preserve">时3</w:t>
      </w:r>
      <w:r>
        <w:rPr>
          <w:rFonts w:ascii="宋体" w:hAnsi="宋体" w:cs="宋体"/>
          <w:b/>
          <w:iCs/>
          <w:sz w:val="24"/>
          <w:highlight w:val="none"/>
          <w:u w:val="single"/>
        </w:rPr>
        <w:t xml:space="preserve">0</w:t>
      </w:r>
      <w:r>
        <w:rPr>
          <w:rFonts w:hint="eastAsia" w:ascii="宋体" w:hAnsi="宋体" w:cs="宋体"/>
          <w:b/>
          <w:iCs/>
          <w:sz w:val="24"/>
          <w:highlight w:val="none"/>
          <w:u w:val="single"/>
        </w:rPr>
        <w:t xml:space="preserve">分</w:t>
      </w:r>
      <w:r>
        <w:rPr>
          <w:rFonts w:hint="eastAsia" w:ascii="宋体" w:hAnsi="宋体" w:cs="宋体"/>
          <w:b/>
          <w:bCs/>
          <w:sz w:val="24"/>
          <w:highlight w:val="none"/>
        </w:rPr>
        <w:t xml:space="preserve">（北京时间）</w:t>
      </w:r>
      <w:r>
        <w:rPr>
          <w:rFonts w:hint="eastAsia" w:ascii="宋体" w:hAnsi="宋体" w:cs="宋体"/>
          <w:bCs/>
          <w:sz w:val="24"/>
          <w:highlight w:val="none"/>
        </w:rPr>
        <w:t xml:space="preserve">前递交投标文件</w:t>
      </w:r>
      <w:r>
        <w:rPr>
          <w:rFonts w:hint="eastAsia" w:ascii="宋体" w:hAnsi="宋体" w:cs="宋体"/>
          <w:sz w:val="24"/>
          <w:highlight w:val="none"/>
        </w:rPr>
        <w:t xml:space="preserve">。</w:t>
      </w:r>
      <w:r>
        <w:rPr>
          <w:highlight w:val="none"/>
        </w:rPr>
      </w:r>
    </w:p>
    <w:p>
      <w:pPr>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1" w:name="_Toc28359079"/>
      <w:r>
        <w:rPr>
          <w:highlight w:val="none"/>
        </w:rPr>
      </w:r>
      <w:bookmarkStart w:id="2" w:name="_Toc184129761"/>
      <w:r>
        <w:rPr>
          <w:highlight w:val="none"/>
        </w:rPr>
      </w:r>
      <w:bookmarkStart w:id="3" w:name="_Toc238220155"/>
      <w:r>
        <w:rPr>
          <w:highlight w:val="none"/>
        </w:rPr>
      </w:r>
      <w:bookmarkStart w:id="4" w:name="_Toc35393621"/>
      <w:r>
        <w:rPr>
          <w:highlight w:val="none"/>
        </w:rPr>
      </w:r>
      <w:bookmarkStart w:id="5" w:name="_Toc28359002"/>
      <w:r>
        <w:rPr>
          <w:highlight w:val="none"/>
        </w:rPr>
      </w:r>
      <w:bookmarkStart w:id="6" w:name="_Toc35393790"/>
      <w:r>
        <w:rPr>
          <w:highlight w:val="none"/>
        </w:rPr>
      </w:r>
      <w:bookmarkStart w:id="7" w:name="_Hlk24379207"/>
      <w:r>
        <w:rPr>
          <w:rFonts w:hint="eastAsia" w:ascii="宋体" w:hAnsi="宋体" w:cs="宋体"/>
          <w:b/>
          <w:sz w:val="24"/>
          <w:highlight w:val="none"/>
        </w:rPr>
        <w:t xml:space="preserve">一、项目基本情况</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r>
        <w:rPr>
          <w:highlight w:val="none"/>
        </w:rPr>
      </w:r>
    </w:p>
    <w:p>
      <w:pPr>
        <w:ind w:firstLine="480"/>
        <w:spacing w:line="276" w:lineRule="auto"/>
        <w:rPr>
          <w:rFonts w:ascii="宋体" w:hAnsi="宋体" w:cs="宋体"/>
          <w:color w:val="0000ff"/>
          <w:sz w:val="24"/>
          <w:highlight w:val="none"/>
        </w:rPr>
      </w:pPr>
      <w:r>
        <w:rPr>
          <w:rFonts w:hint="eastAsia" w:ascii="宋体" w:hAnsi="宋体" w:cs="宋体"/>
          <w:sz w:val="24"/>
          <w:highlight w:val="none"/>
        </w:rPr>
        <w:t xml:space="preserve">1、项目编号：JSZC-320111-SHGK-G2026-0074</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2、项目名称：飞利浦CT保修服务采购项目</w:t>
      </w:r>
      <w:bookmarkEnd w:id="7"/>
      <w:r>
        <w:rPr>
          <w:highlight w:val="none"/>
        </w:rPr>
      </w:r>
      <w:r>
        <w:rPr>
          <w:highlight w:val="none"/>
        </w:rPr>
      </w:r>
    </w:p>
    <w:p>
      <w:pPr>
        <w:ind w:firstLine="480"/>
        <w:spacing w:line="27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3、预算金额：</w:t>
      </w:r>
      <w:r>
        <w:rPr>
          <w:rFonts w:ascii="宋体" w:hAnsi="宋体" w:cs="宋体"/>
          <w:color w:val="000000" w:themeColor="text1"/>
          <w:sz w:val="24"/>
          <w:highlight w:val="none"/>
          <w14:textFill>
            <w14:solidFill>
              <w14:schemeClr w14:val="tx1"/>
            </w14:solidFill>
          </w14:textFill>
        </w:rPr>
        <w:t xml:space="preserve">450万元</w:t>
      </w:r>
      <w:r>
        <w:rPr>
          <w:rFonts w:hint="eastAsia" w:ascii="宋体" w:hAnsi="宋体" w:cs="宋体"/>
          <w:color w:val="000000" w:themeColor="text1"/>
          <w:sz w:val="24"/>
          <w:highlight w:val="none"/>
          <w14:textFill>
            <w14:solidFill>
              <w14:schemeClr w14:val="tx1"/>
            </w14:solidFill>
          </w14:textFill>
        </w:rPr>
        <w:t xml:space="preserve">人民币</w:t>
      </w:r>
      <w:r>
        <w:rPr>
          <w:highlight w:val="none"/>
        </w:rPr>
      </w:r>
    </w:p>
    <w:p>
      <w:pPr>
        <w:ind w:firstLine="480"/>
        <w:spacing w:line="276" w:lineRule="auto"/>
        <w:tabs>
          <w:tab w:val="center" w:pos="436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4、最高限价：</w:t>
      </w:r>
      <w:r>
        <w:rPr>
          <w:rFonts w:ascii="宋体" w:hAnsi="宋体" w:cs="宋体"/>
          <w:color w:val="000000" w:themeColor="text1"/>
          <w:sz w:val="24"/>
          <w:highlight w:val="none"/>
          <w14:textFill>
            <w14:solidFill>
              <w14:schemeClr w14:val="tx1"/>
            </w14:solidFill>
          </w14:textFill>
        </w:rPr>
        <w:t xml:space="preserve">450万元</w:t>
      </w:r>
      <w:r>
        <w:rPr>
          <w:rFonts w:hint="eastAsia" w:ascii="宋体" w:hAnsi="宋体" w:cs="宋体"/>
          <w:color w:val="000000" w:themeColor="text1"/>
          <w:sz w:val="24"/>
          <w:highlight w:val="none"/>
          <w14:textFill>
            <w14:solidFill>
              <w14:schemeClr w14:val="tx1"/>
            </w14:solidFill>
          </w14:textFill>
        </w:rPr>
        <w:t xml:space="preserve">人民币</w:t>
      </w:r>
      <w:r>
        <w:rPr>
          <w:highlight w:val="none"/>
        </w:rPr>
      </w:r>
    </w:p>
    <w:p>
      <w:pPr>
        <w:ind w:firstLine="480"/>
        <w:spacing w:line="276" w:lineRule="auto"/>
        <w:rPr>
          <w:rFonts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sz w:val="24"/>
          <w:highlight w:val="none"/>
        </w:rPr>
        <w:t xml:space="preserve">采购需求：飞利浦CT保修服务，详见《第四章 采购需求》。</w:t>
      </w:r>
      <w:r>
        <w:rPr>
          <w:highlight w:val="none"/>
        </w:rPr>
      </w:r>
    </w:p>
    <w:p>
      <w:pPr>
        <w:ind w:firstLine="480"/>
        <w:spacing w:line="276" w:lineRule="auto"/>
        <w:rPr>
          <w:rFonts w:ascii="宋体" w:hAnsi="宋体" w:cs="宋体"/>
          <w:bCs/>
          <w:sz w:val="24"/>
          <w:highlight w:val="none"/>
        </w:rPr>
      </w:pPr>
      <w:r>
        <w:rPr>
          <w:rFonts w:hint="eastAsia" w:ascii="宋体" w:hAnsi="宋体" w:cs="宋体"/>
          <w:bCs/>
          <w:sz w:val="24"/>
          <w:highlight w:val="none"/>
        </w:rPr>
        <w:t xml:space="preserve">6、合同履行期限：三年。</w:t>
      </w:r>
      <w:r>
        <w:rPr>
          <w:highlight w:val="none"/>
        </w:rPr>
      </w:r>
    </w:p>
    <w:p>
      <w:pPr>
        <w:ind w:firstLine="480"/>
        <w:spacing w:line="276" w:lineRule="auto"/>
        <w:rPr>
          <w:rFonts w:ascii="宋体" w:hAnsi="宋体" w:cs="宋体"/>
          <w:bCs/>
          <w:sz w:val="24"/>
          <w:highlight w:val="none"/>
        </w:rPr>
      </w:pPr>
      <w:r>
        <w:rPr>
          <w:rFonts w:ascii="宋体" w:hAnsi="宋体" w:cs="宋体"/>
          <w:bCs/>
          <w:sz w:val="24"/>
          <w:highlight w:val="none"/>
        </w:rPr>
        <w:t xml:space="preserve">7</w:t>
      </w:r>
      <w:r>
        <w:rPr>
          <w:rFonts w:hint="eastAsia" w:ascii="宋体" w:hAnsi="宋体" w:cs="宋体"/>
          <w:bCs/>
          <w:sz w:val="24"/>
          <w:highlight w:val="none"/>
        </w:rPr>
        <w:t xml:space="preserve">、本项目不接受联合体参与投标</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8" w:name="_Toc35393791"/>
      <w:r>
        <w:rPr>
          <w:highlight w:val="none"/>
        </w:rPr>
      </w:r>
      <w:bookmarkStart w:id="9" w:name="_Toc184129762"/>
      <w:r>
        <w:rPr>
          <w:highlight w:val="none"/>
        </w:rPr>
      </w:r>
      <w:bookmarkStart w:id="10" w:name="_Toc35393622"/>
      <w:r>
        <w:rPr>
          <w:highlight w:val="none"/>
        </w:rPr>
      </w:r>
      <w:bookmarkStart w:id="11" w:name="_Toc238220156"/>
      <w:r>
        <w:rPr>
          <w:highlight w:val="none"/>
        </w:rPr>
      </w:r>
      <w:bookmarkStart w:id="12" w:name="_Toc28359003"/>
      <w:r>
        <w:rPr>
          <w:highlight w:val="none"/>
        </w:rPr>
      </w:r>
      <w:bookmarkStart w:id="13" w:name="_Toc28359080"/>
      <w:r>
        <w:rPr>
          <w:rFonts w:hint="eastAsia" w:ascii="宋体" w:hAnsi="宋体" w:cs="宋体"/>
          <w:b/>
          <w:sz w:val="24"/>
          <w:highlight w:val="none"/>
        </w:rPr>
        <w:t xml:space="preserve">二、申请人的资格要求</w:t>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（一）通用资格要求</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1.满足《中华人民共和国政府采购法》第二十二条规定，并提供下列材料：</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1.1法人或者其他组织的营业执照等证明文件，自然人的身份证明；</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1.2上一年度的财务状况报告（成立不满一年无需提供）；</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1.4具备履行合同所必需的设备和专业技术能力的书面声明；</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1.5参加政府采购活动前3年内在经营活动中没有重大违法记录的书面声明。</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1.6法律、行政法规规定的其他条件。</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 </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（二）本项目的特定资格要求：</w:t>
      </w:r>
      <w:r>
        <w:rPr>
          <w:highlight w:val="none"/>
        </w:rPr>
      </w:r>
    </w:p>
    <w:p>
      <w:pPr>
        <w:ind w:firstLine="480"/>
        <w:spacing w:line="276" w:lineRule="auto"/>
        <w:rPr>
          <w:rFonts w:ascii="宋体" w:hAnsi="宋体" w:cs="宋体"/>
          <w:color w:val="0000ff"/>
          <w:sz w:val="24"/>
          <w:highlight w:val="none"/>
        </w:rPr>
      </w:pPr>
      <w:r>
        <w:rPr>
          <w:rFonts w:hint="eastAsia" w:ascii="宋体" w:hAnsi="宋体" w:cs="宋体"/>
          <w:color w:val="0000ff"/>
          <w:sz w:val="24"/>
          <w:highlight w:val="none"/>
        </w:rPr>
        <w:t xml:space="preserve">（</w:t>
      </w:r>
      <w:r>
        <w:rPr>
          <w:rFonts w:ascii="宋体" w:hAnsi="宋体" w:cs="宋体"/>
          <w:color w:val="0000ff"/>
          <w:sz w:val="24"/>
          <w:highlight w:val="none"/>
        </w:rPr>
        <w:t xml:space="preserve">1</w:t>
      </w:r>
      <w:r>
        <w:rPr>
          <w:rFonts w:hint="eastAsia" w:ascii="宋体" w:hAnsi="宋体" w:cs="宋体"/>
          <w:color w:val="0000ff"/>
          <w:sz w:val="24"/>
          <w:highlight w:val="none"/>
        </w:rPr>
        <w:t xml:space="preserve">）提供《医疗器械经营许可证》或者《医疗器械经营备案凭证》（复印件）；</w:t>
      </w:r>
      <w:r>
        <w:rPr>
          <w:highlight w:val="none"/>
        </w:rPr>
      </w:r>
    </w:p>
    <w:p>
      <w:pPr>
        <w:ind w:firstLine="480"/>
        <w:spacing w:line="276" w:lineRule="auto"/>
        <w:rPr>
          <w:rFonts w:ascii="宋体" w:hAnsi="宋体" w:cs="宋体"/>
          <w:color w:val="0000ff"/>
          <w:sz w:val="24"/>
          <w:highlight w:val="none"/>
        </w:rPr>
      </w:pPr>
      <w:r>
        <w:rPr>
          <w:rFonts w:hint="eastAsia" w:ascii="宋体" w:hAnsi="宋体" w:cs="宋体"/>
          <w:color w:val="0000ff"/>
          <w:sz w:val="24"/>
          <w:highlight w:val="none"/>
        </w:rPr>
        <w:t xml:space="preserve">（</w:t>
      </w:r>
      <w:r>
        <w:rPr>
          <w:rFonts w:ascii="宋体" w:hAnsi="宋体" w:cs="宋体"/>
          <w:color w:val="0000ff"/>
          <w:sz w:val="24"/>
          <w:highlight w:val="none"/>
        </w:rPr>
        <w:t xml:space="preserve">2</w:t>
      </w:r>
      <w:r>
        <w:rPr>
          <w:rFonts w:hint="eastAsia" w:ascii="宋体" w:hAnsi="宋体" w:cs="宋体"/>
          <w:color w:val="0000ff"/>
          <w:sz w:val="24"/>
          <w:highlight w:val="none"/>
        </w:rPr>
        <w:t xml:space="preserve">）提供投标人代表在投标文件接收截止时间前半年内任一月份投标人为其缴纳社会保障资金的凭据（复印件加盖公章）；</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14" w:name="_Toc184129763"/>
      <w:r>
        <w:rPr>
          <w:highlight w:val="none"/>
        </w:rPr>
      </w:r>
      <w:bookmarkStart w:id="15" w:name="_Toc238220157"/>
      <w:r>
        <w:rPr>
          <w:highlight w:val="none"/>
        </w:rPr>
      </w:r>
      <w:bookmarkStart w:id="16" w:name="_Toc28359081"/>
      <w:r>
        <w:rPr>
          <w:highlight w:val="none"/>
        </w:rPr>
      </w:r>
      <w:bookmarkStart w:id="17" w:name="_Toc35393792"/>
      <w:r>
        <w:rPr>
          <w:highlight w:val="none"/>
        </w:rPr>
      </w:r>
      <w:bookmarkStart w:id="18" w:name="_Toc28359004"/>
      <w:r>
        <w:rPr>
          <w:highlight w:val="none"/>
        </w:rPr>
      </w:r>
      <w:bookmarkStart w:id="19" w:name="_Toc35393623"/>
      <w:r>
        <w:rPr>
          <w:rFonts w:hint="eastAsia" w:ascii="宋体" w:hAnsi="宋体" w:cs="宋体"/>
          <w:b/>
          <w:sz w:val="24"/>
          <w:highlight w:val="none"/>
        </w:rPr>
        <w:t xml:space="preserve">三、获取招标文件</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1、时间：自招标文件公告发布之日起</w:t>
      </w:r>
      <w:r>
        <w:rPr>
          <w:rFonts w:ascii="宋体" w:hAnsi="宋体" w:cs="宋体"/>
          <w:sz w:val="24"/>
          <w:highlight w:val="none"/>
        </w:rPr>
        <w:t xml:space="preserve">5</w:t>
      </w:r>
      <w:r>
        <w:rPr>
          <w:rFonts w:hint="eastAsia" w:ascii="宋体" w:hAnsi="宋体" w:cs="宋体"/>
          <w:sz w:val="24"/>
          <w:highlight w:val="none"/>
        </w:rPr>
        <w:t xml:space="preserve">个工作日</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2、地点：“苏采云”政府采购交易系统</w:t>
      </w:r>
      <w:r>
        <w:rPr>
          <w:rFonts w:ascii="宋体" w:hAnsi="宋体" w:cs="宋体"/>
          <w:sz w:val="24"/>
          <w:highlight w:val="none"/>
        </w:rPr>
        <w:t xml:space="preserve"> </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3、方式：在“江苏政府采购网”自行免费下载招标文件。</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20" w:name="_Toc184129764"/>
      <w:r>
        <w:rPr>
          <w:highlight w:val="none"/>
        </w:rPr>
      </w:r>
      <w:bookmarkStart w:id="21" w:name="_Toc238220158"/>
      <w:r>
        <w:rPr>
          <w:rFonts w:hint="eastAsia" w:ascii="宋体" w:hAnsi="宋体" w:cs="宋体"/>
          <w:b/>
          <w:sz w:val="24"/>
          <w:highlight w:val="none"/>
        </w:rPr>
        <w:t xml:space="preserve">四、提交投标文件截止时间、开标时间和地点</w:t>
      </w:r>
      <w:bookmarkEnd w:id="20"/>
      <w:r>
        <w:rPr>
          <w:highlight w:val="none"/>
        </w:rPr>
      </w:r>
      <w:bookmarkEnd w:id="21"/>
      <w:r>
        <w:rPr>
          <w:highlight w:val="none"/>
        </w:rPr>
      </w:r>
      <w:r>
        <w:rPr>
          <w:highlight w:val="none"/>
        </w:rP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1.投标文件接收截止时间（北京时间）：</w:t>
      </w:r>
      <w:r>
        <w:rPr>
          <w:rFonts w:hint="eastAsia" w:ascii="宋体" w:hAnsi="宋体" w:cs="宋体"/>
          <w:iCs/>
          <w:color w:val="ff0000"/>
          <w:sz w:val="24"/>
          <w:highlight w:val="none"/>
          <w:u w:val="single"/>
        </w:rPr>
        <w:t xml:space="preserve">202</w:t>
      </w:r>
      <w:r>
        <w:rPr>
          <w:rFonts w:ascii="宋体" w:hAnsi="宋体" w:cs="宋体"/>
          <w:iCs/>
          <w:color w:val="ff0000"/>
          <w:sz w:val="24"/>
          <w:highlight w:val="none"/>
          <w:u w:val="single"/>
        </w:rPr>
        <w:t xml:space="preserve">6</w:t>
      </w:r>
      <w:r>
        <w:rPr>
          <w:rFonts w:hint="eastAsia" w:ascii="宋体" w:hAnsi="宋体" w:cs="宋体"/>
          <w:iCs/>
          <w:color w:val="ff0000"/>
          <w:sz w:val="24"/>
          <w:highlight w:val="none"/>
          <w:u w:val="single"/>
        </w:rPr>
        <w:t xml:space="preserve">年</w:t>
      </w:r>
      <w:r>
        <w:rPr>
          <w:rFonts w:hint="eastAsia" w:ascii="宋体" w:hAnsi="宋体" w:cs="宋体"/>
          <w:iCs/>
          <w:color w:val="ff0000"/>
          <w:sz w:val="24"/>
          <w:highlight w:val="none"/>
          <w:u w:val="single"/>
          <w:lang w:val="en-US" w:eastAsia="zh-CN"/>
        </w:rPr>
        <w:t xml:space="preserve">9</w:t>
      </w:r>
      <w:r>
        <w:rPr>
          <w:rFonts w:hint="eastAsia" w:ascii="宋体" w:hAnsi="宋体" w:cs="宋体"/>
          <w:iCs/>
          <w:color w:val="ff0000"/>
          <w:sz w:val="24"/>
          <w:highlight w:val="none"/>
          <w:u w:val="single"/>
        </w:rPr>
        <w:t xml:space="preserve">月</w:t>
      </w:r>
      <w:r>
        <w:rPr>
          <w:rFonts w:hint="eastAsia" w:ascii="宋体" w:hAnsi="宋体" w:cs="宋体"/>
          <w:iCs/>
          <w:color w:val="ff0000"/>
          <w:sz w:val="24"/>
          <w:highlight w:val="none"/>
          <w:u w:val="single"/>
          <w:lang w:val="en-US" w:eastAsia="zh-CN"/>
        </w:rPr>
        <w:t xml:space="preserve">16</w:t>
      </w:r>
      <w:r>
        <w:rPr>
          <w:rFonts w:hint="eastAsia" w:ascii="宋体" w:hAnsi="宋体" w:cs="宋体"/>
          <w:iCs/>
          <w:color w:val="ff0000"/>
          <w:sz w:val="24"/>
          <w:highlight w:val="none"/>
          <w:u w:val="single"/>
        </w:rPr>
        <w:t xml:space="preserve">日</w:t>
      </w:r>
      <w:r>
        <w:rPr>
          <w:rFonts w:hint="eastAsia" w:ascii="宋体" w:hAnsi="宋体" w:cs="宋体"/>
          <w:iCs/>
          <w:color w:val="ff0000"/>
          <w:sz w:val="24"/>
          <w:highlight w:val="none"/>
          <w:u w:val="single"/>
          <w:lang w:val="en-US" w:eastAsia="zh-CN"/>
        </w:rPr>
        <w:t xml:space="preserve">14</w:t>
      </w:r>
      <w:r>
        <w:rPr>
          <w:rFonts w:hint="eastAsia" w:ascii="宋体" w:hAnsi="宋体" w:cs="宋体"/>
          <w:iCs/>
          <w:color w:val="ff0000"/>
          <w:sz w:val="24"/>
          <w:highlight w:val="none"/>
          <w:u w:val="single"/>
        </w:rPr>
        <w:t xml:space="preserve">时</w:t>
      </w:r>
      <w:r>
        <w:rPr>
          <w:rFonts w:hint="eastAsia" w:ascii="宋体" w:hAnsi="宋体" w:cs="宋体"/>
          <w:iCs/>
          <w:color w:val="ff0000"/>
          <w:sz w:val="24"/>
          <w:highlight w:val="none"/>
          <w:u w:val="single"/>
          <w:lang w:val="en-US" w:eastAsia="zh-CN"/>
        </w:rPr>
        <w:t xml:space="preserve">30</w:t>
      </w:r>
      <w:r>
        <w:rPr>
          <w:rFonts w:hint="eastAsia" w:ascii="宋体" w:hAnsi="宋体" w:cs="宋体"/>
          <w:iCs/>
          <w:color w:val="ff0000"/>
          <w:sz w:val="24"/>
          <w:highlight w:val="none"/>
          <w:u w:val="single"/>
        </w:rPr>
        <w:t xml:space="preserve">分（北京时间）</w:t>
      </w:r>
      <w:r>
        <w:rPr>
          <w:rFonts w:hint="eastAsia" w:ascii="宋体" w:hAnsi="宋体" w:cs="宋体"/>
          <w:iCs/>
          <w:sz w:val="24"/>
          <w:highlight w:val="none"/>
        </w:rPr>
        <w:t xml:space="preserve">。</w:t>
      </w:r>
      <w:r>
        <w:rPr>
          <w:highlight w:val="none"/>
        </w:rPr>
      </w:r>
    </w:p>
    <w:p>
      <w:pPr>
        <w:ind w:firstLine="480"/>
        <w:spacing w:line="276" w:lineRule="auto"/>
        <w:rPr>
          <w:rFonts w:ascii="宋体" w:hAnsi="宋体" w:cs="宋体"/>
          <w:iCs/>
          <w:sz w:val="24"/>
          <w:highlight w:val="none"/>
        </w:rPr>
      </w:pPr>
      <w:r>
        <w:rPr>
          <w:rFonts w:hint="eastAsia" w:ascii="宋体" w:hAnsi="宋体" w:cs="宋体"/>
          <w:iCs/>
          <w:sz w:val="24"/>
          <w:highlight w:val="none"/>
        </w:rPr>
        <w:t xml:space="preserve">2.地点：“苏采云”政府采购交易系统网上开标大厅。</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22" w:name="_Toc238220159"/>
      <w:r>
        <w:rPr>
          <w:highlight w:val="none"/>
        </w:rPr>
      </w:r>
      <w:bookmarkStart w:id="23" w:name="_Toc184129765"/>
      <w:r>
        <w:rPr>
          <w:rFonts w:hint="eastAsia" w:ascii="宋体" w:hAnsi="宋体" w:cs="宋体"/>
          <w:b/>
          <w:sz w:val="24"/>
          <w:highlight w:val="none"/>
        </w:rPr>
        <w:t xml:space="preserve">五、公告期限</w:t>
      </w:r>
      <w:bookmarkEnd w:id="22"/>
      <w:r>
        <w:rPr>
          <w:highlight w:val="none"/>
        </w:rPr>
      </w:r>
      <w:bookmarkEnd w:id="23"/>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招标公告及招标文件公告期限为自本公告发布之日起5个工作日。</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24" w:name="_Toc184129766"/>
      <w:r>
        <w:rPr>
          <w:highlight w:val="none"/>
        </w:rPr>
      </w:r>
      <w:bookmarkStart w:id="25" w:name="_Toc238220160"/>
      <w:r>
        <w:rPr>
          <w:rFonts w:hint="eastAsia" w:ascii="宋体" w:hAnsi="宋体" w:cs="宋体"/>
          <w:b/>
          <w:sz w:val="24"/>
          <w:highlight w:val="none"/>
        </w:rPr>
        <w:t xml:space="preserve">六、其他补充事宜</w:t>
      </w:r>
      <w:bookmarkEnd w:id="24"/>
      <w:r>
        <w:rPr>
          <w:highlight w:val="none"/>
        </w:rPr>
      </w:r>
      <w:bookmarkEnd w:id="25"/>
      <w:r>
        <w:rPr>
          <w:highlight w:val="none"/>
        </w:rPr>
      </w:r>
      <w:r>
        <w:rPr>
          <w:highlight w:val="none"/>
        </w:rPr>
      </w:r>
    </w:p>
    <w:p>
      <w:pPr>
        <w:ind w:firstLine="480"/>
        <w:spacing w:line="276" w:lineRule="auto"/>
        <w:rPr>
          <w:rFonts w:cs="仿宋" w:asciiTheme="minorEastAsia" w:hAnsiTheme="minorEastAsia" w:eastAsiaTheme="minorEastAsia"/>
          <w:b/>
          <w:bCs/>
          <w:sz w:val="24"/>
          <w:highlight w:val="none"/>
        </w:rPr>
      </w:pPr>
      <w:r>
        <w:rPr>
          <w:highlight w:val="none"/>
        </w:rPr>
      </w:r>
      <w:bookmarkStart w:id="26" w:name="_Toc184129767"/>
      <w:r>
        <w:rPr>
          <w:rFonts w:hint="eastAsia" w:cs="仿宋" w:asciiTheme="minorEastAsia" w:hAnsiTheme="minorEastAsia" w:eastAsiaTheme="minorEastAsia"/>
          <w:b/>
          <w:bCs/>
          <w:sz w:val="24"/>
          <w:highlight w:val="none"/>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r>
        <w:rPr>
          <w:highlight w:val="none"/>
        </w:rPr>
      </w:r>
    </w:p>
    <w:p>
      <w:pPr>
        <w:ind w:firstLine="480"/>
        <w:spacing w:line="276" w:lineRule="auto"/>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2.潜在供应商访问政府采购管理交易系统（苏采云）的网络地址和方法：</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（2）“CA数字证书”的获取：供应商需办理CA锁，“苏采云”系统目前仅支持“苏采云”系统下的政务CA，省内各地区办理的“苏采云”系统下的政务CA全省通用。</w:t>
      </w:r>
      <w:r>
        <w:rPr>
          <w:highlight w:val="none"/>
        </w:rPr>
      </w:r>
    </w:p>
    <w:p>
      <w:pPr>
        <w:ind w:firstLine="480"/>
        <w:jc w:val="left"/>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（3）“CA数字证书”的办理材料以及供应商操作手册详见：http://jsxcmm.com/help/gys.html。</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（4）潜在供应商访问“苏采云”系统的网络地址和方法：“苏采云”系统的网址：http://jszfcg.jsczt.cn/jszc/login。</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（5）采购文件（后缀名为“.kedt”）、供应商操作手册及政府采购客户端工具也可通过“苏采云”系统--已报名项目--报名详情页面内相应链接进行下载。</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（6）招标代理机构（采购代理机构）将数据电文形式的采购文件加载至“苏采云”系统，供潜在供应商下载或者查阅。</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（7）苏采云系统使用谷歌浏览器参与不见面开标。</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（8）“苏采云”南京地区客服热线025-83633744、025-83633743。</w:t>
      </w:r>
      <w:r>
        <w:rPr>
          <w:highlight w:val="none"/>
        </w:rPr>
      </w:r>
    </w:p>
    <w:p>
      <w:pPr>
        <w:ind w:firstLine="480"/>
        <w:spacing w:line="276" w:lineRule="auto"/>
        <w:rPr>
          <w:rFonts w:cs="仿宋" w:asciiTheme="minorEastAsia" w:hAnsiTheme="minorEastAsia" w:eastAsiaTheme="minorEastAsia"/>
          <w:b/>
          <w:bCs/>
          <w:sz w:val="24"/>
          <w:highlight w:val="none"/>
        </w:rPr>
      </w:pPr>
      <w:r>
        <w:rPr>
          <w:rFonts w:hint="eastAsia" w:cs="仿宋" w:asciiTheme="minorEastAsia" w:hAnsiTheme="minorEastAsia" w:eastAsiaTheme="minorEastAsia"/>
          <w:b/>
          <w:bCs/>
          <w:sz w:val="24"/>
          <w:highlight w:val="none"/>
        </w:rPr>
        <w:t xml:space="preserve">3.</w:t>
      </w:r>
      <w:r>
        <w:rPr>
          <w:rFonts w:hint="eastAsia" w:cs="仿宋" w:asciiTheme="minorEastAsia" w:hAnsiTheme="minorEastAsia" w:eastAsiaTheme="minorEastAsia"/>
          <w:b/>
          <w:bCs/>
          <w:color w:val="000000"/>
          <w:sz w:val="24"/>
          <w:highlight w:val="none"/>
        </w:rPr>
        <w:t xml:space="preserve">投标文件的解密：</w:t>
      </w:r>
      <w:r>
        <w:rPr>
          <w:rFonts w:hint="eastAsia" w:cs="仿宋" w:asciiTheme="minorEastAsia" w:hAnsiTheme="minorEastAsia" w:eastAsiaTheme="minorEastAsia"/>
          <w:color w:val="000000"/>
          <w:sz w:val="24"/>
          <w:highlight w:val="none"/>
        </w:rPr>
        <w:t xml:space="preserve">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cs="仿宋" w:asciiTheme="minorEastAsia" w:hAnsiTheme="minorEastAsia" w:eastAsiaTheme="minorEastAsia"/>
          <w:b/>
          <w:bCs/>
          <w:color w:val="000000"/>
          <w:sz w:val="24"/>
          <w:highlight w:val="none"/>
        </w:rPr>
        <w:t xml:space="preserve">投标供应商解密限定在开标后30分钟之内完成</w:t>
      </w:r>
      <w:r>
        <w:rPr>
          <w:rFonts w:hint="eastAsia" w:cs="仿宋" w:asciiTheme="minorEastAsia" w:hAnsiTheme="minorEastAsia" w:eastAsiaTheme="minorEastAsia"/>
          <w:color w:val="000000"/>
          <w:sz w:val="24"/>
          <w:highlight w:val="none"/>
        </w:rPr>
        <w:t xml:space="preserve">。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b/>
          <w:bCs/>
          <w:sz w:val="24"/>
          <w:highlight w:val="none"/>
        </w:rPr>
        <w:t xml:space="preserve">4.政府采购信用承诺：</w:t>
      </w:r>
      <w:r>
        <w:rPr>
          <w:rFonts w:hint="eastAsia" w:cs="仿宋" w:asciiTheme="minorEastAsia" w:hAnsiTheme="minorEastAsia" w:eastAsiaTheme="minorEastAsia"/>
          <w:sz w:val="24"/>
          <w:highlight w:val="none"/>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承诺书》体现。</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在政府采购资格审查环节，供应商只需提供书面《南京市政府采购供应商信用承诺书》，即可替代以下证明材料：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（1）符合国家相关规定的财务状况报告；</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（2）依法缴纳税收的证明材料；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（3）依法缴纳社会保障资金的证明材料；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（4）具备履行政府采购合同所必需的设备和专业技术能力的证明材料；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（5）参加政府采购活动前三年内在经营活动中没有重大违法记录的证明材料；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（6）未被列入失信被执行人、重大税收违法失信主体、政府采购严重违法失信行为记录名单的证明材料。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供应商在中标（成交）后，应上述由信用承诺书替代的证明材料，加盖公章提交采购人或采购代理机构核验。经核验无误后，由采购人或采购代理机构发出中标（成交）通知书。</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供应商涉及以下情形的，不适用信用承诺，仍须提供上述证明材料：</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（1）供应商被列入严重失信主体名单；</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（2）被相关监管部门作出行政处罚且尚在处罚有效期内；</w:t>
      </w:r>
      <w:r>
        <w:rPr>
          <w:highlight w:val="none"/>
        </w:rPr>
      </w:r>
    </w:p>
    <w:p>
      <w:pPr>
        <w:ind w:firstLine="480"/>
        <w:spacing w:line="276" w:lineRule="auto"/>
        <w:rPr>
          <w:rFonts w:cs="仿宋"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highlight w:val="none"/>
        </w:rPr>
        <w:t xml:space="preserve">（3）其他法律、行政法规规定的不适用信用承诺的情形。</w:t>
      </w:r>
      <w:r>
        <w:rPr>
          <w:highlight w:val="none"/>
        </w:rPr>
      </w:r>
    </w:p>
    <w:p>
      <w:pPr>
        <w:ind w:firstLine="480"/>
        <w:spacing w:line="276" w:lineRule="auto"/>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 xml:space="preserve">供应商对信用承诺内容的真实性、合法性、有效性负责。如作出虚假信用承诺，视同为“提供虚假材料谋取中标、成交”的违法行为。</w:t>
      </w:r>
      <w:r>
        <w:rPr>
          <w:highlight w:val="none"/>
        </w:rPr>
      </w:r>
    </w:p>
    <w:p>
      <w:pPr>
        <w:ind w:firstLine="480"/>
        <w:spacing w:line="500" w:lineRule="exact"/>
        <w:rPr>
          <w:rFonts w:cs="仿宋" w:asciiTheme="minorEastAsia" w:hAnsiTheme="minorEastAsia" w:eastAsiaTheme="minorEastAsia"/>
          <w:sz w:val="24"/>
          <w:highlight w:val="none"/>
        </w:rPr>
      </w:pPr>
      <w:r>
        <w:rPr>
          <w:rFonts w:cs="仿宋" w:asciiTheme="minorEastAsia" w:hAnsiTheme="minorEastAsia" w:eastAsiaTheme="minorEastAsia"/>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27" w:name="_Toc238220161"/>
      <w:r>
        <w:rPr>
          <w:rFonts w:hint="eastAsia" w:ascii="宋体" w:hAnsi="宋体" w:cs="宋体"/>
          <w:b/>
          <w:sz w:val="24"/>
          <w:highlight w:val="none"/>
        </w:rPr>
        <w:t xml:space="preserve">七、对本次招标提出询问，请按以下方式联系</w:t>
      </w:r>
      <w:bookmarkEnd w:id="26"/>
      <w:r>
        <w:rPr>
          <w:highlight w:val="none"/>
        </w:rPr>
      </w:r>
      <w:bookmarkEnd w:id="27"/>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1、采购人信息</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采 购 人：南京市浦口区中医院</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联系地址：南京市浦口区江浦街道公园北路18号</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 系 人：姚老师</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联系电话：025-69637209</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2、采购代理机构信息</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采购代理机构：江苏苏豪创新科技集团高科有限公司</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联系地址：南京市雨花台区软件大道21号C座617室</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 系 人：</w:t>
      </w:r>
      <w:r>
        <w:rPr>
          <w:rFonts w:hint="eastAsia" w:ascii="宋体" w:hAnsi="宋体" w:cs="宋体"/>
          <w:sz w:val="24"/>
          <w:highlight w:val="none"/>
          <w:lang w:val="en-US" w:eastAsia="zh-CN"/>
        </w:rPr>
        <w:t xml:space="preserve">吴志叶、</w:t>
      </w:r>
      <w:r>
        <w:rPr>
          <w:rFonts w:hint="eastAsia" w:ascii="宋体" w:hAnsi="宋体" w:cs="宋体"/>
          <w:sz w:val="24"/>
          <w:highlight w:val="none"/>
        </w:rPr>
        <w:t xml:space="preserve">吴岢非</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联系电话：025-528759</w:t>
      </w:r>
      <w:r>
        <w:rPr>
          <w:rFonts w:ascii="宋体" w:hAnsi="宋体" w:cs="宋体"/>
          <w:sz w:val="24"/>
          <w:highlight w:val="none"/>
        </w:rPr>
        <w:t xml:space="preserve">83</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邮    箱：wkf</w:t>
      </w:r>
      <w:r>
        <w:rPr>
          <w:rFonts w:ascii="宋体" w:hAnsi="宋体" w:cs="宋体"/>
          <w:sz w:val="24"/>
          <w:highlight w:val="none"/>
        </w:rPr>
        <w:t xml:space="preserve">@sumex.com.cn</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spacing w:line="276" w:lineRule="auto"/>
        <w:rPr>
          <w:rFonts w:ascii="宋体" w:hAnsi="宋体" w:cs="宋体"/>
          <w:b/>
          <w:sz w:val="24"/>
          <w:highlight w:val="none"/>
        </w:rPr>
        <w:outlineLvl w:val="1"/>
      </w:pPr>
      <w:r>
        <w:rPr>
          <w:highlight w:val="none"/>
        </w:rPr>
      </w:r>
      <w:bookmarkStart w:id="28" w:name="_Toc184129768"/>
      <w:r>
        <w:rPr>
          <w:highlight w:val="none"/>
        </w:rPr>
      </w:r>
      <w:bookmarkStart w:id="29" w:name="_Toc238220162"/>
      <w:r>
        <w:rPr>
          <w:rFonts w:hint="eastAsia" w:ascii="宋体" w:hAnsi="宋体" w:cs="宋体"/>
          <w:b/>
          <w:sz w:val="24"/>
          <w:highlight w:val="none"/>
        </w:rPr>
        <w:t xml:space="preserve">八、其他</w:t>
      </w:r>
      <w:bookmarkEnd w:id="28"/>
      <w:r>
        <w:rPr>
          <w:highlight w:val="none"/>
        </w:rPr>
      </w:r>
      <w:bookmarkEnd w:id="29"/>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Cs w:val="21"/>
          <w:highlight w:val="none"/>
        </w:rPr>
        <w:t xml:space="preserve">http://www.ccgp-jiangsu.gov.cn/jiangsu/zlxz/ee/ee3a4bc5a3454aa2b0d9312230633ce9.html。</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 有关本次招标的事项若存在变动或修改，敬请及时关注江苏苏豪创新科技集团高科有限公司在“江苏政府采购网”发布的更正公告。</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 本次招标不收取投标保证金。</w:t>
      </w:r>
      <w:r>
        <w:rPr>
          <w:highlight w:val="none"/>
        </w:rPr>
      </w:r>
    </w:p>
    <w:p>
      <w:pPr>
        <w:spacing w:line="276" w:lineRule="auto"/>
        <w:rPr>
          <w:sz w:val="24"/>
          <w:highlight w:val="none"/>
        </w:rPr>
      </w:pPr>
      <w:r>
        <w:rPr>
          <w:sz w:val="24"/>
          <w:highlight w:val="none"/>
        </w:rPr>
      </w:r>
      <w:r>
        <w:rPr>
          <w:highlight w:val="none"/>
        </w:rPr>
      </w:r>
    </w:p>
    <w:p>
      <w:pPr>
        <w:ind w:firstLine="420"/>
        <w:spacing w:line="276" w:lineRule="auto"/>
        <w:rPr>
          <w:rFonts w:ascii="宋体" w:hAnsi="宋体" w:cs="宋体"/>
          <w:szCs w:val="21"/>
          <w:highlight w:val="none"/>
        </w:rPr>
        <w:sectPr>
          <w:footnotePr/>
          <w:endnotePr/>
          <w:type w:val="nextPage"/>
          <w:pgSz w:w="11906" w:h="16838" w:orient="portrait"/>
          <w:pgMar w:top="1560" w:right="1417" w:bottom="850" w:left="1417" w:header="850" w:footer="992" w:gutter="0"/>
          <w:cols w:num="1" w:sep="0" w:space="0" w:equalWidth="1"/>
          <w:docGrid w:linePitch="360"/>
        </w:sectPr>
      </w:pPr>
      <w:r>
        <w:rPr>
          <w:rFonts w:ascii="宋体" w:hAnsi="宋体" w:cs="宋体"/>
          <w:szCs w:val="21"/>
          <w:highlight w:val="none"/>
        </w:rPr>
      </w:r>
      <w:r>
        <w:rPr>
          <w:highlight w:val="none"/>
        </w:rPr>
      </w:r>
    </w:p>
    <w:p>
      <w:pPr>
        <w:jc w:val="center"/>
        <w:spacing w:line="276" w:lineRule="auto"/>
        <w:rPr>
          <w:rFonts w:ascii="宋体" w:hAnsi="宋体" w:cs="宋体"/>
          <w:b/>
          <w:sz w:val="32"/>
          <w:szCs w:val="32"/>
          <w:highlight w:val="none"/>
        </w:rPr>
        <w:outlineLvl w:val="0"/>
      </w:pPr>
      <w:r>
        <w:rPr>
          <w:highlight w:val="none"/>
        </w:rPr>
      </w:r>
      <w:bookmarkStart w:id="30" w:name="_Toc120614211"/>
      <w:r>
        <w:rPr>
          <w:highlight w:val="none"/>
        </w:rPr>
      </w:r>
      <w:bookmarkStart w:id="31" w:name="_Toc238220163"/>
      <w:r>
        <w:rPr>
          <w:rFonts w:hint="eastAsia" w:ascii="宋体" w:hAnsi="宋体" w:cs="宋体"/>
          <w:b/>
          <w:sz w:val="32"/>
          <w:szCs w:val="32"/>
          <w:highlight w:val="none"/>
        </w:rPr>
        <w:t xml:space="preserve">第二章  </w:t>
      </w:r>
      <w:bookmarkEnd w:id="30"/>
      <w:r>
        <w:rPr>
          <w:highlight w:val="none"/>
        </w:rPr>
      </w:r>
      <w:bookmarkStart w:id="32" w:name="_Toc16938518"/>
      <w:r>
        <w:rPr>
          <w:highlight w:val="none"/>
        </w:rPr>
      </w:r>
      <w:bookmarkStart w:id="33" w:name="_Toc513029202"/>
      <w:r>
        <w:rPr>
          <w:highlight w:val="none"/>
        </w:rPr>
      </w:r>
      <w:bookmarkStart w:id="34" w:name="_Toc120614213"/>
      <w:r>
        <w:rPr>
          <w:highlight w:val="none"/>
        </w:rPr>
      </w:r>
      <w:bookmarkStart w:id="35" w:name="_Toc20823274"/>
      <w:r>
        <w:rPr>
          <w:rFonts w:hint="eastAsia" w:ascii="宋体" w:hAnsi="宋体" w:cs="宋体"/>
          <w:b/>
          <w:sz w:val="32"/>
          <w:szCs w:val="32"/>
          <w:highlight w:val="none"/>
        </w:rPr>
        <w:t xml:space="preserve">投标人须知</w:t>
      </w:r>
      <w:bookmarkEnd w:id="31"/>
      <w:r>
        <w:rPr>
          <w:highlight w:val="none"/>
        </w:rPr>
      </w:r>
      <w:bookmarkEnd w:id="32"/>
      <w:r>
        <w:rPr>
          <w:highlight w:val="none"/>
        </w:rPr>
      </w:r>
      <w:bookmarkEnd w:id="33"/>
      <w:r>
        <w:rPr>
          <w:highlight w:val="none"/>
        </w:rPr>
      </w:r>
      <w:bookmarkEnd w:id="34"/>
      <w:r>
        <w:rPr>
          <w:highlight w:val="none"/>
        </w:rPr>
      </w:r>
      <w:bookmarkEnd w:id="35"/>
      <w:r>
        <w:rPr>
          <w:highlight w:val="none"/>
        </w:rPr>
      </w:r>
      <w:r>
        <w:rPr>
          <w:highlight w:val="none"/>
        </w:rPr>
      </w:r>
    </w:p>
    <w:p>
      <w:pPr>
        <w:spacing w:line="276" w:lineRule="auto"/>
        <w:rPr>
          <w:rFonts w:ascii="宋体" w:hAnsi="宋体" w:cs="宋体"/>
          <w:sz w:val="24"/>
          <w:highlight w:val="none"/>
        </w:rPr>
      </w:pPr>
      <w:r>
        <w:rPr>
          <w:rFonts w:ascii="宋体" w:hAnsi="宋体" w:cs="宋体"/>
          <w:sz w:val="24"/>
          <w:highlight w:val="none"/>
        </w:rPr>
      </w:r>
      <w:r>
        <w:rPr>
          <w:highlight w:val="none"/>
        </w:rPr>
      </w:r>
    </w:p>
    <w:p>
      <w:pPr>
        <w:spacing w:line="276" w:lineRule="auto"/>
        <w:rPr>
          <w:rFonts w:ascii="宋体" w:hAnsi="宋体" w:cs="宋体"/>
          <w:b/>
          <w:bCs/>
          <w:sz w:val="24"/>
          <w:highlight w:val="none"/>
        </w:rPr>
        <w:outlineLvl w:val="1"/>
      </w:pPr>
      <w:r>
        <w:rPr>
          <w:highlight w:val="none"/>
        </w:rPr>
      </w:r>
      <w:bookmarkStart w:id="36" w:name="_Toc238220164"/>
      <w:r>
        <w:rPr>
          <w:highlight w:val="none"/>
        </w:rPr>
      </w:r>
      <w:bookmarkStart w:id="37" w:name="_Toc184129770"/>
      <w:r>
        <w:rPr>
          <w:highlight w:val="none"/>
        </w:rPr>
      </w:r>
      <w:bookmarkStart w:id="38" w:name="_Toc20823275"/>
      <w:r>
        <w:rPr>
          <w:highlight w:val="none"/>
        </w:rPr>
      </w:r>
      <w:bookmarkStart w:id="39" w:name="_Toc16938519"/>
      <w:r>
        <w:rPr>
          <w:highlight w:val="none"/>
        </w:rPr>
      </w:r>
      <w:bookmarkStart w:id="40" w:name="_Toc513029203"/>
      <w:r>
        <w:rPr>
          <w:highlight w:val="none"/>
        </w:rPr>
      </w:r>
      <w:bookmarkStart w:id="41" w:name="_Toc120614214"/>
      <w:r>
        <w:rPr>
          <w:rFonts w:hint="eastAsia" w:ascii="宋体" w:hAnsi="宋体" w:cs="宋体"/>
          <w:b/>
          <w:bCs/>
          <w:sz w:val="24"/>
          <w:highlight w:val="none"/>
        </w:rPr>
        <w:t xml:space="preserve">一、总则</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42" w:name="_Hlt16619475"/>
      <w:r>
        <w:rPr>
          <w:highlight w:val="none"/>
        </w:rPr>
      </w:r>
      <w:bookmarkEnd w:id="42"/>
      <w:r>
        <w:rPr>
          <w:highlight w:val="none"/>
        </w:rPr>
      </w:r>
      <w:bookmarkStart w:id="43" w:name="_Toc458694821"/>
      <w:r>
        <w:rPr>
          <w:highlight w:val="none"/>
        </w:rPr>
      </w:r>
      <w:bookmarkStart w:id="44" w:name="_Toc513029204"/>
      <w:r>
        <w:rPr>
          <w:highlight w:val="none"/>
        </w:rPr>
      </w:r>
      <w:bookmarkStart w:id="45" w:name="_Toc20823276"/>
      <w:r>
        <w:rPr>
          <w:highlight w:val="none"/>
        </w:rPr>
      </w:r>
      <w:bookmarkStart w:id="46" w:name="_Toc16938520"/>
      <w:r>
        <w:rPr>
          <w:rFonts w:hint="eastAsia" w:ascii="宋体" w:hAnsi="宋体" w:cs="宋体"/>
          <w:b/>
          <w:bCs/>
          <w:sz w:val="24"/>
          <w:highlight w:val="none"/>
        </w:rPr>
        <w:t xml:space="preserve">1</w:t>
      </w:r>
      <w:bookmarkEnd w:id="43"/>
      <w:r>
        <w:rPr>
          <w:rFonts w:hint="eastAsia" w:ascii="宋体" w:hAnsi="宋体" w:cs="宋体"/>
          <w:b/>
          <w:bCs/>
          <w:sz w:val="24"/>
          <w:highlight w:val="none"/>
        </w:rPr>
        <w:t xml:space="preserve">、招标方式</w:t>
      </w:r>
      <w:bookmarkEnd w:id="44"/>
      <w:r>
        <w:rPr>
          <w:highlight w:val="none"/>
        </w:rPr>
      </w:r>
      <w:bookmarkEnd w:id="45"/>
      <w:r>
        <w:rPr>
          <w:highlight w:val="none"/>
        </w:rPr>
      </w:r>
      <w:bookmarkEnd w:id="46"/>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 本次招标采取公开招标方式，本招标文件仅适用于招标公告中所述项目。</w:t>
      </w:r>
      <w:r>
        <w:rPr>
          <w:highlight w:val="none"/>
        </w:rPr>
      </w:r>
    </w:p>
    <w:p>
      <w:pPr>
        <w:ind w:firstLine="482"/>
        <w:spacing w:before="161" w:line="276" w:lineRule="auto"/>
        <w:rPr>
          <w:rFonts w:ascii="宋体" w:hAnsi="宋体" w:cs="宋体"/>
          <w:b/>
          <w:bCs/>
          <w:sz w:val="24"/>
          <w:highlight w:val="none"/>
        </w:rPr>
      </w:pPr>
      <w:r>
        <w:rPr>
          <w:highlight w:val="none"/>
        </w:rPr>
      </w:r>
      <w:bookmarkStart w:id="47" w:name="_Toc513029205"/>
      <w:r>
        <w:rPr>
          <w:highlight w:val="none"/>
        </w:rPr>
      </w:r>
      <w:bookmarkStart w:id="48" w:name="_Toc16938521"/>
      <w:r>
        <w:rPr>
          <w:highlight w:val="none"/>
        </w:rPr>
      </w:r>
      <w:bookmarkStart w:id="49" w:name="_Toc20823277"/>
      <w:r>
        <w:rPr>
          <w:rFonts w:hint="eastAsia" w:ascii="宋体" w:hAnsi="宋体" w:cs="宋体"/>
          <w:b/>
          <w:bCs/>
          <w:sz w:val="24"/>
          <w:highlight w:val="none"/>
        </w:rPr>
        <w:t xml:space="preserve">2、合格的投标人</w:t>
      </w:r>
      <w:bookmarkEnd w:id="47"/>
      <w:r>
        <w:rPr>
          <w:highlight w:val="none"/>
        </w:rPr>
      </w:r>
      <w:bookmarkEnd w:id="48"/>
      <w:r>
        <w:rPr>
          <w:highlight w:val="none"/>
        </w:rPr>
      </w:r>
      <w:bookmarkEnd w:id="49"/>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2.1 满足招标公告中供应商的资格要求的规定。</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2.2 满足本文件实质性要求和条件的规定。</w:t>
      </w:r>
      <w:r>
        <w:rPr>
          <w:highlight w:val="none"/>
        </w:rPr>
      </w:r>
    </w:p>
    <w:p>
      <w:pPr>
        <w:ind w:firstLine="482"/>
        <w:spacing w:before="161" w:line="276" w:lineRule="auto"/>
        <w:rPr>
          <w:rFonts w:ascii="宋体" w:hAnsi="宋体" w:cs="宋体"/>
          <w:b/>
          <w:bCs/>
          <w:sz w:val="24"/>
          <w:highlight w:val="none"/>
        </w:rPr>
      </w:pPr>
      <w:r>
        <w:rPr>
          <w:highlight w:val="none"/>
        </w:rPr>
      </w:r>
      <w:bookmarkStart w:id="50" w:name="_Toc20823278"/>
      <w:r>
        <w:rPr>
          <w:highlight w:val="none"/>
        </w:rPr>
      </w:r>
      <w:bookmarkStart w:id="51" w:name="_Toc16938522"/>
      <w:r>
        <w:rPr>
          <w:highlight w:val="none"/>
        </w:rPr>
      </w:r>
      <w:bookmarkStart w:id="52" w:name="_Toc513029206"/>
      <w:r>
        <w:rPr>
          <w:rFonts w:hint="eastAsia" w:ascii="宋体" w:hAnsi="宋体" w:cs="宋体"/>
          <w:b/>
          <w:bCs/>
          <w:sz w:val="24"/>
          <w:highlight w:val="none"/>
        </w:rPr>
        <w:t xml:space="preserve">3、适用法律</w:t>
      </w:r>
      <w:bookmarkEnd w:id="50"/>
      <w:r>
        <w:rPr>
          <w:highlight w:val="none"/>
        </w:rPr>
      </w:r>
      <w:bookmarkEnd w:id="51"/>
      <w:r>
        <w:rPr>
          <w:highlight w:val="none"/>
        </w:rPr>
      </w:r>
      <w:bookmarkEnd w:id="52"/>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rPr>
          <w:highlight w:val="none"/>
        </w:rPr>
      </w:r>
    </w:p>
    <w:p>
      <w:pPr>
        <w:ind w:firstLine="482"/>
        <w:spacing w:before="161" w:line="276" w:lineRule="auto"/>
        <w:rPr>
          <w:rFonts w:ascii="宋体" w:hAnsi="宋体" w:cs="宋体"/>
          <w:b/>
          <w:bCs/>
          <w:sz w:val="24"/>
          <w:highlight w:val="none"/>
        </w:rPr>
      </w:pPr>
      <w:r>
        <w:rPr>
          <w:highlight w:val="none"/>
        </w:rPr>
      </w:r>
      <w:bookmarkStart w:id="53" w:name="_Toc513029207"/>
      <w:r>
        <w:rPr>
          <w:highlight w:val="none"/>
        </w:rPr>
      </w:r>
      <w:bookmarkStart w:id="54" w:name="_Toc16938523"/>
      <w:r>
        <w:rPr>
          <w:highlight w:val="none"/>
        </w:rPr>
      </w:r>
      <w:bookmarkStart w:id="55" w:name="_Toc462564067"/>
      <w:r>
        <w:rPr>
          <w:highlight w:val="none"/>
        </w:rPr>
      </w:r>
      <w:bookmarkStart w:id="56" w:name="_Toc20823279"/>
      <w:r>
        <w:rPr>
          <w:rFonts w:hint="eastAsia" w:ascii="宋体" w:hAnsi="宋体" w:cs="宋体"/>
          <w:b/>
          <w:bCs/>
          <w:sz w:val="24"/>
          <w:highlight w:val="none"/>
        </w:rPr>
        <w:t xml:space="preserve">4、投标费用</w:t>
      </w:r>
      <w:bookmarkEnd w:id="53"/>
      <w:r>
        <w:rPr>
          <w:highlight w:val="none"/>
        </w:rPr>
      </w:r>
      <w:bookmarkEnd w:id="54"/>
      <w:r>
        <w:rPr>
          <w:highlight w:val="none"/>
        </w:rPr>
      </w:r>
      <w:bookmarkEnd w:id="55"/>
      <w:r>
        <w:rPr>
          <w:highlight w:val="none"/>
        </w:rPr>
      </w:r>
      <w:bookmarkEnd w:id="56"/>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4.1 投标人应自行承担所有与参加投标有关的费用，无论投标过程中的做法和结果如何，</w:t>
      </w:r>
      <w:r>
        <w:rPr>
          <w:rFonts w:hint="eastAsia" w:ascii="宋体" w:hAnsi="宋体" w:cs="宋体"/>
          <w:b/>
          <w:bCs/>
          <w:sz w:val="24"/>
          <w:highlight w:val="none"/>
        </w:rPr>
        <w:t xml:space="preserve">江苏苏豪创新科技集团高科有限公司（以下简称采购代理机构）</w:t>
      </w:r>
      <w:r>
        <w:rPr>
          <w:rFonts w:hint="eastAsia" w:ascii="宋体" w:hAnsi="宋体" w:cs="宋体"/>
          <w:sz w:val="24"/>
          <w:highlight w:val="none"/>
        </w:rPr>
        <w:t xml:space="preserve">在任何情况下均无义务和责任承担这些费用。</w:t>
      </w:r>
      <w:r>
        <w:rPr>
          <w:highlight w:val="none"/>
        </w:rPr>
      </w:r>
    </w:p>
    <w:p>
      <w:pPr>
        <w:ind w:firstLine="480"/>
        <w:rPr>
          <w:rFonts w:ascii="宋体" w:hAnsi="宋体" w:cs="宋体"/>
          <w:b/>
          <w:bCs/>
          <w:color w:val="000000"/>
          <w:sz w:val="24"/>
          <w:highlight w:val="none"/>
        </w:rPr>
      </w:pPr>
      <w:r>
        <w:rPr>
          <w:rFonts w:hint="eastAsia" w:ascii="宋体" w:hAnsi="宋体" w:cs="宋体"/>
          <w:b/>
          <w:bCs/>
          <w:sz w:val="24"/>
          <w:highlight w:val="none"/>
        </w:rPr>
        <w:t xml:space="preserve">4.2 </w:t>
      </w:r>
      <w:r>
        <w:rPr>
          <w:rFonts w:hint="eastAsia" w:ascii="宋体" w:hAnsi="宋体" w:cs="宋体"/>
          <w:b/>
          <w:bCs/>
          <w:color w:val="000000"/>
          <w:sz w:val="24"/>
          <w:highlight w:val="none"/>
        </w:rPr>
        <w:t xml:space="preserve">本项目预算已包含本次招标服务费，故服务费由中标人支付。</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t xml:space="preserve">4.3</w:t>
      </w:r>
      <w:r>
        <w:rPr>
          <w:rFonts w:hint="eastAsia" w:ascii="宋体" w:hAnsi="宋体" w:cs="宋体"/>
          <w:sz w:val="24"/>
          <w:highlight w:val="none"/>
        </w:rPr>
        <w:t xml:space="preserve">本次招标</w:t>
      </w:r>
      <w:r>
        <w:rPr>
          <w:rFonts w:hint="eastAsia" w:ascii="宋体" w:hAnsi="宋体" w:cs="宋体"/>
          <w:b/>
          <w:bCs/>
          <w:sz w:val="24"/>
          <w:highlight w:val="none"/>
        </w:rPr>
        <w:t xml:space="preserve">采购代理机构</w:t>
      </w:r>
      <w:r>
        <w:rPr>
          <w:rFonts w:hint="eastAsia" w:ascii="宋体" w:hAnsi="宋体" w:cs="宋体"/>
          <w:sz w:val="24"/>
          <w:highlight w:val="none"/>
        </w:rPr>
        <w:t xml:space="preserve">不收取标书工本费。</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4</w:t>
      </w:r>
      <w:r>
        <w:rPr>
          <w:rFonts w:hint="eastAsia" w:ascii="宋体" w:hAnsi="宋体" w:cs="宋体"/>
          <w:sz w:val="24"/>
          <w:highlight w:val="none"/>
        </w:rPr>
        <w:t xml:space="preserve"> 招标服务费收费标准：</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.4.1</w:t>
      </w:r>
      <w:r>
        <w:rPr>
          <w:rFonts w:hint="eastAsia" w:ascii="宋体" w:hAnsi="宋体" w:cs="宋体"/>
          <w:sz w:val="24"/>
          <w:highlight w:val="none"/>
        </w:rPr>
        <w:t xml:space="preserve">中标人向采购代理机构支付招标服务费，中标人领取中标通知书前向采购代理机构支付中标服务费，服务费参照国家发展计划委员会计价格（2002）1980号文件招标收费标准的计取，应在领取中标通知书前缴纳。</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t xml:space="preserve">4.4.2</w:t>
      </w:r>
      <w:r>
        <w:rPr>
          <w:rFonts w:hint="eastAsia" w:ascii="宋体" w:hAnsi="宋体" w:cs="宋体"/>
          <w:sz w:val="24"/>
          <w:highlight w:val="none"/>
        </w:rPr>
        <w:t xml:space="preserve">服务费汇款地址：</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开户名：江苏苏豪创新科技集团高科有限公司</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开户行：工行南京市白下支行</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账  号：4301013119100888895</w:t>
      </w:r>
      <w:r>
        <w:rPr>
          <w:highlight w:val="none"/>
        </w:rPr>
      </w:r>
    </w:p>
    <w:p>
      <w:pPr>
        <w:ind w:firstLine="482"/>
        <w:spacing w:line="276" w:lineRule="auto"/>
        <w:rPr>
          <w:rFonts w:ascii="宋体" w:hAnsi="宋体" w:cs="宋体"/>
          <w:b/>
          <w:bCs/>
          <w:sz w:val="24"/>
          <w:highlight w:val="none"/>
        </w:rPr>
      </w:pPr>
      <w:r>
        <w:rPr>
          <w:rFonts w:hint="eastAsia" w:ascii="宋体" w:hAnsi="宋体" w:cs="宋体"/>
          <w:b/>
          <w:bCs/>
          <w:sz w:val="24"/>
          <w:highlight w:val="none"/>
        </w:rPr>
        <w:t xml:space="preserve">5、招标文件的约束力</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5.1 投标人一旦参加本项目采购活动，即被认为接受了本招标文件的规定和约束。</w:t>
      </w:r>
      <w:r>
        <w:rPr>
          <w:highlight w:val="none"/>
        </w:rPr>
      </w:r>
    </w:p>
    <w:p>
      <w:pPr>
        <w:ind w:firstLine="482"/>
        <w:spacing w:line="276" w:lineRule="auto"/>
        <w:rPr>
          <w:rFonts w:ascii="宋体" w:hAnsi="宋体" w:cs="宋体"/>
          <w:b/>
          <w:bCs/>
          <w:sz w:val="24"/>
          <w:highlight w:val="none"/>
        </w:rPr>
      </w:pPr>
      <w:r>
        <w:rPr>
          <w:highlight w:val="none"/>
        </w:rPr>
      </w:r>
      <w:bookmarkStart w:id="57" w:name="_Toc16938525"/>
      <w:r>
        <w:rPr>
          <w:highlight w:val="none"/>
        </w:rPr>
      </w:r>
      <w:bookmarkStart w:id="58" w:name="_Toc120614215"/>
      <w:r>
        <w:rPr>
          <w:highlight w:val="none"/>
        </w:rPr>
      </w:r>
      <w:bookmarkStart w:id="59" w:name="_Toc513029209"/>
      <w:r>
        <w:rPr>
          <w:highlight w:val="none"/>
        </w:rPr>
      </w:r>
      <w:bookmarkStart w:id="60" w:name="_Toc20823281"/>
      <w:r>
        <w:rPr>
          <w:highlight w:val="none"/>
        </w:rPr>
      </w:r>
      <w:r>
        <w:rPr>
          <w:highlight w:val="none"/>
        </w:rPr>
      </w:r>
    </w:p>
    <w:p>
      <w:pPr>
        <w:spacing w:line="276" w:lineRule="auto"/>
        <w:rPr>
          <w:rFonts w:ascii="宋体" w:hAnsi="宋体" w:cs="宋体"/>
          <w:b/>
          <w:bCs/>
          <w:sz w:val="24"/>
          <w:highlight w:val="none"/>
        </w:rPr>
        <w:outlineLvl w:val="1"/>
      </w:pPr>
      <w:r>
        <w:rPr>
          <w:highlight w:val="none"/>
        </w:rPr>
      </w:r>
      <w:bookmarkStart w:id="61" w:name="_Toc238220165"/>
      <w:r>
        <w:rPr>
          <w:highlight w:val="none"/>
        </w:rPr>
      </w:r>
      <w:bookmarkStart w:id="62" w:name="_Toc184129771"/>
      <w:r>
        <w:rPr>
          <w:rFonts w:hint="eastAsia" w:ascii="宋体" w:hAnsi="宋体" w:cs="宋体"/>
          <w:b/>
          <w:bCs/>
          <w:sz w:val="24"/>
          <w:highlight w:val="none"/>
        </w:rPr>
        <w:t xml:space="preserve">二、招标文件</w:t>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63" w:name="_Toc20823282"/>
      <w:r>
        <w:rPr>
          <w:highlight w:val="none"/>
        </w:rPr>
      </w:r>
      <w:bookmarkStart w:id="64" w:name="_Toc513029210"/>
      <w:r>
        <w:rPr>
          <w:highlight w:val="none"/>
        </w:rPr>
      </w:r>
      <w:bookmarkStart w:id="65" w:name="_Toc16938526"/>
      <w:r>
        <w:rPr>
          <w:rFonts w:hint="eastAsia" w:ascii="宋体" w:hAnsi="宋体" w:cs="宋体"/>
          <w:b/>
          <w:bCs/>
          <w:sz w:val="24"/>
          <w:highlight w:val="none"/>
        </w:rPr>
        <w:t xml:space="preserve">6、招标文件构成</w:t>
      </w:r>
      <w:bookmarkEnd w:id="63"/>
      <w:r>
        <w:rPr>
          <w:highlight w:val="none"/>
        </w:rPr>
      </w:r>
      <w:bookmarkEnd w:id="64"/>
      <w:r>
        <w:rPr>
          <w:highlight w:val="none"/>
        </w:rPr>
      </w:r>
      <w:bookmarkEnd w:id="65"/>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6.1 招标文件由以下部分组成：</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（1）投标邀请</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（2）投标人须知</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（3）合同文本</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（4）采购需求</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（5）评标方法与评标标准</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（6）投标文件格式</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请仔细检查招标文件是否齐全，如有缺漏请立即与</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联系解决。</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ind w:firstLine="482"/>
        <w:spacing w:before="161" w:line="276" w:lineRule="auto"/>
        <w:rPr>
          <w:rFonts w:ascii="宋体" w:hAnsi="宋体" w:cs="宋体"/>
          <w:b/>
          <w:bCs/>
          <w:sz w:val="24"/>
          <w:highlight w:val="none"/>
        </w:rPr>
      </w:pPr>
      <w:r>
        <w:rPr>
          <w:highlight w:val="none"/>
        </w:rPr>
      </w:r>
      <w:bookmarkStart w:id="66" w:name="_Toc16938527"/>
      <w:r>
        <w:rPr>
          <w:highlight w:val="none"/>
        </w:rPr>
      </w:r>
      <w:bookmarkStart w:id="67" w:name="_Toc462564070"/>
      <w:r>
        <w:rPr>
          <w:highlight w:val="none"/>
        </w:rPr>
      </w:r>
      <w:bookmarkStart w:id="68" w:name="_Toc513029211"/>
      <w:r>
        <w:rPr>
          <w:highlight w:val="none"/>
        </w:rPr>
      </w:r>
      <w:bookmarkStart w:id="69" w:name="_Toc20823283"/>
      <w:r>
        <w:rPr>
          <w:rFonts w:hint="eastAsia" w:ascii="宋体" w:hAnsi="宋体" w:cs="宋体"/>
          <w:b/>
          <w:bCs/>
          <w:sz w:val="24"/>
          <w:highlight w:val="none"/>
        </w:rPr>
        <w:t xml:space="preserve">7、招标文件的澄清</w:t>
      </w:r>
      <w:bookmarkEnd w:id="66"/>
      <w:r>
        <w:rPr>
          <w:highlight w:val="none"/>
        </w:rPr>
      </w:r>
      <w:bookmarkEnd w:id="67"/>
      <w:r>
        <w:rPr>
          <w:highlight w:val="none"/>
        </w:rPr>
      </w:r>
      <w:bookmarkEnd w:id="68"/>
      <w:r>
        <w:rPr>
          <w:highlight w:val="none"/>
        </w:rPr>
      </w:r>
      <w:bookmarkEnd w:id="69"/>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7.1 任何要求对招标文件进行澄清的投标人，应在投标截止期十日前按招标公告中的通讯地址，以书面形式通知</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w:t>
      </w:r>
      <w:r>
        <w:rPr>
          <w:highlight w:val="none"/>
        </w:rPr>
      </w:r>
    </w:p>
    <w:p>
      <w:pPr>
        <w:ind w:firstLine="482"/>
        <w:spacing w:before="161" w:line="276" w:lineRule="auto"/>
        <w:rPr>
          <w:rFonts w:ascii="宋体" w:hAnsi="宋体" w:cs="宋体"/>
          <w:b/>
          <w:bCs/>
          <w:sz w:val="24"/>
          <w:highlight w:val="none"/>
        </w:rPr>
      </w:pPr>
      <w:r>
        <w:rPr>
          <w:highlight w:val="none"/>
        </w:rPr>
      </w:r>
      <w:bookmarkStart w:id="70" w:name="_Toc20823284"/>
      <w:r>
        <w:rPr>
          <w:highlight w:val="none"/>
        </w:rPr>
      </w:r>
      <w:bookmarkStart w:id="71" w:name="_Toc513029212"/>
      <w:r>
        <w:rPr>
          <w:highlight w:val="none"/>
        </w:rPr>
      </w:r>
      <w:bookmarkStart w:id="72" w:name="_Toc16938528"/>
      <w:r>
        <w:rPr>
          <w:highlight w:val="none"/>
        </w:rPr>
      </w:r>
      <w:bookmarkStart w:id="73" w:name="_Toc462564071"/>
      <w:r>
        <w:rPr>
          <w:rFonts w:hint="eastAsia" w:ascii="宋体" w:hAnsi="宋体" w:cs="宋体"/>
          <w:b/>
          <w:bCs/>
          <w:sz w:val="24"/>
          <w:highlight w:val="none"/>
        </w:rPr>
        <w:t xml:space="preserve">8、招标文件的修改</w:t>
      </w:r>
      <w:bookmarkEnd w:id="70"/>
      <w:r>
        <w:rPr>
          <w:highlight w:val="none"/>
        </w:rPr>
      </w:r>
      <w:bookmarkEnd w:id="71"/>
      <w:r>
        <w:rPr>
          <w:highlight w:val="none"/>
        </w:rPr>
      </w:r>
      <w:bookmarkEnd w:id="72"/>
      <w:r>
        <w:rPr>
          <w:highlight w:val="none"/>
        </w:rPr>
      </w:r>
      <w:bookmarkEnd w:id="73"/>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8.1 在投标截止时间前，</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可以对招标文件进行修改。</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8.2 </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有权按照法定的要求推迟投标截止日期和开标日期。</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8.3 招标文件的修改将在江苏政府采购网公布，补充文件将作为招标文件的组成部分，并对投标人具有约束力。</w:t>
      </w:r>
      <w:r>
        <w:rPr>
          <w:highlight w:val="none"/>
        </w:rPr>
      </w:r>
    </w:p>
    <w:p>
      <w:pPr>
        <w:ind w:firstLine="480"/>
        <w:spacing w:line="276" w:lineRule="auto"/>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spacing w:line="276" w:lineRule="auto"/>
        <w:rPr>
          <w:rFonts w:ascii="宋体" w:hAnsi="宋体" w:cs="宋体"/>
          <w:b/>
          <w:bCs/>
          <w:sz w:val="24"/>
          <w:highlight w:val="none"/>
        </w:rPr>
        <w:outlineLvl w:val="1"/>
      </w:pPr>
      <w:r>
        <w:rPr>
          <w:highlight w:val="none"/>
        </w:rPr>
      </w:r>
      <w:bookmarkStart w:id="74" w:name="_Toc184129772"/>
      <w:r>
        <w:rPr>
          <w:highlight w:val="none"/>
        </w:rPr>
      </w:r>
      <w:bookmarkStart w:id="75" w:name="_Toc513029213"/>
      <w:r>
        <w:rPr>
          <w:highlight w:val="none"/>
        </w:rPr>
      </w:r>
      <w:bookmarkStart w:id="76" w:name="_Toc16938529"/>
      <w:r>
        <w:rPr>
          <w:highlight w:val="none"/>
        </w:rPr>
      </w:r>
      <w:bookmarkStart w:id="77" w:name="_Toc120614216"/>
      <w:r>
        <w:rPr>
          <w:highlight w:val="none"/>
        </w:rPr>
      </w:r>
      <w:bookmarkStart w:id="78" w:name="_Toc238220166"/>
      <w:r>
        <w:rPr>
          <w:highlight w:val="none"/>
        </w:rPr>
      </w:r>
      <w:bookmarkStart w:id="79" w:name="_Toc462564072"/>
      <w:r>
        <w:rPr>
          <w:highlight w:val="none"/>
        </w:rPr>
      </w:r>
      <w:bookmarkStart w:id="80" w:name="_Toc20823285"/>
      <w:r>
        <w:rPr>
          <w:rFonts w:hint="eastAsia" w:ascii="宋体" w:hAnsi="宋体" w:cs="宋体"/>
          <w:b/>
          <w:bCs/>
          <w:sz w:val="24"/>
          <w:highlight w:val="none"/>
        </w:rPr>
        <w:t xml:space="preserve">三、投标文件的编制</w:t>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End w:id="80"/>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81" w:name="_Toc462564073"/>
      <w:r>
        <w:rPr>
          <w:highlight w:val="none"/>
        </w:rPr>
      </w:r>
      <w:bookmarkStart w:id="82" w:name="_Toc16938530"/>
      <w:r>
        <w:rPr>
          <w:highlight w:val="none"/>
        </w:rPr>
      </w:r>
      <w:bookmarkStart w:id="83" w:name="_Toc513029214"/>
      <w:r>
        <w:rPr>
          <w:highlight w:val="none"/>
        </w:rPr>
      </w:r>
      <w:bookmarkStart w:id="84" w:name="_Toc20823286"/>
      <w:r>
        <w:rPr>
          <w:rFonts w:hint="eastAsia" w:ascii="宋体" w:hAnsi="宋体" w:cs="宋体"/>
          <w:b/>
          <w:bCs/>
          <w:sz w:val="24"/>
          <w:highlight w:val="none"/>
        </w:rPr>
        <w:t xml:space="preserve">9、投标文件的语言及度量衡单位</w:t>
      </w:r>
      <w:bookmarkEnd w:id="81"/>
      <w:r>
        <w:rPr>
          <w:highlight w:val="none"/>
        </w:rPr>
      </w:r>
      <w:bookmarkEnd w:id="82"/>
      <w:r>
        <w:rPr>
          <w:highlight w:val="none"/>
        </w:rPr>
      </w:r>
      <w:bookmarkEnd w:id="83"/>
      <w:r>
        <w:rPr>
          <w:highlight w:val="none"/>
        </w:rPr>
      </w:r>
      <w:bookmarkEnd w:id="84"/>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9.1 投标人提交的投标文件以及投标人与</w:t>
      </w:r>
      <w:r>
        <w:rPr>
          <w:rFonts w:hint="eastAsia" w:ascii="宋体" w:hAnsi="宋体" w:cs="宋体"/>
          <w:sz w:val="24"/>
          <w:highlight w:val="none"/>
          <w:u w:val="single"/>
        </w:rPr>
        <w:t xml:space="preserve">采购代理机构</w:t>
      </w:r>
      <w:r>
        <w:rPr>
          <w:rFonts w:hint="eastAsia" w:ascii="宋体" w:hAnsi="宋体" w:cs="宋体"/>
          <w:sz w:val="24"/>
          <w:highlight w:val="none"/>
        </w:rPr>
        <w:t xml:space="preserve">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9.2 除技术性能另有规定外，投标文件所使用的度量衡单位，均须采用国家法定计量单位。</w:t>
      </w:r>
      <w:r>
        <w:rPr>
          <w:highlight w:val="none"/>
        </w:rPr>
      </w:r>
    </w:p>
    <w:p>
      <w:pPr>
        <w:ind w:firstLine="482"/>
        <w:spacing w:before="161" w:line="276" w:lineRule="auto"/>
        <w:rPr>
          <w:rFonts w:ascii="宋体" w:hAnsi="宋体" w:cs="宋体"/>
          <w:b/>
          <w:bCs/>
          <w:sz w:val="24"/>
          <w:highlight w:val="none"/>
        </w:rPr>
      </w:pPr>
      <w:r>
        <w:rPr>
          <w:highlight w:val="none"/>
        </w:rPr>
      </w:r>
      <w:bookmarkStart w:id="85" w:name="_Toc513029215"/>
      <w:r>
        <w:rPr>
          <w:highlight w:val="none"/>
        </w:rPr>
      </w:r>
      <w:bookmarkStart w:id="86" w:name="_Toc16938531"/>
      <w:r>
        <w:rPr>
          <w:highlight w:val="none"/>
        </w:rPr>
      </w:r>
      <w:bookmarkStart w:id="87" w:name="_Toc20823287"/>
      <w:r>
        <w:rPr>
          <w:highlight w:val="none"/>
        </w:rPr>
      </w:r>
      <w:bookmarkStart w:id="88" w:name="_Toc462564074"/>
      <w:r>
        <w:rPr>
          <w:rFonts w:hint="eastAsia" w:ascii="宋体" w:hAnsi="宋体" w:cs="宋体"/>
          <w:b/>
          <w:bCs/>
          <w:sz w:val="24"/>
          <w:highlight w:val="none"/>
        </w:rPr>
        <w:t xml:space="preserve">10、投标文件构成</w:t>
      </w:r>
      <w:bookmarkEnd w:id="85"/>
      <w:r>
        <w:rPr>
          <w:highlight w:val="none"/>
        </w:rPr>
      </w:r>
      <w:bookmarkEnd w:id="86"/>
      <w:r>
        <w:rPr>
          <w:highlight w:val="none"/>
        </w:rPr>
      </w:r>
      <w:bookmarkEnd w:id="87"/>
      <w:r>
        <w:rPr>
          <w:highlight w:val="none"/>
        </w:rPr>
      </w:r>
      <w:bookmarkEnd w:id="88"/>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10.1 投标人编写的投标文件应包括资格证明文件、符合性证明文件、投标分项报价表、维保服务要求响应及偏离表、商务要求响应及偏离表、其他证明文件、投标函、开标一览表等部分。</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10.2 如标书制作工具中格式和内容与“江苏政府采购网”发布的招标文件不一致，请以“江苏政府采购网”发布的招标文件为准。</w:t>
      </w:r>
      <w:r>
        <w:rPr>
          <w:highlight w:val="none"/>
        </w:rPr>
      </w:r>
    </w:p>
    <w:p>
      <w:pPr>
        <w:ind w:firstLine="482"/>
        <w:spacing w:before="161" w:line="276" w:lineRule="auto"/>
        <w:rPr>
          <w:rFonts w:ascii="宋体" w:hAnsi="宋体" w:cs="宋体"/>
          <w:b/>
          <w:bCs/>
          <w:sz w:val="24"/>
          <w:highlight w:val="none"/>
        </w:rPr>
      </w:pPr>
      <w:r>
        <w:rPr>
          <w:highlight w:val="none"/>
        </w:rPr>
      </w:r>
      <w:bookmarkStart w:id="89" w:name="_Hlt26670360"/>
      <w:r>
        <w:rPr>
          <w:highlight w:val="none"/>
        </w:rPr>
      </w:r>
      <w:bookmarkEnd w:id="89"/>
      <w:r>
        <w:rPr>
          <w:highlight w:val="none"/>
        </w:rPr>
      </w:r>
      <w:bookmarkStart w:id="90" w:name="_Hlt26954838"/>
      <w:r>
        <w:rPr>
          <w:highlight w:val="none"/>
        </w:rPr>
      </w:r>
      <w:bookmarkEnd w:id="90"/>
      <w:r>
        <w:rPr>
          <w:highlight w:val="none"/>
        </w:rPr>
      </w:r>
      <w:bookmarkStart w:id="91" w:name="_Hlt26668975"/>
      <w:r>
        <w:rPr>
          <w:highlight w:val="none"/>
        </w:rPr>
      </w:r>
      <w:bookmarkEnd w:id="91"/>
      <w:r>
        <w:rPr>
          <w:highlight w:val="none"/>
        </w:rPr>
      </w:r>
      <w:bookmarkStart w:id="92" w:name="_Toc14577357"/>
      <w:r>
        <w:rPr>
          <w:highlight w:val="none"/>
        </w:rPr>
      </w:r>
      <w:bookmarkStart w:id="93" w:name="_Toc49090509"/>
      <w:r>
        <w:rPr>
          <w:highlight w:val="none"/>
        </w:rPr>
      </w:r>
      <w:bookmarkStart w:id="94" w:name="_Toc513029219"/>
      <w:r>
        <w:rPr>
          <w:highlight w:val="none"/>
        </w:rPr>
      </w:r>
      <w:bookmarkStart w:id="95" w:name="_Toc513029216"/>
      <w:r>
        <w:rPr>
          <w:highlight w:val="none"/>
        </w:rPr>
      </w:r>
      <w:bookmarkStart w:id="96" w:name="_Toc14577354"/>
      <w:r>
        <w:rPr>
          <w:highlight w:val="none"/>
        </w:rPr>
      </w:r>
      <w:bookmarkStart w:id="97" w:name="_Toc49090507"/>
      <w:r>
        <w:rPr>
          <w:highlight w:val="none"/>
        </w:rPr>
      </w:r>
      <w:bookmarkStart w:id="98" w:name="_Toc14577355"/>
      <w:r>
        <w:rPr>
          <w:highlight w:val="none"/>
        </w:rPr>
      </w:r>
      <w:bookmarkStart w:id="99" w:name="_Toc49090508"/>
      <w:r>
        <w:rPr>
          <w:rFonts w:hint="eastAsia" w:ascii="宋体" w:hAnsi="宋体" w:cs="宋体"/>
          <w:b/>
          <w:bCs/>
          <w:sz w:val="24"/>
          <w:highlight w:val="none"/>
        </w:rPr>
        <w:t xml:space="preserve">11、证明投标人及投标标的符合招标文件规定的文件</w:t>
      </w:r>
      <w:bookmarkEnd w:id="92"/>
      <w:r>
        <w:rPr>
          <w:highlight w:val="none"/>
        </w:rPr>
      </w:r>
      <w:bookmarkEnd w:id="93"/>
      <w:r>
        <w:rPr>
          <w:highlight w:val="none"/>
        </w:rPr>
      </w:r>
      <w:bookmarkEnd w:id="94"/>
      <w:r>
        <w:rPr>
          <w:highlight w:val="none"/>
        </w:rPr>
      </w:r>
      <w:bookmarkEnd w:id="95"/>
      <w:r>
        <w:rPr>
          <w:highlight w:val="none"/>
        </w:rPr>
      </w:r>
      <w:bookmarkEnd w:id="96"/>
      <w:r>
        <w:rPr>
          <w:highlight w:val="none"/>
        </w:rPr>
      </w:r>
      <w:bookmarkEnd w:id="97"/>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11.1 投标人应按照招标文件要求提交证明文件，证明其及投标标的符合招标文件规定。</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bookmarkEnd w:id="98"/>
      <w:r>
        <w:rPr>
          <w:highlight w:val="none"/>
        </w:rPr>
      </w:r>
      <w:bookmarkEnd w:id="99"/>
      <w:r>
        <w:rPr>
          <w:highlight w:val="none"/>
        </w:rPr>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12、投标分项报价表</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12.1 投标人应按照招标文件规定格式填报投标分项报价表。</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rPr>
          <w:highlight w:val="none"/>
        </w:rPr>
      </w:r>
    </w:p>
    <w:p>
      <w:pPr>
        <w:ind w:firstLine="482"/>
        <w:spacing w:before="161" w:line="276" w:lineRule="auto"/>
        <w:rPr>
          <w:rFonts w:ascii="宋体" w:hAnsi="宋体" w:cs="宋体"/>
          <w:b/>
          <w:bCs/>
          <w:sz w:val="24"/>
          <w:highlight w:val="none"/>
        </w:rPr>
      </w:pPr>
      <w:r>
        <w:rPr>
          <w:highlight w:val="none"/>
        </w:rPr>
      </w:r>
      <w:bookmarkStart w:id="100" w:name="_Hlt26670486"/>
      <w:r>
        <w:rPr>
          <w:highlight w:val="none"/>
        </w:rPr>
      </w:r>
      <w:bookmarkEnd w:id="100"/>
      <w:r>
        <w:rPr>
          <w:highlight w:val="none"/>
        </w:rPr>
      </w:r>
      <w:bookmarkStart w:id="101" w:name="_Hlt26670482"/>
      <w:r>
        <w:rPr>
          <w:highlight w:val="none"/>
        </w:rPr>
      </w:r>
      <w:bookmarkEnd w:id="101"/>
      <w:r>
        <w:rPr>
          <w:highlight w:val="none"/>
        </w:rPr>
      </w:r>
      <w:bookmarkStart w:id="102" w:name="_Hlt26954846"/>
      <w:r>
        <w:rPr>
          <w:highlight w:val="none"/>
        </w:rPr>
      </w:r>
      <w:bookmarkEnd w:id="102"/>
      <w:r>
        <w:rPr>
          <w:highlight w:val="none"/>
        </w:rPr>
      </w:r>
      <w:bookmarkStart w:id="103" w:name="_Hlt26954848"/>
      <w:r>
        <w:rPr>
          <w:highlight w:val="none"/>
        </w:rPr>
      </w:r>
      <w:bookmarkEnd w:id="103"/>
      <w:r>
        <w:rPr>
          <w:highlight w:val="none"/>
        </w:rPr>
      </w:r>
      <w:bookmarkStart w:id="104" w:name="_Hlt26954731"/>
      <w:r>
        <w:rPr>
          <w:highlight w:val="none"/>
        </w:rPr>
      </w:r>
      <w:bookmarkEnd w:id="104"/>
      <w:r>
        <w:rPr>
          <w:rFonts w:hint="eastAsia" w:ascii="宋体" w:hAnsi="宋体" w:cs="宋体"/>
          <w:b/>
          <w:bCs/>
          <w:sz w:val="24"/>
          <w:highlight w:val="none"/>
        </w:rPr>
        <w:t xml:space="preserve">13、维保服务要求响应及偏离表、商务要求响应及偏离表</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lang w:val="zh-CN"/>
        </w:rPr>
        <w:t xml:space="preserve">13.1 投标人需对招标文件中的维保服务要求与商务要求逐项作出响应或偏离，并说明原因。</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lang w:val="zh-CN"/>
        </w:rPr>
        <w:t xml:space="preserve">13.2 投标人可在投标文件中提供认为需要的其他技术文件或说明。</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14、服务承诺、培训计划、人员安排及其他</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14.2 投标人需根据招标文件要求提供培训计划。</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14.3 投标人需根据招标文件要求提供</w:t>
      </w:r>
      <w:r>
        <w:rPr>
          <w:rFonts w:hint="eastAsia" w:ascii="宋体" w:hAnsi="宋体" w:cs="宋体"/>
          <w:sz w:val="24"/>
          <w:highlight w:val="none"/>
          <w:lang w:val="zh-CN"/>
        </w:rPr>
        <w:t xml:space="preserve">所投标的的主要组成部分、功能设计、实现思路及关键技术等。</w:t>
      </w:r>
      <w:r>
        <w:rPr>
          <w:highlight w:val="none"/>
        </w:rPr>
      </w:r>
    </w:p>
    <w:p>
      <w:pPr>
        <w:ind w:firstLine="482"/>
        <w:spacing w:before="161" w:line="276" w:lineRule="auto"/>
        <w:rPr>
          <w:rFonts w:ascii="宋体" w:hAnsi="宋体" w:cs="宋体"/>
          <w:b/>
          <w:bCs/>
          <w:sz w:val="24"/>
          <w:highlight w:val="none"/>
        </w:rPr>
      </w:pPr>
      <w:r>
        <w:rPr>
          <w:highlight w:val="none"/>
        </w:rPr>
      </w:r>
      <w:bookmarkStart w:id="105" w:name="_Toc49090510"/>
      <w:r>
        <w:rPr>
          <w:highlight w:val="none"/>
        </w:rPr>
      </w:r>
      <w:bookmarkStart w:id="106" w:name="_Toc14577359"/>
      <w:r>
        <w:rPr>
          <w:rFonts w:hint="eastAsia" w:ascii="宋体" w:hAnsi="宋体" w:cs="宋体"/>
          <w:b/>
          <w:bCs/>
          <w:sz w:val="24"/>
          <w:highlight w:val="none"/>
        </w:rPr>
        <w:t xml:space="preserve">15、投标函和开标一览表</w:t>
      </w:r>
      <w:r>
        <w:rPr>
          <w:highlight w:val="none"/>
        </w:rPr>
      </w:r>
    </w:p>
    <w:p>
      <w:pPr>
        <w:ind w:firstLine="480"/>
        <w:rPr>
          <w:rFonts w:ascii="宋体" w:hAnsi="宋体" w:cs="宋体"/>
          <w:sz w:val="24"/>
          <w:highlight w:val="none"/>
        </w:rPr>
      </w:pPr>
      <w:r>
        <w:rPr>
          <w:rFonts w:hint="eastAsia" w:ascii="宋体" w:hAnsi="宋体" w:cs="宋体"/>
          <w:sz w:val="24"/>
          <w:highlight w:val="none"/>
        </w:rPr>
        <w:t xml:space="preserve">15.1 投标人应按照招标文件中提供的格式完整、正确填写投标函、开标一览表。</w:t>
      </w:r>
      <w:r>
        <w:rPr>
          <w:highlight w:val="none"/>
        </w:rPr>
      </w:r>
    </w:p>
    <w:p>
      <w:pPr>
        <w:ind w:firstLine="480"/>
        <w:rPr>
          <w:sz w:val="24"/>
          <w:highlight w:val="none"/>
        </w:rPr>
      </w:pPr>
      <w:r>
        <w:rPr>
          <w:rFonts w:hint="eastAsia" w:ascii="宋体" w:hAnsi="宋体" w:cs="宋体"/>
          <w:sz w:val="24"/>
          <w:highlight w:val="none"/>
        </w:rPr>
        <w:t xml:space="preserve">1</w:t>
      </w:r>
      <w:r>
        <w:rPr>
          <w:rFonts w:ascii="宋体" w:hAnsi="宋体" w:cs="宋体"/>
          <w:sz w:val="24"/>
          <w:highlight w:val="none"/>
        </w:rPr>
        <w:t xml:space="preserve">5.2</w:t>
      </w:r>
      <w:r>
        <w:rPr>
          <w:rFonts w:hint="eastAsia" w:ascii="宋体" w:hAnsi="宋体" w:cs="宋体"/>
          <w:sz w:val="24"/>
          <w:highlight w:val="none"/>
        </w:rPr>
        <w:t xml:space="preserve">对于采用货币报价的项目，开标一览表中的投标总报价应与投标分项报价表中的投</w:t>
      </w:r>
      <w:r>
        <w:rPr>
          <w:rFonts w:hint="eastAsia"/>
          <w:sz w:val="24"/>
          <w:highlight w:val="none"/>
        </w:rPr>
        <w:t xml:space="preserve">标总报价一致，如不一致，不作为无效投标处理，但评标时按开标一览表中价格为准。</w:t>
      </w:r>
      <w:bookmarkEnd w:id="105"/>
      <w:r>
        <w:rPr>
          <w:highlight w:val="none"/>
        </w:rPr>
      </w:r>
      <w:bookmarkEnd w:id="106"/>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107" w:name="_Toc49090511"/>
      <w:r>
        <w:rPr>
          <w:highlight w:val="none"/>
        </w:rPr>
      </w:r>
      <w:bookmarkStart w:id="108" w:name="_Toc14577360"/>
      <w:r>
        <w:rPr>
          <w:rFonts w:hint="eastAsia" w:ascii="宋体" w:hAnsi="宋体" w:cs="宋体"/>
          <w:b/>
          <w:bCs/>
          <w:sz w:val="24"/>
          <w:highlight w:val="none"/>
        </w:rPr>
        <w:t xml:space="preserve">16、投标有效期</w:t>
      </w:r>
      <w:bookmarkEnd w:id="107"/>
      <w:r>
        <w:rPr>
          <w:highlight w:val="none"/>
        </w:rPr>
      </w:r>
      <w:bookmarkEnd w:id="108"/>
      <w:r>
        <w:rPr>
          <w:highlight w:val="none"/>
        </w:rPr>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16.1投标有效期为采购代理机构规定的开标之日后九</w:t>
      </w:r>
      <w:r>
        <w:rPr>
          <w:rFonts w:hint="eastAsia" w:ascii="仿宋_GB2312" w:hAnsi="仿宋_GB2312"/>
          <w:b/>
          <w:color w:val="000000"/>
          <w:sz w:val="24"/>
          <w:szCs w:val="21"/>
          <w:highlight w:val="none"/>
          <w:u w:val="single"/>
        </w:rPr>
        <w:t xml:space="preserve">十（</w:t>
      </w:r>
      <w:r>
        <w:rPr>
          <w:rFonts w:ascii="仿宋_GB2312" w:hAnsi="仿宋_GB2312"/>
          <w:b/>
          <w:color w:val="000000"/>
          <w:sz w:val="24"/>
          <w:szCs w:val="21"/>
          <w:highlight w:val="none"/>
          <w:u w:val="single"/>
        </w:rPr>
        <w:t xml:space="preserve">90</w:t>
      </w:r>
      <w:r>
        <w:rPr>
          <w:rFonts w:hint="eastAsia" w:ascii="仿宋_GB2312" w:hAnsi="仿宋_GB2312"/>
          <w:b/>
          <w:color w:val="000000"/>
          <w:sz w:val="24"/>
          <w:szCs w:val="21"/>
          <w:highlight w:val="none"/>
          <w:u w:val="single"/>
        </w:rPr>
        <w:t xml:space="preserve">）天</w:t>
      </w:r>
      <w:r>
        <w:rPr>
          <w:rFonts w:hint="eastAsia" w:ascii="宋体" w:hAnsi="宋体"/>
          <w:bCs/>
          <w:color w:val="000000"/>
          <w:sz w:val="24"/>
          <w:szCs w:val="21"/>
          <w:highlight w:val="none"/>
        </w:rPr>
        <w:t xml:space="preserve">。投标有效期比规定短的将被视为未实质性响应招标文件而予以拒绝。</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17、投标有效期的延长</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highlight w:val="none"/>
        </w:rPr>
      </w:r>
    </w:p>
    <w:p>
      <w:pPr>
        <w:ind w:firstLine="480"/>
        <w:spacing w:line="276" w:lineRule="auto"/>
        <w:rPr>
          <w:rFonts w:ascii="宋体" w:hAnsi="宋体"/>
          <w:bCs/>
          <w:color w:val="000000"/>
          <w:sz w:val="24"/>
          <w:szCs w:val="21"/>
          <w:highlight w:val="none"/>
        </w:rPr>
      </w:pPr>
      <w:r>
        <w:rPr>
          <w:rFonts w:ascii="宋体" w:hAnsi="宋体"/>
          <w:bCs/>
          <w:color w:val="000000"/>
          <w:sz w:val="24"/>
          <w:szCs w:val="21"/>
          <w:highlight w:val="none"/>
        </w:rPr>
      </w:r>
      <w:r>
        <w:rPr>
          <w:highlight w:val="none"/>
        </w:rPr>
      </w:r>
    </w:p>
    <w:p>
      <w:pPr>
        <w:spacing w:line="276" w:lineRule="auto"/>
        <w:rPr>
          <w:rFonts w:ascii="宋体" w:hAnsi="宋体" w:cs="宋体"/>
          <w:b/>
          <w:bCs/>
          <w:sz w:val="24"/>
          <w:highlight w:val="none"/>
        </w:rPr>
        <w:outlineLvl w:val="1"/>
      </w:pPr>
      <w:r>
        <w:rPr>
          <w:highlight w:val="none"/>
        </w:rPr>
      </w:r>
      <w:bookmarkStart w:id="109" w:name="_Hlt26954852"/>
      <w:r>
        <w:rPr>
          <w:highlight w:val="none"/>
        </w:rPr>
      </w:r>
      <w:bookmarkEnd w:id="109"/>
      <w:r>
        <w:rPr>
          <w:highlight w:val="none"/>
        </w:rPr>
      </w:r>
      <w:bookmarkStart w:id="110" w:name="_Hlt26954739"/>
      <w:r>
        <w:rPr>
          <w:highlight w:val="none"/>
        </w:rPr>
      </w:r>
      <w:bookmarkEnd w:id="110"/>
      <w:r>
        <w:rPr>
          <w:highlight w:val="none"/>
        </w:rPr>
      </w:r>
      <w:bookmarkStart w:id="111" w:name="_Toc238220167"/>
      <w:r>
        <w:rPr>
          <w:highlight w:val="none"/>
        </w:rPr>
      </w:r>
      <w:bookmarkStart w:id="112" w:name="_Toc120614217"/>
      <w:r>
        <w:rPr>
          <w:highlight w:val="none"/>
        </w:rPr>
      </w:r>
      <w:bookmarkStart w:id="113" w:name="_Toc184129773"/>
      <w:r>
        <w:rPr>
          <w:highlight w:val="none"/>
        </w:rPr>
      </w:r>
      <w:bookmarkStart w:id="114" w:name="_Toc20823296"/>
      <w:r>
        <w:rPr>
          <w:highlight w:val="none"/>
        </w:rPr>
      </w:r>
      <w:bookmarkStart w:id="115" w:name="_Toc513029224"/>
      <w:r>
        <w:rPr>
          <w:highlight w:val="none"/>
        </w:rPr>
      </w:r>
      <w:bookmarkStart w:id="116" w:name="_Toc16938540"/>
      <w:r>
        <w:rPr>
          <w:rFonts w:hint="eastAsia" w:ascii="宋体" w:hAnsi="宋体" w:cs="宋体"/>
          <w:b/>
          <w:bCs/>
          <w:sz w:val="24"/>
          <w:highlight w:val="none"/>
        </w:rPr>
        <w:t xml:space="preserve">四、投标文件的递交</w:t>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117" w:name="_Toc16938541"/>
      <w:r>
        <w:rPr>
          <w:highlight w:val="none"/>
        </w:rPr>
      </w:r>
      <w:bookmarkStart w:id="118" w:name="_Toc462564084"/>
      <w:r>
        <w:rPr>
          <w:highlight w:val="none"/>
        </w:rPr>
      </w:r>
      <w:bookmarkStart w:id="119" w:name="_Toc513029225"/>
      <w:r>
        <w:rPr>
          <w:highlight w:val="none"/>
        </w:rPr>
      </w:r>
      <w:bookmarkStart w:id="120" w:name="_Toc20823297"/>
      <w:r>
        <w:rPr>
          <w:rFonts w:hint="eastAsia" w:ascii="宋体" w:hAnsi="宋体" w:cs="宋体"/>
          <w:b/>
          <w:bCs/>
          <w:sz w:val="24"/>
          <w:highlight w:val="none"/>
        </w:rPr>
        <w:t xml:space="preserve">18、电子投标文件</w:t>
      </w:r>
      <w:bookmarkEnd w:id="117"/>
      <w:r>
        <w:rPr>
          <w:highlight w:val="none"/>
        </w:rPr>
      </w:r>
      <w:bookmarkEnd w:id="118"/>
      <w:r>
        <w:rPr>
          <w:highlight w:val="none"/>
        </w:rPr>
      </w:r>
      <w:bookmarkEnd w:id="119"/>
      <w:r>
        <w:rPr>
          <w:highlight w:val="none"/>
        </w:rPr>
      </w:r>
      <w:bookmarkEnd w:id="120"/>
      <w:r>
        <w:rPr>
          <w:rFonts w:hint="eastAsia" w:ascii="宋体" w:hAnsi="宋体" w:cs="宋体"/>
          <w:b/>
          <w:bCs/>
          <w:sz w:val="24"/>
          <w:highlight w:val="none"/>
        </w:rPr>
        <w:t xml:space="preserve">的递交</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18.1投标人应当按照《操作手册》规定，在投标截止时间前制作并上传电子投标文件。</w:t>
      </w:r>
      <w:bookmarkStart w:id="121" w:name="_Toc513029226"/>
      <w:r>
        <w:rPr>
          <w:highlight w:val="none"/>
        </w:rPr>
      </w:r>
      <w:bookmarkStart w:id="122" w:name="_Toc16938542"/>
      <w:r>
        <w:rPr>
          <w:highlight w:val="none"/>
        </w:rPr>
      </w:r>
      <w:bookmarkStart w:id="123" w:name="_Toc20823298"/>
      <w:r>
        <w:rPr>
          <w:highlight w:val="none"/>
        </w:rPr>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19、投标截止日期</w:t>
      </w:r>
      <w:bookmarkEnd w:id="121"/>
      <w:r>
        <w:rPr>
          <w:highlight w:val="none"/>
        </w:rPr>
      </w:r>
      <w:bookmarkEnd w:id="122"/>
      <w:r>
        <w:rPr>
          <w:highlight w:val="none"/>
        </w:rPr>
      </w:r>
      <w:bookmarkEnd w:id="123"/>
      <w:r>
        <w:rPr>
          <w:highlight w:val="none"/>
        </w:rPr>
      </w:r>
      <w:r>
        <w:rPr>
          <w:highlight w:val="none"/>
        </w:rPr>
      </w:r>
    </w:p>
    <w:p>
      <w:pPr>
        <w:ind w:firstLine="482"/>
        <w:spacing w:line="276" w:lineRule="auto"/>
        <w:rPr>
          <w:rFonts w:ascii="宋体" w:hAnsi="宋体"/>
          <w:b/>
          <w:bCs/>
          <w:color w:val="000000"/>
          <w:sz w:val="24"/>
          <w:szCs w:val="21"/>
          <w:highlight w:val="none"/>
        </w:rPr>
      </w:pPr>
      <w:r>
        <w:rPr>
          <w:rFonts w:hint="eastAsia" w:ascii="宋体" w:hAnsi="宋体"/>
          <w:b/>
          <w:bCs/>
          <w:color w:val="000000"/>
          <w:sz w:val="24"/>
          <w:szCs w:val="21"/>
          <w:highlight w:val="none"/>
        </w:rPr>
        <w:t xml:space="preserve">19.1 投标人上传电子投标文件的时间不得迟于招标公告中规定的投标截止时间。</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w:t>
      </w:r>
      <w:r>
        <w:rPr>
          <w:rFonts w:hint="eastAsia" w:ascii="宋体" w:hAnsi="宋体"/>
          <w:b/>
          <w:bCs/>
          <w:color w:val="000000"/>
          <w:sz w:val="24"/>
          <w:szCs w:val="21"/>
          <w:highlight w:val="none"/>
        </w:rPr>
        <w:t xml:space="preserve">27.1.2条规定做无效投标处理</w:t>
      </w:r>
      <w:r>
        <w:rPr>
          <w:rFonts w:hint="eastAsia" w:ascii="宋体" w:hAnsi="宋体"/>
          <w:bCs/>
          <w:color w:val="000000"/>
          <w:sz w:val="24"/>
          <w:szCs w:val="21"/>
          <w:highlight w:val="none"/>
        </w:rPr>
        <w:t xml:space="preserve">。</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19.2 </w:t>
      </w:r>
      <w:r>
        <w:rPr>
          <w:rFonts w:hint="eastAsia" w:ascii="宋体" w:hAnsi="宋体"/>
          <w:bCs/>
          <w:color w:val="000000"/>
          <w:sz w:val="24"/>
          <w:szCs w:val="21"/>
          <w:highlight w:val="none"/>
          <w:u w:val="single"/>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p>
    <w:p>
      <w:pPr>
        <w:ind w:firstLine="482"/>
        <w:spacing w:before="161" w:line="276" w:lineRule="auto"/>
        <w:rPr>
          <w:rFonts w:ascii="宋体" w:hAnsi="宋体" w:cs="宋体"/>
          <w:b/>
          <w:bCs/>
          <w:sz w:val="24"/>
          <w:highlight w:val="none"/>
        </w:rPr>
      </w:pPr>
      <w:r>
        <w:rPr>
          <w:highlight w:val="none"/>
        </w:rPr>
      </w:r>
      <w:bookmarkStart w:id="124" w:name="_Toc513029227"/>
      <w:r>
        <w:rPr>
          <w:highlight w:val="none"/>
        </w:rPr>
      </w:r>
      <w:bookmarkStart w:id="125" w:name="_Toc16938543"/>
      <w:r>
        <w:rPr>
          <w:highlight w:val="none"/>
        </w:rPr>
      </w:r>
      <w:bookmarkStart w:id="126" w:name="_Toc20823299"/>
      <w:r>
        <w:rPr>
          <w:rFonts w:hint="eastAsia" w:ascii="宋体" w:hAnsi="宋体" w:cs="宋体"/>
          <w:b/>
          <w:bCs/>
          <w:sz w:val="24"/>
          <w:highlight w:val="none"/>
        </w:rPr>
        <w:t xml:space="preserve">20、投标文件</w:t>
      </w:r>
      <w:bookmarkEnd w:id="124"/>
      <w:r>
        <w:rPr>
          <w:highlight w:val="none"/>
        </w:rPr>
      </w:r>
      <w:bookmarkEnd w:id="125"/>
      <w:r>
        <w:rPr>
          <w:highlight w:val="none"/>
        </w:rPr>
      </w:r>
      <w:bookmarkEnd w:id="126"/>
      <w:r>
        <w:rPr>
          <w:rFonts w:hint="eastAsia" w:ascii="宋体" w:hAnsi="宋体" w:cs="宋体"/>
          <w:b/>
          <w:bCs/>
          <w:sz w:val="24"/>
          <w:highlight w:val="none"/>
        </w:rPr>
        <w:t xml:space="preserve">的拒收</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20.1 采购代理机构拒绝接收在其规定的投标截止时间后上传的任何投标文件。</w:t>
      </w:r>
      <w:r>
        <w:rPr>
          <w:highlight w:val="none"/>
        </w:rPr>
      </w:r>
    </w:p>
    <w:p>
      <w:pPr>
        <w:ind w:firstLine="482"/>
        <w:spacing w:before="161" w:line="276" w:lineRule="auto"/>
        <w:rPr>
          <w:rFonts w:ascii="宋体" w:hAnsi="宋体" w:cs="宋体"/>
          <w:b/>
          <w:bCs/>
          <w:sz w:val="24"/>
          <w:highlight w:val="none"/>
        </w:rPr>
      </w:pPr>
      <w:r>
        <w:rPr>
          <w:highlight w:val="none"/>
        </w:rPr>
      </w:r>
      <w:bookmarkStart w:id="127" w:name="_Toc20823300"/>
      <w:r>
        <w:rPr>
          <w:highlight w:val="none"/>
        </w:rPr>
      </w:r>
      <w:bookmarkStart w:id="128" w:name="_Toc16938544"/>
      <w:r>
        <w:rPr>
          <w:highlight w:val="none"/>
        </w:rPr>
      </w:r>
      <w:bookmarkStart w:id="129" w:name="_Toc513029228"/>
      <w:r>
        <w:rPr>
          <w:rFonts w:hint="eastAsia" w:ascii="宋体" w:hAnsi="宋体" w:cs="宋体"/>
          <w:b/>
          <w:bCs/>
          <w:sz w:val="24"/>
          <w:highlight w:val="none"/>
        </w:rPr>
        <w:t xml:space="preserve">21、投标文件的撤回和修改</w:t>
      </w:r>
      <w:bookmarkEnd w:id="127"/>
      <w:r>
        <w:rPr>
          <w:highlight w:val="none"/>
        </w:rPr>
      </w:r>
      <w:bookmarkEnd w:id="128"/>
      <w:r>
        <w:rPr>
          <w:highlight w:val="none"/>
        </w:rPr>
      </w:r>
      <w:bookmarkEnd w:id="129"/>
      <w:r>
        <w:rPr>
          <w:highlight w:val="none"/>
        </w:rPr>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 投标文件的撤回</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21.1.1 电子投标文件的撤回</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投标人可在投标截止时间前，撤回其电子投标文件，具体操作方法见《操作手册》。</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21.1.2 投标人撤回电子投标文件，则认为其不再参与本项目投标活动。</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 投标文件的修改</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21.2.1投标人可在投标截止时间前，对其电子投标文件进行修改，具体操作方法见《操作手册》。</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21.2.2 在投标截止时间之后，投标人不得对其电子投标文件作任何修改。</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21.3 在投标截止时间至招标文件中规定的投标有效期满之间的这段时间内，投标人不得撤回其投标。</w:t>
      </w:r>
      <w:r>
        <w:rPr>
          <w:highlight w:val="none"/>
        </w:rPr>
      </w:r>
    </w:p>
    <w:p>
      <w:pPr>
        <w:spacing w:line="276" w:lineRule="auto"/>
        <w:rPr>
          <w:rFonts w:ascii="宋体" w:hAnsi="宋体" w:cs="宋体"/>
          <w:b/>
          <w:bCs/>
          <w:sz w:val="24"/>
          <w:highlight w:val="none"/>
        </w:rPr>
      </w:pPr>
      <w:r>
        <w:rPr>
          <w:highlight w:val="none"/>
        </w:rPr>
      </w:r>
      <w:bookmarkStart w:id="130" w:name="_Toc16938545"/>
      <w:r>
        <w:rPr>
          <w:highlight w:val="none"/>
        </w:rPr>
      </w:r>
      <w:bookmarkStart w:id="131" w:name="_Toc513029229"/>
      <w:r>
        <w:rPr>
          <w:highlight w:val="none"/>
        </w:rPr>
      </w:r>
      <w:bookmarkStart w:id="132" w:name="_Toc120614218"/>
      <w:r>
        <w:rPr>
          <w:highlight w:val="none"/>
        </w:rPr>
      </w:r>
      <w:bookmarkStart w:id="133" w:name="_Toc20823301"/>
      <w:r>
        <w:rPr>
          <w:highlight w:val="none"/>
        </w:rPr>
      </w:r>
      <w:r>
        <w:rPr>
          <w:highlight w:val="none"/>
        </w:rPr>
      </w:r>
    </w:p>
    <w:p>
      <w:pPr>
        <w:spacing w:line="276" w:lineRule="auto"/>
        <w:rPr>
          <w:rFonts w:ascii="宋体" w:hAnsi="宋体" w:cs="宋体"/>
          <w:b/>
          <w:bCs/>
          <w:sz w:val="24"/>
          <w:highlight w:val="none"/>
        </w:rPr>
        <w:outlineLvl w:val="1"/>
      </w:pPr>
      <w:r>
        <w:rPr>
          <w:highlight w:val="none"/>
        </w:rPr>
      </w:r>
      <w:bookmarkStart w:id="134" w:name="_Toc238220168"/>
      <w:r>
        <w:rPr>
          <w:highlight w:val="none"/>
        </w:rPr>
      </w:r>
      <w:bookmarkStart w:id="135" w:name="_Toc184129774"/>
      <w:r>
        <w:rPr>
          <w:rFonts w:hint="eastAsia" w:ascii="宋体" w:hAnsi="宋体" w:cs="宋体"/>
          <w:b/>
          <w:bCs/>
          <w:sz w:val="24"/>
          <w:highlight w:val="none"/>
        </w:rPr>
        <w:t xml:space="preserve">五、开标与评标</w:t>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136" w:name="_Toc513029230"/>
      <w:r>
        <w:rPr>
          <w:highlight w:val="none"/>
        </w:rPr>
      </w:r>
      <w:bookmarkStart w:id="137" w:name="_Toc16938546"/>
      <w:r>
        <w:rPr>
          <w:highlight w:val="none"/>
        </w:rPr>
      </w:r>
      <w:bookmarkStart w:id="138" w:name="_Toc20823302"/>
      <w:r>
        <w:rPr>
          <w:rFonts w:hint="eastAsia" w:ascii="宋体" w:hAnsi="宋体" w:cs="宋体"/>
          <w:b/>
          <w:bCs/>
          <w:sz w:val="24"/>
          <w:highlight w:val="none"/>
        </w:rPr>
        <w:t xml:space="preserve">22、开标</w:t>
      </w:r>
      <w:bookmarkEnd w:id="136"/>
      <w:r>
        <w:rPr>
          <w:highlight w:val="none"/>
        </w:rPr>
      </w:r>
      <w:bookmarkEnd w:id="137"/>
      <w:r>
        <w:rPr>
          <w:highlight w:val="none"/>
        </w:rPr>
      </w:r>
      <w:bookmarkEnd w:id="138"/>
      <w:r>
        <w:rPr>
          <w:highlight w:val="none"/>
        </w:rPr>
      </w:r>
      <w:r>
        <w:rPr>
          <w:highlight w:val="none"/>
        </w:rPr>
      </w:r>
    </w:p>
    <w:p>
      <w:pPr>
        <w:ind w:firstLine="480"/>
        <w:spacing w:line="276"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ascii="宋体" w:hAnsi="宋体"/>
          <w:color w:val="000000" w:themeColor="text1"/>
          <w:sz w:val="24"/>
          <w:highlight w:val="none"/>
          <w14:textFill>
            <w14:solidFill>
              <w14:schemeClr w14:val="tx1"/>
            </w14:solidFill>
          </w14:textFill>
        </w:rPr>
        <w:t xml:space="preserve">。投标人应当按照《操作手册》规定，</w:t>
      </w:r>
      <w:r>
        <w:rPr>
          <w:rFonts w:ascii="宋体" w:hAnsi="宋体"/>
          <w:color w:val="000000" w:themeColor="text1"/>
          <w:sz w:val="24"/>
          <w:highlight w:val="none"/>
          <w14:textFill>
            <w14:solidFill>
              <w14:schemeClr w14:val="tx1"/>
            </w14:solidFill>
          </w14:textFill>
        </w:rPr>
        <w:t xml:space="preserve">参加开标活动</w:t>
      </w:r>
      <w:r>
        <w:rPr>
          <w:rFonts w:hint="eastAsia" w:ascii="宋体" w:hAnsi="宋体"/>
          <w:color w:val="000000" w:themeColor="text1"/>
          <w:sz w:val="24"/>
          <w:highlight w:val="none"/>
          <w14:textFill>
            <w14:solidFill>
              <w14:schemeClr w14:val="tx1"/>
            </w14:solidFill>
          </w14:textFill>
        </w:rPr>
        <w:t xml:space="preserve">和在苏采云系统规定的时间内对投标文件进行解密。</w:t>
      </w:r>
      <w:r>
        <w:rPr>
          <w:highlight w:val="none"/>
        </w:rP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 </w:t>
      </w:r>
      <w:r>
        <w:rPr>
          <w:rFonts w:hint="eastAsia" w:ascii="宋体" w:hAnsi="宋体"/>
          <w:color w:val="000000" w:themeColor="text1"/>
          <w:sz w:val="24"/>
          <w:highlight w:val="none"/>
          <w14:textFill>
            <w14:solidFill>
              <w14:schemeClr w14:val="tx1"/>
            </w14:solidFill>
          </w14:textFill>
        </w:rPr>
        <w:t xml:space="preserve">开标仪式由采购代理机构组织。苏采云系统将自动对</w:t>
      </w:r>
      <w:r>
        <w:rPr>
          <w:rFonts w:ascii="宋体" w:hAnsi="宋体"/>
          <w:color w:val="000000" w:themeColor="text1"/>
          <w:sz w:val="24"/>
          <w:highlight w:val="none"/>
          <w14:textFill>
            <w14:solidFill>
              <w14:schemeClr w14:val="tx1"/>
            </w14:solidFill>
          </w14:textFill>
        </w:rPr>
        <w:t xml:space="preserve">项目进行开标，</w:t>
      </w:r>
      <w:r>
        <w:rPr>
          <w:rFonts w:hint="eastAsia" w:ascii="宋体" w:hAnsi="宋体"/>
          <w:color w:val="000000" w:themeColor="text1"/>
          <w:sz w:val="24"/>
          <w:highlight w:val="none"/>
          <w14:textFill>
            <w14:solidFill>
              <w14:schemeClr w14:val="tx1"/>
            </w14:solidFill>
          </w14:textFill>
        </w:rPr>
        <w:t xml:space="preserve">并宣布各投标人名称和投标价格。</w:t>
      </w:r>
      <w:r>
        <w:rPr>
          <w:highlight w:val="none"/>
        </w:rP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.3 投标人在开标过程中涉及到的投标文件解密、开标结果确认等工作，应按照《操作手册》规定执行。</w:t>
      </w:r>
      <w:r>
        <w:rPr>
          <w:highlight w:val="none"/>
        </w:rP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 投标人如果对开标过程和开标记录有疑义，应当根据《操作手册》规定提出，如 苏采云系统中《开标记录表》宣布后5分钟内未提出的，视同认可开标结果。</w:t>
      </w:r>
      <w:r>
        <w:rPr>
          <w:highlight w:val="none"/>
        </w:rPr>
      </w:r>
    </w:p>
    <w:p>
      <w:pPr>
        <w:ind w:firstLine="482"/>
        <w:spacing w:before="161" w:line="276" w:lineRule="auto"/>
        <w:rPr>
          <w:rFonts w:ascii="宋体" w:hAnsi="宋体" w:cs="宋体"/>
          <w:b/>
          <w:bCs/>
          <w:sz w:val="24"/>
          <w:highlight w:val="none"/>
        </w:rPr>
      </w:pPr>
      <w:r>
        <w:rPr>
          <w:highlight w:val="none"/>
        </w:rPr>
      </w:r>
      <w:bookmarkStart w:id="139" w:name="_Toc20823303"/>
      <w:r>
        <w:rPr>
          <w:highlight w:val="none"/>
        </w:rPr>
      </w:r>
      <w:bookmarkStart w:id="140" w:name="_Toc513029231"/>
      <w:r>
        <w:rPr>
          <w:highlight w:val="none"/>
        </w:rPr>
      </w:r>
      <w:bookmarkStart w:id="141" w:name="_Toc16938547"/>
      <w:r>
        <w:rPr>
          <w:rFonts w:hint="eastAsia" w:ascii="宋体" w:hAnsi="宋体" w:cs="宋体"/>
          <w:b/>
          <w:bCs/>
          <w:sz w:val="24"/>
          <w:highlight w:val="none"/>
        </w:rPr>
        <w:t xml:space="preserve">23、评标委员会</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开标后，采购代理机构将立即组织评标委员会（以下简称评委会）进行评标。</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.3评委会独立工作，负责评审所有投标文件并确定中标候选人。</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24．评标过程的保密与公正</w:t>
      </w:r>
      <w:bookmarkEnd w:id="139"/>
      <w:r>
        <w:rPr>
          <w:highlight w:val="none"/>
        </w:rPr>
      </w:r>
      <w:bookmarkEnd w:id="140"/>
      <w:r>
        <w:rPr>
          <w:highlight w:val="none"/>
        </w:rPr>
      </w:r>
      <w:bookmarkEnd w:id="141"/>
      <w:r>
        <w:rPr>
          <w:highlight w:val="none"/>
        </w:rPr>
      </w:r>
      <w:r>
        <w:rPr>
          <w:highlight w:val="none"/>
        </w:rP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凡是与审查、澄清、评价和比较投标的有关资料以及授标建议等，采购人、评委、采购代理机构均不得向投标人或与评标无关的其他人员透露。</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w:t>
      </w:r>
      <w:r>
        <w:rPr>
          <w:rFonts w:hint="eastAsia" w:ascii="宋体" w:hAnsi="宋体"/>
          <w:color w:val="000000"/>
          <w:sz w:val="24"/>
          <w:highlight w:val="none"/>
        </w:rPr>
        <w:t xml:space="preserve">在评标过程中，投标人不得以任何行为影响评标过程，否则其投标文件将被作为无效投标文件。</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采购代理机构和评标委员会不向未中标的投标人解释未中标原因，也不公布评标过程中的相关细节。</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w:t>
      </w:r>
      <w:r>
        <w:rPr>
          <w:rFonts w:hint="eastAsia" w:ascii="宋体" w:hAnsi="宋体"/>
          <w:color w:val="ff0000"/>
          <w:sz w:val="24"/>
          <w:highlight w:val="none"/>
        </w:rPr>
        <w:t xml:space="preserve">苏采云系统</w:t>
      </w:r>
      <w:r>
        <w:rPr>
          <w:rFonts w:hint="eastAsia" w:ascii="宋体" w:hAnsi="宋体"/>
          <w:color w:val="000000"/>
          <w:sz w:val="24"/>
          <w:highlight w:val="none"/>
        </w:rPr>
        <w:t xml:space="preserve">查看自己的评审得分及排序情况。</w:t>
      </w:r>
      <w:r>
        <w:rPr>
          <w:highlight w:val="none"/>
        </w:rPr>
      </w:r>
    </w:p>
    <w:p>
      <w:pPr>
        <w:ind w:firstLine="482"/>
        <w:spacing w:before="161" w:line="276" w:lineRule="auto"/>
        <w:rPr>
          <w:rFonts w:ascii="宋体" w:hAnsi="宋体" w:cs="宋体"/>
          <w:b/>
          <w:bCs/>
          <w:sz w:val="24"/>
          <w:highlight w:val="none"/>
        </w:rPr>
      </w:pPr>
      <w:r>
        <w:rPr>
          <w:highlight w:val="none"/>
        </w:rPr>
      </w:r>
      <w:bookmarkStart w:id="142" w:name="_Toc16938548"/>
      <w:r>
        <w:rPr>
          <w:highlight w:val="none"/>
        </w:rPr>
      </w:r>
      <w:bookmarkStart w:id="143" w:name="_Toc20823304"/>
      <w:r>
        <w:rPr>
          <w:highlight w:val="none"/>
        </w:rPr>
      </w:r>
      <w:bookmarkStart w:id="144" w:name="_Toc513029232"/>
      <w:r>
        <w:rPr>
          <w:rFonts w:hint="eastAsia" w:ascii="宋体" w:hAnsi="宋体" w:cs="宋体"/>
          <w:b/>
          <w:bCs/>
          <w:sz w:val="24"/>
          <w:highlight w:val="none"/>
        </w:rPr>
        <w:t xml:space="preserve">25．投标文件的澄清</w:t>
      </w:r>
      <w:bookmarkEnd w:id="142"/>
      <w:r>
        <w:rPr>
          <w:highlight w:val="none"/>
        </w:rPr>
      </w:r>
      <w:bookmarkEnd w:id="143"/>
      <w:r>
        <w:rPr>
          <w:highlight w:val="none"/>
        </w:rPr>
      </w:r>
      <w:bookmarkEnd w:id="144"/>
      <w:r>
        <w:rPr>
          <w:highlight w:val="none"/>
        </w:rPr>
      </w:r>
      <w:r>
        <w:rPr>
          <w:highlight w:val="none"/>
        </w:rPr>
      </w:r>
    </w:p>
    <w:p>
      <w:pPr>
        <w:ind w:firstLine="480"/>
        <w:spacing w:line="276" w:lineRule="auto"/>
        <w:rPr>
          <w:rFonts w:ascii="宋体" w:hAnsi="宋体"/>
          <w:color w:val="000000"/>
          <w:sz w:val="24"/>
          <w:highlight w:val="none"/>
        </w:rPr>
      </w:pPr>
      <w:r>
        <w:rPr>
          <w:highlight w:val="none"/>
        </w:rPr>
      </w:r>
      <w:bookmarkStart w:id="145" w:name="_Toc20823305"/>
      <w:r>
        <w:rPr>
          <w:highlight w:val="none"/>
        </w:rPr>
      </w:r>
      <w:bookmarkStart w:id="146" w:name="_Toc513029233"/>
      <w:r>
        <w:rPr>
          <w:highlight w:val="none"/>
        </w:rPr>
      </w:r>
      <w:bookmarkStart w:id="147" w:name="_Toc16938549"/>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w:t>
      </w:r>
      <w:r>
        <w:rPr>
          <w:rFonts w:hint="eastAsia" w:ascii="宋体" w:hAnsi="宋体"/>
          <w:color w:val="ff0000"/>
          <w:sz w:val="24"/>
          <w:highlight w:val="none"/>
        </w:rPr>
        <w:t xml:space="preserve">苏采云系统</w:t>
      </w:r>
      <w:r>
        <w:rPr>
          <w:rFonts w:hint="eastAsia" w:ascii="宋体" w:hAnsi="宋体"/>
          <w:color w:val="000000"/>
          <w:sz w:val="24"/>
          <w:highlight w:val="none"/>
        </w:rPr>
        <w:t xml:space="preserve">向供应商发出“澄清要求函”，接到“澄清要求函”的投标人应当按照要求在</w:t>
      </w:r>
      <w:r>
        <w:rPr>
          <w:rFonts w:hint="eastAsia" w:ascii="宋体" w:hAnsi="宋体"/>
          <w:color w:val="ff0000"/>
          <w:sz w:val="24"/>
          <w:highlight w:val="none"/>
        </w:rPr>
        <w:t xml:space="preserve">苏采云系统</w:t>
      </w:r>
      <w:r>
        <w:rPr>
          <w:rFonts w:hint="eastAsia" w:ascii="宋体" w:hAnsi="宋体"/>
          <w:color w:val="000000"/>
          <w:sz w:val="24"/>
          <w:highlight w:val="none"/>
        </w:rPr>
        <w:t xml:space="preserve">中提交“澄清响应函”并加盖CA电子公章。澄清、说明和补正的内容作为投标文件的补充部分，具体操作方式见《操作手册》。</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26、对投标文件的初审</w:t>
      </w:r>
      <w:bookmarkEnd w:id="145"/>
      <w:r>
        <w:rPr>
          <w:highlight w:val="none"/>
        </w:rPr>
      </w:r>
      <w:bookmarkEnd w:id="146"/>
      <w:r>
        <w:rPr>
          <w:highlight w:val="none"/>
        </w:rPr>
      </w:r>
      <w:bookmarkEnd w:id="147"/>
      <w:r>
        <w:rPr>
          <w:highlight w:val="none"/>
        </w:rPr>
      </w:r>
      <w:r>
        <w:rPr>
          <w:highlight w:val="none"/>
        </w:rP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 </w:t>
      </w:r>
      <w:r>
        <w:rPr>
          <w:rFonts w:hint="eastAsia" w:ascii="宋体" w:hAnsi="宋体"/>
          <w:bCs/>
          <w:color w:val="000000"/>
          <w:sz w:val="24"/>
          <w:szCs w:val="21"/>
          <w:highlight w:val="none"/>
        </w:rPr>
        <w:t xml:space="preserve">投标文件初审分为资格审查和符合性审查。</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highlight w:val="none"/>
        </w:rPr>
      </w:r>
    </w:p>
    <w:p>
      <w:pPr>
        <w:ind w:firstLine="482"/>
        <w:spacing w:line="276" w:lineRule="auto"/>
        <w:rPr>
          <w:rFonts w:ascii="宋体" w:hAnsi="宋体"/>
          <w:b/>
          <w:bCs/>
          <w:color w:val="000000"/>
          <w:sz w:val="24"/>
          <w:szCs w:val="21"/>
          <w:highlight w:val="none"/>
        </w:rPr>
      </w:pPr>
      <w:r>
        <w:rPr>
          <w:rFonts w:hint="eastAsia" w:ascii="宋体" w:hAnsi="宋体"/>
          <w:b/>
          <w:bCs/>
          <w:color w:val="000000"/>
          <w:sz w:val="24"/>
          <w:szCs w:val="21"/>
          <w:highlight w:val="none"/>
        </w:rPr>
        <w:t xml:space="preserve">采购人在进行资格性审查的同时，将在“信用中国”网站（www.creditchina.gov.cn）查询投标人的信用记录，以确定投标人是否具备投标资格。</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未通过资格审查或符合性审查的投标人，采购代理机构将在</w:t>
      </w:r>
      <w:r>
        <w:rPr>
          <w:rFonts w:hint="eastAsia" w:ascii="宋体" w:hAnsi="宋体"/>
          <w:color w:val="ff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spacing w:line="276" w:lineRule="auto"/>
        <w:rPr>
          <w:rFonts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highlight w:val="none"/>
        </w:rP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highlight w:val="none"/>
        </w:rPr>
      </w:r>
    </w:p>
    <w:p>
      <w:pPr>
        <w:ind w:firstLine="480"/>
        <w:spacing w:line="276"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（3） 单价金额小数点或者百分比有明显错位的，以开标一览表的总价为准，并修改单价。</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sz w:val="24"/>
          <w:szCs w:val="21"/>
          <w:highlight w:val="none"/>
        </w:rPr>
        <w:t xml:space="preserve">同时出现两种以上错误的，按照前款规定的顺序修正。</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rPr>
          <w:highlight w:val="none"/>
        </w:rPr>
      </w:r>
    </w:p>
    <w:p>
      <w:pPr>
        <w:ind w:firstLine="480"/>
        <w:spacing w:line="276" w:lineRule="auto"/>
        <w:rPr>
          <w:rFonts w:ascii="宋体" w:hAnsi="宋体"/>
          <w:color w:val="000000"/>
          <w:sz w:val="24"/>
          <w:szCs w:val="21"/>
          <w:highlight w:val="none"/>
        </w:rPr>
      </w:pPr>
      <w:r>
        <w:rPr>
          <w:highlight w:val="none"/>
        </w:rPr>
      </w:r>
      <w:bookmarkStart w:id="148" w:name="_Toc513029234"/>
      <w:r>
        <w:rPr>
          <w:highlight w:val="none"/>
        </w:rPr>
      </w:r>
      <w:bookmarkStart w:id="149" w:name="_Toc16938550"/>
      <w:r>
        <w:rPr>
          <w:highlight w:val="none"/>
        </w:rPr>
      </w:r>
      <w:bookmarkStart w:id="150"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highlight w:val="none"/>
        </w:rPr>
      </w:r>
    </w:p>
    <w:p>
      <w:pPr>
        <w:ind w:firstLine="480"/>
        <w:spacing w:line="276" w:lineRule="auto"/>
        <w:rPr>
          <w:rFonts w:ascii="宋体" w:hAnsi="宋体"/>
          <w:color w:val="000000" w:themeColor="text1"/>
          <w:sz w:val="24"/>
          <w:szCs w:val="21"/>
          <w:highlight w:val="none"/>
          <w14:textFill>
            <w14:solidFill>
              <w14:schemeClr w14:val="tx1"/>
            </w14:solidFill>
          </w14:textFill>
        </w:rPr>
      </w:pPr>
      <w:r>
        <w:rPr>
          <w:rFonts w:ascii="宋体" w:hAnsi="宋体"/>
          <w:color w:val="000000"/>
          <w:sz w:val="24"/>
          <w:szCs w:val="21"/>
          <w:highlight w:val="none"/>
        </w:rPr>
        <w:t xml:space="preserve">使用综合评分法的采购项目，提供相同品牌产品且通过资格审查、符合性审查的不</w:t>
      </w:r>
      <w:r>
        <w:rPr>
          <w:rFonts w:ascii="宋体" w:hAnsi="宋体"/>
          <w:color w:val="000000" w:themeColor="text1"/>
          <w:sz w:val="24"/>
          <w:szCs w:val="21"/>
          <w:highlight w:val="none"/>
          <w14:textFill>
            <w14:solidFill>
              <w14:schemeClr w14:val="tx1"/>
            </w14:solidFill>
          </w14:textFill>
        </w:rPr>
        <w:t xml:space="preserve">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rPr>
          <w:highlight w:val="none"/>
        </w:rPr>
      </w:r>
    </w:p>
    <w:p>
      <w:pPr>
        <w:ind w:firstLine="480"/>
        <w:spacing w:line="276" w:lineRule="auto"/>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w:t>
      </w:r>
      <w:r>
        <w:rPr>
          <w:rFonts w:ascii="宋体" w:hAnsi="宋体"/>
          <w:color w:val="000000"/>
          <w:sz w:val="24"/>
          <w:szCs w:val="21"/>
          <w:highlight w:val="none"/>
        </w:rPr>
        <w:t xml:space="preserve">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并安排专人与采购代理机构及评标委员会联系。</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27、</w:t>
      </w:r>
      <w:bookmarkEnd w:id="148"/>
      <w:r>
        <w:rPr>
          <w:highlight w:val="none"/>
        </w:rPr>
      </w:r>
      <w:bookmarkEnd w:id="149"/>
      <w:r>
        <w:rPr>
          <w:highlight w:val="none"/>
        </w:rPr>
      </w:r>
      <w:bookmarkEnd w:id="150"/>
      <w:r>
        <w:rPr>
          <w:rFonts w:hint="eastAsia" w:ascii="宋体" w:hAnsi="宋体" w:cs="宋体"/>
          <w:b/>
          <w:bCs/>
          <w:sz w:val="24"/>
          <w:highlight w:val="none"/>
        </w:rPr>
        <w:t xml:space="preserve">无效投标条款和废标条款</w:t>
      </w:r>
      <w:r>
        <w:rPr>
          <w:highlight w:val="none"/>
        </w:rPr>
      </w:r>
    </w:p>
    <w:p>
      <w:pPr>
        <w:ind w:firstLine="480"/>
        <w:spacing w:line="276" w:lineRule="auto"/>
        <w:rPr>
          <w:rFonts w:ascii="宋体" w:hAnsi="宋体"/>
          <w:bCs/>
          <w:color w:val="000000"/>
          <w:sz w:val="24"/>
          <w:szCs w:val="21"/>
          <w:highlight w:val="none"/>
        </w:rPr>
      </w:pPr>
      <w:r>
        <w:rPr>
          <w:highlight w:val="none"/>
        </w:rPr>
      </w:r>
      <w:bookmarkStart w:id="151" w:name="_Toc20823307"/>
      <w:r>
        <w:rPr>
          <w:highlight w:val="none"/>
        </w:rPr>
      </w:r>
      <w:bookmarkStart w:id="152" w:name="_Toc513029235"/>
      <w:r>
        <w:rPr>
          <w:highlight w:val="none"/>
        </w:rPr>
      </w:r>
      <w:bookmarkStart w:id="153"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 无效投标条款</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bCs/>
          <w:color w:val="000000" w:themeColor="text1"/>
          <w:sz w:val="24"/>
          <w:szCs w:val="21"/>
          <w:highlight w:val="none"/>
          <w14:textFill>
            <w14:solidFill>
              <w14:schemeClr w14:val="tx1"/>
            </w14:solidFill>
          </w14:textFill>
        </w:rPr>
        <w:t xml:space="preserve">1 投标人在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sz w:val="24"/>
          <w:szCs w:val="21"/>
          <w:highlight w:val="none"/>
        </w:rPr>
        <w:t xml:space="preserve">规定的时间内未成功解密电子投标文件的。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 投标人不具备招标文件中规定资格要求的。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 投标人的报价超过了采购预算或最高限价的。</w:t>
      </w:r>
      <w:r>
        <w:rPr>
          <w:highlight w:val="none"/>
        </w:rPr>
      </w:r>
    </w:p>
    <w:p>
      <w:pPr>
        <w:ind w:firstLine="480"/>
        <w:spacing w:line="276" w:lineRule="auto"/>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 未通过符合性审查的。</w:t>
      </w:r>
      <w:r>
        <w:rPr>
          <w:highlight w:val="none"/>
        </w:rPr>
      </w:r>
    </w:p>
    <w:p>
      <w:pPr>
        <w:ind w:firstLine="480"/>
        <w:spacing w:line="276" w:lineRule="auto"/>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highlight w:val="none"/>
        </w:rPr>
      </w:r>
    </w:p>
    <w:p>
      <w:pPr>
        <w:ind w:firstLine="480"/>
        <w:rPr>
          <w:rFonts w:hint="eastAsia" w:ascii="宋体" w:hAnsi="宋体" w:cs="宋体"/>
          <w:color w:val="ff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cs="宋体"/>
          <w:color w:val="ff0000"/>
          <w:sz w:val="24"/>
          <w:highlight w:val="none"/>
        </w:rPr>
        <w:t xml:space="preserve">评审过程中出现下列情形之一的，评审委员会应当启动异常低价投标（响应）审查程序：</w:t>
      </w:r>
      <w:r>
        <w:rPr>
          <w:highlight w:val="none"/>
        </w:rP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（3）投标（响应）报价低于采购项目最高限价45%的，即投标（响应）报价＜采购项目最高限价×45%；</w:t>
      </w:r>
      <w:r>
        <w:rPr>
          <w:highlight w:val="none"/>
        </w:rPr>
      </w:r>
    </w:p>
    <w:p>
      <w:pPr>
        <w:ind w:firstLine="480"/>
        <w:rPr>
          <w:rFonts w:hint="eastAsia" w:ascii="宋体" w:hAnsi="宋体" w:cs="宋体"/>
          <w:color w:val="ff0000"/>
          <w:sz w:val="24"/>
          <w:highlight w:val="none"/>
        </w:rPr>
      </w:pPr>
      <w:r>
        <w:rPr>
          <w:rFonts w:hint="eastAsia" w:ascii="宋体" w:hAnsi="宋体" w:cs="宋体"/>
          <w:color w:val="ff0000"/>
          <w:sz w:val="24"/>
          <w:highlight w:val="none"/>
        </w:rPr>
        <w:t xml:space="preserve">（4）评审委员会基于专业判断，认为供应商报价过低，有可能影响产品质量或者不能诚信履约的其他情形。</w:t>
      </w:r>
      <w:r>
        <w:rPr>
          <w:highlight w:val="none"/>
        </w:rPr>
      </w:r>
    </w:p>
    <w:p>
      <w:pPr>
        <w:ind w:firstLine="480"/>
        <w:rPr>
          <w:rFonts w:hint="eastAsia"/>
          <w:color w:val="ff0000"/>
          <w:highlight w:val="none"/>
        </w:rPr>
      </w:pPr>
      <w:r>
        <w:rPr>
          <w:rFonts w:hint="eastAsia" w:ascii="宋体" w:hAnsi="宋体" w:cs="宋体"/>
          <w:color w:val="ff0000"/>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其他法律、法规及本招标文件规定的属无效投标的情形。</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废标条款</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 符合专业条件的供应商或者对招标文件作实质响应的供应商不足三家的。</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 因重大变故，采购任务取消的。</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 评标委员会认定招标文件存在歧义、重大缺陷导致评审工作无法进行。</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rPr>
          <w:highlight w:val="none"/>
        </w:rPr>
      </w:r>
    </w:p>
    <w:p>
      <w:pPr>
        <w:ind w:firstLine="480"/>
        <w:spacing w:line="276" w:lineRule="auto"/>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 如出现投标截止时间结束后参加投标的供应商或者在评标期间对招标文件做出实质响应的供应商不足三家情况，按政府采购相关规定执行。</w:t>
      </w:r>
      <w:r>
        <w:rPr>
          <w:highlight w:val="none"/>
        </w:rPr>
      </w:r>
    </w:p>
    <w:p>
      <w:pPr>
        <w:spacing w:line="276" w:lineRule="auto"/>
        <w:rPr>
          <w:rFonts w:ascii="宋体" w:hAnsi="宋体" w:cs="宋体"/>
          <w:b/>
          <w:bCs/>
          <w:sz w:val="24"/>
          <w:highlight w:val="none"/>
        </w:rPr>
      </w:pPr>
      <w:r>
        <w:rPr>
          <w:highlight w:val="none"/>
        </w:rPr>
      </w:r>
      <w:bookmarkStart w:id="154" w:name="_Toc120614219"/>
      <w:r>
        <w:rPr>
          <w:highlight w:val="none"/>
        </w:rPr>
      </w:r>
      <w:r>
        <w:rPr>
          <w:highlight w:val="none"/>
        </w:rPr>
      </w:r>
    </w:p>
    <w:p>
      <w:pPr>
        <w:spacing w:line="276" w:lineRule="auto"/>
        <w:rPr>
          <w:rFonts w:ascii="宋体" w:hAnsi="宋体" w:cs="宋体"/>
          <w:b/>
          <w:bCs/>
          <w:sz w:val="24"/>
          <w:highlight w:val="none"/>
        </w:rPr>
        <w:outlineLvl w:val="1"/>
      </w:pPr>
      <w:r>
        <w:rPr>
          <w:highlight w:val="none"/>
        </w:rPr>
      </w:r>
      <w:bookmarkStart w:id="155" w:name="_Toc184129775"/>
      <w:r>
        <w:rPr>
          <w:highlight w:val="none"/>
        </w:rPr>
      </w:r>
      <w:bookmarkStart w:id="156" w:name="_Toc238220169"/>
      <w:r>
        <w:rPr>
          <w:rFonts w:hint="eastAsia" w:ascii="宋体" w:hAnsi="宋体" w:cs="宋体"/>
          <w:b/>
          <w:bCs/>
          <w:sz w:val="24"/>
          <w:highlight w:val="none"/>
        </w:rPr>
        <w:t xml:space="preserve">六、</w:t>
      </w:r>
      <w:bookmarkEnd w:id="151"/>
      <w:r>
        <w:rPr>
          <w:highlight w:val="none"/>
        </w:rPr>
      </w:r>
      <w:bookmarkEnd w:id="152"/>
      <w:r>
        <w:rPr>
          <w:highlight w:val="none"/>
        </w:rPr>
      </w:r>
      <w:bookmarkEnd w:id="153"/>
      <w:r>
        <w:rPr>
          <w:rFonts w:hint="eastAsia" w:ascii="宋体" w:hAnsi="宋体" w:cs="宋体"/>
          <w:b/>
          <w:bCs/>
          <w:sz w:val="24"/>
          <w:highlight w:val="none"/>
        </w:rPr>
        <w:t xml:space="preserve">定标</w:t>
      </w:r>
      <w:bookmarkEnd w:id="154"/>
      <w:r>
        <w:rPr>
          <w:highlight w:val="none"/>
        </w:rPr>
      </w:r>
      <w:bookmarkEnd w:id="155"/>
      <w:r>
        <w:rPr>
          <w:highlight w:val="none"/>
        </w:rPr>
      </w:r>
      <w:bookmarkEnd w:id="156"/>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157" w:name="_Toc513029238"/>
      <w:r>
        <w:rPr>
          <w:highlight w:val="none"/>
        </w:rPr>
      </w:r>
      <w:bookmarkStart w:id="158" w:name="_Toc20823310"/>
      <w:r>
        <w:rPr>
          <w:highlight w:val="none"/>
        </w:rPr>
      </w:r>
      <w:bookmarkStart w:id="159" w:name="_Toc16938554"/>
      <w:r>
        <w:rPr>
          <w:rFonts w:hint="eastAsia" w:ascii="宋体" w:hAnsi="宋体" w:cs="宋体"/>
          <w:b/>
          <w:bCs/>
          <w:sz w:val="24"/>
          <w:highlight w:val="none"/>
        </w:rPr>
        <w:t xml:space="preserve">28、</w:t>
      </w:r>
      <w:bookmarkEnd w:id="157"/>
      <w:r>
        <w:rPr>
          <w:rFonts w:hint="eastAsia" w:ascii="宋体" w:hAnsi="宋体" w:cs="宋体"/>
          <w:b/>
          <w:bCs/>
          <w:sz w:val="24"/>
          <w:highlight w:val="none"/>
        </w:rPr>
        <w:t xml:space="preserve">确定</w:t>
      </w:r>
      <w:bookmarkEnd w:id="158"/>
      <w:r>
        <w:rPr>
          <w:highlight w:val="none"/>
        </w:rPr>
      </w:r>
      <w:bookmarkEnd w:id="159"/>
      <w:r>
        <w:rPr>
          <w:rFonts w:hint="eastAsia" w:ascii="宋体" w:hAnsi="宋体" w:cs="宋体"/>
          <w:b/>
          <w:bCs/>
          <w:sz w:val="24"/>
          <w:highlight w:val="none"/>
        </w:rPr>
        <w:t xml:space="preserve">中标单位</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 </w:t>
      </w:r>
      <w:r>
        <w:rPr>
          <w:highlight w:val="none"/>
        </w:rPr>
      </w:r>
    </w:p>
    <w:p>
      <w:pPr>
        <w:ind w:firstLine="480"/>
        <w:spacing w:line="276"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highlight w:val="none"/>
        </w:rPr>
      </w:r>
    </w:p>
    <w:p>
      <w:pPr>
        <w:ind w:firstLine="480"/>
        <w:spacing w:line="276" w:lineRule="auto"/>
        <w:rPr>
          <w:rFonts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采购代理机构将在“江苏政府采购网”发布中标公告，公告期限为1个工作日。</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 提供虚假材料谋取中标的。</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 向采购人、采购代理机构行贿或者提供其他不正当利益的。</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 属于本文件规定的无效条件，但在评标过程中又未被评委会发现的。</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 与采购人或者其他供应商恶意串通的。</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 采取不正当手段诋毁、排挤其他供应商的。</w:t>
      </w:r>
      <w:r>
        <w:rPr>
          <w:highlight w:val="none"/>
        </w:rPr>
      </w:r>
    </w:p>
    <w:p>
      <w:pPr>
        <w:ind w:firstLine="480"/>
        <w:spacing w:line="276" w:lineRule="auto"/>
        <w:rPr>
          <w:rFonts w:ascii="宋体" w:hAnsi="宋体"/>
          <w:color w:val="000000"/>
          <w:sz w:val="24"/>
          <w:highlight w:val="none"/>
        </w:rPr>
      </w:pPr>
      <w:r>
        <w:rPr>
          <w:highlight w:val="none"/>
        </w:rPr>
      </w:r>
      <w:bookmarkStart w:id="160"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 不同投标人的投标文件由同一单位或者个人编制（</w:t>
      </w:r>
      <w:r>
        <w:rPr>
          <w:rFonts w:hint="eastAsia" w:ascii="宋体" w:hAnsi="宋体"/>
          <w:color w:val="ff0000"/>
          <w:sz w:val="24"/>
          <w:highlight w:val="none"/>
        </w:rPr>
        <w:t xml:space="preserve">包含使用同一MAC 地址的计算机制作电子投标文件的情形</w:t>
      </w:r>
      <w:r>
        <w:rPr>
          <w:rFonts w:hint="eastAsia" w:ascii="宋体" w:hAnsi="宋体"/>
          <w:color w:val="000000"/>
          <w:sz w:val="24"/>
          <w:highlight w:val="none"/>
        </w:rPr>
        <w:t xml:space="preserve">）；</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 不同投标人委托同一单位或者个人办理投标事宜（</w:t>
      </w:r>
      <w:r>
        <w:rPr>
          <w:rFonts w:hint="eastAsia" w:ascii="宋体" w:hAnsi="宋体"/>
          <w:color w:val="ff0000"/>
          <w:sz w:val="24"/>
          <w:highlight w:val="none"/>
        </w:rPr>
        <w:t xml:space="preserve">包含使用同一MAC 地址的计算机制作电子投标文件的情形</w:t>
      </w:r>
      <w:r>
        <w:rPr>
          <w:rFonts w:hint="eastAsia" w:ascii="宋体" w:hAnsi="宋体"/>
          <w:color w:val="000000"/>
          <w:sz w:val="24"/>
          <w:highlight w:val="none"/>
        </w:rPr>
        <w:t xml:space="preserve">）；</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 不同投标人的投标文件异常一致或者投标报价呈规律性差异；</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29、质疑处理</w:t>
      </w:r>
      <w:bookmarkEnd w:id="160"/>
      <w:r>
        <w:rPr>
          <w:highlight w:val="none"/>
        </w:rPr>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none"/>
        </w:rPr>
      </w:r>
    </w:p>
    <w:p>
      <w:pPr>
        <w:ind w:firstLine="480"/>
        <w:spacing w:line="276" w:lineRule="auto"/>
        <w:rPr>
          <w:rFonts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highlight w:val="none"/>
        </w:rPr>
      </w:r>
    </w:p>
    <w:p>
      <w:pPr>
        <w:ind w:firstLine="480"/>
        <w:spacing w:line="276" w:lineRule="auto"/>
        <w:rPr>
          <w:rFonts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firstLine="480"/>
        <w:spacing w:line="276" w:lineRule="auto"/>
        <w:rPr>
          <w:rFonts w:ascii="宋体" w:hAnsi="宋体"/>
          <w:b/>
          <w:color w:val="000000" w:themeColor="text1"/>
          <w:sz w:val="24"/>
          <w:highlight w:val="none"/>
          <w14:textFill>
            <w14:solidFill>
              <w14:schemeClr w14:val="tx1"/>
            </w14:solidFill>
          </w14:textFill>
        </w:rPr>
      </w:pPr>
      <w:r>
        <w:rPr>
          <w:rFonts w:ascii="宋体" w:hAnsi="宋体"/>
          <w:color w:val="000000"/>
          <w:sz w:val="24"/>
          <w:highlight w:val="none"/>
        </w:rPr>
        <w:t xml:space="preserve">29</w:t>
      </w:r>
      <w:r>
        <w:rPr>
          <w:rFonts w:hint="eastAsia" w:ascii="宋体" w:hAnsi="宋体"/>
          <w:color w:val="000000"/>
          <w:sz w:val="24"/>
          <w:highlight w:val="none"/>
        </w:rPr>
        <w:t xml:space="preserve">.4 供应商</w:t>
      </w:r>
      <w:r>
        <w:rPr>
          <w:rFonts w:hint="eastAsia" w:ascii="宋体" w:hAnsi="宋体"/>
          <w:color w:val="000000" w:themeColor="text1"/>
          <w:sz w:val="24"/>
          <w:highlight w:val="none"/>
          <w14:textFill>
            <w14:solidFill>
              <w14:schemeClr w14:val="tx1"/>
            </w14:solidFill>
          </w14:textFill>
        </w:rPr>
        <w:t xml:space="preserve">（含潜在</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）对与</w:t>
      </w:r>
      <w:r>
        <w:rPr>
          <w:rFonts w:ascii="宋体" w:hAnsi="宋体"/>
          <w:color w:val="000000" w:themeColor="text1"/>
          <w:sz w:val="24"/>
          <w:highlight w:val="none"/>
          <w14:textFill>
            <w14:solidFill>
              <w14:schemeClr w14:val="tx1"/>
            </w14:solidFill>
          </w14:textFill>
        </w:rPr>
        <w:t xml:space="preserve">本项目</w:t>
      </w:r>
      <w:r>
        <w:rPr>
          <w:rFonts w:hint="eastAsia" w:ascii="宋体" w:hAnsi="宋体"/>
          <w:color w:val="000000" w:themeColor="text1"/>
          <w:sz w:val="24"/>
          <w:highlight w:val="none"/>
          <w14:textFill>
            <w14:solidFill>
              <w14:schemeClr w14:val="tx1"/>
            </w14:solidFill>
          </w14:textFill>
        </w:rPr>
        <w:t xml:space="preserve">有关的</w:t>
      </w:r>
      <w:r>
        <w:rPr>
          <w:rFonts w:ascii="宋体" w:hAnsi="宋体"/>
          <w:color w:val="000000" w:themeColor="text1"/>
          <w:sz w:val="24"/>
          <w:highlight w:val="none"/>
          <w14:textFill>
            <w14:solidFill>
              <w14:schemeClr w14:val="tx1"/>
            </w14:solidFill>
          </w14:textFill>
        </w:rPr>
        <w:t xml:space="preserve">所有询问、质疑</w:t>
      </w:r>
      <w:r>
        <w:rPr>
          <w:rFonts w:hint="eastAsia" w:ascii="宋体" w:hAnsi="宋体"/>
          <w:color w:val="000000" w:themeColor="text1"/>
          <w:sz w:val="24"/>
          <w:highlight w:val="none"/>
          <w14:textFill>
            <w14:solidFill>
              <w14:schemeClr w14:val="tx1"/>
            </w14:solidFill>
          </w14:textFill>
        </w:rPr>
        <w:t xml:space="preserve">均</w:t>
      </w:r>
      <w:r>
        <w:rPr>
          <w:rFonts w:ascii="宋体" w:hAnsi="宋体"/>
          <w:color w:val="000000" w:themeColor="text1"/>
          <w:sz w:val="24"/>
          <w:highlight w:val="none"/>
          <w14:textFill>
            <w14:solidFill>
              <w14:schemeClr w14:val="tx1"/>
            </w14:solidFill>
          </w14:textFill>
        </w:rPr>
        <w:t xml:space="preserve">请向采购人提出，由采购人负责答复。</w:t>
      </w:r>
      <w:r>
        <w:rPr>
          <w:highlight w:val="none"/>
        </w:rP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采购人及采购代理机构只接收以纸质原件形式送达的质疑,建议供应商尽量通过邮寄方式提交质疑（采购人和采购代理机构不接受未填写快递运单的快件）。</w:t>
      </w:r>
      <w:r>
        <w:rPr>
          <w:highlight w:val="none"/>
        </w:rP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采购代理机构质疑接收及联系方式见招标文件第一章</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采购人质疑接收人及联系方式见招标文件第一章。</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30、中标通知书</w:t>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中标结果确定后，采购代</w:t>
      </w:r>
      <w:r>
        <w:rPr>
          <w:rFonts w:hint="eastAsia" w:ascii="宋体" w:hAnsi="宋体"/>
          <w:color w:val="000000" w:themeColor="text1"/>
          <w:sz w:val="24"/>
          <w:highlight w:val="none"/>
          <w14:textFill>
            <w14:solidFill>
              <w14:schemeClr w14:val="tx1"/>
            </w14:solidFill>
          </w14:textFill>
        </w:rPr>
        <w:t xml:space="preserve">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t xml:space="preserve">。</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spacing w:line="276" w:lineRule="auto"/>
        <w:rPr>
          <w:rFonts w:ascii="宋体" w:hAnsi="宋体" w:cs="宋体"/>
          <w:b/>
          <w:bCs/>
          <w:sz w:val="24"/>
          <w:highlight w:val="none"/>
        </w:rPr>
      </w:pPr>
      <w:r>
        <w:rPr>
          <w:highlight w:val="none"/>
        </w:rPr>
      </w:r>
      <w:bookmarkStart w:id="161" w:name="_Toc120614220"/>
      <w:r>
        <w:rPr>
          <w:highlight w:val="none"/>
        </w:rPr>
      </w:r>
      <w:bookmarkStart w:id="162" w:name="_Toc20823308"/>
      <w:r>
        <w:rPr>
          <w:highlight w:val="none"/>
        </w:rPr>
      </w:r>
      <w:bookmarkStart w:id="163" w:name="_Toc513029236"/>
      <w:r>
        <w:rPr>
          <w:highlight w:val="none"/>
        </w:rPr>
      </w:r>
      <w:bookmarkStart w:id="164" w:name="_Toc16938552"/>
      <w:r>
        <w:rPr>
          <w:highlight w:val="none"/>
        </w:rPr>
      </w:r>
      <w:r>
        <w:rPr>
          <w:highlight w:val="none"/>
        </w:rPr>
      </w:r>
    </w:p>
    <w:p>
      <w:pPr>
        <w:spacing w:line="276" w:lineRule="auto"/>
        <w:rPr>
          <w:rFonts w:ascii="宋体" w:hAnsi="宋体" w:cs="宋体"/>
          <w:b/>
          <w:bCs/>
          <w:sz w:val="24"/>
          <w:highlight w:val="none"/>
        </w:rPr>
        <w:outlineLvl w:val="1"/>
      </w:pPr>
      <w:r>
        <w:rPr>
          <w:highlight w:val="none"/>
        </w:rPr>
      </w:r>
      <w:bookmarkStart w:id="165" w:name="_Toc238220170"/>
      <w:r>
        <w:rPr>
          <w:highlight w:val="none"/>
        </w:rPr>
      </w:r>
      <w:bookmarkStart w:id="166" w:name="_Toc184129776"/>
      <w:r>
        <w:rPr>
          <w:rFonts w:hint="eastAsia" w:ascii="宋体" w:hAnsi="宋体" w:cs="宋体"/>
          <w:b/>
          <w:bCs/>
          <w:sz w:val="24"/>
          <w:highlight w:val="none"/>
        </w:rPr>
        <w:t xml:space="preserve">七、授予合同</w:t>
      </w:r>
      <w:bookmarkEnd w:id="161"/>
      <w:r>
        <w:rPr>
          <w:highlight w:val="none"/>
        </w:rPr>
      </w:r>
      <w:bookmarkEnd w:id="165"/>
      <w:r>
        <w:rPr>
          <w:highlight w:val="none"/>
        </w:rPr>
      </w:r>
      <w:bookmarkEnd w:id="166"/>
      <w:r>
        <w:rPr>
          <w:highlight w:val="none"/>
        </w:rPr>
      </w:r>
      <w:bookmarkEnd w:id="162"/>
      <w:r>
        <w:rPr>
          <w:highlight w:val="none"/>
        </w:rPr>
      </w:r>
      <w:bookmarkEnd w:id="163"/>
      <w:r>
        <w:rPr>
          <w:highlight w:val="none"/>
        </w:rPr>
      </w:r>
      <w:bookmarkEnd w:id="164"/>
      <w:r>
        <w:rPr>
          <w:highlight w:val="none"/>
        </w:rPr>
      </w:r>
      <w:r>
        <w:rPr>
          <w:highlight w:val="none"/>
        </w:rPr>
      </w:r>
    </w:p>
    <w:p>
      <w:pPr>
        <w:ind w:firstLine="482"/>
        <w:spacing w:before="161" w:line="276" w:lineRule="auto"/>
        <w:rPr>
          <w:rFonts w:ascii="宋体" w:hAnsi="宋体" w:cs="宋体"/>
          <w:b/>
          <w:bCs/>
          <w:sz w:val="24"/>
          <w:highlight w:val="none"/>
        </w:rPr>
      </w:pPr>
      <w:r>
        <w:rPr>
          <w:highlight w:val="none"/>
        </w:rPr>
      </w:r>
      <w:bookmarkStart w:id="167" w:name="_Toc513029237"/>
      <w:r>
        <w:rPr>
          <w:highlight w:val="none"/>
        </w:rPr>
      </w:r>
      <w:bookmarkStart w:id="168" w:name="_Toc20823309"/>
      <w:r>
        <w:rPr>
          <w:highlight w:val="none"/>
        </w:rPr>
      </w:r>
      <w:bookmarkStart w:id="169" w:name="_Toc16938553"/>
      <w:r>
        <w:rPr>
          <w:rFonts w:hint="eastAsia" w:ascii="宋体" w:hAnsi="宋体" w:cs="宋体"/>
          <w:b/>
          <w:bCs/>
          <w:sz w:val="24"/>
          <w:highlight w:val="none"/>
        </w:rPr>
        <w:t xml:space="preserve">31. 签订合同</w:t>
      </w:r>
      <w:r>
        <w:rPr>
          <w:highlight w:val="none"/>
        </w:rPr>
      </w:r>
    </w:p>
    <w:p>
      <w:pPr>
        <w:ind w:firstLine="480"/>
        <w:spacing w:line="276" w:lineRule="auto"/>
        <w:rPr>
          <w:rFonts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31.3 签订合同后，</w:t>
      </w:r>
      <w:r>
        <w:rPr>
          <w:rFonts w:hint="eastAsia" w:ascii="宋体" w:hAnsi="宋体"/>
          <w:b/>
          <w:bCs/>
          <w:i/>
          <w:color w:val="000000"/>
          <w:sz w:val="24"/>
          <w:highlight w:val="none"/>
          <w:u w:val="single"/>
        </w:rPr>
        <w:t xml:space="preserve">中标人不得将合同标的进行转包</w:t>
      </w:r>
      <w:r>
        <w:rPr>
          <w:rFonts w:hint="eastAsia" w:ascii="宋体" w:hAnsi="宋体"/>
          <w:color w:val="000000"/>
          <w:sz w:val="24"/>
          <w:highlight w:val="none"/>
        </w:rPr>
        <w:t xml:space="preserve">。未经采购人同意，中标人也不得采用分包的形式履行合同，否则采购人有权终止合同。转包或分包造成采购人损失的，中标人应承担相应赔偿责任。</w:t>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32、货物（包含与货物相关的服务）的追加</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67"/>
      <w:r>
        <w:rPr>
          <w:highlight w:val="none"/>
        </w:rPr>
      </w:r>
      <w:bookmarkEnd w:id="168"/>
      <w:r>
        <w:rPr>
          <w:highlight w:val="none"/>
        </w:rPr>
      </w:r>
      <w:bookmarkEnd w:id="169"/>
      <w:r>
        <w:rPr>
          <w:highlight w:val="none"/>
        </w:rPr>
      </w:r>
      <w:r>
        <w:rPr>
          <w:highlight w:val="none"/>
        </w:rPr>
      </w:r>
    </w:p>
    <w:p>
      <w:pPr>
        <w:ind w:firstLine="482"/>
        <w:spacing w:before="161" w:line="276" w:lineRule="auto"/>
        <w:rPr>
          <w:rFonts w:ascii="宋体" w:hAnsi="宋体" w:cs="宋体"/>
          <w:b/>
          <w:bCs/>
          <w:sz w:val="24"/>
          <w:highlight w:val="none"/>
        </w:rPr>
      </w:pPr>
      <w:r>
        <w:rPr>
          <w:rFonts w:hint="eastAsia" w:ascii="宋体" w:hAnsi="宋体" w:cs="宋体"/>
          <w:b/>
          <w:bCs/>
          <w:sz w:val="24"/>
          <w:highlight w:val="none"/>
        </w:rPr>
        <w:t xml:space="preserve">33、政府采购履约资金扶持政策</w:t>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中标供应商可凭政府采购合同办理融资贷款，详情请见江苏政府采购网“政采贷”专栏。</w:t>
      </w:r>
      <w:r>
        <w:rPr>
          <w:highlight w:val="none"/>
        </w:rPr>
      </w:r>
    </w:p>
    <w:p>
      <w:pPr>
        <w:ind w:firstLine="420"/>
        <w:spacing w:line="276" w:lineRule="auto"/>
        <w:rPr>
          <w:rFonts w:ascii="宋体" w:hAnsi="宋体" w:cs="宋体"/>
          <w:szCs w:val="21"/>
          <w:highlight w:val="none"/>
        </w:rPr>
      </w:pPr>
      <w:r>
        <w:rPr>
          <w:rFonts w:ascii="宋体" w:hAnsi="宋体" w:cs="宋体"/>
          <w:szCs w:val="21"/>
          <w:highlight w:val="none"/>
        </w:rPr>
      </w:r>
      <w:r>
        <w:rPr>
          <w:highlight w:val="none"/>
        </w:rPr>
      </w:r>
    </w:p>
    <w:p>
      <w:pPr>
        <w:jc w:val="center"/>
        <w:spacing w:line="276" w:lineRule="auto"/>
        <w:widowControl/>
        <w:rPr>
          <w:rFonts w:ascii="宋体" w:hAnsi="宋体" w:cs="宋体"/>
          <w:b/>
          <w:sz w:val="32"/>
          <w:szCs w:val="32"/>
          <w:highlight w:val="none"/>
        </w:rPr>
        <w:outlineLvl w:val="0"/>
      </w:pPr>
      <w:r>
        <w:rPr>
          <w:rFonts w:hint="eastAsia" w:ascii="宋体" w:hAnsi="宋体" w:cs="宋体"/>
          <w:szCs w:val="21"/>
          <w:highlight w:val="none"/>
        </w:rPr>
        <w:br w:type="page" w:clear="all"/>
      </w:r>
      <w:bookmarkStart w:id="170" w:name="_Toc238220171"/>
      <w:r>
        <w:rPr>
          <w:rFonts w:hint="eastAsia" w:ascii="宋体" w:hAnsi="宋体" w:cs="宋体"/>
          <w:b/>
          <w:sz w:val="32"/>
          <w:szCs w:val="32"/>
          <w:highlight w:val="none"/>
        </w:rPr>
        <w:t xml:space="preserve">第三章  合同文本</w:t>
      </w:r>
      <w:bookmarkEnd w:id="170"/>
      <w:r>
        <w:rPr>
          <w:highlight w:val="none"/>
        </w:rPr>
      </w:r>
      <w:r>
        <w:rPr>
          <w:highlight w:val="none"/>
        </w:rPr>
      </w:r>
    </w:p>
    <w:p>
      <w:pPr>
        <w:ind w:firstLine="420"/>
        <w:jc w:val="left"/>
        <w:rPr>
          <w:rFonts w:ascii="宋体" w:hAnsi="宋体"/>
          <w:color w:val="ff0000"/>
          <w:highlight w:val="none"/>
        </w:rPr>
      </w:pPr>
      <w:r>
        <w:rPr>
          <w:rFonts w:hint="eastAsia" w:ascii="宋体" w:hAnsi="宋体"/>
          <w:color w:val="ff0000"/>
          <w:highlight w:val="none"/>
        </w:rPr>
        <w:t xml:space="preserve">（注：本合同仅为框架性条款，中标后需按招标文件及投标文件情况进行细化，招标文件、投标文件及本条款均作为合同的重要组成部分）</w:t>
      </w:r>
      <w:r>
        <w:rPr>
          <w:highlight w:val="none"/>
        </w:rPr>
      </w:r>
    </w:p>
    <w:p>
      <w:pPr>
        <w:jc w:val="center"/>
        <w:rPr>
          <w:sz w:val="30"/>
          <w:highlight w:val="none"/>
        </w:rPr>
      </w:pPr>
      <w:r>
        <w:rPr>
          <w:sz w:val="30"/>
          <w:highlight w:val="none"/>
        </w:rPr>
      </w:r>
      <w:r>
        <w:rPr>
          <w:highlight w:val="none"/>
        </w:rPr>
      </w:r>
    </w:p>
    <w:p>
      <w:pPr>
        <w:ind w:firstLine="480"/>
        <w:spacing w:line="360" w:lineRule="auto"/>
        <w:rPr>
          <w:rFonts w:ascii="宋体" w:hAnsi="宋体"/>
          <w:sz w:val="24"/>
          <w:highlight w:val="none"/>
          <w:u w:val="single"/>
        </w:rPr>
      </w:pPr>
      <w:r>
        <w:rPr>
          <w:rFonts w:ascii="宋体" w:hAnsi="宋体"/>
          <w:sz w:val="24"/>
          <w:highlight w:val="none"/>
        </w:rPr>
        <w:t xml:space="preserve">甲方：（买方）</w:t>
      </w:r>
      <w:r>
        <w:rPr>
          <w:rFonts w:hint="eastAsia" w:ascii="宋体" w:hAnsi="宋体"/>
          <w:sz w:val="24"/>
          <w:highlight w:val="none"/>
          <w:u w:val="single"/>
        </w:rPr>
        <w:t xml:space="preserve">南京市浦口区中医院</w:t>
      </w:r>
      <w:r>
        <w:rPr>
          <w:highlight w:val="none"/>
        </w:rPr>
      </w:r>
    </w:p>
    <w:p>
      <w:pPr>
        <w:ind w:firstLine="480"/>
        <w:spacing w:line="360" w:lineRule="auto"/>
        <w:rPr>
          <w:rFonts w:ascii="宋体" w:hAnsi="宋体"/>
          <w:sz w:val="24"/>
          <w:highlight w:val="none"/>
        </w:rPr>
      </w:pPr>
      <w:r>
        <w:rPr>
          <w:rFonts w:ascii="宋体" w:hAnsi="宋体"/>
          <w:sz w:val="24"/>
          <w:highlight w:val="none"/>
        </w:rPr>
        <w:t xml:space="preserve">乙方：（卖方）</w:t>
      </w:r>
      <w:r>
        <w:rPr>
          <w:rFonts w:hint="eastAsia" w:ascii="宋体" w:hAnsi="宋体"/>
          <w:sz w:val="24"/>
          <w:highlight w:val="none"/>
          <w:u w:val="single"/>
        </w:rPr>
        <w:t xml:space="preserve">本项目的中标供应商</w:t>
      </w:r>
      <w:r>
        <w:rPr>
          <w:highlight w:val="none"/>
        </w:rPr>
      </w:r>
    </w:p>
    <w:p>
      <w:pPr>
        <w:ind w:firstLine="480"/>
        <w:spacing w:line="360" w:lineRule="auto"/>
        <w:rPr>
          <w:rFonts w:ascii="宋体" w:hAnsi="宋体"/>
          <w:sz w:val="24"/>
          <w:highlight w:val="none"/>
        </w:rPr>
      </w:pPr>
      <w:r>
        <w:rPr>
          <w:rFonts w:ascii="宋体" w:hAnsi="宋体"/>
          <w:sz w:val="24"/>
          <w:highlight w:val="none"/>
        </w:rPr>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采购代理机构：</w:t>
      </w:r>
      <w:r>
        <w:rPr>
          <w:rFonts w:hint="eastAsia" w:ascii="宋体" w:hAnsi="宋体"/>
          <w:bCs/>
          <w:sz w:val="24"/>
          <w:highlight w:val="none"/>
        </w:rPr>
        <w:t xml:space="preserve">江苏苏豪创新科技集团高科有限公司</w:t>
      </w:r>
      <w:r>
        <w:rPr>
          <w:highlight w:val="none"/>
        </w:rPr>
      </w:r>
    </w:p>
    <w:p>
      <w:pPr>
        <w:ind w:firstLine="480"/>
        <w:spacing w:line="360" w:lineRule="auto"/>
        <w:rPr>
          <w:rFonts w:ascii="宋体" w:hAnsi="宋体"/>
          <w:sz w:val="24"/>
          <w:highlight w:val="none"/>
        </w:rPr>
      </w:pPr>
      <w:r>
        <w:rPr>
          <w:rFonts w:ascii="宋体" w:hAnsi="宋体"/>
          <w:sz w:val="24"/>
          <w:highlight w:val="none"/>
        </w:rPr>
      </w:r>
      <w:r>
        <w:rPr>
          <w:highlight w:val="none"/>
        </w:rPr>
      </w:r>
    </w:p>
    <w:p>
      <w:pPr>
        <w:ind w:firstLine="480"/>
        <w:spacing w:line="360" w:lineRule="auto"/>
        <w:rPr>
          <w:rFonts w:ascii="宋体" w:hAnsi="宋体"/>
          <w:sz w:val="24"/>
          <w:highlight w:val="none"/>
        </w:rPr>
      </w:pPr>
      <w:r>
        <w:rPr>
          <w:rFonts w:hint="eastAsia" w:ascii="宋体" w:hAnsi="宋体" w:cs="Courier New"/>
          <w:sz w:val="24"/>
          <w:highlight w:val="none"/>
        </w:rPr>
        <w:t xml:space="preserve">根据《中华人民共和国民法典》以及</w:t>
      </w:r>
      <w:r>
        <w:rPr>
          <w:rFonts w:ascii="宋体" w:hAnsi="宋体"/>
          <w:sz w:val="24"/>
          <w:highlight w:val="none"/>
          <w:u w:val="single"/>
        </w:rPr>
        <w:t xml:space="preserve">            </w:t>
      </w:r>
      <w:r>
        <w:rPr>
          <w:rFonts w:hint="eastAsia" w:ascii="宋体" w:hAnsi="宋体"/>
          <w:sz w:val="24"/>
          <w:highlight w:val="none"/>
          <w:u w:val="single"/>
        </w:rPr>
        <w:t xml:space="preserve">采购项目（项目编号：</w:t>
      </w:r>
      <w:r>
        <w:rPr>
          <w:rFonts w:ascii="宋体" w:hAnsi="宋体"/>
          <w:sz w:val="24"/>
          <w:highlight w:val="none"/>
          <w:u w:val="single"/>
        </w:rPr>
        <w:t xml:space="preserve">        </w:t>
      </w:r>
      <w:r>
        <w:rPr>
          <w:rFonts w:hint="eastAsia" w:ascii="宋体" w:hAnsi="宋体"/>
          <w:sz w:val="24"/>
          <w:highlight w:val="none"/>
          <w:u w:val="single"/>
        </w:rPr>
        <w:t xml:space="preserve">）</w:t>
      </w:r>
      <w:r>
        <w:rPr>
          <w:rFonts w:hint="eastAsia" w:ascii="宋体" w:hAnsi="宋体" w:cs="Courier New"/>
          <w:sz w:val="24"/>
          <w:highlight w:val="none"/>
        </w:rPr>
        <w:t xml:space="preserve">《招标文件》、乙方《投标文件》，遵循平等、自愿、公平和诚实信用等原则</w:t>
      </w:r>
      <w:r>
        <w:rPr>
          <w:rFonts w:hint="eastAsia" w:ascii="宋体" w:hAnsi="宋体"/>
          <w:sz w:val="24"/>
          <w:highlight w:val="none"/>
        </w:rPr>
        <w:t xml:space="preserve">，</w:t>
      </w:r>
      <w:r>
        <w:rPr>
          <w:rFonts w:hint="eastAsia" w:ascii="宋体" w:hAnsi="宋体" w:cs="Courier New"/>
          <w:sz w:val="24"/>
          <w:highlight w:val="none"/>
        </w:rPr>
        <w:t xml:space="preserve">甲乙双方同意按下述条款和条件签订本合同，并共同遵守。</w:t>
      </w:r>
      <w:r>
        <w:rPr>
          <w:highlight w:val="none"/>
        </w:rPr>
      </w:r>
    </w:p>
    <w:p>
      <w:pPr>
        <w:ind w:firstLine="480"/>
        <w:spacing w:line="360" w:lineRule="auto"/>
        <w:rPr>
          <w:rFonts w:ascii="宋体" w:hAnsi="宋体"/>
          <w:sz w:val="24"/>
          <w:highlight w:val="none"/>
        </w:rPr>
      </w:pPr>
      <w:r>
        <w:rPr>
          <w:rFonts w:ascii="宋体" w:hAnsi="宋体"/>
          <w:sz w:val="24"/>
          <w:highlight w:val="none"/>
        </w:rPr>
      </w:r>
      <w:r>
        <w:rPr>
          <w:highlight w:val="none"/>
        </w:rPr>
      </w:r>
    </w:p>
    <w:p>
      <w:pPr>
        <w:numPr>
          <w:ilvl w:val="0"/>
          <w:numId w:val="5"/>
        </w:numPr>
        <w:ind w:firstLine="482"/>
        <w:spacing w:line="360" w:lineRule="auto"/>
        <w:rPr>
          <w:rFonts w:ascii="宋体" w:hAnsi="宋体"/>
          <w:b/>
          <w:sz w:val="24"/>
          <w:highlight w:val="none"/>
        </w:rPr>
      </w:pPr>
      <w:r>
        <w:rPr>
          <w:rFonts w:hint="eastAsia" w:ascii="宋体" w:hAnsi="宋体"/>
          <w:b/>
          <w:sz w:val="24"/>
          <w:highlight w:val="none"/>
        </w:rPr>
        <w:t xml:space="preserve">标的</w:t>
      </w:r>
      <w:r>
        <w:rPr>
          <w:highlight w:val="none"/>
        </w:rPr>
      </w:r>
    </w:p>
    <w:tbl>
      <w:tblPr>
        <w:tblStyle w:val="924"/>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0"/>
        <w:gridCol w:w="2091"/>
        <w:gridCol w:w="2091"/>
        <w:gridCol w:w="2091"/>
      </w:tblGrid>
      <w:tr>
        <w:trPr>
          <w:trHeight w:val="249"/>
        </w:trPr>
        <w:tc>
          <w:tcPr>
            <w:tcW w:w="2090"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服务</w:t>
            </w:r>
            <w:r>
              <w:rPr>
                <w:rFonts w:ascii="宋体" w:hAnsi="宋体"/>
                <w:sz w:val="24"/>
                <w:highlight w:val="none"/>
              </w:rPr>
              <w:t xml:space="preserve">项目名称</w:t>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t xml:space="preserve">单价</w:t>
            </w:r>
            <w:r>
              <w:rPr>
                <w:highlight w:val="none"/>
              </w:rPr>
            </w:r>
          </w:p>
          <w:p>
            <w:pPr>
              <w:jc w:val="center"/>
              <w:spacing w:line="360" w:lineRule="auto"/>
              <w:rPr>
                <w:rFonts w:ascii="宋体" w:hAnsi="宋体"/>
                <w:sz w:val="24"/>
                <w:highlight w:val="none"/>
              </w:rPr>
            </w:pPr>
            <w:r>
              <w:rPr>
                <w:rFonts w:hint="eastAsia" w:ascii="宋体" w:hAnsi="宋体"/>
                <w:sz w:val="24"/>
                <w:highlight w:val="none"/>
              </w:rPr>
              <w:t xml:space="preserve">（人民币）</w:t>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合价</w:t>
            </w:r>
            <w:r>
              <w:rPr>
                <w:highlight w:val="none"/>
              </w:rPr>
            </w:r>
          </w:p>
          <w:p>
            <w:pPr>
              <w:jc w:val="center"/>
              <w:spacing w:line="360" w:lineRule="auto"/>
              <w:rPr>
                <w:rFonts w:ascii="宋体" w:hAnsi="宋体"/>
                <w:sz w:val="24"/>
                <w:highlight w:val="none"/>
              </w:rPr>
            </w:pPr>
            <w:r>
              <w:rPr>
                <w:rFonts w:hint="eastAsia" w:ascii="宋体" w:hAnsi="宋体"/>
                <w:sz w:val="24"/>
                <w:highlight w:val="none"/>
              </w:rPr>
              <w:t xml:space="preserve">（人民币）</w:t>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hint="eastAsia" w:ascii="宋体" w:hAnsi="宋体"/>
                <w:sz w:val="24"/>
                <w:highlight w:val="none"/>
              </w:rPr>
              <w:t xml:space="preserve">备注</w:t>
            </w:r>
            <w:r>
              <w:rPr>
                <w:highlight w:val="none"/>
              </w:rPr>
            </w:r>
          </w:p>
        </w:tc>
      </w:tr>
      <w:tr>
        <w:trPr>
          <w:trHeight w:val="249"/>
        </w:trPr>
        <w:tc>
          <w:tcPr>
            <w:tcW w:w="209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249"/>
        </w:trPr>
        <w:tc>
          <w:tcPr>
            <w:tcW w:w="209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249"/>
        </w:trPr>
        <w:tc>
          <w:tcPr>
            <w:tcW w:w="209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249"/>
        </w:trPr>
        <w:tc>
          <w:tcPr>
            <w:tcW w:w="2090"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c>
          <w:tcPr>
            <w:tcW w:w="2091" w:type="dxa"/>
            <w:vAlign w:val="center"/>
            <w:textDirection w:val="lrTb"/>
            <w:noWrap w:val="false"/>
          </w:tcPr>
          <w:p>
            <w:pPr>
              <w:jc w:val="center"/>
              <w:spacing w:line="360" w:lineRule="auto"/>
              <w:rPr>
                <w:rFonts w:ascii="宋体" w:hAnsi="宋体"/>
                <w:sz w:val="24"/>
                <w:highlight w:val="none"/>
              </w:rPr>
            </w:pPr>
            <w:r>
              <w:rPr>
                <w:rFonts w:ascii="宋体" w:hAnsi="宋体"/>
                <w:sz w:val="24"/>
                <w:highlight w:val="none"/>
              </w:rPr>
            </w:r>
            <w:r>
              <w:rPr>
                <w:highlight w:val="none"/>
              </w:rPr>
            </w:r>
          </w:p>
        </w:tc>
      </w:tr>
      <w:tr>
        <w:trPr>
          <w:trHeight w:val="249"/>
        </w:trPr>
        <w:tc>
          <w:tcPr>
            <w:gridSpan w:val="4"/>
            <w:tcW w:w="8363" w:type="dxa"/>
            <w:vAlign w:val="center"/>
            <w:textDirection w:val="lrTb"/>
            <w:noWrap w:val="false"/>
          </w:tcPr>
          <w:p>
            <w:pPr>
              <w:spacing w:line="360" w:lineRule="auto"/>
              <w:rPr>
                <w:rFonts w:ascii="宋体" w:hAnsi="宋体"/>
                <w:sz w:val="24"/>
                <w:highlight w:val="none"/>
              </w:rPr>
            </w:pPr>
            <w:r>
              <w:rPr>
                <w:rFonts w:hint="eastAsia" w:ascii="宋体" w:hAnsi="宋体"/>
                <w:sz w:val="24"/>
                <w:highlight w:val="none"/>
              </w:rPr>
              <w:t xml:space="preserve">合同总价（含税）：</w:t>
            </w:r>
            <w:r>
              <w:rPr>
                <w:highlight w:val="none"/>
              </w:rPr>
            </w:r>
          </w:p>
        </w:tc>
      </w:tr>
    </w:tbl>
    <w:p>
      <w:pPr>
        <w:spacing w:line="360" w:lineRule="auto"/>
        <w:rPr>
          <w:rFonts w:ascii="宋体" w:hAnsi="宋体"/>
          <w:b/>
          <w:sz w:val="24"/>
          <w:highlight w:val="none"/>
        </w:rPr>
      </w:pPr>
      <w:r>
        <w:rPr>
          <w:rFonts w:ascii="宋体" w:hAnsi="宋体"/>
          <w:b/>
          <w:sz w:val="24"/>
          <w:highlight w:val="none"/>
        </w:rPr>
      </w:r>
      <w:r>
        <w:rPr>
          <w:highlight w:val="none"/>
        </w:rPr>
      </w:r>
    </w:p>
    <w:p>
      <w:pPr>
        <w:ind w:firstLine="482"/>
        <w:spacing w:line="360" w:lineRule="auto"/>
        <w:rPr>
          <w:rFonts w:ascii="宋体" w:hAnsi="宋体"/>
          <w:sz w:val="24"/>
          <w:highlight w:val="none"/>
        </w:rPr>
      </w:pPr>
      <w:r>
        <w:rPr>
          <w:rFonts w:ascii="宋体" w:hAnsi="宋体"/>
          <w:b/>
          <w:sz w:val="24"/>
          <w:highlight w:val="none"/>
        </w:rPr>
        <w:t xml:space="preserve">二、合同金额</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2.1、合同价</w:t>
      </w:r>
      <w:r>
        <w:rPr>
          <w:rFonts w:ascii="宋体" w:hAnsi="宋体"/>
          <w:sz w:val="24"/>
          <w:highlight w:val="none"/>
        </w:rPr>
        <w:t xml:space="preserve">金额为（大写）：</w:t>
      </w:r>
      <w:r>
        <w:rPr>
          <w:rFonts w:hint="eastAsia" w:ascii="宋体" w:hAnsi="宋体"/>
          <w:sz w:val="24"/>
          <w:highlight w:val="none"/>
          <w:u w:val="single"/>
        </w:rPr>
        <w:t xml:space="preserve">XXXX</w:t>
      </w:r>
      <w:r>
        <w:rPr>
          <w:highlight w:val="none"/>
        </w:rPr>
      </w:r>
    </w:p>
    <w:p>
      <w:pPr>
        <w:ind w:firstLine="480"/>
        <w:spacing w:line="360" w:lineRule="auto"/>
        <w:rPr>
          <w:rFonts w:ascii="宋体" w:hAnsi="宋体"/>
          <w:sz w:val="24"/>
          <w:highlight w:val="none"/>
        </w:rPr>
      </w:pPr>
      <w:r>
        <w:rPr>
          <w:rFonts w:ascii="宋体" w:hAnsi="宋体"/>
          <w:sz w:val="24"/>
          <w:highlight w:val="none"/>
        </w:rPr>
      </w:r>
      <w:r>
        <w:rPr>
          <w:highlight w:val="none"/>
        </w:rPr>
      </w:r>
    </w:p>
    <w:p>
      <w:pPr>
        <w:ind w:firstLine="482"/>
        <w:spacing w:line="360" w:lineRule="auto"/>
        <w:rPr>
          <w:rFonts w:ascii="宋体"/>
          <w:sz w:val="24"/>
          <w:highlight w:val="none"/>
        </w:rPr>
      </w:pPr>
      <w:r>
        <w:rPr>
          <w:rFonts w:ascii="宋体" w:hAnsi="宋体"/>
          <w:b/>
          <w:sz w:val="24"/>
          <w:highlight w:val="none"/>
        </w:rPr>
        <w:t xml:space="preserve">三、技术资料</w:t>
      </w:r>
      <w:r>
        <w:rPr>
          <w:highlight w:val="none"/>
        </w:rPr>
      </w:r>
    </w:p>
    <w:p>
      <w:pPr>
        <w:ind w:firstLine="480"/>
        <w:spacing w:line="360" w:lineRule="auto"/>
        <w:rPr>
          <w:rFonts w:ascii="宋体"/>
          <w:sz w:val="24"/>
          <w:highlight w:val="none"/>
        </w:rPr>
      </w:pPr>
      <w:r>
        <w:rPr>
          <w:rFonts w:hint="eastAsia" w:ascii="宋体" w:hAnsi="宋体"/>
          <w:sz w:val="24"/>
          <w:highlight w:val="none"/>
        </w:rPr>
        <w:t xml:space="preserve">3.1、</w:t>
      </w:r>
      <w:r>
        <w:rPr>
          <w:rFonts w:ascii="宋体" w:hAnsi="宋体"/>
          <w:sz w:val="24"/>
          <w:highlight w:val="none"/>
        </w:rPr>
        <w:t xml:space="preserve">乙方应向甲方提供</w:t>
      </w:r>
      <w:r>
        <w:rPr>
          <w:rFonts w:hint="eastAsia" w:ascii="宋体" w:hAnsi="宋体"/>
          <w:sz w:val="24"/>
          <w:highlight w:val="none"/>
        </w:rPr>
        <w:t xml:space="preserve">维保</w:t>
      </w:r>
      <w:r>
        <w:rPr>
          <w:rFonts w:ascii="宋体" w:hAnsi="宋体"/>
          <w:sz w:val="24"/>
          <w:highlight w:val="none"/>
        </w:rPr>
        <w:t xml:space="preserve">服务的有关技术资料</w:t>
      </w:r>
      <w:r>
        <w:rPr>
          <w:rFonts w:hint="eastAsia" w:ascii="宋体" w:hAnsi="宋体"/>
          <w:sz w:val="24"/>
          <w:highlight w:val="none"/>
        </w:rPr>
        <w:t xml:space="preserve">，</w:t>
      </w:r>
      <w:r>
        <w:rPr>
          <w:rFonts w:ascii="宋体" w:hAnsi="宋体"/>
          <w:sz w:val="24"/>
          <w:highlight w:val="none"/>
        </w:rPr>
        <w:t xml:space="preserve">主要包括</w:t>
      </w:r>
      <w:r>
        <w:rPr>
          <w:rFonts w:hint="eastAsia" w:ascii="宋体" w:hAnsi="宋体"/>
          <w:sz w:val="24"/>
          <w:highlight w:val="none"/>
        </w:rPr>
        <w:t xml:space="preserve">：维保计划、服务人员名单、</w:t>
      </w:r>
      <w:r>
        <w:rPr>
          <w:rFonts w:hint="eastAsia"/>
          <w:sz w:val="24"/>
          <w:highlight w:val="none"/>
        </w:rPr>
        <w:t xml:space="preserve">配件和备件</w:t>
      </w:r>
      <w:r>
        <w:rPr>
          <w:rFonts w:hint="eastAsia" w:ascii="宋体" w:hAnsi="宋体"/>
          <w:sz w:val="24"/>
          <w:highlight w:val="none"/>
        </w:rPr>
        <w:t xml:space="preserve">清单等。</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sz w:val="24"/>
          <w:highlight w:val="none"/>
        </w:rPr>
      </w:pPr>
      <w:r>
        <w:rPr>
          <w:rFonts w:hint="eastAsia" w:ascii="宋体" w:hAnsi="宋体"/>
          <w:b/>
          <w:sz w:val="24"/>
          <w:highlight w:val="none"/>
        </w:rPr>
        <w:t xml:space="preserve">四</w:t>
      </w:r>
      <w:r>
        <w:rPr>
          <w:rFonts w:ascii="宋体" w:hAnsi="宋体"/>
          <w:b/>
          <w:sz w:val="24"/>
          <w:highlight w:val="none"/>
        </w:rPr>
        <w:t xml:space="preserve">、</w:t>
      </w:r>
      <w:r>
        <w:rPr>
          <w:rFonts w:hint="eastAsia" w:ascii="宋体" w:hAnsi="宋体"/>
          <w:b/>
          <w:sz w:val="24"/>
          <w:highlight w:val="none"/>
        </w:rPr>
        <w:t xml:space="preserve">项目</w:t>
      </w:r>
      <w:r>
        <w:rPr>
          <w:rFonts w:ascii="宋体" w:hAnsi="宋体"/>
          <w:b/>
          <w:sz w:val="24"/>
          <w:highlight w:val="none"/>
        </w:rPr>
        <w:t xml:space="preserve">实施</w:t>
      </w:r>
      <w:r>
        <w:rPr>
          <w:highlight w:val="none"/>
        </w:rPr>
      </w:r>
    </w:p>
    <w:p>
      <w:pPr>
        <w:ind w:firstLine="482"/>
        <w:spacing w:line="360" w:lineRule="auto"/>
        <w:rPr>
          <w:rFonts w:hint="eastAsia" w:ascii="宋体" w:hAnsi="宋体" w:eastAsia="宋体"/>
          <w:b/>
          <w:bCs/>
          <w:sz w:val="24"/>
          <w:highlight w:val="none"/>
          <w:u w:val="single"/>
        </w:rPr>
      </w:pPr>
      <w:r>
        <w:rPr>
          <w:rFonts w:hint="eastAsia" w:ascii="宋体" w:hAnsi="宋体"/>
          <w:b/>
          <w:sz w:val="24"/>
          <w:highlight w:val="none"/>
        </w:rPr>
        <w:t xml:space="preserve">4.1、服务期限</w:t>
      </w:r>
      <w:r>
        <w:rPr>
          <w:rFonts w:hint="eastAsia" w:ascii="宋体" w:hAnsi="宋体"/>
          <w:b/>
          <w:bCs/>
          <w:sz w:val="24"/>
          <w:highlight w:val="none"/>
        </w:rPr>
        <w:t xml:space="preserve">：</w:t>
      </w:r>
      <w:r>
        <w:rPr>
          <w:rFonts w:hint="eastAsia" w:ascii="宋体" w:hAnsi="宋体"/>
          <w:b/>
          <w:bCs/>
          <w:sz w:val="24"/>
          <w:highlight w:val="none"/>
          <w:lang w:val="en-US" w:eastAsia="zh-CN"/>
        </w:rPr>
        <w:t xml:space="preserve">    </w:t>
      </w:r>
      <w:r>
        <w:rPr>
          <w:rFonts w:hint="eastAsia" w:ascii="宋体" w:hAnsi="宋体"/>
          <w:b/>
          <w:bCs/>
          <w:sz w:val="24"/>
          <w:highlight w:val="none"/>
        </w:rPr>
        <w:t xml:space="preserve">年</w:t>
      </w:r>
      <w:r>
        <w:rPr>
          <w:highlight w:val="none"/>
        </w:rPr>
      </w:r>
    </w:p>
    <w:p>
      <w:pPr>
        <w:ind w:firstLine="480"/>
        <w:spacing w:line="360" w:lineRule="auto"/>
        <w:rPr>
          <w:rFonts w:ascii="宋体" w:hAnsi="宋体"/>
          <w:bCs/>
          <w:sz w:val="24"/>
          <w:highlight w:val="none"/>
        </w:rPr>
      </w:pPr>
      <w:r>
        <w:rPr>
          <w:rFonts w:hint="eastAsia" w:ascii="宋体" w:hAnsi="宋体"/>
          <w:bCs/>
          <w:sz w:val="24"/>
          <w:highlight w:val="none"/>
        </w:rPr>
        <w:t xml:space="preserve">4.</w:t>
      </w:r>
      <w:r>
        <w:rPr>
          <w:rFonts w:ascii="宋体" w:hAnsi="宋体"/>
          <w:bCs/>
          <w:sz w:val="24"/>
          <w:highlight w:val="none"/>
        </w:rPr>
        <w:t xml:space="preserve">2</w:t>
      </w:r>
      <w:r>
        <w:rPr>
          <w:rFonts w:hint="eastAsia" w:ascii="宋体" w:hAnsi="宋体"/>
          <w:bCs/>
          <w:sz w:val="24"/>
          <w:highlight w:val="none"/>
        </w:rPr>
        <w:t xml:space="preserve">、服务地点：南京市浦口区中医院</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3</w:t>
      </w:r>
      <w:r>
        <w:rPr>
          <w:rFonts w:hint="eastAsia" w:ascii="宋体" w:hAnsi="宋体"/>
          <w:sz w:val="24"/>
          <w:highlight w:val="none"/>
        </w:rPr>
        <w:t xml:space="preserve">、乙方承诺在项目实施过程中派遣不少</w:t>
      </w:r>
      <w:r>
        <w:rPr>
          <w:rFonts w:hint="eastAsia" w:ascii="宋体" w:hAnsi="宋体"/>
          <w:sz w:val="24"/>
          <w:highlight w:val="none"/>
          <w:u w:val="single"/>
        </w:rPr>
        <w:t xml:space="preserve">    </w:t>
      </w:r>
      <w:r>
        <w:rPr>
          <w:rFonts w:hint="eastAsia" w:ascii="宋体" w:hAnsi="宋体"/>
          <w:sz w:val="24"/>
          <w:highlight w:val="none"/>
        </w:rPr>
        <w:t xml:space="preserve">人的服务人员。所有项目成员不得无故更换。</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b/>
          <w:sz w:val="24"/>
          <w:highlight w:val="none"/>
        </w:rPr>
      </w:pPr>
      <w:r>
        <w:rPr>
          <w:rFonts w:hint="eastAsia" w:ascii="宋体" w:hAnsi="宋体"/>
          <w:b/>
          <w:sz w:val="24"/>
          <w:highlight w:val="none"/>
        </w:rPr>
        <w:t xml:space="preserve">五、保密要求</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5.1、</w:t>
      </w:r>
      <w:r>
        <w:rPr>
          <w:rFonts w:ascii="宋体" w:hAnsi="宋体"/>
          <w:sz w:val="24"/>
          <w:highlight w:val="none"/>
        </w:rPr>
        <w:t xml:space="preserve">乙</w:t>
      </w:r>
      <w:r>
        <w:rPr>
          <w:rFonts w:hint="eastAsia" w:ascii="宋体" w:hAnsi="宋体"/>
          <w:sz w:val="24"/>
          <w:highlight w:val="none"/>
        </w:rPr>
        <w:t xml:space="preserve">方应保证参与履行服务本项目的服务机构及所有人员，对工作中所涉的数据、资料及文件等负有保密义务，任何情况不得向第三方泄露。如存在上述情况，将按严重违约行为依法追究乙方相关责任。</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b/>
          <w:sz w:val="24"/>
          <w:highlight w:val="none"/>
        </w:rPr>
      </w:pPr>
      <w:r>
        <w:rPr>
          <w:rFonts w:hint="eastAsia" w:ascii="宋体"/>
          <w:b/>
          <w:sz w:val="24"/>
          <w:highlight w:val="none"/>
        </w:rPr>
        <w:t xml:space="preserve">六</w:t>
      </w:r>
      <w:r>
        <w:rPr>
          <w:rFonts w:ascii="宋体"/>
          <w:b/>
          <w:sz w:val="24"/>
          <w:highlight w:val="none"/>
        </w:rPr>
        <w:t xml:space="preserve">、</w:t>
      </w:r>
      <w:r>
        <w:rPr>
          <w:rFonts w:hint="eastAsia" w:ascii="宋体"/>
          <w:b/>
          <w:sz w:val="24"/>
          <w:highlight w:val="none"/>
        </w:rPr>
        <w:t xml:space="preserve">付款方式</w:t>
      </w:r>
      <w:r>
        <w:rPr>
          <w:highlight w:val="none"/>
        </w:rPr>
      </w:r>
    </w:p>
    <w:p>
      <w:pPr>
        <w:pStyle w:val="1020"/>
        <w:ind w:firstLine="482"/>
        <w:spacing w:line="360" w:lineRule="auto"/>
        <w:rPr>
          <w:rFonts w:hint="eastAsia"/>
          <w:sz w:val="24"/>
          <w:szCs w:val="24"/>
          <w:highlight w:val="none"/>
        </w:rPr>
      </w:pPr>
      <w:r>
        <w:rPr>
          <w:rFonts w:hint="eastAsia"/>
          <w:sz w:val="24"/>
          <w:szCs w:val="24"/>
          <w:highlight w:val="none"/>
        </w:rPr>
        <w:t xml:space="preserve">6</w:t>
      </w:r>
      <w:r>
        <w:rPr>
          <w:sz w:val="24"/>
          <w:szCs w:val="24"/>
          <w:highlight w:val="none"/>
        </w:rPr>
        <w:t xml:space="preserve">.1</w:t>
      </w:r>
      <w:r>
        <w:rPr>
          <w:rFonts w:hint="eastAsia"/>
          <w:sz w:val="24"/>
          <w:szCs w:val="24"/>
          <w:highlight w:val="none"/>
        </w:rPr>
        <w:t xml:space="preserve">、每年度结算一次，每年度服务结束且采购人在收到发票之日起的30工作日内支付本年度服务费用至中标人指定账户。</w:t>
      </w:r>
      <w:r>
        <w:rPr>
          <w:highlight w:val="none"/>
        </w:rPr>
      </w:r>
    </w:p>
    <w:p>
      <w:pPr>
        <w:ind w:firstLine="482"/>
        <w:spacing w:line="360" w:lineRule="auto"/>
        <w:rPr>
          <w:rFonts w:ascii="宋体" w:hAnsi="宋体"/>
          <w:b/>
          <w:sz w:val="24"/>
          <w:highlight w:val="none"/>
        </w:rPr>
      </w:pPr>
      <w:r>
        <w:rPr>
          <w:rFonts w:ascii="宋体" w:hAnsi="宋体"/>
          <w:b/>
          <w:sz w:val="24"/>
          <w:highlight w:val="none"/>
        </w:rPr>
      </w:r>
      <w:r>
        <w:rPr>
          <w:highlight w:val="none"/>
        </w:rPr>
      </w:r>
    </w:p>
    <w:p>
      <w:pPr>
        <w:ind w:firstLine="482"/>
        <w:spacing w:line="360" w:lineRule="auto"/>
        <w:rPr>
          <w:rFonts w:ascii="宋体"/>
          <w:b/>
          <w:sz w:val="24"/>
          <w:highlight w:val="none"/>
        </w:rPr>
      </w:pPr>
      <w:r>
        <w:rPr>
          <w:rFonts w:hint="eastAsia" w:ascii="宋体"/>
          <w:b/>
          <w:sz w:val="24"/>
          <w:highlight w:val="none"/>
        </w:rPr>
        <w:t xml:space="preserve">七、乙方的责任与义务</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7.1、根据投标文件的承诺</w:t>
      </w:r>
      <w:r>
        <w:rPr>
          <w:rFonts w:hint="eastAsia" w:ascii="宋体" w:hAnsi="宋体"/>
          <w:sz w:val="24"/>
          <w:highlight w:val="none"/>
        </w:rPr>
        <w:t xml:space="preserve">派驻服务</w:t>
      </w:r>
      <w:r>
        <w:rPr>
          <w:rFonts w:hint="eastAsia" w:ascii="宋体" w:hAnsi="宋体"/>
          <w:sz w:val="24"/>
          <w:highlight w:val="none"/>
          <w:lang w:val="zh-CN"/>
        </w:rPr>
        <w:t xml:space="preserve">人员。</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7.2、在履行本合同义务的期间，应运用合理的技能，认真、勤奋的工作。</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7.3、不得泄漏与本项目、本合同有关的</w:t>
      </w:r>
      <w:r>
        <w:rPr>
          <w:rFonts w:hint="eastAsia" w:ascii="宋体" w:hAnsi="宋体"/>
          <w:sz w:val="24"/>
          <w:highlight w:val="none"/>
        </w:rPr>
        <w:t xml:space="preserve">数据、资料及文件等</w:t>
      </w:r>
      <w:r>
        <w:rPr>
          <w:rFonts w:hint="eastAsia" w:ascii="宋体" w:hAnsi="宋体"/>
          <w:sz w:val="24"/>
          <w:highlight w:val="none"/>
          <w:lang w:val="zh-CN"/>
        </w:rPr>
        <w:t xml:space="preserve">。</w:t>
      </w:r>
      <w:r>
        <w:rPr>
          <w:highlight w:val="none"/>
        </w:rPr>
      </w:r>
    </w:p>
    <w:p>
      <w:pPr>
        <w:ind w:firstLine="480"/>
        <w:spacing w:line="360" w:lineRule="auto"/>
        <w:rPr>
          <w:rFonts w:ascii="宋体"/>
          <w:sz w:val="24"/>
          <w:highlight w:val="none"/>
        </w:rPr>
      </w:pPr>
      <w:r>
        <w:rPr>
          <w:rFonts w:hint="eastAsia" w:ascii="宋体"/>
          <w:sz w:val="24"/>
          <w:highlight w:val="none"/>
        </w:rPr>
        <w:t xml:space="preserve">7.4、按照甲方的工作要求，提供并负责技术服务项目的日常维保、质量保证、故障维修等技术服务工作，确保数据的完整、及时，确保运行正常；</w:t>
      </w:r>
      <w:r>
        <w:rPr>
          <w:highlight w:val="none"/>
        </w:rPr>
      </w:r>
    </w:p>
    <w:p>
      <w:pPr>
        <w:ind w:firstLine="480"/>
        <w:spacing w:line="360" w:lineRule="auto"/>
        <w:rPr>
          <w:rFonts w:ascii="宋体"/>
          <w:sz w:val="24"/>
          <w:highlight w:val="none"/>
        </w:rPr>
      </w:pPr>
      <w:r>
        <w:rPr>
          <w:rFonts w:hint="eastAsia" w:ascii="宋体"/>
          <w:sz w:val="24"/>
          <w:highlight w:val="none"/>
        </w:rPr>
        <w:t xml:space="preserve">7.5、按照甲方的要求，做好技术服务的管理、维保、以及工作汇报等工作；</w:t>
      </w:r>
      <w:r>
        <w:rPr>
          <w:highlight w:val="none"/>
        </w:rPr>
      </w:r>
    </w:p>
    <w:p>
      <w:pPr>
        <w:ind w:firstLine="480"/>
        <w:spacing w:line="360" w:lineRule="auto"/>
        <w:rPr>
          <w:rFonts w:ascii="宋体"/>
          <w:sz w:val="24"/>
          <w:highlight w:val="none"/>
        </w:rPr>
      </w:pPr>
      <w:r>
        <w:rPr>
          <w:rFonts w:hint="eastAsia" w:ascii="宋体"/>
          <w:sz w:val="24"/>
          <w:highlight w:val="none"/>
        </w:rPr>
        <w:t xml:space="preserve">7.6、协助甲方开展业务培训和技术交流，并加强自身业务学习，不断提高维保人员业务能力和水平；</w:t>
      </w:r>
      <w:r>
        <w:rPr>
          <w:highlight w:val="none"/>
        </w:rPr>
      </w:r>
    </w:p>
    <w:p>
      <w:pPr>
        <w:ind w:firstLine="480"/>
        <w:spacing w:line="360" w:lineRule="auto"/>
        <w:rPr>
          <w:rFonts w:ascii="宋体"/>
          <w:sz w:val="24"/>
          <w:highlight w:val="none"/>
        </w:rPr>
      </w:pPr>
      <w:r>
        <w:rPr>
          <w:rFonts w:hint="eastAsia" w:ascii="宋体"/>
          <w:sz w:val="24"/>
          <w:highlight w:val="none"/>
        </w:rPr>
        <w:t xml:space="preserve">7.7、负责甲方对于技术服务的软硬件升级维护工作；</w:t>
      </w:r>
      <w:r>
        <w:rPr>
          <w:highlight w:val="none"/>
        </w:rPr>
      </w:r>
    </w:p>
    <w:p>
      <w:pPr>
        <w:ind w:firstLine="480"/>
        <w:spacing w:line="360" w:lineRule="auto"/>
        <w:rPr>
          <w:rFonts w:ascii="宋体"/>
          <w:sz w:val="24"/>
          <w:highlight w:val="none"/>
        </w:rPr>
      </w:pPr>
      <w:r>
        <w:rPr>
          <w:rFonts w:hint="eastAsia" w:ascii="宋体"/>
          <w:sz w:val="24"/>
          <w:highlight w:val="none"/>
        </w:rPr>
        <w:t xml:space="preserve">7.8、协助甲方做好技术服务监控工作，发现数据异常及时通报甲方。应急状况下，服从甲方的调度；</w:t>
      </w:r>
      <w:r>
        <w:rPr>
          <w:highlight w:val="none"/>
        </w:rPr>
      </w:r>
    </w:p>
    <w:p>
      <w:pPr>
        <w:ind w:firstLine="480"/>
        <w:spacing w:line="360" w:lineRule="auto"/>
        <w:rPr>
          <w:rFonts w:ascii="宋体"/>
          <w:sz w:val="24"/>
          <w:highlight w:val="none"/>
        </w:rPr>
      </w:pPr>
      <w:r>
        <w:rPr>
          <w:rFonts w:hint="eastAsia" w:ascii="宋体"/>
          <w:sz w:val="24"/>
          <w:highlight w:val="none"/>
        </w:rPr>
        <w:t xml:space="preserve">7.9、按合同要求做好技术服务的软硬资产的保护工作，以及其他有关工作；</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7.10、乙方</w:t>
      </w:r>
      <w:r>
        <w:rPr>
          <w:rFonts w:hint="eastAsia"/>
          <w:sz w:val="24"/>
          <w:highlight w:val="none"/>
        </w:rPr>
        <w:t xml:space="preserve">服务工程师，应通过设备制造商的专业培训，具备设备保修的专业技术能力。</w:t>
      </w:r>
      <w:r>
        <w:rPr>
          <w:highlight w:val="none"/>
        </w:rPr>
      </w:r>
    </w:p>
    <w:p>
      <w:pPr>
        <w:ind w:firstLine="480"/>
        <w:spacing w:line="360" w:lineRule="auto"/>
        <w:rPr>
          <w:rFonts w:ascii="宋体" w:hAnsi="宋体"/>
          <w:b/>
          <w:sz w:val="24"/>
          <w:highlight w:val="none"/>
        </w:rPr>
      </w:pPr>
      <w:r>
        <w:rPr>
          <w:rFonts w:hint="eastAsia" w:ascii="宋体" w:hAnsi="宋体"/>
          <w:sz w:val="24"/>
          <w:highlight w:val="none"/>
        </w:rPr>
        <w:t xml:space="preserve">7.11、未经甲方同意，乙方不得在任何时期擅自更换所指派的服务人员。</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7.12、项目运行实施阶段，未经甲方同意，乙方不得在任何时期擅自更换所派遣的技术负责人。</w:t>
      </w:r>
      <w:r>
        <w:rPr>
          <w:highlight w:val="none"/>
        </w:rPr>
      </w:r>
    </w:p>
    <w:p>
      <w:pPr>
        <w:ind w:firstLine="480"/>
        <w:spacing w:line="360" w:lineRule="auto"/>
        <w:rPr>
          <w:rFonts w:ascii="宋体" w:hAnsi="宋体"/>
          <w:sz w:val="24"/>
          <w:highlight w:val="none"/>
        </w:rPr>
      </w:pPr>
      <w:r>
        <w:rPr>
          <w:rFonts w:hint="eastAsia" w:ascii="宋体" w:hAnsi="宋体"/>
          <w:sz w:val="24"/>
          <w:highlight w:val="none"/>
        </w:rPr>
        <w:t xml:space="preserve">7.13、项目运行维护阶段，发现故障后，需立即通知甲方，得到批准后才能进行维修，维修应在一周内完成。需返厂维修的修复时间不超过一个月。</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hAnsi="宋体"/>
          <w:b/>
          <w:sz w:val="24"/>
          <w:highlight w:val="none"/>
        </w:rPr>
      </w:pPr>
      <w:r>
        <w:rPr>
          <w:rFonts w:hint="eastAsia" w:ascii="宋体" w:hAnsi="宋体"/>
          <w:b/>
          <w:sz w:val="24"/>
          <w:highlight w:val="none"/>
        </w:rPr>
        <w:t xml:space="preserve">八、甲方的责任与义务</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val="zh-CN"/>
        </w:rPr>
        <w:t xml:space="preserve">.1、甲方应当按合同条款双方约定的内容和时间，向乙方提供与项目有关的资料。</w:t>
      </w:r>
      <w:r>
        <w:rPr>
          <w:highlight w:val="none"/>
        </w:rPr>
      </w:r>
    </w:p>
    <w:p>
      <w:pPr>
        <w:ind w:firstLine="480"/>
        <w:spacing w:line="360" w:lineRule="auto"/>
        <w:rPr>
          <w:rFonts w:ascii="宋体" w:hAnsi="宋体"/>
          <w:sz w:val="24"/>
          <w:highlight w:val="none"/>
        </w:rPr>
      </w:pPr>
      <w:r>
        <w:rPr>
          <w:rFonts w:hint="eastAsia" w:ascii="宋体" w:hAnsi="宋体"/>
          <w:sz w:val="24"/>
          <w:highlight w:val="none"/>
          <w:lang w:val="zh-CN"/>
        </w:rPr>
        <w:t xml:space="preserve">8.2、甲方应授权一名熟悉本项目情况、能迅速做出决定的项目代表，负责与乙方联系。更换代表，要提前通知乙方。</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hAnsi="宋体"/>
          <w:sz w:val="24"/>
          <w:highlight w:val="none"/>
        </w:rPr>
      </w:pPr>
      <w:r>
        <w:rPr>
          <w:rFonts w:hint="eastAsia" w:ascii="宋体" w:hAnsi="宋体"/>
          <w:b/>
          <w:sz w:val="24"/>
          <w:highlight w:val="none"/>
        </w:rPr>
        <w:t xml:space="preserve">九、</w:t>
      </w:r>
      <w:r>
        <w:rPr>
          <w:rFonts w:hint="eastAsia" w:ascii="宋体" w:hAnsi="宋体"/>
          <w:b/>
          <w:sz w:val="24"/>
          <w:highlight w:val="none"/>
          <w:lang w:val="zh-CN"/>
        </w:rPr>
        <w:t xml:space="preserve">合同生效、变更和终止</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rPr>
        <w:t xml:space="preserve">9</w:t>
      </w:r>
      <w:r>
        <w:rPr>
          <w:rFonts w:hint="eastAsia" w:ascii="宋体" w:hAnsi="宋体"/>
          <w:sz w:val="24"/>
          <w:highlight w:val="none"/>
          <w:lang w:val="zh-CN"/>
        </w:rPr>
        <w:t xml:space="preserve">.1、</w:t>
      </w:r>
      <w:r>
        <w:rPr>
          <w:rFonts w:hint="eastAsia" w:ascii="宋体" w:hAnsi="宋体"/>
          <w:sz w:val="24"/>
          <w:highlight w:val="none"/>
        </w:rPr>
        <w:t xml:space="preserve">本合同经甲乙双方法定代表人或其委托人签字盖章</w:t>
      </w:r>
      <w:r>
        <w:rPr>
          <w:rFonts w:hint="eastAsia" w:ascii="宋体" w:hAnsi="宋体"/>
          <w:sz w:val="24"/>
          <w:highlight w:val="none"/>
          <w:lang w:val="zh-CN"/>
        </w:rPr>
        <w:t xml:space="preserve">后生效，</w:t>
      </w:r>
      <w:r>
        <w:rPr>
          <w:rFonts w:hint="eastAsia" w:ascii="宋体" w:hAnsi="宋体"/>
          <w:sz w:val="24"/>
          <w:highlight w:val="none"/>
          <w:lang w:val="zh-CN"/>
        </w:rPr>
        <w:t xml:space="preserve">至合同期止</w:t>
      </w:r>
      <w:r>
        <w:rPr>
          <w:rFonts w:hint="eastAsia" w:ascii="宋体" w:hAnsi="宋体"/>
          <w:sz w:val="24"/>
          <w:highlight w:val="none"/>
        </w:rPr>
        <w:t xml:space="preserve">。</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9.2、在合同签订后，实际情况发生变化，使得乙方不能全部或部分执行项目时，乙方应当立即通知甲方。</w:t>
      </w:r>
      <w:r>
        <w:rPr>
          <w:highlight w:val="none"/>
        </w:rPr>
      </w:r>
    </w:p>
    <w:p>
      <w:pPr>
        <w:ind w:firstLine="480"/>
        <w:jc w:val="left"/>
        <w:spacing w:line="360" w:lineRule="auto"/>
        <w:rPr>
          <w:rFonts w:ascii="宋体" w:hAnsi="宋体"/>
          <w:sz w:val="24"/>
          <w:highlight w:val="none"/>
        </w:rPr>
      </w:pPr>
      <w:r>
        <w:rPr>
          <w:rFonts w:hint="eastAsia" w:ascii="宋体" w:hAnsi="宋体"/>
          <w:sz w:val="24"/>
          <w:highlight w:val="none"/>
          <w:lang w:val="zh-CN"/>
        </w:rPr>
        <w:t xml:space="preserve">9.3、当事人一方要求变更或解除合同时，应当在30天前通知对方，因变更或解除合同使一方遭受损失的，除依法可以免除责任的外，应由责任方负责赔偿。变更或解除合同的通知或协议应当采取书面形式，协议未达成之前，原合同仍然有效。</w:t>
      </w:r>
      <w:r>
        <w:rPr>
          <w:highlight w:val="none"/>
        </w:rPr>
      </w:r>
    </w:p>
    <w:p>
      <w:pPr>
        <w:ind w:firstLine="482"/>
        <w:spacing w:line="360" w:lineRule="auto"/>
        <w:rPr>
          <w:rFonts w:ascii="宋体"/>
          <w:b/>
          <w:sz w:val="24"/>
          <w:highlight w:val="none"/>
        </w:rPr>
      </w:pPr>
      <w:r>
        <w:rPr>
          <w:rFonts w:ascii="宋体"/>
          <w:b/>
          <w:sz w:val="24"/>
          <w:highlight w:val="none"/>
        </w:rPr>
      </w:r>
      <w:r>
        <w:rPr>
          <w:highlight w:val="none"/>
        </w:rPr>
      </w:r>
    </w:p>
    <w:p>
      <w:pPr>
        <w:ind w:firstLine="482"/>
        <w:spacing w:line="360" w:lineRule="auto"/>
        <w:rPr>
          <w:rFonts w:ascii="宋体"/>
          <w:b/>
          <w:sz w:val="24"/>
          <w:highlight w:val="none"/>
        </w:rPr>
      </w:pPr>
      <w:r>
        <w:rPr>
          <w:rFonts w:ascii="宋体"/>
          <w:b/>
          <w:sz w:val="24"/>
          <w:highlight w:val="none"/>
        </w:rPr>
        <w:t xml:space="preserve">十、诉讼</w:t>
      </w:r>
      <w:r>
        <w:rPr>
          <w:highlight w:val="none"/>
        </w:rPr>
      </w:r>
    </w:p>
    <w:p>
      <w:pPr>
        <w:ind w:firstLine="480"/>
        <w:spacing w:line="360" w:lineRule="auto"/>
        <w:rPr>
          <w:rFonts w:ascii="宋体"/>
          <w:sz w:val="24"/>
          <w:highlight w:val="none"/>
        </w:rPr>
      </w:pPr>
      <w:r>
        <w:rPr>
          <w:rFonts w:ascii="宋体"/>
          <w:sz w:val="24"/>
          <w:highlight w:val="none"/>
        </w:rPr>
        <w:t xml:space="preserve">双方在执行合同中所发生的一切争议，应通过协商解决。如协商不成，可向合同签订地法院起诉。</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2"/>
        <w:spacing w:line="360" w:lineRule="auto"/>
        <w:rPr>
          <w:rFonts w:ascii="宋体"/>
          <w:b/>
          <w:sz w:val="24"/>
          <w:highlight w:val="none"/>
        </w:rPr>
      </w:pPr>
      <w:r>
        <w:rPr>
          <w:rFonts w:ascii="宋体"/>
          <w:b/>
          <w:sz w:val="24"/>
          <w:highlight w:val="none"/>
        </w:rPr>
        <w:t xml:space="preserve">十</w:t>
      </w:r>
      <w:r>
        <w:rPr>
          <w:rFonts w:hint="eastAsia" w:ascii="宋体"/>
          <w:b/>
          <w:sz w:val="24"/>
          <w:highlight w:val="none"/>
        </w:rPr>
        <w:t xml:space="preserve">一</w:t>
      </w:r>
      <w:r>
        <w:rPr>
          <w:rFonts w:ascii="宋体"/>
          <w:b/>
          <w:sz w:val="24"/>
          <w:highlight w:val="none"/>
        </w:rPr>
        <w:t xml:space="preserve">、合同生效及其它</w:t>
      </w:r>
      <w:r>
        <w:rPr>
          <w:highlight w:val="none"/>
        </w:rPr>
      </w:r>
    </w:p>
    <w:p>
      <w:pPr>
        <w:ind w:firstLine="480"/>
        <w:spacing w:line="360" w:lineRule="auto"/>
        <w:rPr>
          <w:rFonts w:ascii="宋体"/>
          <w:sz w:val="24"/>
          <w:highlight w:val="none"/>
        </w:rPr>
      </w:pPr>
      <w:r>
        <w:rPr>
          <w:rFonts w:ascii="宋体"/>
          <w:sz w:val="24"/>
          <w:highlight w:val="none"/>
        </w:rPr>
        <w:t xml:space="preserve">1</w:t>
      </w:r>
      <w:r>
        <w:rPr>
          <w:rFonts w:hint="eastAsia" w:ascii="宋体"/>
          <w:sz w:val="24"/>
          <w:highlight w:val="none"/>
        </w:rPr>
        <w:t xml:space="preserve">1</w:t>
      </w:r>
      <w:r>
        <w:rPr>
          <w:rFonts w:ascii="宋体"/>
          <w:sz w:val="24"/>
          <w:highlight w:val="none"/>
        </w:rPr>
        <w:t xml:space="preserve">.1</w:t>
      </w:r>
      <w:r>
        <w:rPr>
          <w:rFonts w:hint="eastAsia" w:ascii="宋体"/>
          <w:sz w:val="24"/>
          <w:highlight w:val="none"/>
        </w:rPr>
        <w:t xml:space="preserve">、本合同由甲乙双方在</w:t>
      </w:r>
      <w:r>
        <w:rPr>
          <w:rFonts w:hint="eastAsia" w:ascii="宋体"/>
          <w:sz w:val="24"/>
          <w:highlight w:val="none"/>
          <w:u w:val="single"/>
        </w:rPr>
        <w:t xml:space="preserve"> </w:t>
      </w:r>
      <w:r>
        <w:rPr>
          <w:rStyle w:val="1010"/>
          <w:rFonts w:hint="eastAsia" w:ascii="宋体" w:hAnsi="宋体"/>
          <w:sz w:val="24"/>
          <w:highlight w:val="none"/>
          <w:u w:val="single"/>
        </w:rPr>
        <w:t xml:space="preserve">甲方</w:t>
      </w:r>
      <w:r>
        <w:rPr>
          <w:rStyle w:val="1010"/>
          <w:rFonts w:ascii="宋体" w:hAnsi="宋体"/>
          <w:sz w:val="24"/>
          <w:highlight w:val="none"/>
          <w:u w:val="single"/>
        </w:rPr>
        <w:t xml:space="preserve">所在地</w:t>
      </w:r>
      <w:r>
        <w:rPr>
          <w:rFonts w:hint="eastAsia" w:ascii="宋体"/>
          <w:sz w:val="24"/>
          <w:highlight w:val="none"/>
          <w:u w:val="single"/>
        </w:rPr>
        <w:t xml:space="preserve"> </w:t>
      </w:r>
      <w:r>
        <w:rPr>
          <w:rFonts w:hint="eastAsia" w:ascii="宋体"/>
          <w:sz w:val="24"/>
          <w:highlight w:val="none"/>
        </w:rPr>
        <w:t xml:space="preserve">签订。</w:t>
      </w:r>
      <w:r>
        <w:rPr>
          <w:rFonts w:ascii="宋体"/>
          <w:sz w:val="24"/>
          <w:highlight w:val="none"/>
        </w:rPr>
        <w:t xml:space="preserve">合同经双方法定代表人或授权委托人签字</w:t>
      </w:r>
      <w:r>
        <w:rPr>
          <w:rFonts w:hint="eastAsia" w:ascii="宋体"/>
          <w:sz w:val="24"/>
          <w:highlight w:val="none"/>
        </w:rPr>
        <w:t xml:space="preserve">盖章</w:t>
      </w:r>
      <w:r>
        <w:rPr>
          <w:rFonts w:ascii="宋体"/>
          <w:sz w:val="24"/>
          <w:highlight w:val="none"/>
        </w:rPr>
        <w:t xml:space="preserve">并</w:t>
      </w:r>
      <w:r>
        <w:rPr>
          <w:rFonts w:hint="eastAsia" w:ascii="宋体"/>
          <w:sz w:val="24"/>
          <w:highlight w:val="none"/>
        </w:rPr>
        <w:t xml:space="preserve">经采购代理机构鉴证后生效。</w:t>
      </w:r>
      <w:r>
        <w:rPr>
          <w:highlight w:val="none"/>
        </w:rPr>
      </w:r>
    </w:p>
    <w:p>
      <w:pPr>
        <w:ind w:firstLine="480"/>
        <w:spacing w:line="360" w:lineRule="auto"/>
        <w:rPr>
          <w:rFonts w:ascii="宋体"/>
          <w:sz w:val="24"/>
          <w:highlight w:val="none"/>
        </w:rPr>
      </w:pPr>
      <w:r>
        <w:rPr>
          <w:rFonts w:ascii="宋体"/>
          <w:sz w:val="24"/>
          <w:highlight w:val="none"/>
        </w:rPr>
        <w:t xml:space="preserve">1</w:t>
      </w:r>
      <w:r>
        <w:rPr>
          <w:rFonts w:hint="eastAsia" w:ascii="宋体"/>
          <w:sz w:val="24"/>
          <w:highlight w:val="none"/>
        </w:rPr>
        <w:t xml:space="preserve">1</w:t>
      </w:r>
      <w:r>
        <w:rPr>
          <w:rFonts w:ascii="宋体"/>
          <w:sz w:val="24"/>
          <w:highlight w:val="none"/>
        </w:rPr>
        <w:t xml:space="preserve">.2</w:t>
      </w:r>
      <w:r>
        <w:rPr>
          <w:rFonts w:hint="eastAsia" w:ascii="宋体"/>
          <w:sz w:val="24"/>
          <w:highlight w:val="none"/>
        </w:rPr>
        <w:t xml:space="preserve">、招标、投标文件是本合同不可或缺的部分，与合同具有同等效力。</w:t>
      </w:r>
      <w:r>
        <w:rPr>
          <w:rFonts w:ascii="宋体"/>
          <w:sz w:val="24"/>
          <w:highlight w:val="none"/>
        </w:rPr>
        <w:t xml:space="preserve">本合同未尽事宜，遵照《中华人民共和国民法典》有关条文执行。</w:t>
      </w:r>
      <w:r>
        <w:rPr>
          <w:highlight w:val="none"/>
        </w:rPr>
      </w:r>
    </w:p>
    <w:p>
      <w:pPr>
        <w:ind w:firstLine="480"/>
        <w:spacing w:line="360" w:lineRule="auto"/>
        <w:rPr>
          <w:rFonts w:ascii="宋体"/>
          <w:sz w:val="24"/>
          <w:highlight w:val="none"/>
        </w:rPr>
      </w:pPr>
      <w:r>
        <w:rPr>
          <w:rFonts w:ascii="宋体"/>
          <w:sz w:val="24"/>
          <w:highlight w:val="none"/>
        </w:rPr>
        <w:t xml:space="preserve">1</w:t>
      </w:r>
      <w:r>
        <w:rPr>
          <w:rFonts w:hint="eastAsia" w:ascii="宋体"/>
          <w:sz w:val="24"/>
          <w:highlight w:val="none"/>
        </w:rPr>
        <w:t xml:space="preserve">1</w:t>
      </w:r>
      <w:r>
        <w:rPr>
          <w:rFonts w:ascii="宋体"/>
          <w:sz w:val="24"/>
          <w:highlight w:val="none"/>
        </w:rPr>
        <w:t xml:space="preserve">.</w:t>
      </w:r>
      <w:r>
        <w:rPr>
          <w:rFonts w:hint="eastAsia" w:ascii="宋体"/>
          <w:sz w:val="24"/>
          <w:highlight w:val="none"/>
        </w:rPr>
        <w:t xml:space="preserve">3、</w:t>
      </w:r>
      <w:r>
        <w:rPr>
          <w:rFonts w:ascii="宋体"/>
          <w:sz w:val="24"/>
          <w:highlight w:val="none"/>
        </w:rPr>
        <w:t xml:space="preserve">本合同正本一式</w:t>
      </w:r>
      <w:r>
        <w:rPr>
          <w:rFonts w:hint="eastAsia" w:ascii="宋体"/>
          <w:sz w:val="24"/>
          <w:highlight w:val="none"/>
          <w:u w:val="single"/>
        </w:rPr>
        <w:t xml:space="preserve">XX</w:t>
      </w:r>
      <w:r>
        <w:rPr>
          <w:rFonts w:ascii="宋体"/>
          <w:sz w:val="24"/>
          <w:highlight w:val="none"/>
        </w:rPr>
        <w:t xml:space="preserve">份，具有同等法律效力，甲</w:t>
      </w:r>
      <w:r>
        <w:rPr>
          <w:rFonts w:hint="eastAsia" w:ascii="宋体"/>
          <w:sz w:val="24"/>
          <w:highlight w:val="none"/>
        </w:rPr>
        <w:t xml:space="preserve">方执</w:t>
      </w:r>
      <w:r>
        <w:rPr>
          <w:rFonts w:hint="eastAsia" w:ascii="宋体"/>
          <w:sz w:val="24"/>
          <w:highlight w:val="none"/>
          <w:u w:val="single"/>
        </w:rPr>
        <w:t xml:space="preserve">XX</w:t>
      </w:r>
      <w:r>
        <w:rPr>
          <w:rFonts w:hint="eastAsia" w:ascii="宋体"/>
          <w:sz w:val="24"/>
          <w:highlight w:val="none"/>
        </w:rPr>
        <w:t xml:space="preserve">份，</w:t>
      </w:r>
      <w:r>
        <w:rPr>
          <w:rFonts w:ascii="宋体"/>
          <w:sz w:val="24"/>
          <w:highlight w:val="none"/>
        </w:rPr>
        <w:t xml:space="preserve">乙方</w:t>
      </w:r>
      <w:r>
        <w:rPr>
          <w:rFonts w:hint="eastAsia" w:ascii="宋体"/>
          <w:sz w:val="24"/>
          <w:highlight w:val="none"/>
        </w:rPr>
        <w:t xml:space="preserve">执</w:t>
      </w:r>
      <w:r>
        <w:rPr>
          <w:rFonts w:hint="eastAsia" w:ascii="宋体"/>
          <w:sz w:val="24"/>
          <w:highlight w:val="none"/>
          <w:u w:val="single"/>
        </w:rPr>
        <w:t xml:space="preserve">XX</w:t>
      </w:r>
      <w:r>
        <w:rPr>
          <w:rFonts w:hint="eastAsia" w:ascii="宋体"/>
          <w:sz w:val="24"/>
          <w:highlight w:val="none"/>
        </w:rPr>
        <w:t xml:space="preserve">份。</w:t>
      </w:r>
      <w:r>
        <w:rPr>
          <w:highlight w:val="none"/>
        </w:rPr>
      </w:r>
    </w:p>
    <w:p>
      <w:pPr>
        <w:jc w:val="left"/>
        <w:spacing w:line="360" w:lineRule="auto"/>
        <w:widowControl/>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t xml:space="preserve">甲方</w:t>
      </w:r>
      <w:r>
        <w:rPr>
          <w:rFonts w:hint="eastAsia" w:ascii="宋体"/>
          <w:sz w:val="24"/>
          <w:highlight w:val="none"/>
        </w:rPr>
        <w:t xml:space="preserve">（盖章）</w:t>
      </w:r>
      <w:r>
        <w:rPr>
          <w:rFonts w:ascii="宋体"/>
          <w:sz w:val="24"/>
          <w:highlight w:val="none"/>
        </w:rPr>
        <w:t xml:space="preserve">：           </w:t>
      </w:r>
      <w:r>
        <w:rPr>
          <w:rFonts w:hint="eastAsia" w:ascii="宋体"/>
          <w:sz w:val="24"/>
          <w:highlight w:val="none"/>
        </w:rPr>
        <w:t xml:space="preserve">                  乙</w:t>
      </w:r>
      <w:r>
        <w:rPr>
          <w:rFonts w:ascii="宋体"/>
          <w:sz w:val="24"/>
          <w:highlight w:val="none"/>
        </w:rPr>
        <w:t xml:space="preserve">方</w:t>
      </w:r>
      <w:r>
        <w:rPr>
          <w:rFonts w:hint="eastAsia" w:ascii="宋体"/>
          <w:sz w:val="24"/>
          <w:highlight w:val="none"/>
        </w:rPr>
        <w:t xml:space="preserve">（盖章）</w:t>
      </w:r>
      <w:r>
        <w:rPr>
          <w:rFonts w:ascii="宋体"/>
          <w:sz w:val="24"/>
          <w:highlight w:val="none"/>
        </w:rPr>
        <w:t xml:space="preserve">： </w:t>
      </w:r>
      <w:r>
        <w:rPr>
          <w:highlight w:val="none"/>
        </w:rPr>
      </w:r>
    </w:p>
    <w:p>
      <w:pPr>
        <w:ind w:firstLine="480"/>
        <w:spacing w:line="360" w:lineRule="auto"/>
        <w:rPr>
          <w:rFonts w:ascii="宋体"/>
          <w:sz w:val="24"/>
          <w:highlight w:val="none"/>
        </w:rPr>
      </w:pPr>
      <w:r>
        <w:rPr>
          <w:rFonts w:ascii="宋体"/>
          <w:sz w:val="24"/>
          <w:highlight w:val="none"/>
        </w:rPr>
        <w:t xml:space="preserve">地址：</w:t>
      </w:r>
      <w:r>
        <w:rPr>
          <w:rFonts w:hint="eastAsia" w:ascii="宋体"/>
          <w:sz w:val="24"/>
          <w:highlight w:val="none"/>
        </w:rPr>
        <w:t xml:space="preserve">                                    </w:t>
      </w:r>
      <w:r>
        <w:rPr>
          <w:rFonts w:ascii="宋体"/>
          <w:sz w:val="24"/>
          <w:highlight w:val="none"/>
        </w:rPr>
        <w:t xml:space="preserve">地址：</w:t>
      </w:r>
      <w:r>
        <w:rPr>
          <w:highlight w:val="none"/>
        </w:rPr>
      </w:r>
    </w:p>
    <w:p>
      <w:pPr>
        <w:ind w:firstLine="480"/>
        <w:spacing w:line="360" w:lineRule="auto"/>
        <w:rPr>
          <w:rFonts w:ascii="宋体"/>
          <w:sz w:val="24"/>
          <w:highlight w:val="none"/>
        </w:rPr>
      </w:pPr>
      <w:r>
        <w:rPr>
          <w:rFonts w:ascii="宋体"/>
          <w:sz w:val="24"/>
          <w:highlight w:val="none"/>
        </w:rPr>
        <w:t xml:space="preserve">法定代表人</w:t>
      </w:r>
      <w:r>
        <w:rPr>
          <w:rFonts w:hint="eastAsia" w:ascii="宋体"/>
          <w:sz w:val="24"/>
          <w:highlight w:val="none"/>
        </w:rPr>
        <w:t xml:space="preserve">或授权</w:t>
      </w:r>
      <w:r>
        <w:rPr>
          <w:rFonts w:ascii="宋体"/>
          <w:sz w:val="24"/>
          <w:highlight w:val="none"/>
        </w:rPr>
        <w:t xml:space="preserve">委托人</w:t>
      </w:r>
      <w:r>
        <w:rPr>
          <w:rFonts w:hint="eastAsia" w:ascii="宋体"/>
          <w:sz w:val="24"/>
          <w:highlight w:val="none"/>
        </w:rPr>
        <w:t xml:space="preserve">（签字）</w:t>
      </w:r>
      <w:r>
        <w:rPr>
          <w:rFonts w:ascii="宋体"/>
          <w:sz w:val="24"/>
          <w:highlight w:val="none"/>
        </w:rPr>
        <w:t xml:space="preserve">：        </w:t>
      </w:r>
      <w:r>
        <w:rPr>
          <w:rFonts w:hint="eastAsia" w:ascii="宋体"/>
          <w:sz w:val="24"/>
          <w:highlight w:val="none"/>
        </w:rPr>
        <w:t xml:space="preserve">   </w:t>
      </w:r>
      <w:r>
        <w:rPr>
          <w:rFonts w:ascii="宋体"/>
          <w:sz w:val="24"/>
          <w:highlight w:val="none"/>
        </w:rPr>
        <w:t xml:space="preserve">法定代表人</w:t>
      </w:r>
      <w:r>
        <w:rPr>
          <w:rFonts w:hint="eastAsia" w:ascii="宋体"/>
          <w:sz w:val="24"/>
          <w:highlight w:val="none"/>
        </w:rPr>
        <w:t xml:space="preserve">或授权</w:t>
      </w:r>
      <w:r>
        <w:rPr>
          <w:rFonts w:ascii="宋体"/>
          <w:sz w:val="24"/>
          <w:highlight w:val="none"/>
        </w:rPr>
        <w:t xml:space="preserve">委托人</w:t>
      </w:r>
      <w:r>
        <w:rPr>
          <w:rFonts w:hint="eastAsia" w:ascii="宋体"/>
          <w:sz w:val="24"/>
          <w:highlight w:val="none"/>
        </w:rPr>
        <w:t xml:space="preserve">（签字）</w:t>
      </w:r>
      <w:r>
        <w:rPr>
          <w:rFonts w:ascii="宋体"/>
          <w:sz w:val="24"/>
          <w:highlight w:val="none"/>
        </w:rPr>
        <w:t xml:space="preserve">：</w:t>
      </w:r>
      <w:r>
        <w:rPr>
          <w:highlight w:val="none"/>
        </w:rPr>
      </w:r>
    </w:p>
    <w:p>
      <w:pPr>
        <w:ind w:firstLine="480"/>
        <w:spacing w:line="360" w:lineRule="auto"/>
        <w:rPr>
          <w:rFonts w:ascii="宋体"/>
          <w:sz w:val="24"/>
          <w:highlight w:val="none"/>
        </w:rPr>
      </w:pPr>
      <w:r>
        <w:rPr>
          <w:rFonts w:hint="eastAsia" w:ascii="宋体"/>
          <w:sz w:val="24"/>
          <w:highlight w:val="none"/>
        </w:rPr>
        <w:t xml:space="preserve">纳税人识别号：                            纳税人识别号</w:t>
      </w:r>
      <w:r>
        <w:rPr>
          <w:highlight w:val="none"/>
        </w:rPr>
      </w:r>
    </w:p>
    <w:p>
      <w:pPr>
        <w:ind w:firstLine="480"/>
        <w:spacing w:line="360" w:lineRule="auto"/>
        <w:rPr>
          <w:rFonts w:ascii="宋体"/>
          <w:sz w:val="24"/>
          <w:highlight w:val="none"/>
        </w:rPr>
      </w:pPr>
      <w:r>
        <w:rPr>
          <w:rFonts w:hint="eastAsia" w:ascii="宋体"/>
          <w:sz w:val="24"/>
          <w:highlight w:val="none"/>
        </w:rPr>
        <w:t xml:space="preserve">开户行：                                  开户行</w:t>
      </w:r>
      <w:r>
        <w:rPr>
          <w:highlight w:val="none"/>
        </w:rPr>
      </w:r>
    </w:p>
    <w:p>
      <w:pPr>
        <w:ind w:firstLine="480"/>
        <w:spacing w:line="360" w:lineRule="auto"/>
        <w:rPr>
          <w:rFonts w:ascii="宋体"/>
          <w:sz w:val="24"/>
          <w:highlight w:val="none"/>
        </w:rPr>
      </w:pPr>
      <w:r>
        <w:rPr>
          <w:rFonts w:hint="eastAsia" w:ascii="宋体"/>
          <w:sz w:val="24"/>
          <w:highlight w:val="none"/>
        </w:rPr>
        <w:t xml:space="preserve">账号：                                    账号：</w:t>
      </w:r>
      <w:r>
        <w:rPr>
          <w:highlight w:val="none"/>
        </w:rPr>
      </w:r>
    </w:p>
    <w:p>
      <w:pPr>
        <w:ind w:firstLine="480"/>
        <w:spacing w:line="360" w:lineRule="auto"/>
        <w:rPr>
          <w:rFonts w:ascii="宋体"/>
          <w:sz w:val="24"/>
          <w:highlight w:val="none"/>
        </w:rPr>
      </w:pPr>
      <w:r>
        <w:rPr>
          <w:rFonts w:hint="eastAsia" w:ascii="宋体"/>
          <w:sz w:val="24"/>
          <w:highlight w:val="none"/>
        </w:rPr>
        <w:t xml:space="preserve">联系电话：                                联系电话：</w:t>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r>
      <w:r>
        <w:rPr>
          <w:highlight w:val="none"/>
        </w:rPr>
      </w:r>
    </w:p>
    <w:p>
      <w:pPr>
        <w:ind w:firstLine="480"/>
        <w:spacing w:line="360" w:lineRule="auto"/>
        <w:rPr>
          <w:rFonts w:ascii="宋体"/>
          <w:sz w:val="24"/>
          <w:highlight w:val="none"/>
        </w:rPr>
      </w:pPr>
      <w:r>
        <w:rPr>
          <w:rFonts w:ascii="宋体"/>
          <w:sz w:val="24"/>
          <w:highlight w:val="none"/>
        </w:rPr>
        <w:t xml:space="preserve">签订日期：</w:t>
      </w:r>
      <w:r>
        <w:rPr>
          <w:rFonts w:hint="eastAsia" w:ascii="宋体"/>
          <w:sz w:val="24"/>
          <w:highlight w:val="none"/>
        </w:rPr>
        <w:t xml:space="preserve"> </w:t>
      </w:r>
      <w:r>
        <w:rPr>
          <w:rFonts w:ascii="宋体"/>
          <w:sz w:val="24"/>
          <w:highlight w:val="none"/>
        </w:rPr>
        <w:t xml:space="preserve"> 年</w:t>
      </w:r>
      <w:r>
        <w:rPr>
          <w:rFonts w:hint="eastAsia" w:ascii="宋体"/>
          <w:sz w:val="24"/>
          <w:highlight w:val="none"/>
        </w:rPr>
        <w:t xml:space="preserve"> </w:t>
      </w:r>
      <w:r>
        <w:rPr>
          <w:rFonts w:ascii="宋体"/>
          <w:sz w:val="24"/>
          <w:highlight w:val="none"/>
        </w:rPr>
        <w:t xml:space="preserve"> 月</w:t>
      </w:r>
      <w:r>
        <w:rPr>
          <w:rFonts w:hint="eastAsia" w:ascii="宋体"/>
          <w:sz w:val="24"/>
          <w:highlight w:val="none"/>
        </w:rPr>
        <w:t xml:space="preserve"> </w:t>
      </w:r>
      <w:r>
        <w:rPr>
          <w:rFonts w:ascii="宋体"/>
          <w:sz w:val="24"/>
          <w:highlight w:val="none"/>
        </w:rPr>
        <w:t xml:space="preserve"> 日</w:t>
      </w:r>
      <w:r>
        <w:rPr>
          <w:highlight w:val="none"/>
        </w:rPr>
      </w:r>
    </w:p>
    <w:p>
      <w:pPr>
        <w:jc w:val="left"/>
        <w:widowControl/>
        <w:rPr>
          <w:sz w:val="30"/>
          <w:highlight w:val="none"/>
        </w:rPr>
      </w:pPr>
      <w:r>
        <w:rPr>
          <w:sz w:val="30"/>
          <w:highlight w:val="none"/>
        </w:rPr>
        <w:br w:type="page" w:clear="all"/>
      </w:r>
      <w:r>
        <w:rPr>
          <w:highlight w:val="none"/>
        </w:rPr>
      </w:r>
    </w:p>
    <w:p>
      <w:pPr>
        <w:jc w:val="center"/>
        <w:rPr>
          <w:sz w:val="30"/>
          <w:highlight w:val="none"/>
        </w:rPr>
      </w:pPr>
      <w:r>
        <w:rPr>
          <w:sz w:val="30"/>
          <w:highlight w:val="none"/>
        </w:rPr>
      </w:r>
      <w:r>
        <w:rPr>
          <w:highlight w:val="none"/>
        </w:rPr>
      </w:r>
    </w:p>
    <w:p>
      <w:pPr>
        <w:jc w:val="center"/>
        <w:spacing w:line="276" w:lineRule="auto"/>
        <w:widowControl/>
        <w:rPr>
          <w:rFonts w:ascii="宋体" w:hAnsi="宋体" w:cs="宋体"/>
          <w:b/>
          <w:sz w:val="32"/>
          <w:szCs w:val="32"/>
          <w:highlight w:val="none"/>
        </w:rPr>
        <w:outlineLvl w:val="0"/>
      </w:pPr>
      <w:r>
        <w:rPr>
          <w:highlight w:val="none"/>
        </w:rPr>
      </w:r>
      <w:bookmarkStart w:id="171" w:name="_Toc238220172"/>
      <w:r>
        <w:rPr>
          <w:rFonts w:hint="eastAsia" w:ascii="宋体" w:hAnsi="宋体" w:cs="宋体"/>
          <w:b/>
          <w:sz w:val="32"/>
          <w:szCs w:val="32"/>
          <w:highlight w:val="none"/>
        </w:rPr>
        <w:t xml:space="preserve">第四章  采购需求</w:t>
      </w:r>
      <w:bookmarkEnd w:id="171"/>
      <w:r>
        <w:rPr>
          <w:highlight w:val="none"/>
        </w:rPr>
      </w:r>
      <w:r>
        <w:rPr>
          <w:highlight w:val="none"/>
        </w:rPr>
      </w:r>
    </w:p>
    <w:p>
      <w:pPr>
        <w:spacing w:line="276" w:lineRule="auto"/>
        <w:rPr>
          <w:rFonts w:ascii="宋体" w:hAnsi="宋体"/>
          <w:b/>
          <w:color w:val="000000"/>
          <w:sz w:val="24"/>
          <w:highlight w:val="none"/>
        </w:rPr>
      </w:pPr>
      <w:r>
        <w:rPr>
          <w:rFonts w:hint="eastAsia" w:ascii="宋体" w:hAnsi="宋体"/>
          <w:b/>
          <w:color w:val="000000"/>
          <w:sz w:val="24"/>
          <w:highlight w:val="none"/>
        </w:rPr>
        <w:t xml:space="preserve">项目属性：服务类项目。</w:t>
      </w:r>
      <w:r>
        <w:rPr>
          <w:highlight w:val="none"/>
        </w:rP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p>
    <w:p>
      <w:pPr>
        <w:pStyle w:val="1017"/>
        <w:rPr>
          <w:sz w:val="24"/>
          <w:szCs w:val="24"/>
          <w:highlight w:val="none"/>
        </w:rPr>
      </w:pPr>
      <w:r>
        <w:rPr>
          <w:highlight w:val="none"/>
        </w:rPr>
      </w:r>
      <w:bookmarkStart w:id="172" w:name="_Toc238220173"/>
      <w:r>
        <w:rPr>
          <w:highlight w:val="none"/>
        </w:rPr>
      </w:r>
      <w:bookmarkStart w:id="173" w:name="_Toc184129779"/>
      <w:r>
        <w:rPr>
          <w:rFonts w:hint="eastAsia"/>
          <w:sz w:val="24"/>
          <w:szCs w:val="24"/>
          <w:highlight w:val="none"/>
        </w:rPr>
        <w:t xml:space="preserve">一、维保设备清单</w:t>
      </w:r>
      <w:bookmarkEnd w:id="172"/>
      <w:r>
        <w:rPr>
          <w:highlight w:val="none"/>
        </w:rPr>
      </w:r>
      <w:bookmarkEnd w:id="173"/>
      <w:r>
        <w:rPr>
          <w:highlight w:val="none"/>
        </w:rPr>
      </w:r>
      <w:r>
        <w:rPr>
          <w:highlight w:val="none"/>
        </w:rPr>
      </w:r>
    </w:p>
    <w:tbl>
      <w:tblPr>
        <w:tblStyle w:val="924"/>
        <w:tblW w:w="8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822"/>
        <w:gridCol w:w="1798"/>
        <w:gridCol w:w="1798"/>
        <w:gridCol w:w="1277"/>
      </w:tblGrid>
      <w:tr>
        <w:trPr>
          <w:jc w:val="center"/>
          <w:trHeight w:val="17"/>
        </w:trPr>
        <w:tc>
          <w:tcPr>
            <w:tcW w:w="659" w:type="dxa"/>
            <w:vAlign w:val="center"/>
            <w:textDirection w:val="lrTb"/>
            <w:noWrap w:val="false"/>
          </w:tcPr>
          <w:p>
            <w:pPr>
              <w:jc w:val="center"/>
              <w:rPr>
                <w:rFonts w:ascii="宋体" w:hAnsi="宋体" w:cs="仿宋"/>
                <w:sz w:val="24"/>
                <w:highlight w:val="none"/>
              </w:rPr>
            </w:pPr>
            <w:r>
              <w:rPr>
                <w:rFonts w:hint="eastAsia" w:ascii="宋体" w:hAnsi="宋体" w:cs="仿宋"/>
                <w:sz w:val="24"/>
                <w:highlight w:val="none"/>
              </w:rPr>
              <w:t xml:space="preserve">序号</w:t>
            </w:r>
            <w:r>
              <w:rPr>
                <w:highlight w:val="none"/>
              </w:rPr>
            </w:r>
          </w:p>
        </w:tc>
        <w:tc>
          <w:tcPr>
            <w:tcW w:w="2822" w:type="dxa"/>
            <w:vAlign w:val="center"/>
            <w:textDirection w:val="lrTb"/>
            <w:noWrap w:val="false"/>
          </w:tcPr>
          <w:p>
            <w:pPr>
              <w:jc w:val="center"/>
              <w:rPr>
                <w:rFonts w:ascii="宋体" w:hAnsi="宋体" w:cs="仿宋"/>
                <w:sz w:val="24"/>
                <w:highlight w:val="none"/>
              </w:rPr>
            </w:pPr>
            <w:r>
              <w:rPr>
                <w:rFonts w:hint="eastAsia" w:ascii="宋体" w:hAnsi="宋体" w:cs="仿宋"/>
                <w:sz w:val="24"/>
                <w:highlight w:val="none"/>
              </w:rPr>
              <w:t xml:space="preserve">设备型号</w:t>
            </w:r>
            <w:r>
              <w:rPr>
                <w:highlight w:val="none"/>
              </w:rPr>
            </w:r>
          </w:p>
        </w:tc>
        <w:tc>
          <w:tcPr>
            <w:tcW w:w="1798" w:type="dxa"/>
            <w:textDirection w:val="lrTb"/>
            <w:noWrap w:val="false"/>
          </w:tcPr>
          <w:p>
            <w:pPr>
              <w:jc w:val="center"/>
              <w:rPr>
                <w:rFonts w:hint="eastAsia" w:ascii="宋体" w:hAnsi="宋体" w:cs="仿宋"/>
                <w:sz w:val="24"/>
                <w:highlight w:val="none"/>
              </w:rPr>
            </w:pPr>
            <w:r>
              <w:rPr>
                <w:rFonts w:hint="eastAsia" w:ascii="宋体" w:hAnsi="宋体" w:cs="仿宋"/>
                <w:sz w:val="24"/>
                <w:highlight w:val="none"/>
              </w:rPr>
              <w:t xml:space="preserve">数量</w:t>
            </w:r>
            <w:r>
              <w:rPr>
                <w:highlight w:val="none"/>
              </w:rPr>
            </w:r>
          </w:p>
        </w:tc>
        <w:tc>
          <w:tcPr>
            <w:tcW w:w="1798" w:type="dxa"/>
            <w:vAlign w:val="center"/>
            <w:textDirection w:val="lrTb"/>
            <w:noWrap w:val="false"/>
          </w:tcPr>
          <w:p>
            <w:pPr>
              <w:jc w:val="center"/>
              <w:rPr>
                <w:rFonts w:ascii="宋体" w:hAnsi="宋体" w:cs="仿宋"/>
                <w:sz w:val="24"/>
                <w:highlight w:val="none"/>
              </w:rPr>
            </w:pPr>
            <w:r>
              <w:rPr>
                <w:rFonts w:hint="eastAsia" w:ascii="宋体" w:hAnsi="宋体" w:cs="仿宋"/>
                <w:sz w:val="24"/>
                <w:highlight w:val="none"/>
              </w:rPr>
              <w:t xml:space="preserve">品牌</w:t>
            </w:r>
            <w:r>
              <w:rPr>
                <w:highlight w:val="none"/>
              </w:rPr>
            </w:r>
          </w:p>
        </w:tc>
        <w:tc>
          <w:tcPr>
            <w:tcW w:w="1277"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服务期限</w:t>
            </w:r>
            <w:r>
              <w:rPr>
                <w:highlight w:val="none"/>
              </w:rPr>
            </w:r>
          </w:p>
        </w:tc>
      </w:tr>
      <w:tr>
        <w:trPr>
          <w:jc w:val="center"/>
          <w:trHeight w:val="17"/>
        </w:trPr>
        <w:tc>
          <w:tcPr>
            <w:tcW w:w="659" w:type="dxa"/>
            <w:vAlign w:val="center"/>
            <w:textDirection w:val="lrTb"/>
            <w:noWrap w:val="false"/>
          </w:tcPr>
          <w:p>
            <w:pPr>
              <w:jc w:val="center"/>
              <w:rPr>
                <w:rFonts w:ascii="宋体" w:hAnsi="宋体" w:cs="仿宋"/>
                <w:sz w:val="24"/>
                <w:highlight w:val="none"/>
              </w:rPr>
            </w:pPr>
            <w:r>
              <w:rPr>
                <w:rFonts w:ascii="宋体" w:hAnsi="宋体" w:cs="仿宋"/>
                <w:sz w:val="24"/>
                <w:highlight w:val="none"/>
              </w:rPr>
              <w:t xml:space="preserve">0</w:t>
            </w:r>
            <w:r>
              <w:rPr>
                <w:rFonts w:hint="eastAsia" w:ascii="宋体" w:hAnsi="宋体" w:cs="仿宋"/>
                <w:sz w:val="24"/>
                <w:highlight w:val="none"/>
              </w:rPr>
              <w:t xml:space="preserve">1</w:t>
            </w:r>
            <w:r>
              <w:rPr>
                <w:highlight w:val="none"/>
              </w:rPr>
            </w:r>
          </w:p>
        </w:tc>
        <w:tc>
          <w:tcPr>
            <w:tcW w:w="2822" w:type="dxa"/>
            <w:vAlign w:val="center"/>
            <w:textDirection w:val="lrTb"/>
            <w:noWrap w:val="false"/>
          </w:tcPr>
          <w:p>
            <w:pPr>
              <w:jc w:val="center"/>
              <w:rPr>
                <w:rFonts w:ascii="宋体" w:hAnsi="宋体" w:cs="仿宋"/>
                <w:sz w:val="24"/>
                <w:highlight w:val="none"/>
              </w:rPr>
            </w:pPr>
            <w:r>
              <w:rPr>
                <w:rFonts w:ascii="宋体" w:hAnsi="宋体" w:cs="宋体"/>
                <w:bCs/>
                <w:sz w:val="24"/>
                <w:highlight w:val="none"/>
              </w:rPr>
              <w:t xml:space="preserve">IQon Spectral CT</w:t>
            </w:r>
            <w:r>
              <w:rPr>
                <w:highlight w:val="none"/>
              </w:rPr>
            </w:r>
          </w:p>
        </w:tc>
        <w:tc>
          <w:tcPr>
            <w:tcW w:w="1798" w:type="dxa"/>
            <w:textDirection w:val="lrTb"/>
            <w:noWrap w:val="false"/>
          </w:tcPr>
          <w:p>
            <w:pPr>
              <w:jc w:val="center"/>
              <w:rPr>
                <w:rFonts w:hint="eastAsia" w:ascii="宋体" w:hAnsi="宋体" w:cs="仿宋"/>
                <w:sz w:val="24"/>
                <w:highlight w:val="none"/>
              </w:rPr>
            </w:pPr>
            <w:r>
              <w:rPr>
                <w:rFonts w:hint="eastAsia" w:ascii="宋体" w:hAnsi="宋体" w:cs="仿宋"/>
                <w:sz w:val="24"/>
                <w:highlight w:val="none"/>
              </w:rPr>
              <w:t xml:space="preserve">1台</w:t>
            </w:r>
            <w:r>
              <w:rPr>
                <w:highlight w:val="none"/>
              </w:rPr>
            </w:r>
          </w:p>
        </w:tc>
        <w:tc>
          <w:tcPr>
            <w:tcW w:w="1798" w:type="dxa"/>
            <w:vAlign w:val="center"/>
            <w:textDirection w:val="lrTb"/>
            <w:noWrap w:val="false"/>
          </w:tcPr>
          <w:p>
            <w:pPr>
              <w:jc w:val="center"/>
              <w:rPr>
                <w:rFonts w:ascii="宋体" w:hAnsi="宋体" w:cs="仿宋"/>
                <w:sz w:val="24"/>
                <w:highlight w:val="none"/>
              </w:rPr>
            </w:pPr>
            <w:r>
              <w:rPr>
                <w:rFonts w:hint="eastAsia" w:ascii="宋体" w:hAnsi="宋体" w:cs="仿宋"/>
                <w:sz w:val="24"/>
                <w:highlight w:val="none"/>
              </w:rPr>
              <w:t xml:space="preserve">飞利浦</w:t>
            </w:r>
            <w:r>
              <w:rPr>
                <w:highlight w:val="none"/>
              </w:rPr>
            </w:r>
          </w:p>
        </w:tc>
        <w:tc>
          <w:tcPr>
            <w:tcW w:w="1277" w:type="dxa"/>
            <w:vAlign w:val="center"/>
            <w:textDirection w:val="lrTb"/>
            <w:noWrap w:val="false"/>
          </w:tcPr>
          <w:p>
            <w:pPr>
              <w:jc w:val="center"/>
              <w:rPr>
                <w:rFonts w:ascii="宋体" w:hAnsi="宋体" w:cs="仿宋"/>
                <w:sz w:val="24"/>
                <w:highlight w:val="none"/>
              </w:rPr>
            </w:pPr>
            <w:r>
              <w:rPr>
                <w:rFonts w:hint="eastAsia" w:ascii="宋体" w:hAnsi="宋体" w:cs="仿宋"/>
                <w:sz w:val="24"/>
                <w:highlight w:val="none"/>
              </w:rPr>
              <w:t xml:space="preserve">3年</w:t>
            </w:r>
            <w:r>
              <w:rPr>
                <w:highlight w:val="none"/>
              </w:rPr>
            </w:r>
          </w:p>
        </w:tc>
      </w:tr>
    </w:tbl>
    <w:p>
      <w:pPr>
        <w:rPr>
          <w:rFonts w:ascii="宋体" w:hAnsi="宋体"/>
          <w:sz w:val="24"/>
          <w:highlight w:val="none"/>
        </w:rPr>
      </w:pPr>
      <w:r>
        <w:rPr>
          <w:rFonts w:ascii="宋体" w:hAnsi="宋体"/>
          <w:sz w:val="24"/>
          <w:highlight w:val="none"/>
        </w:rPr>
      </w:r>
      <w:r>
        <w:rPr>
          <w:highlight w:val="none"/>
        </w:rPr>
      </w:r>
    </w:p>
    <w:p>
      <w:pPr>
        <w:pStyle w:val="1017"/>
        <w:rPr>
          <w:sz w:val="24"/>
          <w:szCs w:val="24"/>
          <w:highlight w:val="none"/>
        </w:rPr>
      </w:pPr>
      <w:r>
        <w:rPr>
          <w:highlight w:val="none"/>
        </w:rPr>
      </w:r>
      <w:bookmarkStart w:id="174" w:name="_Toc184129780"/>
      <w:r>
        <w:rPr>
          <w:highlight w:val="none"/>
        </w:rPr>
      </w:r>
      <w:bookmarkStart w:id="175" w:name="_Toc238220174"/>
      <w:r>
        <w:rPr>
          <w:rFonts w:hint="eastAsia"/>
          <w:sz w:val="24"/>
          <w:szCs w:val="24"/>
          <w:highlight w:val="none"/>
        </w:rPr>
        <w:t xml:space="preserve">二、维保服务要求</w:t>
      </w:r>
      <w:bookmarkEnd w:id="174"/>
      <w:r>
        <w:rPr>
          <w:highlight w:val="none"/>
        </w:rPr>
      </w:r>
      <w:bookmarkEnd w:id="175"/>
      <w:r>
        <w:rPr>
          <w:highlight w:val="none"/>
        </w:rPr>
      </w:r>
      <w:r>
        <w:rPr>
          <w:highlight w:val="none"/>
        </w:rPr>
      </w:r>
    </w:p>
    <w:p>
      <w:pPr>
        <w:ind w:firstLine="240"/>
        <w:spacing w:line="560" w:lineRule="exact"/>
        <w:rPr>
          <w:rFonts w:ascii="宋体" w:hAnsi="宋体"/>
          <w:sz w:val="24"/>
          <w:highlight w:val="none"/>
        </w:rPr>
      </w:pPr>
      <w:r>
        <w:rPr>
          <w:rFonts w:hint="eastAsia" w:ascii="宋体" w:hAnsi="宋体" w:cs="宋体"/>
          <w:sz w:val="24"/>
          <w:highlight w:val="none"/>
        </w:rPr>
        <w:t xml:space="preserve">1.★</w:t>
      </w:r>
      <w:r>
        <w:rPr>
          <w:rFonts w:hint="eastAsia" w:ascii="宋体" w:hAnsi="宋体"/>
          <w:sz w:val="24"/>
          <w:highlight w:val="none"/>
        </w:rPr>
        <w:t xml:space="preserve">保修范围：包含以上设备</w:t>
      </w:r>
      <w:r>
        <w:rPr>
          <w:rFonts w:hint="eastAsia" w:ascii="宋体" w:hAnsi="宋体"/>
          <w:color w:val="000000"/>
          <w:sz w:val="24"/>
          <w:highlight w:val="none"/>
        </w:rPr>
        <w:t xml:space="preserve">全保保修，且包含CT球管、探测器，也包含高压注射器、工作站等第三设备保修。</w:t>
      </w:r>
      <w:r>
        <w:rPr>
          <w:highlight w:val="none"/>
        </w:rPr>
      </w:r>
    </w:p>
    <w:p>
      <w:pPr>
        <w:ind w:firstLine="240"/>
        <w:spacing w:line="56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2.投标人所代表的服务机构必须具备客户服务专线电话。每年365天开通，全天24小时服务。</w:t>
      </w:r>
      <w:r>
        <w:rPr>
          <w:highlight w:val="none"/>
        </w:rPr>
      </w:r>
    </w:p>
    <w:p>
      <w:pPr>
        <w:ind w:firstLine="240"/>
        <w:spacing w:line="560" w:lineRule="exact"/>
        <w:rPr>
          <w:rFonts w:ascii="宋体" w:hAnsi="宋体" w:cs="宋体"/>
          <w:sz w:val="24"/>
          <w:highlight w:val="none"/>
        </w:rPr>
      </w:pPr>
      <w:r>
        <w:rPr>
          <w:rFonts w:hint="eastAsia" w:ascii="宋体" w:hAnsi="宋体" w:cs="宋体"/>
          <w:sz w:val="24"/>
          <w:highlight w:val="none"/>
        </w:rPr>
        <w:t xml:space="preserve">3.▲投标人所提供的备件必须是合法的全新零备件，以满足设备运行要求，如违反承担全部责任。</w:t>
      </w:r>
      <w:r>
        <w:rPr>
          <w:rFonts w:hint="eastAsia" w:ascii="宋体" w:hAnsi="宋体" w:cs="宋体"/>
          <w:b/>
          <w:sz w:val="24"/>
          <w:highlight w:val="none"/>
        </w:rPr>
        <w:t xml:space="preserve">（提供承诺函，格式自拟）</w:t>
      </w:r>
      <w:r>
        <w:rPr>
          <w:highlight w:val="none"/>
        </w:rPr>
      </w:r>
    </w:p>
    <w:p>
      <w:pPr>
        <w:ind w:firstLine="240"/>
        <w:spacing w:line="56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4.</w:t>
      </w:r>
      <w:r>
        <w:rPr>
          <w:rFonts w:hint="eastAsia" w:ascii="宋体" w:hAnsi="宋体" w:cs="宋体"/>
          <w:sz w:val="24"/>
          <w:highlight w:val="none"/>
        </w:rPr>
        <w:t xml:space="preserve">▲</w:t>
      </w:r>
      <w:r>
        <w:rPr>
          <w:rFonts w:hint="eastAsia" w:ascii="宋体" w:hAnsi="宋体" w:cs="宋体"/>
          <w:color w:val="333333"/>
          <w:sz w:val="24"/>
          <w:highlight w:val="none"/>
          <w:shd w:val="clear" w:color="auto" w:fill="ffffff"/>
        </w:rPr>
        <w:t xml:space="preserve">投标人所代表服务机构设有四名以上常驻服务人员，人员具有投标服务设备型号的考核合格的、在有效期内的原厂服务资质证。（提供证明文件）</w:t>
      </w:r>
      <w:r>
        <w:rPr>
          <w:highlight w:val="none"/>
        </w:rPr>
      </w:r>
    </w:p>
    <w:p>
      <w:pPr>
        <w:ind w:firstLine="240"/>
        <w:spacing w:line="56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5.提供3名及以上应用培训专家，能以现场和远程形式，提供临床应用、图像处理和相应业务拓展的专业支持。（提供人员姓名、资料等）</w:t>
      </w:r>
      <w:r>
        <w:rPr>
          <w:highlight w:val="none"/>
        </w:rPr>
      </w:r>
    </w:p>
    <w:p>
      <w:pPr>
        <w:ind w:left="239"/>
        <w:spacing w:line="56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6.提供所需人工及备件的更换, 不限次紧急叫修，定期保养服务，远程诊断。</w:t>
      </w:r>
      <w:r>
        <w:rPr>
          <w:rFonts w:hint="eastAsia" w:ascii="宋体" w:hAnsi="宋体" w:cs="宋体"/>
          <w:color w:val="333333"/>
          <w:sz w:val="24"/>
          <w:highlight w:val="none"/>
          <w:shd w:val="clear" w:color="auto" w:fill="ffffff"/>
        </w:rPr>
        <w:br/>
      </w:r>
      <w:r>
        <w:rPr>
          <w:rFonts w:hint="eastAsia" w:ascii="宋体" w:hAnsi="宋体" w:cs="宋体"/>
          <w:color w:val="333333"/>
          <w:sz w:val="24"/>
          <w:highlight w:val="none"/>
          <w:shd w:val="clear" w:color="auto" w:fill="ffffff"/>
        </w:rPr>
        <w:t xml:space="preserve">7.提供完整的原厂全免费升级改进服务。</w:t>
      </w:r>
      <w:r>
        <w:rPr>
          <w:rFonts w:hint="eastAsia" w:ascii="宋体" w:hAnsi="宋体" w:cs="宋体"/>
          <w:b/>
          <w:sz w:val="24"/>
          <w:highlight w:val="none"/>
        </w:rPr>
        <w:t xml:space="preserve">（提供承诺函，格式自拟）</w:t>
      </w:r>
      <w:r>
        <w:rPr>
          <w:rFonts w:hint="eastAsia" w:ascii="宋体" w:hAnsi="宋体" w:cs="宋体"/>
          <w:color w:val="333333"/>
          <w:sz w:val="24"/>
          <w:highlight w:val="none"/>
          <w:shd w:val="clear" w:color="auto" w:fill="ffffff"/>
        </w:rPr>
        <w:br/>
      </w:r>
      <w:r>
        <w:rPr>
          <w:rFonts w:hint="eastAsia" w:ascii="宋体" w:hAnsi="宋体" w:cs="宋体"/>
          <w:color w:val="333333"/>
          <w:sz w:val="24"/>
          <w:highlight w:val="none"/>
          <w:shd w:val="clear" w:color="auto" w:fill="ffffff"/>
        </w:rPr>
        <w:t xml:space="preserve">8.</w:t>
      </w:r>
      <w:r>
        <w:rPr>
          <w:rFonts w:hint="eastAsia" w:ascii="宋体" w:hAnsi="宋体" w:cs="仿宋"/>
          <w:sz w:val="24"/>
          <w:highlight w:val="none"/>
        </w:rPr>
        <w:t xml:space="preserve">▲</w:t>
      </w:r>
      <w:r>
        <w:rPr>
          <w:rFonts w:hint="eastAsia" w:ascii="宋体" w:hAnsi="宋体" w:cs="宋体"/>
          <w:color w:val="333333"/>
          <w:sz w:val="24"/>
          <w:highlight w:val="none"/>
          <w:shd w:val="clear" w:color="auto" w:fill="ffffff"/>
        </w:rPr>
        <w:t xml:space="preserve">投标人所代表的服务机构必须能合法获得完整有效的原厂高级故障诊断软件诊断维修钥匙。</w:t>
      </w:r>
      <w:r>
        <w:rPr>
          <w:rFonts w:hint="eastAsia" w:ascii="宋体" w:hAnsi="宋体" w:cs="宋体"/>
          <w:b/>
          <w:sz w:val="24"/>
          <w:highlight w:val="none"/>
        </w:rPr>
        <w:t xml:space="preserve">（提供承诺函，格式自拟）</w:t>
      </w:r>
      <w:r>
        <w:rPr>
          <w:highlight w:val="none"/>
        </w:rPr>
      </w:r>
    </w:p>
    <w:p>
      <w:pPr>
        <w:ind w:firstLine="240"/>
        <w:spacing w:line="360" w:lineRule="auto"/>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9.▲确保设备开机率达到95%以上（按照365天/年计），即正常开机达到347天/年，停机不超过18天/年</w:t>
      </w:r>
      <w:r>
        <w:rPr>
          <w:rFonts w:ascii="宋体" w:hAnsi="宋体" w:cs="宋体"/>
          <w:color w:val="333333"/>
          <w:sz w:val="24"/>
          <w:highlight w:val="none"/>
          <w:shd w:val="clear" w:color="auto" w:fill="ffffff"/>
        </w:rPr>
        <w:t xml:space="preserve">,</w:t>
      </w:r>
      <w:r>
        <w:rPr>
          <w:rFonts w:hint="eastAsia" w:ascii="宋体" w:hAnsi="宋体" w:cs="宋体"/>
          <w:color w:val="333333"/>
          <w:sz w:val="24"/>
          <w:highlight w:val="none"/>
          <w:shd w:val="clear" w:color="auto" w:fill="ffffff"/>
        </w:rPr>
        <w:t xml:space="preserve">每超过一天免费维保期顺延两天。</w:t>
      </w:r>
      <w:r>
        <w:rPr>
          <w:rFonts w:hint="eastAsia" w:ascii="宋体" w:hAnsi="宋体" w:cs="宋体"/>
          <w:b/>
          <w:color w:val="333333"/>
          <w:sz w:val="24"/>
          <w:highlight w:val="none"/>
          <w:shd w:val="clear" w:color="auto" w:fill="ffffff"/>
        </w:rPr>
        <w:t xml:space="preserve">（提供承诺函，格式自拟）</w:t>
      </w:r>
      <w:r>
        <w:rPr>
          <w:highlight w:val="none"/>
        </w:rPr>
      </w:r>
    </w:p>
    <w:p>
      <w:pPr>
        <w:ind w:firstLine="240"/>
        <w:spacing w:line="560" w:lineRule="exact"/>
        <w:rPr>
          <w:rFonts w:ascii="宋体" w:hAnsi="宋体" w:cs="宋体"/>
          <w:sz w:val="24"/>
          <w:highlight w:val="none"/>
        </w:rPr>
      </w:pPr>
      <w:r>
        <w:rPr>
          <w:rFonts w:hint="eastAsia" w:ascii="宋体" w:hAnsi="宋体" w:cs="宋体"/>
          <w:sz w:val="24"/>
          <w:highlight w:val="none"/>
        </w:rPr>
        <w:t xml:space="preserve">10.对保修设备及相关配套设备作出日常保养计划，定期进行保养、维护，并做好记录</w:t>
      </w:r>
      <w:r>
        <w:rPr>
          <w:rFonts w:hint="eastAsia" w:ascii="宋体" w:hAnsi="宋体" w:cs="宋体"/>
          <w:color w:val="333333"/>
          <w:sz w:val="24"/>
          <w:highlight w:val="none"/>
          <w:shd w:val="clear" w:color="auto" w:fill="ffffff"/>
        </w:rPr>
        <w:t xml:space="preserve">。</w:t>
      </w:r>
      <w:r>
        <w:rPr>
          <w:highlight w:val="none"/>
        </w:rPr>
      </w:r>
    </w:p>
    <w:p>
      <w:pPr>
        <w:ind w:firstLine="240"/>
        <w:spacing w:line="560" w:lineRule="exact"/>
        <w:rPr>
          <w:rFonts w:ascii="宋体" w:hAnsi="宋体" w:cs="宋体"/>
          <w:sz w:val="24"/>
          <w:highlight w:val="none"/>
        </w:rPr>
      </w:pPr>
      <w:r>
        <w:rPr>
          <w:rFonts w:hint="eastAsia" w:ascii="宋体" w:hAnsi="宋体" w:cs="宋体"/>
          <w:color w:val="333333"/>
          <w:sz w:val="24"/>
          <w:highlight w:val="none"/>
          <w:shd w:val="clear" w:color="auto" w:fill="ffffff"/>
        </w:rPr>
        <w:t xml:space="preserve">11.每年提供设备维护保养4次，使保修设备保持原厂QC标准或国家质量技监部门之标准，包含但不限于如下项目：设备清洁、性能测试及校准、必要的电气环境检查等。每个服务年度结束后需提供年度维护保养服务报告（纸质或电子）。</w:t>
      </w:r>
      <w:r>
        <w:rPr>
          <w:highlight w:val="none"/>
        </w:rPr>
      </w:r>
    </w:p>
    <w:p>
      <w:pPr>
        <w:ind w:firstLine="240"/>
        <w:spacing w:line="560" w:lineRule="exact"/>
        <w:rPr>
          <w:rFonts w:ascii="宋体" w:hAnsi="宋体" w:cs="宋体"/>
          <w:sz w:val="24"/>
          <w:highlight w:val="none"/>
        </w:rPr>
      </w:pPr>
      <w:r>
        <w:rPr>
          <w:rFonts w:hint="eastAsia" w:ascii="宋体" w:hAnsi="宋体" w:cs="宋体"/>
          <w:color w:val="333333"/>
          <w:sz w:val="24"/>
          <w:highlight w:val="none"/>
          <w:shd w:val="clear" w:color="auto" w:fill="ffffff"/>
        </w:rPr>
        <w:t xml:space="preserve">12.提供设备使用及专业维修保养培训。</w:t>
      </w:r>
      <w:r>
        <w:rPr>
          <w:highlight w:val="none"/>
        </w:rPr>
      </w:r>
    </w:p>
    <w:p>
      <w:pPr>
        <w:ind w:firstLine="240"/>
        <w:spacing w:line="560" w:lineRule="exact"/>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13.提供系统及配套设备的相关软件、数字备份，并建立档案。</w:t>
      </w:r>
      <w:r>
        <w:rPr>
          <w:highlight w:val="none"/>
        </w:rPr>
      </w:r>
    </w:p>
    <w:p>
      <w:pPr>
        <w:ind w:firstLine="240"/>
        <w:spacing w:line="560" w:lineRule="exact"/>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1</w:t>
      </w:r>
      <w:r>
        <w:rPr>
          <w:rFonts w:ascii="宋体" w:hAnsi="宋体" w:cs="宋体"/>
          <w:color w:val="333333"/>
          <w:sz w:val="24"/>
          <w:highlight w:val="none"/>
          <w:shd w:val="clear" w:color="auto" w:fill="ffffff"/>
        </w:rPr>
        <w:t xml:space="preserve">4</w:t>
      </w:r>
      <w:r>
        <w:rPr>
          <w:rFonts w:hint="eastAsia" w:ascii="宋体" w:hAnsi="宋体" w:cs="宋体"/>
          <w:color w:val="333333"/>
          <w:sz w:val="24"/>
          <w:highlight w:val="none"/>
          <w:shd w:val="clear" w:color="auto" w:fill="ffffff"/>
        </w:rPr>
        <w:t xml:space="preserve">.如因设备维保不当或者隐患未及时发现造成损失的承担全部责任。</w:t>
      </w:r>
      <w:r>
        <w:rPr>
          <w:highlight w:val="none"/>
        </w:rPr>
      </w:r>
    </w:p>
    <w:p>
      <w:pPr>
        <w:ind w:firstLine="24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.用户报修电话响应时间：1小时内，到达现场维修时间：4个小时内</w:t>
      </w:r>
      <w:r>
        <w:rPr>
          <w:rFonts w:hint="eastAsia" w:ascii="宋体" w:hAnsi="宋体" w:cs="宋体"/>
          <w:color w:val="333333"/>
          <w:sz w:val="24"/>
          <w:highlight w:val="none"/>
          <w:shd w:val="clear" w:color="auto" w:fill="ffffff"/>
        </w:rPr>
        <w:t xml:space="preserve">。</w:t>
      </w:r>
      <w:r>
        <w:rPr>
          <w:highlight w:val="none"/>
        </w:rPr>
      </w:r>
    </w:p>
    <w:p>
      <w:pPr>
        <w:ind w:firstLine="24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w:t>
      </w:r>
      <w:r>
        <w:rPr>
          <w:rFonts w:hint="eastAsia" w:asciiTheme="minorEastAsia" w:hAnsiTheme="minorEastAsia" w:eastAsiaTheme="minorEastAsia"/>
          <w:sz w:val="24"/>
          <w:highlight w:val="none"/>
        </w:rPr>
        <w:t xml:space="preserve">▲</w:t>
      </w:r>
      <w:r>
        <w:rPr>
          <w:rFonts w:hint="eastAsia" w:ascii="宋体" w:hAnsi="宋体" w:cs="宋体"/>
          <w:sz w:val="24"/>
          <w:highlight w:val="none"/>
        </w:rPr>
        <w:t xml:space="preserve">提供后处理软件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兼容我院现有MR）</w:t>
      </w:r>
      <w:r>
        <w:rPr>
          <w:rFonts w:hint="eastAsia" w:ascii="宋体" w:hAnsi="宋体" w:cs="宋体"/>
          <w:color w:val="333333"/>
          <w:sz w:val="24"/>
          <w:highlight w:val="none"/>
          <w:shd w:val="clear" w:color="auto" w:fill="ffffff"/>
        </w:rPr>
        <w:t xml:space="preserve">。</w:t>
      </w:r>
      <w:r>
        <w:rPr>
          <w:highlight w:val="none"/>
        </w:rPr>
      </w:r>
    </w:p>
    <w:p>
      <w:pPr>
        <w:ind w:firstLine="24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7</w:t>
      </w:r>
      <w:r>
        <w:rPr>
          <w:rFonts w:hint="eastAsia" w:ascii="宋体" w:hAnsi="宋体" w:cs="宋体"/>
          <w:sz w:val="24"/>
          <w:highlight w:val="none"/>
        </w:rPr>
        <w:t xml:space="preserve">.</w:t>
      </w:r>
      <w:r>
        <w:rPr>
          <w:rFonts w:hint="eastAsia" w:asciiTheme="minorEastAsia" w:hAnsiTheme="minorEastAsia" w:eastAsiaTheme="minorEastAsia"/>
          <w:sz w:val="24"/>
          <w:highlight w:val="none"/>
        </w:rPr>
        <w:t xml:space="preserve">▲</w:t>
      </w:r>
      <w:r>
        <w:rPr>
          <w:rFonts w:hint="eastAsia" w:ascii="宋体" w:hAnsi="宋体" w:cs="宋体"/>
          <w:sz w:val="24"/>
          <w:highlight w:val="none"/>
        </w:rPr>
        <w:t xml:space="preserve">提供一套移动防护装置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适配我院现有DR）</w:t>
      </w:r>
      <w:r>
        <w:rPr>
          <w:rFonts w:hint="eastAsia" w:ascii="宋体" w:hAnsi="宋体" w:cs="宋体"/>
          <w:sz w:val="24"/>
          <w:highlight w:val="none"/>
        </w:rPr>
        <w:t xml:space="preserve">。</w:t>
      </w:r>
      <w:r>
        <w:rPr>
          <w:highlight w:val="none"/>
        </w:rPr>
      </w:r>
    </w:p>
    <w:p>
      <w:pPr>
        <w:rPr>
          <w:rFonts w:ascii="宋体" w:hAnsi="宋体"/>
          <w:sz w:val="24"/>
          <w:highlight w:val="none"/>
        </w:rPr>
      </w:pPr>
      <w:r>
        <w:rPr>
          <w:rFonts w:ascii="宋体" w:hAnsi="宋体"/>
          <w:sz w:val="24"/>
          <w:highlight w:val="none"/>
        </w:rPr>
      </w:r>
      <w:r>
        <w:rPr>
          <w:highlight w:val="none"/>
        </w:rPr>
      </w:r>
    </w:p>
    <w:p>
      <w:pPr>
        <w:pStyle w:val="1017"/>
        <w:rPr>
          <w:sz w:val="24"/>
          <w:szCs w:val="24"/>
          <w:highlight w:val="none"/>
        </w:rPr>
      </w:pPr>
      <w:r>
        <w:rPr>
          <w:highlight w:val="none"/>
        </w:rPr>
      </w:r>
      <w:bookmarkStart w:id="176" w:name="_Toc184129781"/>
      <w:r>
        <w:rPr>
          <w:highlight w:val="none"/>
        </w:rPr>
      </w:r>
      <w:bookmarkStart w:id="177" w:name="_Toc238220177"/>
      <w:r>
        <w:rPr>
          <w:rFonts w:hint="eastAsia"/>
          <w:sz w:val="24"/>
          <w:szCs w:val="24"/>
          <w:highlight w:val="none"/>
        </w:rPr>
        <w:t xml:space="preserve">★三、商务要求</w:t>
      </w:r>
      <w:bookmarkEnd w:id="176"/>
      <w:r>
        <w:rPr>
          <w:highlight w:val="none"/>
        </w:rPr>
      </w:r>
      <w:bookmarkEnd w:id="177"/>
      <w:r>
        <w:rPr>
          <w:highlight w:val="none"/>
        </w:rPr>
      </w:r>
      <w:r>
        <w:rPr>
          <w:highlight w:val="none"/>
        </w:rP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rPr>
        <w:t xml:space="preserve">付款方式：每年度</w:t>
      </w:r>
      <w:r>
        <w:rPr>
          <w:rFonts w:hint="eastAsia" w:ascii="宋体" w:hAnsi="宋体" w:cs="宋体"/>
          <w:sz w:val="24"/>
          <w:highlight w:val="none"/>
          <w:lang w:val="en-US" w:eastAsia="zh-CN"/>
        </w:rPr>
        <w:t xml:space="preserve">结算一次，每年度</w:t>
      </w:r>
      <w:r>
        <w:rPr>
          <w:rFonts w:hint="eastAsia" w:ascii="宋体" w:hAnsi="宋体" w:cs="宋体"/>
          <w:sz w:val="24"/>
          <w:highlight w:val="none"/>
        </w:rPr>
        <w:t xml:space="preserve">服务结束</w:t>
      </w:r>
      <w:r>
        <w:rPr>
          <w:rFonts w:hint="eastAsia" w:ascii="宋体" w:hAnsi="宋体" w:cs="宋体"/>
          <w:sz w:val="24"/>
          <w:highlight w:val="none"/>
          <w:lang w:val="en-US" w:eastAsia="zh-CN"/>
        </w:rPr>
        <w:t xml:space="preserve">且</w:t>
      </w:r>
      <w:r>
        <w:rPr>
          <w:rFonts w:hint="eastAsia" w:ascii="宋体" w:hAnsi="宋体" w:cs="宋体"/>
          <w:sz w:val="24"/>
          <w:highlight w:val="none"/>
        </w:rPr>
        <w:t xml:space="preserve">采购人在收到发票之日起的30工作日内</w:t>
      </w:r>
      <w:r>
        <w:rPr>
          <w:rFonts w:hint="eastAsia" w:ascii="宋体" w:hAnsi="宋体" w:cs="宋体"/>
          <w:sz w:val="24"/>
          <w:highlight w:val="none"/>
          <w:lang w:val="en-US" w:eastAsia="zh-CN"/>
        </w:rPr>
        <w:t xml:space="preserve">支付本年度服务费用至中标人指定账户</w:t>
      </w:r>
      <w:r>
        <w:rPr>
          <w:rFonts w:hint="eastAsia" w:ascii="宋体" w:hAnsi="宋体" w:cs="宋体"/>
          <w:sz w:val="24"/>
          <w:highlight w:val="none"/>
        </w:rPr>
        <w:t xml:space="preserve">。</w:t>
      </w:r>
      <w:r>
        <w:rPr>
          <w:highlight w:val="none"/>
        </w:rP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rPr>
        <w:t xml:space="preserve">服务期限：三年。</w:t>
      </w:r>
      <w:r>
        <w:rPr>
          <w:highlight w:val="none"/>
        </w:rPr>
      </w:r>
    </w:p>
    <w:p>
      <w:pPr>
        <w:spacing w:line="360" w:lineRule="auto"/>
        <w:tabs>
          <w:tab w:val="left" w:pos="126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w:t>
      </w:r>
      <w:r>
        <w:rPr>
          <w:rFonts w:hint="eastAsia" w:ascii="宋体" w:hAnsi="宋体" w:cs="宋体"/>
          <w:sz w:val="24"/>
          <w:highlight w:val="none"/>
        </w:rPr>
        <w:t xml:space="preserve">服务地点：南京市浦口区中医院指定地点。</w:t>
      </w:r>
      <w:r>
        <w:rPr>
          <w:highlight w:val="none"/>
        </w:rPr>
      </w:r>
    </w:p>
    <w:p>
      <w:pPr>
        <w:pStyle w:val="1017"/>
        <w:rPr>
          <w:sz w:val="24"/>
          <w:szCs w:val="24"/>
          <w:highlight w:val="none"/>
        </w:rPr>
      </w:pPr>
      <w:r>
        <w:rPr>
          <w:highlight w:val="none"/>
        </w:rPr>
      </w:r>
      <w:bookmarkStart w:id="178" w:name="_Toc184129782"/>
      <w:r>
        <w:rPr>
          <w:highlight w:val="none"/>
        </w:rPr>
      </w:r>
      <w:bookmarkStart w:id="179" w:name="_Toc238220178"/>
      <w:r>
        <w:rPr>
          <w:rFonts w:hint="eastAsia"/>
          <w:sz w:val="24"/>
          <w:szCs w:val="24"/>
          <w:highlight w:val="none"/>
        </w:rPr>
        <w:t xml:space="preserve">四、其它说明</w:t>
      </w:r>
      <w:bookmarkEnd w:id="178"/>
      <w:r>
        <w:rPr>
          <w:highlight w:val="none"/>
        </w:rPr>
      </w:r>
      <w:bookmarkEnd w:id="179"/>
      <w:r>
        <w:rPr>
          <w:highlight w:val="none"/>
        </w:rPr>
      </w:r>
      <w:r>
        <w:rPr>
          <w:highlight w:val="none"/>
        </w:rPr>
      </w:r>
    </w:p>
    <w:p>
      <w:pPr>
        <w:ind w:left="727" w:hanging="727"/>
        <w:spacing w:line="276" w:lineRule="auto"/>
        <w:rPr>
          <w:rFonts w:ascii="宋体" w:hAnsi="宋体" w:cs="宋体"/>
          <w:sz w:val="24"/>
          <w:highlight w:val="none"/>
        </w:rPr>
      </w:pPr>
      <w:r>
        <w:rPr>
          <w:rFonts w:hint="eastAsia" w:ascii="宋体" w:hAnsi="宋体" w:cs="宋体"/>
          <w:sz w:val="24"/>
          <w:highlight w:val="none"/>
        </w:rPr>
        <w:t xml:space="preserve">1、采购标的对应的中小企业划分标准所属行业一览表</w:t>
      </w:r>
      <w:r>
        <w:rPr>
          <w:highlight w:val="none"/>
        </w:rPr>
      </w:r>
    </w:p>
    <w:tbl>
      <w:tblPr>
        <w:tblStyle w:val="924"/>
        <w:tblW w:w="88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5"/>
        <w:gridCol w:w="4226"/>
      </w:tblGrid>
      <w:tr>
        <w:trPr>
          <w:cantSplit/>
          <w:trHeight w:val="567"/>
        </w:trPr>
        <w:tc>
          <w:tcPr>
            <w:tcW w:w="1218"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序号</w:t>
            </w:r>
            <w:r>
              <w:rPr>
                <w:highlight w:val="none"/>
              </w:rPr>
            </w:r>
          </w:p>
        </w:tc>
        <w:tc>
          <w:tcPr>
            <w:tcW w:w="3455"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采购标的</w:t>
            </w:r>
            <w:r>
              <w:rPr>
                <w:highlight w:val="none"/>
              </w:rPr>
            </w:r>
          </w:p>
        </w:tc>
        <w:tc>
          <w:tcPr>
            <w:tcW w:w="4226"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对应中小企业划分标准所属行业</w:t>
            </w:r>
            <w:r>
              <w:rPr>
                <w:highlight w:val="none"/>
              </w:rPr>
            </w:r>
          </w:p>
        </w:tc>
      </w:tr>
      <w:tr>
        <w:trPr>
          <w:cantSplit/>
          <w:trHeight w:val="567"/>
        </w:trPr>
        <w:tc>
          <w:tcPr>
            <w:tcW w:w="1218"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1</w:t>
            </w:r>
            <w:r>
              <w:rPr>
                <w:highlight w:val="none"/>
              </w:rPr>
            </w:r>
          </w:p>
        </w:tc>
        <w:tc>
          <w:tcPr>
            <w:tcW w:w="3455"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飞利浦CT保修服务</w:t>
            </w:r>
            <w:r>
              <w:rPr>
                <w:highlight w:val="none"/>
              </w:rPr>
            </w:r>
          </w:p>
        </w:tc>
        <w:tc>
          <w:tcPr>
            <w:tcW w:w="4226" w:type="dxa"/>
            <w:vAlign w:val="center"/>
            <w:textDirection w:val="lrTb"/>
            <w:noWrap w:val="false"/>
          </w:tcPr>
          <w:p>
            <w:pPr>
              <w:jc w:val="center"/>
              <w:spacing w:line="276" w:lineRule="auto"/>
              <w:rPr>
                <w:rFonts w:ascii="宋体" w:hAnsi="宋体" w:cs="宋体"/>
                <w:sz w:val="24"/>
                <w:highlight w:val="none"/>
              </w:rPr>
            </w:pPr>
            <w:r>
              <w:rPr>
                <w:rFonts w:hint="eastAsia" w:ascii="宋体" w:hAnsi="宋体" w:cs="宋体"/>
                <w:sz w:val="24"/>
                <w:highlight w:val="none"/>
              </w:rPr>
              <w:t xml:space="preserve">其他未列明行业</w:t>
            </w:r>
            <w:r>
              <w:rPr>
                <w:highlight w:val="none"/>
              </w:rPr>
            </w:r>
          </w:p>
        </w:tc>
      </w:tr>
    </w:tbl>
    <w:p>
      <w:pPr>
        <w:spacing w:line="276"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2、关键参数（加注“★”条款）不允许负偏离，否则投标无效。</w:t>
      </w:r>
      <w:r>
        <w:rPr>
          <w:highlight w:val="none"/>
        </w:rPr>
      </w:r>
    </w:p>
    <w:p>
      <w:pPr>
        <w:spacing w:line="276" w:lineRule="auto"/>
        <w:tabs>
          <w:tab w:val="left" w:pos="851" w:leader="none"/>
          <w:tab w:val="left" w:pos="1276" w:leader="none"/>
          <w:tab w:val="left" w:pos="1418" w:leader="none"/>
        </w:tabs>
        <w:rPr>
          <w:rFonts w:ascii="宋体" w:hAnsi="宋体" w:cs="宋体"/>
          <w:sz w:val="24"/>
          <w:highlight w:val="none"/>
        </w:rPr>
      </w:pPr>
      <w:r>
        <w:rPr>
          <w:rFonts w:hint="eastAsia" w:ascii="宋体" w:hAnsi="宋体" w:cs="宋体"/>
          <w:sz w:val="24"/>
          <w:highlight w:val="none"/>
        </w:rPr>
        <w:t xml:space="preserve">3、重要参数（加注“▲”条款）均需提供佐证材料进行证明，未提供的评标委员会有权认定为负偏离。</w:t>
      </w:r>
      <w:r>
        <w:rPr>
          <w:rFonts w:ascii="宋体" w:hAnsi="宋体" w:cs="宋体"/>
          <w:sz w:val="24"/>
          <w:highlight w:val="none"/>
        </w:rPr>
        <w:br w:type="page" w:clear="all"/>
      </w:r>
      <w:r>
        <w:rPr>
          <w:highlight w:val="none"/>
        </w:rPr>
      </w:r>
    </w:p>
    <w:p>
      <w:pPr>
        <w:jc w:val="center"/>
        <w:spacing w:line="276" w:lineRule="auto"/>
        <w:widowControl/>
        <w:rPr>
          <w:rFonts w:ascii="宋体" w:hAnsi="宋体" w:cs="宋体"/>
          <w:b/>
          <w:sz w:val="32"/>
          <w:szCs w:val="32"/>
          <w:highlight w:val="none"/>
        </w:rPr>
        <w:outlineLvl w:val="0"/>
      </w:pPr>
      <w:r>
        <w:rPr>
          <w:highlight w:val="none"/>
        </w:rPr>
      </w:r>
      <w:bookmarkStart w:id="180" w:name="_Toc238220179"/>
      <w:r>
        <w:rPr>
          <w:rFonts w:hint="eastAsia" w:ascii="宋体" w:hAnsi="宋体" w:cs="宋体"/>
          <w:b/>
          <w:sz w:val="32"/>
          <w:szCs w:val="32"/>
          <w:highlight w:val="none"/>
        </w:rPr>
        <w:t xml:space="preserve">第五章  评标方法与评标标准</w:t>
      </w:r>
      <w:bookmarkEnd w:id="180"/>
      <w:r>
        <w:rPr>
          <w:highlight w:val="none"/>
        </w:rPr>
      </w:r>
      <w:r>
        <w:rPr>
          <w:highlight w:val="none"/>
        </w:rPr>
      </w:r>
    </w:p>
    <w:p>
      <w:pPr>
        <w:ind w:firstLine="480"/>
        <w:jc w:val="left"/>
        <w:spacing w:before="120" w:after="120" w:line="276" w:lineRule="auto"/>
        <w:rPr>
          <w:rFonts w:ascii="Arial" w:hAnsi="Arial" w:cs="Arial"/>
          <w:color w:val="000000"/>
          <w:sz w:val="24"/>
          <w:highlight w:val="none"/>
        </w:rPr>
      </w:pPr>
      <w:r>
        <w:rPr>
          <w:rFonts w:ascii="Arial" w:hAnsi="Arial" w:cs="Arial"/>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000000"/>
          <w:sz w:val="24"/>
          <w:highlight w:val="none"/>
        </w:rPr>
        <w:t xml:space="preserve">且按照评审因素的量化指标评审得分最高的投标人为排名第一的中标候选人。评标委员会按照得分由高到低的顺序推荐</w:t>
      </w:r>
      <w:r>
        <w:rPr>
          <w:rFonts w:ascii="宋体" w:hAnsi="宋体" w:cs="宋体"/>
          <w:color w:val="000000"/>
          <w:sz w:val="24"/>
          <w:highlight w:val="none"/>
        </w:rPr>
        <w:t xml:space="preserve">1</w:t>
      </w:r>
      <w:r>
        <w:rPr>
          <w:rFonts w:hint="eastAsia" w:ascii="Arial" w:hAnsi="Arial" w:cs="Arial"/>
          <w:color w:val="000000"/>
          <w:sz w:val="24"/>
          <w:highlight w:val="none"/>
        </w:rPr>
        <w:t xml:space="preserve">名中标候选人。</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jc w:val="left"/>
        <w:spacing w:line="276" w:lineRule="auto"/>
        <w:rPr>
          <w:rFonts w:ascii="宋体" w:hAnsi="宋体"/>
          <w:b/>
          <w:color w:val="000000"/>
          <w:sz w:val="24"/>
          <w:highlight w:val="none"/>
        </w:rPr>
        <w:outlineLvl w:val="1"/>
      </w:pPr>
      <w:r>
        <w:rPr>
          <w:highlight w:val="none"/>
        </w:rPr>
      </w:r>
      <w:bookmarkStart w:id="181" w:name="_Toc238220180"/>
      <w:r>
        <w:rPr>
          <w:rFonts w:hint="eastAsia" w:ascii="宋体" w:hAnsi="宋体"/>
          <w:b/>
          <w:color w:val="000000"/>
          <w:sz w:val="24"/>
          <w:highlight w:val="none"/>
        </w:rPr>
        <w:t xml:space="preserve">政府采购政策功能落实</w:t>
      </w:r>
      <w:bookmarkEnd w:id="181"/>
      <w:r>
        <w:rPr>
          <w:highlight w:val="none"/>
        </w:rPr>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（1）本项目对小型和微型企业产品给予</w:t>
      </w:r>
      <w:r>
        <w:rPr>
          <w:rFonts w:hint="eastAsia" w:ascii="宋体" w:hAnsi="宋体"/>
          <w:color w:val="ff0000"/>
          <w:sz w:val="24"/>
          <w:highlight w:val="none"/>
          <w:u w:val="single"/>
        </w:rPr>
        <w:t xml:space="preserve"> 10%</w:t>
      </w:r>
      <w:r>
        <w:rPr>
          <w:rFonts w:ascii="宋体" w:hAnsi="宋体"/>
          <w:color w:val="ff0000"/>
          <w:sz w:val="24"/>
          <w:highlight w:val="none"/>
          <w:u w:val="single"/>
        </w:rPr>
        <w:t xml:space="preserve"> </w:t>
      </w:r>
      <w:r>
        <w:rPr>
          <w:rFonts w:hint="eastAsia" w:ascii="宋体" w:hAnsi="宋体"/>
          <w:color w:val="000000"/>
          <w:sz w:val="24"/>
          <w:highlight w:val="none"/>
        </w:rPr>
        <w:t xml:space="preserve">的扣除价格，用扣除后的价格参与评审。</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（2）供应商需按照采购文件的要求提供相应的《小微企业声明函》。</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（3）企业标准请参照《关于印发中小企业划型标准规定的通知》（工信部联企业[2011]300号）文件规定自行填写。</w:t>
      </w:r>
      <w:r>
        <w:rPr>
          <w:highlight w:val="none"/>
        </w:rP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（1）本项目对残疾人福利性单位视同小型、微型企业，给予</w:t>
      </w:r>
      <w:r>
        <w:rPr>
          <w:rFonts w:hint="eastAsia" w:ascii="宋体" w:hAnsi="宋体"/>
          <w:color w:val="ff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highlight w:val="none"/>
        </w:rP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（1）本项目对监狱和戒毒企业（简称监狱企业）视同小型、微型企业，给予</w:t>
      </w:r>
      <w:r>
        <w:rPr>
          <w:rFonts w:hint="eastAsia" w:ascii="宋体" w:hAnsi="宋体"/>
          <w:color w:val="ff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jc w:val="left"/>
        <w:spacing w:line="276" w:lineRule="auto"/>
        <w:rPr>
          <w:rFonts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highlight w:val="none"/>
        </w:rP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highlight w:val="none"/>
        </w:rPr>
      </w:r>
    </w:p>
    <w:p>
      <w:pPr>
        <w:ind w:firstLine="480"/>
        <w:jc w:val="left"/>
        <w:spacing w:before="161" w:line="276" w:lineRule="auto"/>
        <w:rPr>
          <w:rFonts w:ascii="华文新魏" w:hAnsi="宋体" w:eastAsia="华文新魏"/>
          <w:color w:val="000000"/>
          <w:sz w:val="24"/>
          <w:highlight w:val="none"/>
        </w:rPr>
      </w:pPr>
      <w:r>
        <w:rPr>
          <w:rFonts w:hint="eastAsia" w:ascii="宋体" w:hAnsi="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highlight w:val="none"/>
        </w:rPr>
      </w:r>
    </w:p>
    <w:p>
      <w:pPr>
        <w:ind w:firstLine="480"/>
        <w:jc w:val="left"/>
        <w:spacing w:before="161" w:line="276" w:lineRule="auto"/>
        <w:rPr>
          <w:rFonts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highlight w:val="none"/>
        </w:rPr>
      </w:r>
    </w:p>
    <w:p>
      <w:pPr>
        <w:ind w:firstLine="480"/>
        <w:spacing w:before="161" w:line="360" w:lineRule="auto"/>
        <w:rPr>
          <w:rFonts w:hint="eastAsia" w:ascii="宋体" w:hAnsi="宋体" w:cs="宋体"/>
          <w:b/>
          <w:color w:val="000000"/>
          <w:sz w:val="24"/>
          <w:highlight w:val="none"/>
        </w:rPr>
      </w:pPr>
      <w:r>
        <w:rPr>
          <w:rFonts w:ascii="宋体" w:hAnsi="宋体" w:cs="宋体"/>
          <w:b/>
          <w:color w:val="000000"/>
          <w:sz w:val="24"/>
          <w:highlight w:val="none"/>
        </w:rPr>
        <w:t xml:space="preserve">7</w:t>
      </w:r>
      <w:r>
        <w:rPr>
          <w:rFonts w:hint="eastAsia" w:ascii="宋体" w:hAnsi="宋体" w:cs="宋体"/>
          <w:b/>
          <w:color w:val="000000"/>
          <w:sz w:val="24"/>
          <w:highlight w:val="none"/>
        </w:rPr>
        <w:t xml:space="preserve">、采购本国产品的支持政策</w:t>
      </w:r>
      <w:r>
        <w:rPr>
          <w:rFonts w:hint="eastAsia" w:ascii="宋体" w:hAnsi="宋体" w:cs="宋体"/>
          <w:b/>
          <w:bCs/>
          <w:color w:val="000000"/>
          <w:sz w:val="24"/>
          <w:highlight w:val="none"/>
        </w:rPr>
        <w:t xml:space="preserve">（本项目不适用）</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 </w:t>
      </w:r>
      <w:r>
        <w:rPr>
          <w:rFonts w:hint="eastAsia" w:ascii="宋体" w:hAnsi="宋体" w:cs="宋体"/>
          <w:b/>
          <w:color w:val="000000"/>
          <w:sz w:val="24"/>
          <w:highlight w:val="none"/>
        </w:rPr>
        <w:t xml:space="preserve">本国产品标准适用于货物，包括政府采购货物项目和服务项目中涉及的货物。</w:t>
      </w:r>
      <w:r>
        <w:rPr>
          <w:rFonts w:hint="eastAsia" w:ascii="宋体" w:hAnsi="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 w:val="24"/>
          <w:highlight w:val="none"/>
        </w:rPr>
        <w:t xml:space="preserve">（供应商需在“第六章 投标文件格式”的“分项报价表”中填写比例数值），</w:t>
      </w:r>
      <w:r>
        <w:rPr>
          <w:rFonts w:hint="eastAsia" w:ascii="宋体" w:hAnsi="宋体" w:cs="宋体"/>
          <w:color w:val="000000"/>
          <w:sz w:val="24"/>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 供应商需按照招标文件的要求提供《关于符合本国产品标准的声明函》（以下简称《声明函》），如不提供将不享受本国产品价格评审优惠。</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480"/>
        <w:spacing w:before="16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80"/>
        <w:spacing w:before="161" w:line="360" w:lineRule="auto"/>
        <w:rPr>
          <w:rFonts w:hint="eastAsia"/>
          <w:highlight w:val="none"/>
        </w:rPr>
      </w:pPr>
      <w:r>
        <w:rPr>
          <w:rFonts w:hint="eastAsia" w:ascii="宋体" w:hAnsi="宋体" w:cs="宋体"/>
          <w:color w:val="000000"/>
          <w:sz w:val="24"/>
          <w:highlight w:val="none"/>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ind w:firstLine="480"/>
        <w:jc w:val="left"/>
        <w:spacing w:before="161" w:line="276" w:lineRule="auto"/>
        <w:rPr>
          <w:rFonts w:ascii="宋体" w:hAnsi="宋体"/>
          <w:color w:val="000000"/>
          <w:sz w:val="24"/>
          <w:highlight w:val="none"/>
        </w:rPr>
      </w:pPr>
      <w:r>
        <w:rPr>
          <w:rFonts w:ascii="宋体" w:hAnsi="宋体"/>
          <w:color w:val="000000"/>
          <w:sz w:val="24"/>
          <w:highlight w:val="none"/>
        </w:rPr>
      </w:r>
      <w:r>
        <w:rPr>
          <w:highlight w:val="none"/>
        </w:rPr>
      </w:r>
    </w:p>
    <w:p>
      <w:pPr>
        <w:ind w:firstLine="482"/>
        <w:jc w:val="left"/>
        <w:spacing w:line="276" w:lineRule="auto"/>
        <w:rPr>
          <w:rFonts w:ascii="宋体" w:hAnsi="宋体"/>
          <w:b/>
          <w:color w:val="000000"/>
          <w:sz w:val="24"/>
          <w:highlight w:val="none"/>
        </w:rPr>
        <w:outlineLvl w:val="1"/>
      </w:pPr>
      <w:r>
        <w:rPr>
          <w:highlight w:val="none"/>
        </w:rPr>
      </w:r>
      <w:bookmarkStart w:id="182" w:name="_Toc238220181"/>
      <w:r>
        <w:rPr>
          <w:rFonts w:hint="eastAsia" w:ascii="宋体" w:hAnsi="宋体"/>
          <w:b/>
          <w:color w:val="000000"/>
          <w:sz w:val="24"/>
          <w:highlight w:val="none"/>
        </w:rPr>
        <w:t xml:space="preserve">符合性审查内容</w:t>
      </w:r>
      <w:bookmarkEnd w:id="182"/>
      <w:r>
        <w:rPr>
          <w:highlight w:val="none"/>
        </w:rPr>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1、报价要求：开标一览表中的报价不超过最高限价。</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2、商务要求：</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《商务要求响应及偏离表》不接受任何一项的负偏离或者不满足，仅允许正偏离。</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2</w:t>
      </w:r>
      <w:r>
        <w:rPr>
          <w:rFonts w:hint="eastAsia" w:ascii="宋体" w:hAnsi="宋体" w:cs="宋体"/>
          <w:sz w:val="24"/>
          <w:highlight w:val="none"/>
        </w:rPr>
        <w:t xml:space="preserve">《第六章投标文件构成》中“投标文件构成”没有缺漏；</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3</w:t>
      </w:r>
      <w:r>
        <w:rPr>
          <w:rFonts w:hint="eastAsia" w:ascii="宋体" w:hAnsi="宋体" w:cs="宋体"/>
          <w:sz w:val="24"/>
          <w:highlight w:val="none"/>
        </w:rPr>
        <w:t xml:space="preserve">投标函中注明的投标有效期符合招标文件要求；</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4</w:t>
      </w:r>
      <w:r>
        <w:rPr>
          <w:rFonts w:hint="eastAsia" w:ascii="宋体" w:hAnsi="宋体" w:cs="宋体"/>
          <w:sz w:val="24"/>
          <w:highlight w:val="none"/>
        </w:rPr>
        <w:t xml:space="preserve">本项目不接受联合体投标</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5</w:t>
      </w:r>
      <w:r>
        <w:rPr>
          <w:rFonts w:hint="eastAsia" w:ascii="宋体" w:hAnsi="宋体" w:cs="宋体"/>
          <w:sz w:val="24"/>
          <w:highlight w:val="none"/>
        </w:rPr>
        <w:t xml:space="preserve">本项目不接受备选投标方案</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6</w:t>
      </w:r>
      <w:r>
        <w:rPr>
          <w:rFonts w:hint="eastAsia" w:ascii="宋体" w:hAnsi="宋体" w:cs="宋体"/>
          <w:sz w:val="24"/>
          <w:highlight w:val="none"/>
        </w:rPr>
        <w:t xml:space="preserve">投标文件没有采购人不能接受的附加条件</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7</w:t>
      </w:r>
      <w:r>
        <w:rPr>
          <w:rFonts w:hint="eastAsia" w:ascii="宋体" w:hAnsi="宋体" w:cs="宋体"/>
          <w:sz w:val="24"/>
          <w:highlight w:val="none"/>
        </w:rPr>
        <w:t xml:space="preserve">投标文件没有法律、法规和招标文件规定的其他无效情形</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.8</w:t>
      </w:r>
      <w:r>
        <w:rPr>
          <w:rFonts w:hint="eastAsia" w:ascii="宋体" w:hAnsi="宋体" w:cs="宋体"/>
          <w:sz w:val="24"/>
          <w:highlight w:val="none"/>
        </w:rPr>
        <w:t xml:space="preserve">不存在招标文件中第</w:t>
      </w: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ascii="宋体" w:hAnsi="宋体" w:cs="宋体"/>
          <w:sz w:val="24"/>
          <w:highlight w:val="none"/>
        </w:rPr>
        <w:t xml:space="preserve">条款的情形之一</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.9</w:t>
      </w:r>
      <w:r>
        <w:rPr>
          <w:rFonts w:hint="eastAsia" w:ascii="宋体" w:hAnsi="宋体" w:cs="宋体"/>
          <w:sz w:val="24"/>
          <w:highlight w:val="none"/>
        </w:rPr>
        <w:t xml:space="preserve">若存在招标文件中第</w:t>
      </w:r>
      <w:r>
        <w:rPr>
          <w:rFonts w:ascii="宋体" w:hAnsi="宋体" w:cs="宋体"/>
          <w:sz w:val="24"/>
          <w:highlight w:val="none"/>
        </w:rPr>
        <w:t xml:space="preserve">27.1.10</w:t>
      </w:r>
      <w:r>
        <w:rPr>
          <w:rFonts w:hint="eastAsia" w:ascii="宋体" w:hAnsi="宋体" w:cs="宋体"/>
          <w:sz w:val="24"/>
          <w:highlight w:val="none"/>
        </w:rPr>
        <w:t xml:space="preserve">条款的情形之一，应启动</w:t>
      </w:r>
      <w:r>
        <w:rPr>
          <w:rFonts w:hint="eastAsia" w:ascii="宋体" w:hAnsi="宋体"/>
          <w:bCs/>
          <w:color w:val="ff0000"/>
          <w:sz w:val="24"/>
          <w:szCs w:val="21"/>
          <w:highlight w:val="none"/>
        </w:rPr>
        <w:t xml:space="preserve">异常低价投标（响应）审查程序</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3、服务响应要求：</w:t>
      </w:r>
      <w:r>
        <w:rPr>
          <w:highlight w:val="none"/>
        </w:rPr>
      </w:r>
    </w:p>
    <w:p>
      <w:pPr>
        <w:ind w:firstLine="480"/>
        <w:spacing w:line="276"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1</w:t>
      </w:r>
      <w:r>
        <w:rPr>
          <w:rFonts w:hint="eastAsia" w:ascii="宋体" w:hAnsi="宋体" w:cs="宋体"/>
          <w:sz w:val="24"/>
          <w:highlight w:val="none"/>
        </w:rPr>
        <w:t xml:space="preserve">投标文件中的《服务响应及偏离表》须按照招标文件要求点对点应答。</w:t>
      </w:r>
      <w:r>
        <w:rPr>
          <w:highlight w:val="none"/>
        </w:rPr>
      </w:r>
    </w:p>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ind w:firstLine="482"/>
        <w:jc w:val="left"/>
        <w:spacing w:line="276" w:lineRule="auto"/>
        <w:rPr>
          <w:rFonts w:ascii="宋体" w:hAnsi="宋体"/>
          <w:b/>
          <w:color w:val="000000"/>
          <w:sz w:val="24"/>
          <w:highlight w:val="none"/>
        </w:rPr>
        <w:outlineLvl w:val="1"/>
      </w:pPr>
      <w:r>
        <w:rPr>
          <w:highlight w:val="none"/>
        </w:rPr>
      </w:r>
      <w:bookmarkStart w:id="183" w:name="_Toc238220182"/>
      <w:r>
        <w:rPr>
          <w:rFonts w:hint="eastAsia" w:ascii="宋体" w:hAnsi="宋体"/>
          <w:b/>
          <w:color w:val="000000"/>
          <w:sz w:val="24"/>
          <w:highlight w:val="none"/>
        </w:rPr>
        <w:t xml:space="preserve">评标方法与评标标准</w:t>
      </w:r>
      <w:bookmarkEnd w:id="183"/>
      <w:r>
        <w:rPr>
          <w:highlight w:val="none"/>
        </w:rPr>
      </w:r>
      <w:r>
        <w:rPr>
          <w:highlight w:val="none"/>
        </w:rPr>
      </w:r>
    </w:p>
    <w:tbl>
      <w:tblPr>
        <w:tblStyle w:val="924"/>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7371"/>
      </w:tblGrid>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b/>
                <w:color w:val="ff0000"/>
                <w:sz w:val="24"/>
                <w:highlight w:val="none"/>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评审因素</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jc w:val="center"/>
              <w:spacing w:line="360" w:lineRule="auto"/>
              <w:rPr>
                <w:rFonts w:asciiTheme="minorEastAsia" w:hAnsiTheme="minorEastAsia" w:eastAsiaTheme="minorEastAsia"/>
                <w:b/>
                <w:color w:val="ff0000"/>
                <w:sz w:val="24"/>
                <w:highlight w:val="none"/>
              </w:rPr>
            </w:pPr>
            <w:r>
              <w:rPr>
                <w:rFonts w:hint="eastAsia" w:asciiTheme="minorEastAsia" w:hAnsiTheme="minorEastAsia" w:eastAsiaTheme="minorEastAsia"/>
                <w:b/>
                <w:color w:val="000000" w:themeColor="text1"/>
                <w:sz w:val="24"/>
                <w:highlight w:val="none"/>
                <w14:textFill>
                  <w14:solidFill>
                    <w14:schemeClr w14:val="tx1"/>
                  </w14:solidFill>
                </w14:textFill>
              </w:rPr>
              <w:t xml:space="preserve">评审标准</w:t>
            </w:r>
            <w:r>
              <w:rPr>
                <w:highlight w:val="none"/>
              </w:rPr>
            </w:r>
          </w:p>
        </w:tc>
      </w:tr>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报价</w:t>
            </w:r>
            <w:r>
              <w:rPr>
                <w:highlight w:val="none"/>
              </w:rPr>
            </w:r>
          </w:p>
          <w:p>
            <w:pPr>
              <w:jc w:val="center"/>
              <w:spacing w:line="360" w:lineRule="auto"/>
              <w:rPr>
                <w:rFonts w:asciiTheme="minorEastAsia" w:hAnsiTheme="minorEastAsia" w:eastAsiaTheme="minorEastAsia"/>
                <w:b/>
                <w:sz w:val="24"/>
                <w:highlight w:val="none"/>
              </w:rPr>
            </w:pPr>
            <w:r>
              <w:rPr>
                <w:rFonts w:hint="eastAsia" w:asciiTheme="minorEastAsia" w:hAnsiTheme="minorEastAsia" w:eastAsiaTheme="minorEastAsia"/>
                <w:sz w:val="24"/>
                <w:highlight w:val="none"/>
              </w:rPr>
              <w:t xml:space="preserve">（10分）</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价格分采用低价优先法计算，即满足招标文件要求且投标价格最低的投标报价为评标基准价，其价格分为满分</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0分。其他投标人的价格分按照下列公式计算，保留小数点后2位：投标报价得分=（评标基准价／投标报价）×</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0</w:t>
            </w:r>
            <w:r>
              <w:rPr>
                <w:highlight w:val="none"/>
              </w:rPr>
            </w:r>
          </w:p>
        </w:tc>
      </w:tr>
      <w:tr>
        <w:trPr>
          <w:trHeight w:val="56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服务要求响应</w:t>
            </w:r>
            <w:r>
              <w:rPr>
                <w:highlight w:val="none"/>
              </w:rPr>
            </w:r>
          </w:p>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34</w:t>
            </w:r>
            <w:r>
              <w:rPr>
                <w:rFonts w:hint="eastAsia" w:asciiTheme="minorEastAsia" w:hAnsiTheme="minorEastAsia" w:eastAsiaTheme="minorEastAsia"/>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评委根据投标文件中《服务要求响应及偏离表》，结合投标文件提供的佐证材料等进行评审：</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加注“★”符号的关键指标不允许负偏离，否则投标无效；加注“▲”符号的重要指标有一项负偏离扣</w:t>
            </w: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分；其它一般指标每有一项负偏离或响应扣</w:t>
            </w:r>
            <w:r>
              <w:rPr>
                <w:rFonts w:asciiTheme="minorEastAsia" w:hAnsiTheme="minorEastAsia" w:eastAsiaTheme="minorEastAsia"/>
                <w:sz w:val="24"/>
                <w:highlight w:val="none"/>
              </w:rPr>
              <w:t xml:space="preserve">0.5</w:t>
            </w:r>
            <w:r>
              <w:rPr>
                <w:rFonts w:hint="eastAsia" w:asciiTheme="minorEastAsia" w:hAnsiTheme="minorEastAsia" w:eastAsiaTheme="minorEastAsia"/>
                <w:sz w:val="24"/>
                <w:highlight w:val="none"/>
              </w:rPr>
              <w:t xml:space="preserve">分；本项满分3</w:t>
            </w: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注：投标人需按照本采购文件第四章的服务要求，在“服务要求响应及偏离表”中如实详细填列所投服务的参数，并按要求提供佐证材料，否则评标委员会有权做负偏离处理。</w:t>
            </w:r>
            <w:r>
              <w:rPr>
                <w:highlight w:val="none"/>
              </w:rPr>
            </w:r>
          </w:p>
        </w:tc>
      </w:tr>
      <w:tr>
        <w:trPr>
          <w:trHeight w:val="3120"/>
        </w:trPr>
        <w:tc>
          <w:tcPr>
            <w:tcBorders>
              <w:top w:val="single" w:color="auto" w:sz="4" w:space="0"/>
              <w:left w:val="single" w:color="auto" w:sz="4" w:space="0"/>
              <w:right w:val="single" w:color="auto" w:sz="4" w:space="0"/>
            </w:tcBorders>
            <w:tcW w:w="1985" w:type="dxa"/>
            <w:vAlign w:val="center"/>
            <w:vMerge w:val="restart"/>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w:t>
            </w:r>
            <w:r>
              <w:rPr>
                <w:highlight w:val="none"/>
              </w:rPr>
            </w:r>
          </w:p>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25</w:t>
            </w:r>
            <w:r>
              <w:rPr>
                <w:rFonts w:hint="eastAsia" w:asciiTheme="minorEastAsia" w:hAnsiTheme="minorEastAsia" w:eastAsiaTheme="minorEastAsia"/>
                <w:sz w:val="24"/>
                <w:highlight w:val="none"/>
              </w:rPr>
              <w:t xml:space="preserve">分）</w:t>
            </w:r>
            <w:r>
              <w:rPr>
                <w:highlight w:val="none"/>
              </w:rPr>
            </w:r>
          </w:p>
        </w:tc>
        <w:tc>
          <w:tcPr>
            <w:tcBorders>
              <w:top w:val="single" w:color="auto" w:sz="4" w:space="0"/>
              <w:left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rPr>
              <w:t xml:space="preserve">根据投标人提供的</w:t>
            </w:r>
            <w:r>
              <w:rPr>
                <w:rFonts w:hint="eastAsia" w:asciiTheme="minorEastAsia" w:hAnsiTheme="minorEastAsia" w:eastAsiaTheme="minorEastAsia"/>
                <w:b/>
                <w:bCs/>
                <w:sz w:val="24"/>
                <w:highlight w:val="none"/>
                <w:u w:val="single"/>
              </w:rPr>
              <w:t xml:space="preserve">维修维护实施方案</w:t>
            </w:r>
            <w:r>
              <w:rPr>
                <w:rFonts w:hint="eastAsia" w:asciiTheme="minorEastAsia" w:hAnsiTheme="minorEastAsia" w:eastAsiaTheme="minorEastAsia"/>
                <w:sz w:val="24"/>
                <w:highlight w:val="none"/>
              </w:rPr>
              <w:t xml:space="preserve">综合评分，包括但不限于：</w:t>
            </w:r>
            <w:r>
              <w:rPr>
                <w:rFonts w:hint="eastAsia" w:asciiTheme="minorEastAsia" w:hAnsiTheme="minorEastAsia" w:eastAsiaTheme="minorEastAsia"/>
                <w:b/>
                <w:bCs/>
                <w:sz w:val="24"/>
                <w:highlight w:val="none"/>
              </w:rPr>
              <w:t xml:space="preserve">定期维护巡检方案、维修响应时间节点、具体维修流程细则、内部调度和支持系统、服务档案管理制度</w:t>
            </w:r>
            <w:r>
              <w:rPr>
                <w:rFonts w:hint="eastAsia" w:asciiTheme="minorEastAsia" w:hAnsiTheme="minorEastAsia" w:eastAsiaTheme="minorEastAsia"/>
                <w:sz w:val="24"/>
                <w:highlight w:val="none"/>
              </w:rPr>
              <w:t xml:space="preserve">。满足以上5项要求最多得</w:t>
            </w:r>
            <w:r>
              <w:rPr>
                <w:rFonts w:asciiTheme="minorEastAsia" w:hAnsiTheme="minorEastAsia" w:eastAsiaTheme="minorEastAsia"/>
                <w:sz w:val="24"/>
                <w:highlight w:val="none"/>
              </w:rPr>
              <w:t xml:space="preserve">10</w:t>
            </w:r>
            <w:r>
              <w:rPr>
                <w:rFonts w:hint="eastAsia" w:asciiTheme="minorEastAsia" w:hAnsiTheme="minorEastAsia" w:eastAsiaTheme="minorEastAsia"/>
                <w:sz w:val="24"/>
                <w:highlight w:val="none"/>
              </w:rPr>
              <w:t xml:space="preserve">分；满足任意1项最多得</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分； </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注：评标委员会根据各投标人的具体响应内容按照以下量化的评审因素指标对各项要求进行满足性判断：</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服务方案内容科学合理、完整、切实可行的得</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服务方案内容有所缺漏或可行性欠缺合理的得</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方案不全面或不具备可执行性或未提供服务方案的不得分。</w:t>
            </w:r>
            <w:r>
              <w:rPr>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rPr>
              <w:t xml:space="preserve">根据投标人提供的</w:t>
            </w:r>
            <w:r>
              <w:rPr>
                <w:rFonts w:hint="eastAsia" w:asciiTheme="minorEastAsia" w:hAnsiTheme="minorEastAsia" w:eastAsiaTheme="minorEastAsia"/>
                <w:b/>
                <w:bCs/>
                <w:sz w:val="24"/>
                <w:highlight w:val="none"/>
                <w:u w:val="single"/>
              </w:rPr>
              <w:t xml:space="preserve">应急方案</w:t>
            </w:r>
            <w:r>
              <w:rPr>
                <w:rFonts w:hint="eastAsia" w:asciiTheme="minorEastAsia" w:hAnsiTheme="minorEastAsia" w:eastAsiaTheme="minorEastAsia"/>
                <w:sz w:val="24"/>
                <w:highlight w:val="none"/>
              </w:rPr>
              <w:t xml:space="preserve">综合评分，包括但不限于：</w:t>
            </w:r>
            <w:r>
              <w:rPr>
                <w:rFonts w:hint="eastAsia" w:asciiTheme="minorEastAsia" w:hAnsiTheme="minorEastAsia" w:eastAsiaTheme="minorEastAsia"/>
                <w:b/>
                <w:bCs/>
                <w:sz w:val="24"/>
                <w:highlight w:val="none"/>
              </w:rPr>
              <w:t xml:space="preserve">应急响应机制、列明设备可能突发故障、现场支援与故障诊断、备用设备保障方案、关键备件供应与紧急调配</w:t>
            </w:r>
            <w:r>
              <w:rPr>
                <w:rFonts w:hint="eastAsia" w:asciiTheme="minorEastAsia" w:hAnsiTheme="minorEastAsia" w:eastAsiaTheme="minorEastAsia"/>
                <w:sz w:val="24"/>
                <w:highlight w:val="none"/>
              </w:rPr>
              <w:t xml:space="preserve">。满足以上5项要求最多得5分；满足任意1项最多得1分； </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注：评标委员会根据各投标人的具体响应内容按照以下量化的评审因素指标对各项要求进行满足性判断：</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服务方案内容科学合理、完整、切实可行的得1分；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服务方案内容有所缺漏或可行性欠缺合理的得0.5分；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方案不全面或不具备可执行性或未提供服务方案的不得分。</w:t>
            </w:r>
            <w:r>
              <w:rPr>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3</w:t>
            </w:r>
            <w:r>
              <w:rPr>
                <w:rFonts w:asciiTheme="minorEastAsia" w:hAnsiTheme="minorEastAsia" w:eastAsiaTheme="minorEastAsia"/>
                <w:color w:val="000000"/>
                <w:sz w:val="24"/>
                <w:highlight w:val="none"/>
              </w:rPr>
              <w:t xml:space="preserve">.</w:t>
            </w:r>
            <w:r>
              <w:rPr>
                <w:rFonts w:hint="eastAsia" w:asciiTheme="minorEastAsia" w:hAnsiTheme="minorEastAsia" w:eastAsiaTheme="minorEastAsia"/>
                <w:color w:val="000000"/>
                <w:sz w:val="24"/>
                <w:highlight w:val="none"/>
              </w:rPr>
              <w:t xml:space="preserve">根据投标人针对本项目的实际需求及自身情况编制的相应</w:t>
            </w:r>
            <w:r>
              <w:rPr>
                <w:rFonts w:hint="eastAsia" w:asciiTheme="minorEastAsia" w:hAnsiTheme="minorEastAsia" w:eastAsiaTheme="minorEastAsia"/>
                <w:b/>
                <w:bCs/>
                <w:color w:val="000000"/>
                <w:sz w:val="24"/>
                <w:highlight w:val="none"/>
                <w:u w:val="single"/>
              </w:rPr>
              <w:t xml:space="preserve">培训方案</w:t>
            </w:r>
            <w:r>
              <w:rPr>
                <w:rFonts w:hint="eastAsia" w:asciiTheme="minorEastAsia" w:hAnsiTheme="minorEastAsia" w:eastAsiaTheme="minorEastAsia"/>
                <w:color w:val="000000"/>
                <w:sz w:val="24"/>
                <w:highlight w:val="none"/>
              </w:rPr>
              <w:t xml:space="preserve">进行综合评审，包括但不限于：</w:t>
            </w:r>
            <w:r>
              <w:rPr>
                <w:rFonts w:hint="eastAsia" w:asciiTheme="minorEastAsia" w:hAnsiTheme="minorEastAsia" w:eastAsiaTheme="minorEastAsia"/>
                <w:b/>
                <w:bCs/>
                <w:color w:val="000000"/>
                <w:sz w:val="24"/>
                <w:highlight w:val="none"/>
              </w:rPr>
              <w:t xml:space="preserve">培训目标、培训内容、培训方式、培训计划与资源保障、培训效果评估与持续改进机制</w:t>
            </w:r>
            <w:r>
              <w:rPr>
                <w:rFonts w:hint="eastAsia" w:asciiTheme="minorEastAsia" w:hAnsiTheme="minorEastAsia" w:eastAsiaTheme="minorEastAsia"/>
                <w:color w:val="000000"/>
                <w:sz w:val="24"/>
                <w:highlight w:val="none"/>
              </w:rPr>
              <w:t xml:space="preserve">。满足以上5项要求最多得5分；满足任意1项最多得1分； </w:t>
            </w:r>
            <w:r>
              <w:rPr>
                <w:highlight w:val="none"/>
              </w:rPr>
            </w:r>
          </w:p>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注：评标委员会根据各投标人的具体响应内容按照以下量化的评审因素指标对各项要求进行满足性判断：</w:t>
            </w:r>
            <w:r>
              <w:rPr>
                <w:highlight w:val="none"/>
              </w:rPr>
            </w:r>
          </w:p>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培训内容详细全面、合理可行，得1分；</w:t>
            </w:r>
            <w:r>
              <w:rPr>
                <w:highlight w:val="none"/>
              </w:rPr>
            </w:r>
          </w:p>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培训内容基本全面、可行性一般，得0.5分；</w:t>
            </w:r>
            <w:r>
              <w:rPr>
                <w:highlight w:val="none"/>
              </w:rPr>
            </w:r>
          </w:p>
          <w:p>
            <w:pPr>
              <w:spacing w:line="360" w:lineRule="auto"/>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24"/>
                <w:highlight w:val="none"/>
              </w:rPr>
              <w:t xml:space="preserve">方案不全面或不具备可执行性或未提供服务方案的不得分。</w:t>
            </w:r>
            <w:r>
              <w:rPr>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color w:val="0000ff"/>
                <w:sz w:val="24"/>
              </w:rPr>
            </w:pPr>
            <w:r>
              <w:rPr>
                <w:rFonts w:asciiTheme="minorEastAsia" w:hAnsiTheme="minorEastAsia" w:eastAsiaTheme="minorEastAsia"/>
                <w:color w:val="0000ff"/>
                <w:sz w:val="24"/>
              </w:rPr>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4</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rPr>
              <w:t xml:space="preserve">根据投标人提供的</w:t>
            </w:r>
            <w:r>
              <w:rPr>
                <w:rFonts w:hint="eastAsia" w:asciiTheme="minorEastAsia" w:hAnsiTheme="minorEastAsia" w:eastAsiaTheme="minorEastAsia"/>
                <w:b/>
                <w:bCs/>
                <w:sz w:val="24"/>
                <w:highlight w:val="none"/>
                <w:u w:val="single"/>
              </w:rPr>
              <w:t xml:space="preserve">质量管控方案</w:t>
            </w:r>
            <w:r>
              <w:rPr>
                <w:rFonts w:hint="eastAsia" w:asciiTheme="minorEastAsia" w:hAnsiTheme="minorEastAsia" w:eastAsiaTheme="minorEastAsia"/>
                <w:sz w:val="24"/>
                <w:highlight w:val="none"/>
              </w:rPr>
              <w:t xml:space="preserve">进行综合评审，</w:t>
            </w:r>
            <w:r>
              <w:rPr>
                <w:rFonts w:hint="eastAsia" w:asciiTheme="minorEastAsia" w:hAnsiTheme="minorEastAsia" w:eastAsiaTheme="minorEastAsia"/>
                <w:color w:val="000000"/>
                <w:sz w:val="24"/>
                <w:highlight w:val="none"/>
              </w:rPr>
              <w:t xml:space="preserve">包括但不限于</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b/>
                <w:bCs/>
                <w:sz w:val="24"/>
                <w:highlight w:val="none"/>
              </w:rPr>
              <w:t xml:space="preserve">内部制度、实施方案、考核办法、数据溯源、改进措施</w:t>
            </w:r>
            <w:r>
              <w:rPr>
                <w:rFonts w:hint="eastAsia" w:asciiTheme="minorEastAsia" w:hAnsiTheme="minorEastAsia" w:eastAsiaTheme="minorEastAsia"/>
                <w:sz w:val="24"/>
                <w:highlight w:val="none"/>
              </w:rPr>
              <w:t xml:space="preserve">。满足以上5项要求最多得5分；满足任意1项最多得1分； </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注：评标委员会根据各投标人的具体响应内容按照以下量化的评审因素指标对各项要求进行满足性判断：</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服务方案内容科学合理、完整、切实可行的得1分；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服务方案内容有所缺漏或可行性欠缺合理的得0.5分；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方案不全面或不具备可执行性或未提供服务方案的不得分</w:t>
            </w:r>
            <w:r>
              <w:rPr>
                <w:highlight w:val="none"/>
              </w:rPr>
            </w:r>
          </w:p>
        </w:tc>
      </w:tr>
      <w:tr>
        <w:trPr>
          <w:trHeight w:val="567"/>
        </w:trPr>
        <w:tc>
          <w:tcPr>
            <w:tcBorders>
              <w:left w:val="single" w:color="auto" w:sz="4" w:space="0"/>
              <w:right w:val="single" w:color="auto" w:sz="4" w:space="0"/>
            </w:tcBorders>
            <w:tcW w:w="1985" w:type="dxa"/>
            <w:vAlign w:val="center"/>
            <w:vMerge w:val="restart"/>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服务能力</w:t>
            </w:r>
            <w:r>
              <w:rPr>
                <w:highlight w:val="none"/>
              </w:rPr>
            </w:r>
          </w:p>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1.工具配置及零配件储备情况12分：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a) 投标人具有全套维修工具，并提供适用于本次维保设备的相关维修工具图片和清单；未提供不得分。（6分）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b) 投标人在国内设有零备件仓库，提供零备件仓库地址及联系人、联系电话，提供一个得3分，最多得6分，未提供或提供的资料不全不得分。</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注：自有仓库须提供仓库不动产产权证（证书上须明确体现投标人名称和面积）；租赁仓库须提供不动产产权证和租赁合同（租赁合同中须明确体现投标人的名称和面积）。</w:t>
            </w:r>
            <w:r>
              <w:rPr>
                <w:highlight w:val="none"/>
              </w:rPr>
            </w:r>
          </w:p>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投标人如为具备厂家授权的代理商或者与生产厂家签署维修服务合作协议，可使用厂家零件库。</w:t>
            </w:r>
            <w:r>
              <w:rPr>
                <w:highlight w:val="none"/>
              </w:rPr>
            </w:r>
          </w:p>
        </w:tc>
      </w:tr>
      <w:tr>
        <w:trPr>
          <w:trHeight w:val="567"/>
        </w:trPr>
        <w:tc>
          <w:tcPr>
            <w:tcBorders>
              <w:left w:val="single" w:color="auto" w:sz="4" w:space="0"/>
              <w:right w:val="single" w:color="auto" w:sz="4" w:space="0"/>
            </w:tcBorders>
            <w:tcW w:w="1985" w:type="dxa"/>
            <w:vAlign w:val="center"/>
            <w:vMerge w:val="continue"/>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w:t>
            </w:r>
            <w:r>
              <w:rPr>
                <w:rFonts w:hint="eastAsia" w:asciiTheme="minorEastAsia" w:hAnsiTheme="minorEastAsia" w:eastAsiaTheme="minorEastAsia"/>
                <w:color w:val="000000"/>
                <w:sz w:val="24"/>
                <w:highlight w:val="none"/>
              </w:rPr>
              <w:t xml:space="preserve">投标人为原生产厂家，或者具备生产厂家的售后授权，或者与生产厂家签署维修服务合作协议的，得</w:t>
            </w:r>
            <w:r>
              <w:rPr>
                <w:rFonts w:asciiTheme="minorEastAsia" w:hAnsiTheme="minorEastAsia" w:eastAsiaTheme="minorEastAsia"/>
                <w:color w:val="000000"/>
                <w:sz w:val="24"/>
                <w:highlight w:val="none"/>
              </w:rPr>
              <w:t xml:space="preserve">7</w:t>
            </w:r>
            <w:r>
              <w:rPr>
                <w:rFonts w:hint="eastAsia" w:asciiTheme="minorEastAsia" w:hAnsiTheme="minorEastAsia" w:eastAsiaTheme="minorEastAsia"/>
                <w:color w:val="000000"/>
                <w:sz w:val="24"/>
                <w:highlight w:val="none"/>
              </w:rPr>
              <w:t xml:space="preserve">分。</w:t>
            </w:r>
            <w:r>
              <w:rPr>
                <w:highlight w:val="none"/>
              </w:rPr>
            </w:r>
          </w:p>
        </w:tc>
      </w:tr>
      <w:tr>
        <w:trPr>
          <w:trHeight w:val="567"/>
        </w:trPr>
        <w:tc>
          <w:tcPr>
            <w:tcBorders>
              <w:left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服务团队人员</w:t>
            </w:r>
            <w:r>
              <w:rPr>
                <w:highlight w:val="none"/>
              </w:rPr>
            </w:r>
          </w:p>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人提供具有维保设备原厂或受其委托机构出具的同品牌CT维保或维修培训证书的工程师团队，同时提供培训证书（复印件并加盖公章）、投标人为该工程师缴纳的社保记录（投标文件递交截止时间前六个月内任一月份的记录复印件），或投标人为具备厂家授权的代理商或者与生产厂家签署维修服务合作协议的，可使用厂家工程师（提供为该工程师缴纳的社保记录（投标文件递交截止时间前六个月内任一月份的记录复印件）。工程师团队人数在满足要求（</w:t>
            </w: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人）的基础上，每多一人得</w:t>
            </w: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分，最多得</w:t>
            </w:r>
            <w:r>
              <w:rPr>
                <w:rFonts w:asciiTheme="minorEastAsia" w:hAnsiTheme="minorEastAsia" w:eastAsiaTheme="minorEastAsia"/>
                <w:sz w:val="24"/>
                <w:highlight w:val="none"/>
              </w:rPr>
              <w:t xml:space="preserve">9</w:t>
            </w:r>
            <w:r>
              <w:rPr>
                <w:rFonts w:hint="eastAsia" w:asciiTheme="minorEastAsia" w:hAnsiTheme="minorEastAsia" w:eastAsiaTheme="minorEastAsia"/>
                <w:sz w:val="24"/>
                <w:highlight w:val="none"/>
              </w:rPr>
              <w:t xml:space="preserve">分。</w:t>
            </w:r>
            <w:r>
              <w:rPr>
                <w:highlight w:val="none"/>
              </w:rPr>
            </w:r>
          </w:p>
        </w:tc>
      </w:tr>
      <w:tr>
        <w:trPr>
          <w:trHeight w:val="567"/>
        </w:trPr>
        <w:tc>
          <w:tcPr>
            <w:tcBorders>
              <w:left w:val="single" w:color="auto" w:sz="4" w:space="0"/>
              <w:right w:val="single" w:color="auto" w:sz="4" w:space="0"/>
            </w:tcBorders>
            <w:tcW w:w="1985" w:type="dxa"/>
            <w:vAlign w:val="center"/>
            <w:textDirection w:val="lrTb"/>
            <w:noWrap w:val="false"/>
          </w:tcPr>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业绩</w:t>
            </w:r>
            <w:r>
              <w:rPr>
                <w:highlight w:val="none"/>
              </w:rPr>
            </w:r>
          </w:p>
          <w:p>
            <w:pPr>
              <w:jc w:val="cente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w:t>
            </w: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分）</w:t>
            </w:r>
            <w:r>
              <w:rPr>
                <w:highlight w:val="none"/>
              </w:rP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投标人提供202</w:t>
            </w: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年01月01日（以签订时间为准）以来CT维修或维保服务（不包含仅人工服务）同类合同业绩，投标人如为具备厂家授权的代理商或者与生产厂家签署维修服务合作协议,可提供厂家业绩；每提供一个业绩得</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分，最多得</w:t>
            </w: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分，未提供不得分（提供的合同复印件须包括采购方名称、维保设备型号、合同金额、签订时间、联系人等关键信息）</w:t>
            </w:r>
            <w:r>
              <w:rPr>
                <w:highlight w:val="none"/>
              </w:rPr>
            </w:r>
          </w:p>
        </w:tc>
      </w:tr>
    </w:tbl>
    <w:p>
      <w:pPr>
        <w:ind w:firstLine="480"/>
        <w:spacing w:line="276" w:lineRule="auto"/>
        <w:rPr>
          <w:rFonts w:ascii="宋体" w:hAnsi="宋体" w:cs="宋体"/>
          <w:sz w:val="24"/>
          <w:highlight w:val="none"/>
        </w:rPr>
      </w:pPr>
      <w:r>
        <w:rPr>
          <w:rFonts w:ascii="宋体" w:hAnsi="宋体" w:cs="宋体"/>
          <w:sz w:val="24"/>
          <w:highlight w:val="none"/>
        </w:rPr>
      </w:r>
      <w:r>
        <w:rPr>
          <w:highlight w:val="none"/>
        </w:rPr>
      </w:r>
    </w:p>
    <w:p>
      <w:pPr>
        <w:jc w:val="center"/>
        <w:spacing w:line="276" w:lineRule="auto"/>
        <w:widowControl/>
        <w:rPr>
          <w:rFonts w:ascii="宋体" w:hAnsi="宋体" w:cs="宋体"/>
          <w:b/>
          <w:sz w:val="32"/>
          <w:szCs w:val="32"/>
          <w:highlight w:val="none"/>
        </w:rPr>
        <w:outlineLvl w:val="0"/>
      </w:pPr>
      <w:r>
        <w:rPr>
          <w:rFonts w:hint="eastAsia" w:ascii="宋体" w:hAnsi="宋体" w:cs="宋体"/>
          <w:szCs w:val="21"/>
          <w:highlight w:val="none"/>
        </w:rPr>
        <w:br w:type="page" w:clear="all"/>
      </w:r>
      <w:bookmarkStart w:id="184" w:name="_Toc238220183"/>
      <w:r>
        <w:rPr>
          <w:rFonts w:hint="eastAsia" w:ascii="宋体" w:hAnsi="宋体" w:cs="宋体"/>
          <w:b/>
          <w:sz w:val="32"/>
          <w:szCs w:val="32"/>
          <w:highlight w:val="none"/>
        </w:rPr>
        <w:t xml:space="preserve">第六章  投标文件格式</w:t>
      </w:r>
      <w:bookmarkEnd w:id="184"/>
      <w:r>
        <w:rPr>
          <w:highlight w:val="none"/>
        </w:rPr>
      </w:r>
      <w:r>
        <w:rPr>
          <w:highlight w:val="none"/>
        </w:rPr>
      </w:r>
    </w:p>
    <w:p>
      <w:pPr>
        <w:spacing w:line="276" w:lineRule="auto"/>
        <w:rPr>
          <w:rFonts w:ascii="宋体" w:hAnsi="宋体" w:cs="宋体"/>
          <w:szCs w:val="21"/>
          <w:highlight w:val="none"/>
        </w:rPr>
      </w:pPr>
      <w:r>
        <w:rPr>
          <w:rFonts w:ascii="宋体" w:hAnsi="宋体" w:cs="宋体"/>
          <w:szCs w:val="21"/>
          <w:highlight w:val="none"/>
        </w:rPr>
      </w:r>
      <w:r>
        <w:rPr>
          <w:highlight w:val="none"/>
        </w:rP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p>
    <w:p>
      <w:pPr>
        <w:jc w:val="center"/>
        <w:spacing w:line="276" w:lineRule="auto"/>
        <w:rPr>
          <w:rFonts w:ascii="宋体" w:hAnsi="宋体" w:cs="宋体"/>
          <w:b/>
          <w:color w:val="000000"/>
          <w:sz w:val="72"/>
          <w:szCs w:val="21"/>
          <w:highlight w:val="none"/>
        </w:rPr>
        <w:outlineLvl w:val="1"/>
      </w:pPr>
      <w:r>
        <w:rPr>
          <w:highlight w:val="none"/>
        </w:rPr>
      </w:r>
      <w:bookmarkStart w:id="185" w:name="_Toc238220184"/>
      <w:r>
        <w:rPr>
          <w:rFonts w:hint="eastAsia" w:ascii="宋体" w:hAnsi="宋体" w:cs="宋体"/>
          <w:b/>
          <w:sz w:val="96"/>
          <w:szCs w:val="84"/>
          <w:highlight w:val="none"/>
        </w:rPr>
        <w:t xml:space="preserve">投  标  文  件</w:t>
      </w:r>
      <w:bookmarkEnd w:id="185"/>
      <w:r>
        <w:rPr>
          <w:highlight w:val="none"/>
        </w:rPr>
      </w:r>
      <w:r>
        <w:rPr>
          <w:highlight w:val="none"/>
        </w:rP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p>
    <w:p>
      <w:pPr>
        <w:jc w:val="center"/>
        <w:spacing w:line="276" w:lineRule="auto"/>
        <w:rPr>
          <w:rFonts w:ascii="宋体" w:hAnsi="宋体" w:cs="宋体"/>
          <w:b/>
          <w:color w:val="000000"/>
          <w:sz w:val="72"/>
          <w:szCs w:val="21"/>
          <w:highlight w:val="none"/>
        </w:rPr>
      </w:pPr>
      <w:r>
        <w:rPr>
          <w:rFonts w:ascii="宋体" w:hAnsi="宋体" w:cs="宋体"/>
          <w:b/>
          <w:color w:val="000000"/>
          <w:sz w:val="72"/>
          <w:szCs w:val="21"/>
          <w:highlight w:val="none"/>
        </w:rPr>
      </w:r>
      <w:r>
        <w:rPr>
          <w:highlight w:val="none"/>
        </w:rPr>
      </w:r>
    </w:p>
    <w:tbl>
      <w:tblPr>
        <w:tblStyle w:val="947"/>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003"/>
        <w:gridCol w:w="5932"/>
      </w:tblGrid>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项目名称：</w:t>
            </w:r>
            <w:r>
              <w:rPr>
                <w:highlight w:val="none"/>
              </w:rP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南京市浦口区中医院飞利浦CT保修服务采购项目</w:t>
            </w:r>
            <w:r>
              <w:rPr>
                <w:highlight w:val="none"/>
              </w:rP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项目编号：</w:t>
            </w:r>
            <w:r>
              <w:rPr>
                <w:highlight w:val="none"/>
              </w:rPr>
            </w:r>
          </w:p>
        </w:tc>
        <w:tc>
          <w:tcPr>
            <w:tcW w:w="5932" w:type="dxa"/>
            <w:vAlign w:val="center"/>
            <w:textDirection w:val="lrTb"/>
            <w:noWrap w:val="false"/>
          </w:tcPr>
          <w:p>
            <w:pPr>
              <w:jc w:val="lef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JSZC-320111-SHGK-G2026-0074</w:t>
            </w:r>
            <w:r>
              <w:rPr>
                <w:highlight w:val="none"/>
              </w:rPr>
            </w:r>
          </w:p>
          <w:p>
            <w:pPr>
              <w:jc w:val="left"/>
              <w:spacing w:line="276" w:lineRule="auto"/>
              <w:rPr>
                <w:rFonts w:ascii="宋体" w:hAnsi="宋体" w:cs="宋体"/>
                <w:b/>
                <w:color w:val="000000"/>
                <w:sz w:val="32"/>
                <w:szCs w:val="32"/>
                <w:highlight w:val="none"/>
              </w:rPr>
            </w:pPr>
            <w:r>
              <w:rPr>
                <w:rFonts w:ascii="宋体" w:hAnsi="宋体" w:cs="宋体"/>
                <w:b/>
                <w:color w:val="000000"/>
                <w:sz w:val="32"/>
                <w:szCs w:val="32"/>
                <w:highlight w:val="none"/>
              </w:rPr>
            </w:r>
            <w:r>
              <w:rPr>
                <w:highlight w:val="none"/>
              </w:rP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6"/>
                <w:szCs w:val="21"/>
                <w:highlight w:val="none"/>
              </w:rPr>
              <w:t xml:space="preserve">投标人名称：</w:t>
            </w:r>
            <w:r>
              <w:rPr>
                <w:highlight w:val="none"/>
              </w:rP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6"/>
                <w:szCs w:val="21"/>
                <w:highlight w:val="none"/>
              </w:rPr>
              <w:t xml:space="preserve">（加盖CA电子公章）</w:t>
            </w:r>
            <w:r>
              <w:rPr>
                <w:highlight w:val="none"/>
              </w:rPr>
            </w:r>
          </w:p>
        </w:tc>
      </w:tr>
      <w:tr>
        <w:trPr>
          <w:trHeight w:val="23"/>
        </w:trPr>
        <w:tc>
          <w:tcPr>
            <w:tcW w:w="3003" w:type="dxa"/>
            <w:vAlign w:val="center"/>
            <w:textDirection w:val="lrTb"/>
            <w:noWrap w:val="false"/>
          </w:tcPr>
          <w:p>
            <w:pPr>
              <w:jc w:val="right"/>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日期</w:t>
            </w:r>
            <w:r>
              <w:rPr>
                <w:rFonts w:hint="eastAsia" w:ascii="宋体" w:hAnsi="宋体" w:cs="宋体"/>
                <w:b/>
                <w:color w:val="000000"/>
                <w:sz w:val="36"/>
                <w:szCs w:val="21"/>
                <w:highlight w:val="none"/>
              </w:rPr>
              <w:t xml:space="preserve">：</w:t>
            </w:r>
            <w:r>
              <w:rPr>
                <w:highlight w:val="none"/>
              </w:rPr>
            </w:r>
          </w:p>
        </w:tc>
        <w:tc>
          <w:tcPr>
            <w:tcW w:w="5932" w:type="dxa"/>
            <w:vAlign w:val="center"/>
            <w:textDirection w:val="lrTb"/>
            <w:noWrap w:val="false"/>
          </w:tcPr>
          <w:p>
            <w:pPr>
              <w:spacing w:line="276"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202</w:t>
            </w:r>
            <w:r>
              <w:rPr>
                <w:rFonts w:ascii="宋体" w:hAnsi="宋体" w:cs="宋体"/>
                <w:b/>
                <w:color w:val="000000"/>
                <w:sz w:val="32"/>
                <w:szCs w:val="32"/>
                <w:highlight w:val="none"/>
              </w:rPr>
              <w:t xml:space="preserve">6</w:t>
            </w:r>
            <w:r>
              <w:rPr>
                <w:rFonts w:hint="eastAsia" w:ascii="宋体" w:hAnsi="宋体" w:cs="宋体"/>
                <w:b/>
                <w:color w:val="000000"/>
                <w:sz w:val="32"/>
                <w:szCs w:val="32"/>
                <w:highlight w:val="none"/>
              </w:rPr>
              <w:t xml:space="preserve">年XX月XX日</w:t>
            </w:r>
            <w:r>
              <w:rPr>
                <w:highlight w:val="none"/>
              </w:rPr>
            </w:r>
          </w:p>
        </w:tc>
      </w:tr>
    </w:tbl>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p>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p>
    <w:p>
      <w:pPr>
        <w:jc w:val="center"/>
        <w:spacing w:line="276" w:lineRule="auto"/>
        <w:rPr>
          <w:rFonts w:ascii="宋体" w:hAnsi="宋体" w:cs="宋体"/>
          <w:b/>
          <w:color w:val="000000"/>
          <w:sz w:val="36"/>
          <w:szCs w:val="21"/>
          <w:highlight w:val="none"/>
        </w:rPr>
      </w:pPr>
      <w:r>
        <w:rPr>
          <w:rFonts w:ascii="宋体" w:hAnsi="宋体" w:cs="宋体"/>
          <w:b/>
          <w:color w:val="000000"/>
          <w:sz w:val="36"/>
          <w:szCs w:val="21"/>
          <w:highlight w:val="none"/>
        </w:rPr>
      </w:r>
      <w:r>
        <w:rPr>
          <w:highlight w:val="none"/>
        </w:rPr>
      </w:r>
    </w:p>
    <w:p>
      <w:pPr>
        <w:spacing w:line="276" w:lineRule="auto"/>
        <w:rPr>
          <w:rFonts w:ascii="宋体" w:hAnsi="宋体" w:cs="宋体"/>
          <w:szCs w:val="21"/>
          <w:highlight w:val="none"/>
        </w:rPr>
      </w:pPr>
      <w:r>
        <w:rPr>
          <w:rFonts w:ascii="宋体" w:hAnsi="宋体" w:cs="宋体"/>
          <w:szCs w:val="21"/>
          <w:highlight w:val="none"/>
        </w:rPr>
      </w:r>
      <w:r>
        <w:rPr>
          <w:highlight w:val="none"/>
        </w:rPr>
      </w:r>
    </w:p>
    <w:p>
      <w:pPr>
        <w:spacing w:line="276" w:lineRule="auto"/>
        <w:rPr>
          <w:rFonts w:ascii="宋体" w:hAnsi="宋体" w:cs="宋体"/>
          <w:szCs w:val="21"/>
          <w:highlight w:val="none"/>
        </w:rPr>
      </w:pPr>
      <w:r>
        <w:rPr>
          <w:rFonts w:ascii="宋体" w:hAnsi="宋体" w:cs="宋体"/>
          <w:szCs w:val="21"/>
          <w:highlight w:val="none"/>
        </w:rPr>
      </w:r>
      <w:r>
        <w:rPr>
          <w:highlight w:val="none"/>
        </w:rPr>
      </w:r>
    </w:p>
    <w:p>
      <w:pPr>
        <w:jc w:val="left"/>
        <w:spacing w:line="276" w:lineRule="auto"/>
        <w:widowControl/>
        <w:rPr>
          <w:rFonts w:ascii="宋体" w:hAnsi="宋体" w:cs="宋体"/>
          <w:szCs w:val="21"/>
          <w:highlight w:val="none"/>
        </w:rPr>
      </w:pPr>
      <w:r>
        <w:rPr>
          <w:rFonts w:hint="eastAsia" w:ascii="宋体" w:hAnsi="宋体" w:cs="宋体"/>
          <w:szCs w:val="21"/>
          <w:highlight w:val="none"/>
        </w:rPr>
        <w:br w:type="page" w:clear="all"/>
      </w:r>
      <w:r>
        <w:rPr>
          <w:highlight w:val="none"/>
        </w:rPr>
      </w:r>
    </w:p>
    <w:p>
      <w:pPr>
        <w:jc w:val="center"/>
        <w:spacing w:line="276" w:lineRule="auto"/>
        <w:rPr>
          <w:rFonts w:ascii="宋体" w:hAnsi="宋体"/>
          <w:b/>
          <w:bCs/>
          <w:color w:val="000000"/>
          <w:sz w:val="32"/>
          <w:szCs w:val="32"/>
          <w:highlight w:val="none"/>
        </w:rPr>
        <w:outlineLvl w:val="1"/>
      </w:pPr>
      <w:r>
        <w:rPr>
          <w:highlight w:val="none"/>
        </w:rPr>
      </w:r>
      <w:bookmarkStart w:id="186" w:name="_Toc238220185"/>
      <w:r>
        <w:rPr>
          <w:rFonts w:hint="eastAsia" w:ascii="宋体" w:hAnsi="宋体"/>
          <w:b/>
          <w:bCs/>
          <w:color w:val="000000"/>
          <w:sz w:val="32"/>
          <w:szCs w:val="32"/>
          <w:highlight w:val="none"/>
        </w:rPr>
        <w:t xml:space="preserve">投标文件目录</w:t>
      </w:r>
      <w:bookmarkEnd w:id="186"/>
      <w:r>
        <w:rPr>
          <w:highlight w:val="none"/>
        </w:rPr>
      </w:r>
      <w:r>
        <w:rPr>
          <w:highlight w:val="none"/>
        </w:rPr>
      </w:r>
    </w:p>
    <w:p>
      <w:pPr>
        <w:ind w:firstLine="321"/>
        <w:jc w:val="center"/>
        <w:spacing w:line="276" w:lineRule="auto"/>
        <w:rPr>
          <w:rFonts w:ascii="宋体" w:hAnsi="宋体"/>
          <w:b/>
          <w:bCs/>
          <w:color w:val="000000"/>
          <w:sz w:val="32"/>
          <w:szCs w:val="32"/>
          <w:highlight w:val="none"/>
        </w:rPr>
      </w:pPr>
      <w:r>
        <w:rPr>
          <w:rFonts w:ascii="宋体" w:hAnsi="宋体"/>
          <w:b/>
          <w:bCs/>
          <w:color w:val="000000"/>
          <w:sz w:val="32"/>
          <w:szCs w:val="32"/>
          <w:highlight w:val="none"/>
        </w:rPr>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一、法人或者其他组织的营业执照等证明文件，自然人的身份证明</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二、上一年度的财务状况报告（投标人成立不满一年无需提供）</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四、具备履行合同所必需的设备和专业技术能力的书面声明</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五、参加政府采购活动前 3 年内在经营活动中没有重大违法记录的书面声明</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六、特定资格要求的证明文件（如果本项目设置特定资格要求，则需要提供）</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七、法人授权书</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八、投标函</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九、小微企业声明函</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十、残疾人福利性单位声明函</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十一、维保服务要求响应及偏离表</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十二、商务要求响应及偏离表</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十三、开标一览表</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十四、服务方案</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十五、《南京市政府采购供应商信用承诺书》</w:t>
      </w:r>
      <w:r>
        <w:rPr>
          <w:highlight w:val="none"/>
        </w:rPr>
      </w:r>
    </w:p>
    <w:p>
      <w:pPr>
        <w:ind w:firstLine="24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十六、投标人认为需要提供的其它资料</w:t>
      </w:r>
      <w:r>
        <w:rPr>
          <w:highlight w:val="none"/>
        </w:rPr>
      </w:r>
    </w:p>
    <w:p>
      <w:pPr>
        <w:ind w:firstLine="240"/>
        <w:spacing w:line="276" w:lineRule="auto"/>
        <w:rPr>
          <w:rFonts w:ascii="宋体" w:hAnsi="宋体"/>
          <w:i/>
          <w:color w:val="000000"/>
          <w:sz w:val="24"/>
          <w:szCs w:val="21"/>
          <w:highlight w:val="none"/>
        </w:rPr>
      </w:pPr>
      <w:r>
        <w:rPr>
          <w:rFonts w:ascii="宋体" w:hAnsi="宋体"/>
          <w:i/>
          <w:color w:val="000000"/>
          <w:sz w:val="24"/>
          <w:szCs w:val="21"/>
          <w:highlight w:val="none"/>
        </w:rPr>
      </w:r>
      <w:r>
        <w:rPr>
          <w:highlight w:val="none"/>
        </w:rPr>
      </w:r>
    </w:p>
    <w:p>
      <w:pPr>
        <w:jc w:val="center"/>
        <w:spacing w:line="276" w:lineRule="auto"/>
        <w:rPr>
          <w:rFonts w:ascii="宋体" w:hAnsi="宋体" w:cs="宋体"/>
          <w:b/>
          <w:sz w:val="44"/>
          <w:szCs w:val="44"/>
          <w:highlight w:val="none"/>
        </w:rPr>
      </w:pPr>
      <w:r>
        <w:rPr>
          <w:rFonts w:ascii="宋体" w:hAnsi="宋体" w:cs="宋体"/>
          <w:b/>
          <w:sz w:val="44"/>
          <w:szCs w:val="44"/>
          <w:highlight w:val="none"/>
        </w:rPr>
      </w:r>
      <w:r>
        <w:rPr>
          <w:highlight w:val="none"/>
        </w:rPr>
      </w:r>
    </w:p>
    <w:p>
      <w:pPr>
        <w:jc w:val="center"/>
        <w:spacing w:line="276" w:lineRule="auto"/>
        <w:rPr>
          <w:rFonts w:ascii="宋体" w:hAnsi="宋体" w:cs="宋体"/>
          <w:bCs/>
          <w:szCs w:val="21"/>
          <w:highlight w:val="none"/>
        </w:rPr>
      </w:pPr>
      <w:r>
        <w:rPr>
          <w:rFonts w:hint="eastAsia" w:ascii="宋体" w:hAnsi="宋体" w:cs="宋体"/>
          <w:b/>
          <w:sz w:val="44"/>
          <w:szCs w:val="44"/>
          <w:highlight w:val="none"/>
        </w:rPr>
        <w:br w:type="page" w:clear="all"/>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87" w:name="_Toc238220186"/>
      <w:r>
        <w:rPr>
          <w:rFonts w:hint="eastAsia" w:ascii="宋体" w:hAnsi="宋体" w:cs="宋体"/>
          <w:i/>
          <w:color w:val="000000"/>
          <w:sz w:val="32"/>
          <w:szCs w:val="32"/>
          <w:highlight w:val="none"/>
          <w:u w:val="single"/>
        </w:rPr>
        <w:t xml:space="preserve">一、法人或者其他组织的营业执照等证明文件，自然人的身份证明</w:t>
      </w:r>
      <w:bookmarkEnd w:id="187"/>
      <w:r>
        <w:rPr>
          <w:highlight w:val="none"/>
        </w:rPr>
      </w:r>
      <w:r>
        <w:rPr>
          <w:highlight w:val="none"/>
        </w:rPr>
      </w:r>
    </w:p>
    <w:p>
      <w:pPr>
        <w:spacing w:line="276" w:lineRule="auto"/>
        <w:rPr>
          <w:rFonts w:ascii="宋体" w:hAnsi="宋体" w:cs="宋体"/>
          <w:color w:val="000000"/>
          <w:sz w:val="24"/>
          <w:szCs w:val="21"/>
          <w:highlight w:val="none"/>
        </w:rPr>
      </w:pPr>
      <w:r>
        <w:rPr>
          <w:rFonts w:ascii="宋体" w:hAnsi="宋体" w:cs="宋体"/>
          <w:color w:val="000000"/>
          <w:sz w:val="24"/>
          <w:szCs w:val="21"/>
          <w:highlight w:val="none"/>
        </w:rPr>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88" w:name="_Toc238220187"/>
      <w:r>
        <w:rPr>
          <w:rFonts w:hint="eastAsia" w:ascii="宋体" w:hAnsi="宋体" w:cs="宋体"/>
          <w:i/>
          <w:color w:val="000000"/>
          <w:sz w:val="32"/>
          <w:szCs w:val="32"/>
          <w:highlight w:val="none"/>
          <w:u w:val="single"/>
        </w:rPr>
        <w:t xml:space="preserve">二、上一年度的财务状况报告</w:t>
      </w:r>
      <w:bookmarkEnd w:id="188"/>
      <w:r>
        <w:rPr>
          <w:highlight w:val="none"/>
        </w:rPr>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提供2</w:t>
      </w:r>
      <w:r>
        <w:rPr>
          <w:rFonts w:ascii="宋体" w:hAnsi="宋体" w:cs="宋体"/>
          <w:bCs/>
          <w:color w:val="000000"/>
          <w:sz w:val="24"/>
          <w:szCs w:val="21"/>
          <w:highlight w:val="none"/>
        </w:rPr>
        <w:t xml:space="preserve">025</w:t>
      </w:r>
      <w:r>
        <w:rPr>
          <w:rFonts w:hint="eastAsia" w:ascii="宋体" w:hAnsi="宋体" w:cs="宋体"/>
          <w:bCs/>
          <w:color w:val="000000"/>
          <w:sz w:val="24"/>
          <w:szCs w:val="21"/>
          <w:highlight w:val="none"/>
        </w:rPr>
        <w:t xml:space="preserve">年度财务报告，或投标截止时间前六个月内任一月份企业编制的会计报表（至少包括资产负债表和利润表），或投标截止时间前六个月内银行出具的资信证明，复印件加盖公章；（投标人成立不满一年无需提供）；</w:t>
      </w:r>
      <w:r>
        <w:rPr>
          <w:highlight w:val="none"/>
        </w:rP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89" w:name="_Toc238220188"/>
      <w:r>
        <w:rPr>
          <w:rFonts w:hint="eastAsia" w:ascii="宋体" w:hAnsi="宋体" w:cs="宋体"/>
          <w:i/>
          <w:color w:val="000000"/>
          <w:sz w:val="32"/>
          <w:szCs w:val="32"/>
          <w:highlight w:val="none"/>
          <w:u w:val="single"/>
        </w:rPr>
        <w:t xml:space="preserve">三、依法缴纳税收和社会保障资金的相关材料</w:t>
      </w:r>
      <w:bookmarkEnd w:id="189"/>
      <w:r>
        <w:rPr>
          <w:highlight w:val="none"/>
        </w:rPr>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90" w:name="_Toc238220189"/>
      <w:r>
        <w:rPr>
          <w:rFonts w:hint="eastAsia" w:ascii="宋体" w:hAnsi="宋体" w:cs="宋体"/>
          <w:i/>
          <w:color w:val="000000"/>
          <w:sz w:val="32"/>
          <w:szCs w:val="32"/>
          <w:highlight w:val="none"/>
          <w:u w:val="single"/>
        </w:rPr>
        <w:t xml:space="preserve">四、具备履行合同所必需的设备和专业技术能力的书面声明</w:t>
      </w:r>
      <w:bookmarkEnd w:id="190"/>
      <w:r>
        <w:rPr>
          <w:highlight w:val="none"/>
        </w:rPr>
      </w:r>
      <w:r>
        <w:rPr>
          <w:highlight w:val="none"/>
        </w:rPr>
      </w:r>
    </w:p>
    <w:p>
      <w:pPr>
        <w:jc w:val="center"/>
        <w:spacing w:line="276" w:lineRule="auto"/>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声明</w:t>
      </w:r>
      <w:r>
        <w:rPr>
          <w:highlight w:val="none"/>
        </w:rPr>
      </w:r>
    </w:p>
    <w:p>
      <w:pPr>
        <w:ind w:firstLine="480"/>
        <w:spacing w:line="276" w:lineRule="auto"/>
        <w:rPr>
          <w:rFonts w:ascii="宋体" w:hAnsi="宋体" w:cs="宋体"/>
          <w:bCs/>
          <w:color w:val="000000"/>
          <w:sz w:val="24"/>
          <w:highlight w:val="none"/>
        </w:rPr>
      </w:pPr>
      <w:r>
        <w:rPr>
          <w:rFonts w:hint="eastAsia" w:ascii="宋体" w:hAnsi="宋体" w:cs="宋体"/>
          <w:bCs/>
          <w:color w:val="000000"/>
          <w:sz w:val="24"/>
          <w:highlight w:val="none"/>
        </w:rPr>
        <w:t xml:space="preserve">致：南京市浦口区中医院</w:t>
      </w:r>
      <w:r>
        <w:rPr>
          <w:highlight w:val="none"/>
        </w:rPr>
      </w:r>
    </w:p>
    <w:p>
      <w:pPr>
        <w:ind w:firstLine="480"/>
        <w:spacing w:line="276" w:lineRule="auto"/>
        <w:rPr>
          <w:rFonts w:ascii="宋体" w:hAnsi="宋体" w:cs="宋体"/>
          <w:bCs/>
          <w:color w:val="000000"/>
          <w:sz w:val="24"/>
          <w:highlight w:val="none"/>
        </w:rPr>
      </w:pPr>
      <w:r>
        <w:rPr>
          <w:rFonts w:hint="eastAsia" w:ascii="宋体" w:hAnsi="宋体" w:cs="宋体"/>
          <w:bCs/>
          <w:color w:val="000000"/>
          <w:sz w:val="24"/>
          <w:highlight w:val="none"/>
        </w:rPr>
        <w:t xml:space="preserve">我公司郑重声明：具有履行编号为</w:t>
      </w:r>
      <w:r>
        <w:rPr>
          <w:rFonts w:ascii="宋体" w:hAnsi="宋体" w:cs="宋体"/>
          <w:bCs/>
          <w:color w:val="00b0f0"/>
          <w:sz w:val="24"/>
          <w:highlight w:val="none"/>
          <w:u w:val="single"/>
        </w:rPr>
        <w:t xml:space="preserve">JSZC-320111-SHGK-G2026-0074</w:t>
      </w:r>
      <w:r>
        <w:rPr>
          <w:rFonts w:hint="eastAsia" w:ascii="宋体" w:hAnsi="宋体" w:cs="宋体"/>
          <w:bCs/>
          <w:color w:val="000000"/>
          <w:sz w:val="24"/>
          <w:highlight w:val="none"/>
        </w:rPr>
        <w:t xml:space="preserve">招标项下</w:t>
      </w:r>
      <w:r>
        <w:rPr>
          <w:rFonts w:hint="eastAsia" w:ascii="宋体" w:hAnsi="宋体" w:cs="宋体"/>
          <w:bCs/>
          <w:color w:val="000000"/>
          <w:sz w:val="24"/>
          <w:highlight w:val="none"/>
          <w:u w:val="single"/>
        </w:rPr>
        <w:t xml:space="preserve">飞利浦CT保修服务采购项目</w:t>
      </w:r>
      <w:r>
        <w:rPr>
          <w:rFonts w:hint="eastAsia" w:ascii="宋体" w:hAnsi="宋体" w:cs="宋体"/>
          <w:bCs/>
          <w:color w:val="000000"/>
          <w:sz w:val="24"/>
          <w:highlight w:val="none"/>
        </w:rPr>
        <w:t xml:space="preserve">合同的设备和专业技术能力。</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rPr>
          <w:highlight w:val="none"/>
        </w:rPr>
      </w:r>
    </w:p>
    <w:p>
      <w:pPr>
        <w:ind w:firstLine="480"/>
        <w:spacing w:line="276" w:lineRule="auto"/>
        <w:rPr>
          <w:rFonts w:ascii="宋体" w:hAnsi="宋体" w:cs="宋体"/>
          <w:bCs/>
          <w:color w:val="000000"/>
          <w:sz w:val="24"/>
          <w:szCs w:val="21"/>
          <w:highlight w:val="none"/>
        </w:rPr>
      </w:pPr>
      <w:r>
        <w:rPr>
          <w:rFonts w:ascii="宋体" w:hAnsi="宋体" w:cs="宋体"/>
          <w:bCs/>
          <w:color w:val="000000"/>
          <w:sz w:val="24"/>
          <w:szCs w:val="21"/>
          <w:highlight w:val="none"/>
        </w:rPr>
      </w:r>
      <w:r>
        <w:rPr>
          <w:highlight w:val="none"/>
        </w:rPr>
      </w:r>
    </w:p>
    <w:p>
      <w:pPr>
        <w:ind w:firstLine="480"/>
        <w:spacing w:line="276" w:lineRule="auto"/>
        <w:rPr>
          <w:rFonts w:ascii="宋体" w:hAnsi="宋体" w:cs="宋体"/>
          <w:bCs/>
          <w:color w:val="000000"/>
          <w:sz w:val="24"/>
          <w:szCs w:val="21"/>
          <w:highlight w:val="none"/>
          <w:u w:val="single"/>
        </w:rPr>
      </w:pPr>
      <w:r>
        <w:rPr>
          <w:rFonts w:hint="eastAsia" w:ascii="宋体" w:hAnsi="宋体" w:cs="宋体"/>
          <w:bCs/>
          <w:color w:val="000000"/>
          <w:sz w:val="24"/>
          <w:szCs w:val="21"/>
          <w:highlight w:val="none"/>
        </w:rPr>
        <w:t xml:space="preserve">投标人名称：</w:t>
      </w:r>
      <w:r>
        <w:rPr>
          <w:rFonts w:hint="eastAsia" w:ascii="宋体" w:hAnsi="宋体" w:cs="宋体"/>
          <w:bCs/>
          <w:color w:val="000000"/>
          <w:sz w:val="24"/>
          <w:szCs w:val="21"/>
          <w:highlight w:val="none"/>
          <w:u w:val="single"/>
        </w:rPr>
        <w:t xml:space="preserve">（加盖CA电子公章）</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法定代表人（或授权委托人）签字：</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投标日期：202</w:t>
      </w:r>
      <w:r>
        <w:rPr>
          <w:rFonts w:ascii="宋体" w:hAnsi="宋体" w:cs="宋体"/>
          <w:bCs/>
          <w:color w:val="000000"/>
          <w:sz w:val="24"/>
          <w:szCs w:val="21"/>
          <w:highlight w:val="none"/>
        </w:rPr>
        <w:t xml:space="preserve">6</w:t>
      </w:r>
      <w:r>
        <w:rPr>
          <w:rFonts w:hint="eastAsia" w:ascii="宋体" w:hAnsi="宋体" w:cs="宋体"/>
          <w:bCs/>
          <w:color w:val="000000"/>
          <w:sz w:val="24"/>
          <w:szCs w:val="21"/>
          <w:highlight w:val="none"/>
        </w:rPr>
        <w:t xml:space="preserve">年XX月XX日</w:t>
      </w:r>
      <w:r>
        <w:rPr>
          <w:highlight w:val="none"/>
        </w:rPr>
      </w:r>
    </w:p>
    <w:p>
      <w:pPr>
        <w:spacing w:line="276" w:lineRule="auto"/>
        <w:rPr>
          <w:rFonts w:ascii="宋体" w:hAnsi="宋体" w:cs="宋体"/>
          <w:color w:val="000000"/>
          <w:sz w:val="32"/>
          <w:szCs w:val="32"/>
          <w:highlight w:val="none"/>
        </w:rPr>
      </w:pPr>
      <w:r>
        <w:rPr>
          <w:rFonts w:ascii="宋体" w:hAnsi="宋体" w:cs="宋体"/>
          <w:color w:val="000000"/>
          <w:sz w:val="32"/>
          <w:szCs w:val="32"/>
          <w:highlight w:val="none"/>
        </w:rPr>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91" w:name="_Toc238220190"/>
      <w:r>
        <w:rPr>
          <w:rFonts w:hint="eastAsia" w:ascii="宋体" w:hAnsi="宋体" w:cs="宋体"/>
          <w:i/>
          <w:color w:val="000000"/>
          <w:sz w:val="32"/>
          <w:szCs w:val="32"/>
          <w:highlight w:val="none"/>
          <w:u w:val="single"/>
        </w:rPr>
        <w:t xml:space="preserve">五、参加政府采购活动前 3 年内在经营活动中没有重大违法记录的书面声明</w:t>
      </w:r>
      <w:bookmarkEnd w:id="191"/>
      <w:r>
        <w:rPr>
          <w:highlight w:val="none"/>
        </w:rPr>
      </w:r>
      <w:r>
        <w:rPr>
          <w:highlight w:val="none"/>
        </w:rPr>
      </w:r>
    </w:p>
    <w:p>
      <w:pPr>
        <w:jc w:val="center"/>
        <w:spacing w:line="276" w:lineRule="auto"/>
        <w:rPr>
          <w:rFonts w:ascii="宋体" w:hAnsi="宋体" w:cs="宋体"/>
          <w:bCs/>
          <w:color w:val="000000"/>
          <w:sz w:val="24"/>
          <w:highlight w:val="none"/>
        </w:rPr>
      </w:pPr>
      <w:r>
        <w:rPr>
          <w:rFonts w:hint="eastAsia" w:ascii="宋体" w:hAnsi="宋体" w:cs="宋体"/>
          <w:bCs/>
          <w:color w:val="000000"/>
          <w:sz w:val="32"/>
          <w:szCs w:val="32"/>
          <w:highlight w:val="none"/>
        </w:rPr>
        <w:t xml:space="preserve">声明</w:t>
      </w:r>
      <w:r>
        <w:rPr>
          <w:highlight w:val="none"/>
        </w:rPr>
      </w:r>
    </w:p>
    <w:p>
      <w:pPr>
        <w:ind w:firstLine="480"/>
        <w:jc w:val="left"/>
        <w:spacing w:line="276" w:lineRule="auto"/>
        <w:rPr>
          <w:rFonts w:ascii="宋体" w:hAnsi="宋体" w:cs="宋体"/>
          <w:b/>
          <w:bCs/>
          <w:color w:val="000000"/>
          <w:sz w:val="44"/>
          <w:szCs w:val="44"/>
          <w:highlight w:val="none"/>
        </w:rPr>
      </w:pPr>
      <w:r>
        <w:rPr>
          <w:rFonts w:hint="eastAsia" w:ascii="宋体" w:hAnsi="宋体" w:cs="宋体"/>
          <w:bCs/>
          <w:color w:val="000000"/>
          <w:sz w:val="24"/>
          <w:highlight w:val="none"/>
        </w:rPr>
        <w:t xml:space="preserve">致：南京市浦口区中医院</w:t>
      </w:r>
      <w:r>
        <w:rPr>
          <w:highlight w:val="none"/>
        </w:rPr>
      </w:r>
    </w:p>
    <w:p>
      <w:pPr>
        <w:spacing w:line="276" w:lineRule="auto"/>
        <w:rPr>
          <w:rFonts w:ascii="宋体" w:hAnsi="宋体" w:cs="宋体"/>
          <w:bCs/>
          <w:color w:val="000000"/>
          <w:sz w:val="24"/>
          <w:szCs w:val="21"/>
          <w:highlight w:val="none"/>
        </w:rPr>
      </w:pPr>
      <w:r>
        <w:rPr>
          <w:rFonts w:hint="eastAsia" w:ascii="宋体" w:hAnsi="宋体" w:cs="宋体"/>
          <w:b/>
          <w:bCs/>
          <w:color w:val="000000"/>
          <w:sz w:val="24"/>
          <w:szCs w:val="21"/>
          <w:highlight w:val="none"/>
        </w:rPr>
        <w:t xml:space="preserve">    </w:t>
      </w:r>
      <w:r>
        <w:rPr>
          <w:rFonts w:hint="eastAsia" w:ascii="宋体" w:hAnsi="宋体" w:cs="宋体"/>
          <w:bCs/>
          <w:color w:val="000000"/>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rPr>
          <w:highlight w:val="none"/>
        </w:rPr>
      </w:r>
    </w:p>
    <w:p>
      <w:pPr>
        <w:ind w:firstLine="480"/>
        <w:spacing w:line="276" w:lineRule="auto"/>
        <w:rPr>
          <w:rFonts w:ascii="宋体" w:hAnsi="宋体" w:cs="宋体"/>
          <w:bCs/>
          <w:color w:val="000000"/>
          <w:sz w:val="24"/>
          <w:szCs w:val="21"/>
          <w:highlight w:val="none"/>
        </w:rPr>
      </w:pPr>
      <w:r>
        <w:rPr>
          <w:rFonts w:ascii="宋体" w:hAnsi="宋体" w:cs="宋体"/>
          <w:bCs/>
          <w:color w:val="000000"/>
          <w:sz w:val="24"/>
          <w:szCs w:val="21"/>
          <w:highlight w:val="none"/>
        </w:rPr>
      </w:r>
      <w:r>
        <w:rPr>
          <w:highlight w:val="none"/>
        </w:rPr>
      </w:r>
    </w:p>
    <w:p>
      <w:pPr>
        <w:ind w:firstLine="480"/>
        <w:spacing w:line="276" w:lineRule="auto"/>
        <w:rPr>
          <w:rFonts w:ascii="宋体" w:hAnsi="宋体" w:cs="宋体"/>
          <w:bCs/>
          <w:color w:val="000000"/>
          <w:sz w:val="24"/>
          <w:szCs w:val="21"/>
          <w:highlight w:val="none"/>
          <w:u w:val="single"/>
        </w:rPr>
      </w:pPr>
      <w:r>
        <w:rPr>
          <w:rFonts w:hint="eastAsia" w:ascii="宋体" w:hAnsi="宋体" w:cs="宋体"/>
          <w:bCs/>
          <w:color w:val="000000"/>
          <w:sz w:val="24"/>
          <w:szCs w:val="21"/>
          <w:highlight w:val="none"/>
        </w:rPr>
        <w:t xml:space="preserve">投标人名称：</w:t>
      </w:r>
      <w:r>
        <w:rPr>
          <w:rFonts w:hint="eastAsia" w:ascii="宋体" w:hAnsi="宋体" w:cs="宋体"/>
          <w:bCs/>
          <w:color w:val="000000"/>
          <w:sz w:val="24"/>
          <w:szCs w:val="21"/>
          <w:highlight w:val="none"/>
          <w:u w:val="single"/>
        </w:rPr>
        <w:t xml:space="preserve">（加盖CA电子公章）</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法定代表人（或授权委托人）签字：</w:t>
      </w:r>
      <w:r>
        <w:rPr>
          <w:highlight w:val="none"/>
        </w:rPr>
      </w:r>
    </w:p>
    <w:p>
      <w:pPr>
        <w:ind w:firstLine="480"/>
        <w:spacing w:line="276"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投标日期：202</w:t>
      </w:r>
      <w:r>
        <w:rPr>
          <w:rFonts w:ascii="宋体" w:hAnsi="宋体" w:cs="宋体"/>
          <w:bCs/>
          <w:color w:val="000000"/>
          <w:sz w:val="24"/>
          <w:szCs w:val="21"/>
          <w:highlight w:val="none"/>
        </w:rPr>
        <w:t xml:space="preserve">6</w:t>
      </w:r>
      <w:r>
        <w:rPr>
          <w:rFonts w:hint="eastAsia" w:ascii="宋体" w:hAnsi="宋体" w:cs="宋体"/>
          <w:bCs/>
          <w:color w:val="000000"/>
          <w:sz w:val="24"/>
          <w:szCs w:val="21"/>
          <w:highlight w:val="none"/>
        </w:rPr>
        <w:t xml:space="preserve">年XX月XX日</w:t>
      </w:r>
      <w:r>
        <w:rPr>
          <w:highlight w:val="none"/>
        </w:rPr>
      </w:r>
    </w:p>
    <w:p>
      <w:pPr>
        <w:spacing w:line="276" w:lineRule="auto"/>
        <w:rPr>
          <w:rFonts w:ascii="宋体" w:hAnsi="宋体" w:cs="宋体"/>
          <w:i/>
          <w:color w:val="000000"/>
          <w:sz w:val="32"/>
          <w:szCs w:val="32"/>
          <w:highlight w:val="none"/>
          <w:u w:val="single"/>
        </w:rPr>
      </w:pPr>
      <w:r>
        <w:rPr>
          <w:rFonts w:ascii="宋体" w:hAnsi="宋体" w:cs="宋体"/>
          <w:i/>
          <w:color w:val="000000"/>
          <w:sz w:val="32"/>
          <w:szCs w:val="32"/>
          <w:highlight w:val="none"/>
          <w:u w:val="single"/>
        </w:rPr>
      </w:r>
      <w:r>
        <w:rPr>
          <w:highlight w:val="none"/>
        </w:rPr>
      </w:r>
    </w:p>
    <w:p>
      <w:pPr>
        <w:spacing w:line="276" w:lineRule="auto"/>
        <w:rPr>
          <w:rFonts w:ascii="宋体" w:hAnsi="宋体" w:cs="宋体"/>
          <w:i/>
          <w:color w:val="000000"/>
          <w:sz w:val="32"/>
          <w:szCs w:val="32"/>
          <w:highlight w:val="none"/>
          <w:u w:val="single"/>
        </w:rPr>
        <w:outlineLvl w:val="1"/>
      </w:pPr>
      <w:r>
        <w:rPr>
          <w:highlight w:val="none"/>
        </w:rPr>
      </w:r>
      <w:bookmarkStart w:id="192" w:name="_Toc238220191"/>
      <w:r>
        <w:rPr>
          <w:rFonts w:hint="eastAsia" w:ascii="宋体" w:hAnsi="宋体" w:cs="宋体"/>
          <w:i/>
          <w:color w:val="000000"/>
          <w:sz w:val="32"/>
          <w:szCs w:val="32"/>
          <w:highlight w:val="none"/>
          <w:u w:val="single"/>
        </w:rPr>
        <w:t xml:space="preserve">六、特定资格要求的证明文件</w:t>
      </w:r>
      <w:bookmarkEnd w:id="192"/>
      <w:r>
        <w:rPr>
          <w:highlight w:val="none"/>
        </w:rPr>
      </w:r>
      <w:r>
        <w:rPr>
          <w:highlight w:val="none"/>
        </w:rPr>
      </w:r>
    </w:p>
    <w:p>
      <w:pPr>
        <w:spacing w:line="276" w:lineRule="auto"/>
        <w:rPr>
          <w:rFonts w:ascii="宋体" w:hAnsi="宋体" w:cs="宋体"/>
          <w:color w:val="0000ff"/>
          <w:sz w:val="24"/>
          <w:highlight w:val="none"/>
        </w:rPr>
      </w:pPr>
      <w:r>
        <w:rPr>
          <w:rFonts w:hint="eastAsia" w:ascii="宋体" w:hAnsi="宋体" w:cs="宋体"/>
          <w:color w:val="0000ff"/>
          <w:sz w:val="24"/>
          <w:highlight w:val="none"/>
        </w:rPr>
        <w:t xml:space="preserve">（</w:t>
      </w:r>
      <w:r>
        <w:rPr>
          <w:rFonts w:ascii="宋体" w:hAnsi="宋体" w:cs="宋体"/>
          <w:color w:val="0000ff"/>
          <w:sz w:val="24"/>
          <w:highlight w:val="none"/>
        </w:rPr>
        <w:t xml:space="preserve">1</w:t>
      </w:r>
      <w:r>
        <w:rPr>
          <w:rFonts w:hint="eastAsia" w:ascii="宋体" w:hAnsi="宋体" w:cs="宋体"/>
          <w:color w:val="0000ff"/>
          <w:sz w:val="24"/>
          <w:highlight w:val="none"/>
        </w:rPr>
        <w:t xml:space="preserve">）提供《医疗器械经营许可证》或者《医疗器械经营备案凭证》（复印件）；</w:t>
      </w:r>
      <w:r>
        <w:rPr>
          <w:highlight w:val="none"/>
        </w:rPr>
      </w:r>
    </w:p>
    <w:p>
      <w:pPr>
        <w:spacing w:line="276" w:lineRule="auto"/>
        <w:rPr>
          <w:rFonts w:ascii="宋体" w:hAnsi="宋体" w:cs="宋体"/>
          <w:color w:val="0000ff"/>
          <w:sz w:val="24"/>
          <w:highlight w:val="none"/>
        </w:rPr>
      </w:pPr>
      <w:r>
        <w:rPr>
          <w:rFonts w:hint="eastAsia" w:ascii="宋体" w:hAnsi="宋体" w:cs="宋体"/>
          <w:color w:val="0000ff"/>
          <w:sz w:val="24"/>
          <w:highlight w:val="none"/>
        </w:rPr>
        <w:t xml:space="preserve">（</w:t>
      </w:r>
      <w:r>
        <w:rPr>
          <w:rFonts w:ascii="宋体" w:hAnsi="宋体" w:cs="宋体"/>
          <w:color w:val="0000ff"/>
          <w:sz w:val="24"/>
          <w:highlight w:val="none"/>
        </w:rPr>
        <w:t xml:space="preserve">2</w:t>
      </w:r>
      <w:r>
        <w:rPr>
          <w:rFonts w:hint="eastAsia" w:ascii="宋体" w:hAnsi="宋体" w:cs="宋体"/>
          <w:color w:val="0000ff"/>
          <w:sz w:val="24"/>
          <w:highlight w:val="none"/>
        </w:rPr>
        <w:t xml:space="preserve">）提供投标人代表在投标文件接收截止时间前半年内任一月份投标人为其缴纳社会保障资金的凭据（复印件加盖公章）；</w:t>
      </w:r>
      <w:r>
        <w:rPr>
          <w:highlight w:val="none"/>
        </w:rPr>
      </w:r>
    </w:p>
    <w:p>
      <w:pPr>
        <w:rPr>
          <w:highlight w:val="none"/>
        </w:rPr>
      </w:pPr>
      <w:r>
        <w:rPr>
          <w:highlight w:val="none"/>
        </w:rPr>
        <w:br w:type="page" w:clear="all"/>
      </w:r>
      <w:r>
        <w:rPr>
          <w:highlight w:val="none"/>
        </w:rPr>
      </w:r>
    </w:p>
    <w:p>
      <w:pPr>
        <w:jc w:val="center"/>
        <w:spacing w:line="276" w:lineRule="auto"/>
        <w:rPr>
          <w:rFonts w:ascii="宋体" w:hAnsi="宋体" w:cs="宋体"/>
          <w:i/>
          <w:color w:val="000000"/>
          <w:sz w:val="32"/>
          <w:szCs w:val="32"/>
          <w:highlight w:val="none"/>
          <w:u w:val="single"/>
        </w:rPr>
        <w:outlineLvl w:val="1"/>
      </w:pPr>
      <w:r>
        <w:rPr>
          <w:highlight w:val="none"/>
        </w:rPr>
      </w:r>
      <w:bookmarkStart w:id="193" w:name="_Toc238220192"/>
      <w:r>
        <w:rPr>
          <w:rFonts w:hint="eastAsia" w:ascii="宋体" w:hAnsi="宋体" w:cs="宋体"/>
          <w:i/>
          <w:color w:val="000000"/>
          <w:sz w:val="32"/>
          <w:szCs w:val="32"/>
          <w:highlight w:val="none"/>
          <w:u w:val="single"/>
        </w:rPr>
        <w:t xml:space="preserve">七、法人授权书</w:t>
      </w:r>
      <w:bookmarkEnd w:id="193"/>
      <w:r>
        <w:rPr>
          <w:highlight w:val="none"/>
        </w:rPr>
      </w:r>
      <w:r>
        <w:rPr>
          <w:highlight w:val="none"/>
        </w:rPr>
      </w:r>
    </w:p>
    <w:p>
      <w:pPr>
        <w:ind w:firstLine="480"/>
        <w:spacing w:line="276"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本授权书声明：____________（投标人名称）授权________________（被授权人的姓名）为我方就JSZC-</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号项目采购活动的合法代理人，以本单位名义全权处理一切与该项目采购有关的事务。</w:t>
      </w:r>
      <w:r>
        <w:rPr>
          <w:highlight w:val="none"/>
        </w:rPr>
      </w:r>
    </w:p>
    <w:p>
      <w:pPr>
        <w:ind w:firstLine="480"/>
        <w:spacing w:line="276"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本授权书于______年____月____日起生效，特此声明。</w:t>
      </w:r>
      <w:r>
        <w:rPr>
          <w:highlight w:val="none"/>
        </w:rPr>
      </w:r>
    </w:p>
    <w:p>
      <w:pPr>
        <w:spacing w:line="276"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被授权人身份证号码：</w:t>
      </w:r>
      <w:r>
        <w:rPr>
          <w:rFonts w:hint="eastAsia" w:ascii="宋体" w:hAnsi="宋体" w:cs="宋体"/>
          <w:color w:val="000000"/>
          <w:sz w:val="24"/>
          <w:highlight w:val="none"/>
          <w:u w:val="single"/>
        </w:rPr>
        <w:t xml:space="preserve">                              </w:t>
      </w:r>
      <w:r>
        <w:rPr>
          <w:highlight w:val="none"/>
        </w:rPr>
      </w:r>
    </w:p>
    <w:p>
      <w:pPr>
        <w:spacing w:line="276"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被授权人联系电话：（手机）</w:t>
      </w:r>
      <w:r>
        <w:rPr>
          <w:rFonts w:hint="eastAsia" w:ascii="宋体" w:hAnsi="宋体" w:cs="宋体"/>
          <w:color w:val="000000"/>
          <w:sz w:val="24"/>
          <w:highlight w:val="none"/>
          <w:u w:val="single"/>
        </w:rPr>
        <w:t xml:space="preserve">                          </w:t>
      </w:r>
      <w:r>
        <w:rPr>
          <w:highlight w:val="none"/>
        </w:rPr>
      </w:r>
    </w:p>
    <w:p>
      <w:pPr>
        <w:ind w:firstLine="1200"/>
        <w:spacing w:line="276"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（加盖CA电子公章）</w:t>
      </w:r>
      <w:r>
        <w:rPr>
          <w:highlight w:val="none"/>
        </w:rPr>
      </w:r>
    </w:p>
    <w:p>
      <w:pPr>
        <w:ind w:firstLine="480"/>
        <w:spacing w:line="276" w:lineRule="auto"/>
        <w:tabs>
          <w:tab w:val="left" w:pos="36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      单位地址：</w:t>
      </w:r>
      <w:r>
        <w:rPr>
          <w:rFonts w:hint="eastAsia" w:ascii="宋体" w:hAnsi="宋体" w:cs="宋体"/>
          <w:color w:val="000000"/>
          <w:sz w:val="24"/>
          <w:highlight w:val="none"/>
          <w:u w:val="single"/>
        </w:rPr>
        <w:t xml:space="preserve">                                         </w:t>
      </w:r>
      <w:r>
        <w:rPr>
          <w:highlight w:val="none"/>
        </w:rPr>
      </w:r>
    </w:p>
    <w:p>
      <w:pPr>
        <w:ind w:firstLine="480"/>
        <w:spacing w:line="276" w:lineRule="auto"/>
        <w:tabs>
          <w:tab w:val="left" w:pos="360" w:leader="none"/>
        </w:tabs>
        <w:rPr>
          <w:rFonts w:ascii="宋体" w:hAnsi="宋体" w:cs="宋体"/>
          <w:color w:val="000000"/>
          <w:sz w:val="24"/>
          <w:highlight w:val="none"/>
        </w:rPr>
      </w:pPr>
      <w:r>
        <w:rPr>
          <w:rFonts w:hint="eastAsia" w:ascii="宋体" w:hAnsi="宋体" w:cs="宋体"/>
          <w:color w:val="000000"/>
          <w:sz w:val="24"/>
          <w:highlight w:val="none"/>
        </w:rPr>
        <w:t xml:space="preserve">      日期：</w:t>
      </w:r>
      <w:bookmarkStart w:id="194" w:name="_Hlt26671380"/>
      <w:r>
        <w:rPr>
          <w:highlight w:val="none"/>
        </w:rPr>
      </w:r>
      <w:bookmarkEnd w:id="194"/>
      <w:r>
        <w:rPr>
          <w:highlight w:val="none"/>
        </w:rPr>
      </w:r>
      <w:bookmarkStart w:id="195" w:name="_格式3__银行出具的资信证明"/>
      <w:r>
        <w:rPr>
          <w:highlight w:val="none"/>
        </w:rPr>
      </w:r>
      <w:bookmarkEnd w:id="195"/>
      <w:r>
        <w:rPr>
          <w:highlight w:val="none"/>
        </w:rPr>
      </w:r>
      <w:bookmarkStart w:id="196" w:name="_Hlt26955070"/>
      <w:r>
        <w:rPr>
          <w:highlight w:val="none"/>
        </w:rPr>
      </w:r>
      <w:bookmarkEnd w:id="196"/>
      <w:r>
        <w:rPr>
          <w:rFonts w:hint="eastAsia" w:ascii="宋体" w:hAnsi="宋体" w:cs="宋体"/>
          <w:color w:val="000000"/>
          <w:sz w:val="24"/>
          <w:highlight w:val="none"/>
          <w:u w:val="single"/>
        </w:rPr>
        <w:t xml:space="preserve">                                         </w:t>
      </w:r>
      <w:r>
        <w:rPr>
          <w:highlight w:val="none"/>
        </w:rPr>
      </w:r>
    </w:p>
    <w:p>
      <w:pPr>
        <w:ind w:firstLine="420"/>
        <w:spacing w:before="161"/>
        <w:rPr>
          <w:highlight w:val="none"/>
        </w:rPr>
      </w:pPr>
      <w:r>
        <w:rPr>
          <w:rFonts w:ascii="宋体" w:hAnsi="宋体" w:cs="宋体"/>
          <w:highlight w:val="none"/>
        </w:rPr>
        <w:t xml:space="preserve">说明：</w:t>
      </w:r>
      <w:r>
        <w:rPr>
          <w:highlight w:val="none"/>
        </w:rPr>
      </w:r>
    </w:p>
    <w:p>
      <w:pPr>
        <w:ind w:firstLine="420"/>
        <w:spacing w:before="161"/>
        <w:rPr>
          <w:highlight w:val="none"/>
        </w:rPr>
      </w:pPr>
      <w:r>
        <w:rPr>
          <w:rFonts w:ascii="宋体" w:hAnsi="宋体" w:cs="宋体"/>
          <w:highlight w:val="none"/>
        </w:rPr>
        <w:t xml:space="preserve">（1）本授权委托书之后需附上法定代表人、授权</w:t>
      </w:r>
      <w:r>
        <w:rPr>
          <w:rFonts w:hint="eastAsia" w:ascii="宋体" w:hAnsi="宋体" w:cs="宋体"/>
          <w:highlight w:val="none"/>
        </w:rPr>
        <w:t xml:space="preserve">代表</w:t>
      </w:r>
      <w:r>
        <w:rPr>
          <w:rFonts w:ascii="宋体" w:hAnsi="宋体" w:cs="宋体"/>
          <w:highlight w:val="none"/>
        </w:rPr>
        <w:t xml:space="preserve">身份证复印件（正反面）；</w:t>
      </w:r>
      <w:r>
        <w:rPr>
          <w:highlight w:val="none"/>
        </w:rPr>
      </w:r>
    </w:p>
    <w:p>
      <w:pPr>
        <w:ind w:firstLine="420"/>
        <w:spacing w:before="161"/>
        <w:rPr>
          <w:highlight w:val="none"/>
        </w:rPr>
      </w:pPr>
      <w:r>
        <w:rPr>
          <w:rFonts w:ascii="宋体" w:hAnsi="宋体" w:cs="宋体"/>
          <w:highlight w:val="none"/>
        </w:rPr>
        <w:t xml:space="preserve">（2）如果是法定代表人直接参与的可以不提供授权委托书；但必须在营业执照之后附上法定代表人身份证复印；</w:t>
      </w:r>
      <w:r>
        <w:rPr>
          <w:highlight w:val="none"/>
        </w:rPr>
      </w:r>
    </w:p>
    <w:p>
      <w:pPr>
        <w:ind w:firstLine="420"/>
        <w:spacing w:before="161"/>
        <w:rPr>
          <w:highlight w:val="none"/>
        </w:rPr>
      </w:pPr>
      <w:r>
        <w:rPr>
          <w:rFonts w:ascii="宋体" w:hAnsi="宋体" w:cs="宋体"/>
          <w:highlight w:val="none"/>
        </w:rPr>
        <w:t xml:space="preserve">（3）</w:t>
      </w:r>
      <w:r>
        <w:rPr>
          <w:rFonts w:ascii="宋体" w:hAnsi="宋体" w:cs="宋体"/>
          <w:b/>
          <w:highlight w:val="none"/>
          <w:u w:val="single"/>
        </w:rPr>
        <w:t xml:space="preserve">未按上述规定随附身份证复印件的，响应无效。</w:t>
      </w:r>
      <w:r>
        <w:rPr>
          <w:highlight w:val="none"/>
        </w:rPr>
      </w:r>
    </w:p>
    <w:p>
      <w:pPr>
        <w:ind w:firstLine="420"/>
        <w:spacing w:line="276" w:lineRule="auto"/>
        <w:rPr>
          <w:i/>
          <w:color w:val="000000"/>
          <w:sz w:val="24"/>
          <w:highlight w:val="none"/>
          <w:u w:val="single"/>
        </w:rPr>
      </w:pPr>
      <w:r>
        <w:rPr>
          <w:i/>
          <w:color w:val="000000"/>
          <w:sz w:val="24"/>
          <w:highlight w:val="none"/>
          <w:u w:val="single"/>
        </w:rPr>
      </w:r>
      <w:r>
        <w:rPr>
          <w:highlight w:val="none"/>
        </w:rPr>
      </w:r>
    </w:p>
    <w:p>
      <w:pPr>
        <w:ind w:firstLine="3390"/>
        <w:keepLines/>
        <w:keepNext/>
        <w:spacing w:before="260" w:after="260" w:line="276" w:lineRule="auto"/>
        <w:rPr>
          <w:rFonts w:ascii="黑体" w:hAnsi="黑体" w:eastAsia="黑体"/>
          <w:b/>
          <w:i/>
          <w:color w:val="000000"/>
          <w:sz w:val="32"/>
          <w:szCs w:val="32"/>
          <w:highlight w:val="none"/>
          <w:u w:val="single"/>
        </w:rPr>
        <w:outlineLvl w:val="1"/>
      </w:pPr>
      <w:r>
        <w:rPr>
          <w:rFonts w:hint="eastAsia"/>
          <w:color w:val="000000"/>
          <w:szCs w:val="21"/>
          <w:highlight w:val="none"/>
        </w:rPr>
        <w:br w:type="page" w:clear="all"/>
      </w:r>
      <w:bookmarkStart w:id="197" w:name="_Toc238220193"/>
      <w:r>
        <w:rPr>
          <w:rFonts w:hint="eastAsia" w:ascii="宋体" w:hAnsi="宋体" w:cs="宋体"/>
          <w:i/>
          <w:color w:val="000000"/>
          <w:sz w:val="32"/>
          <w:szCs w:val="32"/>
          <w:highlight w:val="none"/>
          <w:u w:val="single"/>
        </w:rPr>
        <w:t xml:space="preserve">八、投标函</w:t>
      </w:r>
      <w:bookmarkEnd w:id="197"/>
      <w:r>
        <w:rPr>
          <w:highlight w:val="none"/>
        </w:rPr>
      </w:r>
      <w:r>
        <w:rPr>
          <w:highlight w:val="none"/>
        </w:rPr>
      </w:r>
    </w:p>
    <w:p>
      <w:pPr>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致：江苏苏豪创新科技集团高科有限公司</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根据贵方的JSZC-320111-SHGK-G2026-0074号招标文件，正式授权下述签字人_________________(姓名)代表我方______________（投标人的名称），全权处理本次项目投标的有关事宜。</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4.我们同意从规定的开标日期起遵循本投标文件，并在投标有效期</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天之前均具有约束力。</w:t>
      </w:r>
      <w:r>
        <w:rPr>
          <w:highlight w:val="none"/>
        </w:rPr>
      </w:r>
    </w:p>
    <w:p>
      <w:pPr>
        <w:ind w:firstLine="480"/>
        <w:spacing w:line="276" w:lineRule="auto"/>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p>
    <w:p>
      <w:pPr>
        <w:ind w:firstLine="480"/>
        <w:spacing w:line="276" w:lineRule="auto"/>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p>
    <w:p>
      <w:pPr>
        <w:ind w:left="425"/>
        <w:spacing w:line="276" w:lineRule="auto"/>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地        址：</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邮        编：</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电        话：</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传        真：</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账        号： </w:t>
      </w:r>
      <w:r>
        <w:rPr>
          <w:highlight w:val="none"/>
        </w:rPr>
      </w:r>
    </w:p>
    <w:p>
      <w:pPr>
        <w:ind w:left="420" w:firstLine="480"/>
        <w:jc w:val="left"/>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highlight w:val="none"/>
        </w:rPr>
      </w:r>
    </w:p>
    <w:p>
      <w:pPr>
        <w:numPr>
          <w:ilvl w:val="0"/>
          <w:numId w:val="6"/>
        </w:numPr>
        <w:ind w:firstLine="321"/>
        <w:jc w:val="center"/>
        <w:spacing w:line="276" w:lineRule="auto"/>
        <w:rPr>
          <w:rFonts w:ascii="宋体" w:hAnsi="宋体" w:cs="宋体"/>
          <w:iCs/>
          <w:color w:val="000000"/>
          <w:sz w:val="32"/>
          <w:szCs w:val="32"/>
          <w:highlight w:val="none"/>
        </w:rPr>
        <w:outlineLvl w:val="1"/>
      </w:pPr>
      <w:r>
        <w:rPr>
          <w:rFonts w:hint="eastAsia"/>
          <w:color w:val="000000"/>
          <w:szCs w:val="21"/>
          <w:highlight w:val="none"/>
        </w:rPr>
        <w:br w:type="page" w:clear="all"/>
      </w:r>
      <w:bookmarkStart w:id="198" w:name="_Toc238220194"/>
      <w:r>
        <w:rPr>
          <w:rFonts w:hint="eastAsia" w:ascii="宋体" w:hAnsi="宋体" w:cs="宋体"/>
          <w:iCs/>
          <w:color w:val="000000"/>
          <w:sz w:val="32"/>
          <w:szCs w:val="32"/>
          <w:highlight w:val="none"/>
        </w:rPr>
        <w:t xml:space="preserve">小微企业声明函（服务）（如适用）</w:t>
      </w:r>
      <w:bookmarkEnd w:id="198"/>
      <w:r>
        <w:rPr>
          <w:highlight w:val="none"/>
        </w:rPr>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r>
      <w:r>
        <w:rPr>
          <w:highlight w:val="none"/>
        </w:rPr>
      </w:r>
    </w:p>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中小企业声明函</w:t>
      </w:r>
      <w:r>
        <w:rPr>
          <w:highlight w:val="none"/>
        </w:rPr>
      </w:r>
    </w:p>
    <w:p>
      <w:pPr>
        <w:pStyle w:val="940"/>
        <w:rPr>
          <w:highlight w:val="none"/>
        </w:rPr>
      </w:pPr>
      <w:r>
        <w:rPr>
          <w:highlight w:val="none"/>
        </w:rPr>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号）的规定，本公司（联合体）参加</w:t>
      </w:r>
      <w:r>
        <w:rPr>
          <w:rFonts w:hint="eastAsia" w:ascii="宋体" w:hAnsi="宋体" w:cs="宋体"/>
          <w:i/>
          <w:iCs/>
          <w:szCs w:val="21"/>
          <w:highlight w:val="none"/>
        </w:rPr>
        <w:t xml:space="preserve">（单位名称）</w:t>
      </w:r>
      <w:r>
        <w:rPr>
          <w:rFonts w:hint="eastAsia" w:ascii="宋体" w:hAnsi="宋体" w:cs="宋体"/>
          <w:szCs w:val="21"/>
          <w:highlight w:val="none"/>
        </w:rPr>
        <w:t xml:space="preserve">的</w:t>
      </w:r>
      <w:r>
        <w:rPr>
          <w:rFonts w:hint="eastAsia" w:ascii="宋体" w:hAnsi="宋体" w:cs="宋体"/>
          <w:i/>
          <w:iCs/>
          <w:szCs w:val="21"/>
          <w:highlight w:val="none"/>
        </w:rPr>
        <w:t xml:space="preserve">（项目名称）</w:t>
      </w:r>
      <w:r>
        <w:rPr>
          <w:rFonts w:hint="eastAsia" w:ascii="宋体" w:hAnsi="宋体" w:cs="宋体"/>
          <w:szCs w:val="21"/>
          <w:highlight w:val="none"/>
        </w:rPr>
        <w:t xml:space="preserve">采购活动，服务全部由符合政策要求的中小企业承接。相关企业（含联合体中的中小企业、签订分包意向协议的中小企业）的具体情况如下：</w:t>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 </w:t>
      </w:r>
      <w:r>
        <w:rPr>
          <w:rFonts w:hint="eastAsia" w:ascii="宋体" w:hAnsi="宋体" w:cs="宋体"/>
          <w:i/>
          <w:iCs/>
          <w:szCs w:val="21"/>
          <w:highlight w:val="none"/>
        </w:rPr>
        <w:t xml:space="preserve">（标的名称） </w:t>
      </w:r>
      <w:r>
        <w:rPr>
          <w:rFonts w:hint="eastAsia" w:ascii="宋体" w:hAnsi="宋体" w:cs="宋体"/>
          <w:szCs w:val="21"/>
          <w:highlight w:val="none"/>
        </w:rPr>
        <w:t xml:space="preserve">，属于</w:t>
      </w:r>
      <w:r>
        <w:rPr>
          <w:rFonts w:hint="eastAsia" w:ascii="宋体" w:hAnsi="宋体" w:cs="宋体"/>
          <w:i/>
          <w:iCs/>
          <w:szCs w:val="21"/>
          <w:highlight w:val="non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i/>
          <w:iCs/>
          <w:szCs w:val="21"/>
          <w:highlight w:val="non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i/>
          <w:iCs/>
          <w:szCs w:val="21"/>
          <w:highlight w:val="none"/>
        </w:rPr>
        <w:t xml:space="preserve">（中型企业、小型企业、微型企业）</w:t>
      </w:r>
      <w:r>
        <w:rPr>
          <w:rFonts w:hint="eastAsia" w:ascii="宋体" w:hAnsi="宋体" w:cs="宋体"/>
          <w:szCs w:val="21"/>
          <w:highlight w:val="none"/>
        </w:rPr>
        <w:t xml:space="preserve">； </w:t>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 </w:t>
      </w:r>
      <w:r>
        <w:rPr>
          <w:rFonts w:hint="eastAsia" w:ascii="宋体" w:hAnsi="宋体" w:cs="宋体"/>
          <w:i/>
          <w:iCs/>
          <w:szCs w:val="21"/>
          <w:highlight w:val="none"/>
        </w:rPr>
        <w:t xml:space="preserve">（标的名称） </w:t>
      </w:r>
      <w:r>
        <w:rPr>
          <w:rFonts w:hint="eastAsia" w:ascii="宋体" w:hAnsi="宋体" w:cs="宋体"/>
          <w:szCs w:val="21"/>
          <w:highlight w:val="none"/>
        </w:rPr>
        <w:t xml:space="preserve">，属于</w:t>
      </w:r>
      <w:r>
        <w:rPr>
          <w:rFonts w:hint="eastAsia" w:ascii="宋体" w:hAnsi="宋体" w:cs="宋体"/>
          <w:i/>
          <w:iCs/>
          <w:szCs w:val="21"/>
          <w:highlight w:val="none"/>
        </w:rPr>
        <w:t xml:space="preserve">（采购文件中明确的所属行业）</w:t>
      </w:r>
      <w:r>
        <w:rPr>
          <w:rFonts w:hint="eastAsia" w:ascii="宋体" w:hAnsi="宋体" w:cs="宋体"/>
          <w:szCs w:val="21"/>
          <w:highlight w:val="none"/>
        </w:rPr>
        <w:t xml:space="preserve">；承建（承接）企业为</w:t>
      </w:r>
      <w:r>
        <w:rPr>
          <w:rFonts w:hint="eastAsia" w:ascii="宋体" w:hAnsi="宋体" w:cs="宋体"/>
          <w:i/>
          <w:iCs/>
          <w:szCs w:val="21"/>
          <w:highlight w:val="non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i/>
          <w:szCs w:val="21"/>
          <w:highlight w:val="none"/>
        </w:rPr>
        <w:t xml:space="preserve"> </w:t>
      </w:r>
      <w:r>
        <w:rPr>
          <w:rFonts w:ascii="宋体" w:hAnsi="宋体" w:cs="宋体"/>
          <w:i/>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i/>
          <w:iCs/>
          <w:szCs w:val="21"/>
          <w:highlight w:val="none"/>
        </w:rPr>
        <w:t xml:space="preserve">（中型企业、小型企业、微型企业）</w:t>
      </w:r>
      <w:r>
        <w:rPr>
          <w:rFonts w:hint="eastAsia" w:ascii="宋体" w:hAnsi="宋体" w:cs="宋体"/>
          <w:szCs w:val="21"/>
          <w:highlight w:val="none"/>
        </w:rPr>
        <w:t xml:space="preserve">； </w:t>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w:t>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highlight w:val="none"/>
        </w:rP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 </w:t>
      </w:r>
      <w:r>
        <w:rPr>
          <w:highlight w:val="none"/>
        </w:rP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rPr>
          <w:highlight w:val="none"/>
        </w:rPr>
      </w:r>
    </w:p>
    <w:p>
      <w:pPr>
        <w:ind w:firstLine="420"/>
        <w:jc w:val="right"/>
        <w:spacing w:line="360" w:lineRule="auto"/>
        <w:widowControl/>
        <w:rPr>
          <w:rFonts w:ascii="宋体" w:hAnsi="宋体" w:cs="宋体"/>
          <w:szCs w:val="21"/>
          <w:highlight w:val="none"/>
        </w:rPr>
      </w:pPr>
      <w:r>
        <w:rPr>
          <w:rFonts w:hint="eastAsia" w:ascii="宋体" w:hAnsi="宋体" w:cs="宋体"/>
          <w:szCs w:val="21"/>
          <w:highlight w:val="none"/>
        </w:rPr>
        <w:t xml:space="preserve">企业名称（盖章）： </w:t>
      </w:r>
      <w:r>
        <w:rPr>
          <w:highlight w:val="none"/>
        </w:rPr>
      </w:r>
    </w:p>
    <w:p>
      <w:pPr>
        <w:ind w:firstLine="420"/>
        <w:jc w:val="right"/>
        <w:spacing w:line="360" w:lineRule="auto"/>
        <w:rPr>
          <w:rFonts w:ascii="宋体" w:hAnsi="宋体" w:cs="宋体"/>
          <w:szCs w:val="21"/>
          <w:highlight w:val="none"/>
        </w:rPr>
      </w:pPr>
      <w:r>
        <w:rPr>
          <w:rFonts w:hint="eastAsia" w:ascii="宋体" w:hAnsi="宋体" w:cs="宋体"/>
          <w:szCs w:val="21"/>
          <w:highlight w:val="none"/>
        </w:rPr>
        <w:t xml:space="preserve">日 期：</w:t>
      </w:r>
      <w:r>
        <w:rPr>
          <w:highlight w:val="none"/>
        </w:rPr>
      </w:r>
    </w:p>
    <w:p>
      <w:pPr>
        <w:jc w:val="left"/>
        <w:spacing w:line="360" w:lineRule="auto"/>
        <w:widowControl/>
        <w:rPr>
          <w:rFonts w:ascii="宋体" w:hAnsi="宋体" w:cs="宋体"/>
          <w:sz w:val="18"/>
          <w:szCs w:val="18"/>
          <w:highlight w:val="none"/>
        </w:rPr>
      </w:pPr>
      <w:r>
        <w:rPr>
          <w:rFonts w:ascii="宋体" w:hAnsi="宋体" w:cs="宋体"/>
          <w:sz w:val="18"/>
          <w:szCs w:val="18"/>
          <w:highlight w:val="none"/>
        </w:rPr>
      </w:r>
      <w:r>
        <w:rPr>
          <w:highlight w:val="none"/>
        </w:rPr>
      </w:r>
    </w:p>
    <w:p>
      <w:pPr>
        <w:jc w:val="left"/>
        <w:spacing w:line="360" w:lineRule="auto"/>
        <w:widowControl/>
        <w:rPr>
          <w:rFonts w:ascii="宋体" w:hAnsi="宋体"/>
          <w:color w:val="000000"/>
          <w:sz w:val="24"/>
          <w:highlight w:val="none"/>
        </w:rPr>
      </w:pPr>
      <w:r>
        <w:rPr>
          <w:rFonts w:hint="eastAsia" w:ascii="宋体" w:hAnsi="宋体" w:cs="宋体"/>
          <w:sz w:val="18"/>
          <w:szCs w:val="18"/>
          <w:highlight w:val="none"/>
        </w:rPr>
        <w:t xml:space="preserve">备注1：从业人员、营业收入、资产总额填报上一年度数据，无上一年度数据的新成立企业可不填报。</w:t>
      </w:r>
      <w:r>
        <w:rPr>
          <w:highlight w:val="none"/>
        </w:rPr>
      </w:r>
    </w:p>
    <w:p>
      <w:pPr>
        <w:jc w:val="left"/>
        <w:spacing w:line="360" w:lineRule="auto"/>
        <w:widowControl/>
        <w:rPr>
          <w:rFonts w:ascii="宋体" w:hAnsi="宋体" w:cs="宋体"/>
          <w:sz w:val="18"/>
          <w:szCs w:val="18"/>
          <w:highlight w:val="none"/>
        </w:rPr>
      </w:pPr>
      <w:r>
        <w:rPr>
          <w:rFonts w:hint="eastAsia" w:ascii="宋体" w:hAnsi="宋体" w:cs="宋体"/>
          <w:sz w:val="18"/>
          <w:szCs w:val="18"/>
          <w:highlight w:val="none"/>
        </w:rPr>
        <w:t xml:space="preserve">备注2：供应商如不提供此声明函，价格将不做相应扣除。</w:t>
      </w:r>
      <w:r>
        <w:rPr>
          <w:highlight w:val="none"/>
        </w:rPr>
      </w:r>
    </w:p>
    <w:p>
      <w:pPr>
        <w:numPr>
          <w:ilvl w:val="0"/>
          <w:numId w:val="6"/>
        </w:numPr>
        <w:ind w:firstLine="321"/>
        <w:jc w:val="center"/>
        <w:spacing w:line="276" w:lineRule="auto"/>
        <w:rPr>
          <w:rFonts w:ascii="宋体" w:hAnsi="宋体" w:cs="宋体"/>
          <w:iCs/>
          <w:color w:val="000000"/>
          <w:sz w:val="32"/>
          <w:szCs w:val="32"/>
          <w:highlight w:val="none"/>
        </w:rPr>
        <w:outlineLvl w:val="1"/>
      </w:pPr>
      <w:r>
        <w:rPr>
          <w:rFonts w:ascii="黑体" w:hAnsi="黑体" w:eastAsia="黑体"/>
          <w:b/>
          <w:color w:val="000000"/>
          <w:sz w:val="32"/>
          <w:szCs w:val="32"/>
          <w:highlight w:val="none"/>
        </w:rPr>
        <w:br w:type="page" w:clear="all"/>
      </w:r>
      <w:bookmarkStart w:id="199" w:name="_Toc238220195"/>
      <w:r>
        <w:rPr>
          <w:rFonts w:hint="eastAsia" w:ascii="宋体" w:hAnsi="宋体" w:cs="宋体"/>
          <w:iCs/>
          <w:color w:val="000000"/>
          <w:sz w:val="32"/>
          <w:szCs w:val="32"/>
          <w:highlight w:val="none"/>
        </w:rPr>
        <w:t xml:space="preserve">残疾人福利性单位声明函（如适用）</w:t>
      </w:r>
      <w:bookmarkEnd w:id="199"/>
      <w:r>
        <w:rPr>
          <w:highlight w:val="none"/>
        </w:rPr>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highlight w:val="none"/>
        </w:rPr>
      </w:r>
    </w:p>
    <w:p>
      <w:pPr>
        <w:ind w:firstLine="480"/>
        <w:spacing w:line="276" w:lineRule="auto"/>
        <w:rPr>
          <w:rFonts w:ascii="宋体" w:hAnsi="宋体"/>
          <w:color w:val="000000"/>
          <w:sz w:val="24"/>
          <w:szCs w:val="21"/>
          <w:highlight w:val="none"/>
        </w:rPr>
      </w:pPr>
      <w:r>
        <w:rPr>
          <w:rFonts w:ascii="宋体" w:hAnsi="宋体"/>
          <w:color w:val="000000"/>
          <w:sz w:val="24"/>
          <w:szCs w:val="21"/>
          <w:highlight w:val="none"/>
        </w:rPr>
      </w:r>
      <w:r>
        <w:rPr>
          <w:highlight w:val="none"/>
        </w:rPr>
      </w:r>
    </w:p>
    <w:p>
      <w:pPr>
        <w:ind w:firstLine="480"/>
        <w:spacing w:line="276" w:lineRule="auto"/>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rPr>
          <w:highlight w:val="none"/>
        </w:rP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p>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                                  企业名称（加盖CA电子公章）：</w:t>
      </w:r>
      <w:r>
        <w:rPr>
          <w:highlight w:val="none"/>
        </w:rPr>
      </w:r>
    </w:p>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                                                       日  期：</w:t>
      </w:r>
      <w:r>
        <w:rPr>
          <w:highlight w:val="none"/>
        </w:rPr>
      </w:r>
    </w:p>
    <w:p>
      <w:pPr>
        <w:spacing w:line="276" w:lineRule="auto"/>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highlight w:val="none"/>
        </w:rPr>
      </w:r>
    </w:p>
    <w:p>
      <w:pPr>
        <w:numPr>
          <w:ilvl w:val="0"/>
          <w:numId w:val="6"/>
        </w:numPr>
        <w:ind w:firstLine="321"/>
        <w:jc w:val="center"/>
        <w:spacing w:line="276" w:lineRule="auto"/>
        <w:rPr>
          <w:rFonts w:ascii="宋体" w:hAnsi="宋体" w:cs="宋体"/>
          <w:iCs/>
          <w:color w:val="000000"/>
          <w:sz w:val="32"/>
          <w:szCs w:val="32"/>
          <w:highlight w:val="none"/>
        </w:rPr>
        <w:outlineLvl w:val="1"/>
      </w:pPr>
      <w:r>
        <w:rPr>
          <w:highlight w:val="none"/>
        </w:rPr>
      </w:r>
      <w:bookmarkStart w:id="200" w:name="_Toc238220196"/>
      <w:r>
        <w:rPr>
          <w:rFonts w:hint="eastAsia" w:ascii="宋体" w:hAnsi="宋体" w:cs="宋体"/>
          <w:iCs/>
          <w:color w:val="000000"/>
          <w:sz w:val="32"/>
          <w:szCs w:val="32"/>
          <w:highlight w:val="none"/>
        </w:rPr>
        <w:t xml:space="preserve">服务要求响应及偏离表</w:t>
      </w:r>
      <w:bookmarkEnd w:id="200"/>
      <w:r>
        <w:rPr>
          <w:highlight w:val="none"/>
        </w:rPr>
      </w:r>
      <w:r>
        <w:rPr>
          <w:highlight w:val="none"/>
        </w:rPr>
      </w:r>
    </w:p>
    <w:p>
      <w:pPr>
        <w:jc w:val="center"/>
        <w:rPr>
          <w:highlight w:val="none"/>
        </w:rPr>
      </w:pPr>
      <w:r>
        <w:rPr>
          <w:rFonts w:hint="eastAsia"/>
          <w:highlight w:val="none"/>
        </w:rPr>
        <w:t xml:space="preserve">（根据招标文件《第四章：采购需求》中</w:t>
      </w:r>
      <w:r>
        <w:rPr>
          <w:rFonts w:hint="eastAsia"/>
          <w:highlight w:val="none"/>
          <w:u w:val="single"/>
        </w:rPr>
        <w:t xml:space="preserve">二、维保服务要求</w:t>
      </w:r>
      <w:r>
        <w:rPr>
          <w:rFonts w:hint="eastAsia"/>
          <w:highlight w:val="none"/>
        </w:rPr>
        <w:t xml:space="preserve">的内容填写，必须点对点应答）</w:t>
      </w:r>
      <w:r>
        <w:rPr>
          <w:highlight w:val="none"/>
        </w:rPr>
      </w:r>
    </w:p>
    <w:tbl>
      <w:tblPr>
        <w:tblStyle w:val="9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1986"/>
        <w:gridCol w:w="1381"/>
      </w:tblGrid>
      <w:tr>
        <w:trPr>
          <w:cantSplit/>
          <w:trHeight w:val="850"/>
        </w:trPr>
        <w:tc>
          <w:tcPr>
            <w:tcW w:w="81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序号</w:t>
            </w:r>
            <w:r>
              <w:rPr>
                <w:highlight w:val="none"/>
              </w:rPr>
            </w:r>
          </w:p>
        </w:tc>
        <w:tc>
          <w:tcPr>
            <w:tcW w:w="255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招标文件要求</w:t>
            </w:r>
            <w:r>
              <w:rPr>
                <w:highlight w:val="none"/>
              </w:rPr>
            </w:r>
          </w:p>
        </w:tc>
        <w:tc>
          <w:tcPr>
            <w:tcW w:w="2292"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投标响应情况</w:t>
            </w:r>
            <w:r>
              <w:rPr>
                <w:highlight w:val="none"/>
              </w:rPr>
            </w:r>
          </w:p>
        </w:tc>
        <w:tc>
          <w:tcPr>
            <w:tcW w:w="198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超出、符合或偏离</w:t>
            </w:r>
            <w:r>
              <w:rPr>
                <w:highlight w:val="none"/>
              </w:rPr>
            </w:r>
          </w:p>
        </w:tc>
        <w:tc>
          <w:tcPr>
            <w:tcW w:w="1381"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证明材料</w:t>
            </w:r>
            <w:r>
              <w:rPr>
                <w:highlight w:val="none"/>
              </w:rPr>
            </w:r>
          </w:p>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对应位置</w:t>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r>
        <w:trPr>
          <w:cantSplit/>
          <w:trHeight w:val="850"/>
        </w:trPr>
        <w:tc>
          <w:tcPr>
            <w:tcW w:w="81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255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t xml:space="preserve">……</w:t>
            </w:r>
            <w:r>
              <w:rPr>
                <w:highlight w:val="none"/>
              </w:rPr>
            </w:r>
          </w:p>
        </w:tc>
        <w:tc>
          <w:tcPr>
            <w:tcW w:w="2292"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986"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c>
          <w:tcPr>
            <w:tcW w:w="1381" w:type="dxa"/>
            <w:textDirection w:val="lrTb"/>
            <w:noWrap w:val="false"/>
          </w:tcPr>
          <w:p>
            <w:pPr>
              <w:jc w:val="center"/>
              <w:spacing w:line="276" w:lineRule="auto"/>
              <w:rPr>
                <w:rFonts w:ascii="宋体" w:hAnsi="宋体"/>
                <w:color w:val="000000"/>
                <w:sz w:val="24"/>
                <w:highlight w:val="none"/>
              </w:rPr>
            </w:pPr>
            <w:r>
              <w:rPr>
                <w:rFonts w:ascii="宋体" w:hAnsi="宋体"/>
                <w:color w:val="000000"/>
                <w:sz w:val="24"/>
                <w:highlight w:val="none"/>
              </w:rPr>
            </w:r>
            <w:r>
              <w:rPr>
                <w:highlight w:val="none"/>
              </w:rPr>
            </w:r>
          </w:p>
        </w:tc>
      </w:tr>
    </w:tbl>
    <w:p>
      <w:pPr>
        <w:spacing w:line="276" w:lineRule="auto"/>
        <w:rPr>
          <w:rFonts w:ascii="宋体" w:hAnsi="宋体"/>
          <w:color w:val="000000"/>
          <w:szCs w:val="21"/>
          <w:highlight w:val="none"/>
        </w:rPr>
      </w:pPr>
      <w:r>
        <w:rPr>
          <w:rFonts w:hint="eastAsia" w:ascii="宋体" w:hAnsi="宋体"/>
          <w:color w:val="000000"/>
          <w:szCs w:val="21"/>
          <w:highlight w:val="none"/>
        </w:rPr>
        <w:t xml:space="preserve">注： </w:t>
      </w:r>
      <w:r>
        <w:rPr>
          <w:highlight w:val="none"/>
        </w:rPr>
      </w:r>
    </w:p>
    <w:p>
      <w:pP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1.行数不够，可自行添加；</w:t>
      </w:r>
      <w:r>
        <w:rPr>
          <w:highlight w:val="none"/>
        </w:rPr>
      </w:r>
    </w:p>
    <w:p>
      <w:pPr>
        <w:spacing w:line="276"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color w:val="000000"/>
          <w:szCs w:val="21"/>
          <w:highlight w:val="none"/>
          <w:u w:val="single"/>
        </w:rPr>
        <w:t xml:space="preserve">参数中若提及要提供承诺书或证明材料的，及重要参数（加注“▲”条款）需提供证明材料的，投标文件中应明确对应位置并附于本表后</w:t>
      </w:r>
      <w:r>
        <w:rPr>
          <w:rFonts w:hint="eastAsia" w:ascii="宋体" w:hAnsi="宋体" w:cs="宋体"/>
          <w:color w:val="000000"/>
          <w:szCs w:val="21"/>
          <w:highlight w:val="none"/>
        </w:rPr>
        <w:t xml:space="preserve">。无相关资料证实的，评委会有权做负偏离处理；</w:t>
      </w:r>
      <w:r>
        <w:rPr>
          <w:highlight w:val="none"/>
        </w:rPr>
      </w:r>
    </w:p>
    <w:p>
      <w:pPr>
        <w:spacing w:line="276" w:lineRule="auto"/>
        <w:rPr>
          <w:rFonts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.投标人需确保提供佐证材料的真实性，如被认定提供实质性虚假材料，将会导致无效投标处理；</w:t>
      </w:r>
      <w:r>
        <w:rPr>
          <w:highlight w:val="none"/>
        </w:rPr>
      </w:r>
    </w:p>
    <w:p>
      <w:pPr>
        <w:spacing w:line="276" w:lineRule="auto"/>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证明材料附后。</w:t>
      </w:r>
      <w:r>
        <w:rPr>
          <w:highlight w:val="none"/>
        </w:rPr>
      </w:r>
    </w:p>
    <w:p>
      <w:pPr>
        <w:spacing w:line="276" w:lineRule="auto"/>
        <w:rPr>
          <w:rFonts w:ascii="宋体" w:hAnsi="宋体" w:cs="宋体"/>
          <w:color w:val="000000"/>
          <w:sz w:val="24"/>
          <w:highlight w:val="none"/>
        </w:rPr>
      </w:pPr>
      <w:r>
        <w:rPr>
          <w:rFonts w:ascii="宋体" w:hAnsi="宋体" w:cs="宋体"/>
          <w:color w:val="000000"/>
          <w:sz w:val="24"/>
          <w:highlight w:val="none"/>
        </w:rPr>
      </w:r>
      <w:r>
        <w:rPr>
          <w:highlight w:val="none"/>
        </w:rP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p>
    <w:p>
      <w:pPr>
        <w:spacing w:line="276" w:lineRule="auto"/>
        <w:rPr>
          <w:rFonts w:ascii="宋体" w:hAnsi="宋体" w:cs="宋体"/>
          <w:iCs/>
          <w:color w:val="000000"/>
          <w:sz w:val="32"/>
          <w:szCs w:val="32"/>
          <w:highlight w:val="none"/>
        </w:rPr>
      </w:pPr>
      <w:r>
        <w:rPr>
          <w:highlight w:val="none"/>
        </w:rPr>
      </w:r>
      <w:bookmarkStart w:id="201" w:name="_Hlt26955054"/>
      <w:r>
        <w:rPr>
          <w:highlight w:val="none"/>
        </w:rPr>
      </w:r>
      <w:bookmarkEnd w:id="201"/>
      <w:r>
        <w:rPr>
          <w:rFonts w:hint="eastAsia" w:ascii="宋体" w:hAnsi="宋体" w:cs="宋体"/>
          <w:iCs/>
          <w:color w:val="000000"/>
          <w:sz w:val="32"/>
          <w:szCs w:val="32"/>
          <w:highlight w:val="none"/>
        </w:rPr>
        <w:br w:type="page" w:clear="all"/>
      </w:r>
      <w:r>
        <w:rPr>
          <w:highlight w:val="none"/>
        </w:rPr>
      </w:r>
    </w:p>
    <w:p>
      <w:pPr>
        <w:numPr>
          <w:ilvl w:val="0"/>
          <w:numId w:val="6"/>
        </w:numPr>
        <w:ind w:firstLine="321"/>
        <w:jc w:val="center"/>
        <w:spacing w:line="276" w:lineRule="auto"/>
        <w:rPr>
          <w:rFonts w:ascii="宋体" w:hAnsi="宋体" w:cs="宋体"/>
          <w:iCs/>
          <w:color w:val="000000"/>
          <w:sz w:val="32"/>
          <w:szCs w:val="32"/>
          <w:highlight w:val="none"/>
        </w:rPr>
        <w:outlineLvl w:val="1"/>
      </w:pPr>
      <w:r>
        <w:rPr>
          <w:highlight w:val="none"/>
        </w:rPr>
      </w:r>
      <w:bookmarkStart w:id="202" w:name="_Toc238220197"/>
      <w:r>
        <w:rPr>
          <w:rFonts w:hint="eastAsia" w:ascii="宋体" w:hAnsi="宋体" w:cs="宋体"/>
          <w:iCs/>
          <w:color w:val="000000"/>
          <w:sz w:val="32"/>
          <w:szCs w:val="32"/>
          <w:highlight w:val="none"/>
        </w:rPr>
        <w:t xml:space="preserve">商务要求响应及偏离表</w:t>
      </w:r>
      <w:bookmarkEnd w:id="202"/>
      <w:r>
        <w:rPr>
          <w:highlight w:val="none"/>
        </w:rPr>
      </w:r>
      <w:r>
        <w:rPr>
          <w:highlight w:val="none"/>
        </w:rPr>
      </w:r>
    </w:p>
    <w:p>
      <w:pPr>
        <w:ind w:left="562" w:hanging="420"/>
        <w:jc w:val="center"/>
        <w:rPr>
          <w:highlight w:val="none"/>
        </w:rPr>
      </w:pPr>
      <w:r>
        <w:rPr>
          <w:rFonts w:hint="eastAsia"/>
          <w:highlight w:val="none"/>
        </w:rPr>
        <w:t xml:space="preserve">（根据招标文件《第四章：采购需求》中</w:t>
      </w:r>
      <w:r>
        <w:rPr>
          <w:rFonts w:hint="eastAsia"/>
          <w:highlight w:val="none"/>
          <w:u w:val="single"/>
        </w:rPr>
        <w:t xml:space="preserve">三、商务要求</w:t>
      </w:r>
      <w:r>
        <w:rPr>
          <w:rFonts w:hint="eastAsia"/>
          <w:highlight w:val="none"/>
        </w:rPr>
        <w:t xml:space="preserve">的内容填写，必须点对点应答）</w:t>
      </w:r>
      <w:r>
        <w:rPr>
          <w:highlight w:val="none"/>
        </w:rPr>
      </w:r>
    </w:p>
    <w:tbl>
      <w:tblPr>
        <w:tblStyle w:val="924"/>
        <w:tblW w:w="85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562"/>
        <w:gridCol w:w="2510"/>
        <w:gridCol w:w="2735"/>
        <w:gridCol w:w="1861"/>
        <w:gridCol w:w="832"/>
      </w:tblGrid>
      <w:tr>
        <w:trPr>
          <w:jc w:val="center"/>
          <w:trHeight w:val="850"/>
        </w:trPr>
        <w:tc>
          <w:tcPr>
            <w:tcBorders>
              <w:top w:val="single" w:color="auto" w:sz="4" w:space="0"/>
              <w:bottom w:val="single" w:color="auto" w:sz="4" w:space="0"/>
              <w:right w:val="single" w:color="auto" w:sz="4" w:space="0"/>
            </w:tcBorders>
            <w:tcW w:w="56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251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招标文件商务条款</w:t>
            </w:r>
            <w:r>
              <w:rPr>
                <w:highlight w:val="none"/>
              </w:rP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供应商商务响应</w:t>
            </w:r>
            <w:r>
              <w:rPr>
                <w:highlight w:val="none"/>
              </w:rP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说明</w:t>
            </w:r>
            <w:r>
              <w:rPr>
                <w:highlight w:val="none"/>
              </w:rPr>
            </w:r>
          </w:p>
        </w:tc>
        <w:tc>
          <w:tcPr>
            <w:tcBorders>
              <w:top w:val="single" w:color="auto" w:sz="4" w:space="0"/>
              <w:left w:val="single" w:color="auto" w:sz="4" w:space="0"/>
              <w:bottom w:val="single" w:color="auto" w:sz="4" w:space="0"/>
            </w:tcBorders>
            <w:tcW w:w="83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rPr>
                <w:highlight w:val="none"/>
              </w:rPr>
            </w:r>
          </w:p>
        </w:tc>
      </w:tr>
      <w:tr>
        <w:trPr>
          <w:cantSplit/>
          <w:jc w:val="center"/>
          <w:trHeight w:val="567"/>
        </w:trPr>
        <w:tc>
          <w:tcPr>
            <w:tcBorders>
              <w:top w:val="single" w:color="auto" w:sz="4" w:space="0"/>
              <w:bottom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r>
        <w:trPr>
          <w:cantSplit/>
          <w:jc w:val="center"/>
          <w:trHeight w:val="567"/>
        </w:trPr>
        <w:tc>
          <w:tcPr>
            <w:tcBorders>
              <w:top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r>
        <w:trPr>
          <w:jc w:val="center"/>
          <w:trHeight w:val="567"/>
        </w:trPr>
        <w:tc>
          <w:tcPr>
            <w:tcBorders>
              <w:top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r>
        <w:trPr>
          <w:jc w:val="center"/>
          <w:trHeight w:val="567"/>
        </w:trPr>
        <w:tc>
          <w:tcPr>
            <w:tcBorders>
              <w:top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r>
        <w:trPr>
          <w:cantSplit/>
          <w:jc w:val="center"/>
          <w:trHeight w:val="567"/>
        </w:trPr>
        <w:tc>
          <w:tcPr>
            <w:tcBorders>
              <w:top w:val="single" w:color="auto" w:sz="4" w:space="0"/>
              <w:bottom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r>
        <w:trPr>
          <w:jc w:val="center"/>
          <w:trHeight w:val="567"/>
        </w:trPr>
        <w:tc>
          <w:tcPr>
            <w:tcBorders>
              <w:top w:val="single" w:color="auto" w:sz="4" w:space="0"/>
              <w:bottom w:val="single" w:color="auto" w:sz="4" w:space="0"/>
              <w:right w:val="single" w:color="auto" w:sz="4" w:space="0"/>
            </w:tcBorders>
            <w:tcW w:w="56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510"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c>
          <w:tcPr>
            <w:tcBorders>
              <w:top w:val="single" w:color="auto" w:sz="4" w:space="0"/>
              <w:left w:val="single" w:color="auto" w:sz="4" w:space="0"/>
              <w:bottom w:val="single" w:color="auto" w:sz="4" w:space="0"/>
            </w:tcBorders>
            <w:tcW w:w="832" w:type="dxa"/>
            <w:vAlign w:val="center"/>
            <w:textDirection w:val="lrTb"/>
            <w:noWrap w:val="false"/>
          </w:tcPr>
          <w:p>
            <w:pPr>
              <w:rPr>
                <w:rFonts w:ascii="宋体" w:hAnsi="宋体"/>
                <w:sz w:val="24"/>
                <w:highlight w:val="none"/>
              </w:rPr>
            </w:pPr>
            <w:r>
              <w:rPr>
                <w:rFonts w:ascii="宋体" w:hAnsi="宋体"/>
                <w:sz w:val="24"/>
                <w:highlight w:val="none"/>
              </w:rPr>
            </w:r>
            <w:r>
              <w:rPr>
                <w:highlight w:val="none"/>
              </w:rPr>
            </w:r>
          </w:p>
        </w:tc>
      </w:tr>
    </w:tbl>
    <w:p>
      <w:pPr>
        <w:rPr>
          <w:highlight w:val="none"/>
        </w:rPr>
      </w:pPr>
      <w:r>
        <w:rPr>
          <w:rFonts w:hint="eastAsia"/>
          <w:highlight w:val="none"/>
        </w:rPr>
        <w:t xml:space="preserve">填表说明：</w:t>
      </w:r>
      <w:r>
        <w:rPr>
          <w:highlight w:val="none"/>
        </w:rPr>
      </w:r>
    </w:p>
    <w:p>
      <w:pPr>
        <w:rPr>
          <w:color w:val="000000" w:themeColor="text1"/>
          <w:highlight w:val="none"/>
          <w14:textFill>
            <w14:solidFill>
              <w14:schemeClr w14:val="tx1"/>
            </w14:solidFill>
          </w14:textFill>
        </w:rPr>
      </w:pPr>
      <w:r>
        <w:rPr>
          <w:rFonts w:hint="eastAsia"/>
          <w:highlight w:val="none"/>
        </w:rPr>
        <w:t xml:space="preserve">1.本项目商务要求属实质性响应条款，不接受任何负偏离。</w:t>
      </w:r>
      <w:r>
        <w:rPr>
          <w:highlight w:val="none"/>
        </w:rPr>
      </w:r>
    </w:p>
    <w:p>
      <w:pPr>
        <w:spacing w:line="276" w:lineRule="auto"/>
        <w:rPr>
          <w:rFonts w:ascii="宋体" w:hAnsi="宋体"/>
          <w:color w:val="000000"/>
          <w:sz w:val="24"/>
          <w:highlight w:val="none"/>
        </w:rPr>
      </w:pPr>
      <w:r>
        <w:rPr>
          <w:rFonts w:ascii="宋体" w:hAnsi="宋体"/>
          <w:color w:val="000000"/>
          <w:sz w:val="24"/>
          <w:highlight w:val="none"/>
        </w:rPr>
      </w:r>
      <w:r>
        <w:rPr>
          <w:highlight w:val="none"/>
        </w:rPr>
      </w:r>
    </w:p>
    <w:p>
      <w:pPr>
        <w:spacing w:line="276" w:lineRule="auto"/>
        <w:rPr>
          <w:rFonts w:ascii="仿宋_GB2312" w:hAnsi="Arial"/>
          <w:color w:val="000000"/>
          <w:sz w:val="30"/>
          <w:szCs w:val="21"/>
          <w:highlight w:val="none"/>
        </w:rPr>
      </w:pPr>
      <w:r>
        <w:rPr>
          <w:rFonts w:ascii="仿宋_GB2312" w:hAnsi="Arial"/>
          <w:color w:val="000000"/>
          <w:sz w:val="30"/>
          <w:szCs w:val="21"/>
          <w:highlight w:val="none"/>
        </w:rPr>
      </w:r>
      <w:r>
        <w:rPr>
          <w:highlight w:val="none"/>
        </w:rPr>
      </w:r>
    </w:p>
    <w:p>
      <w:pPr>
        <w:jc w:val="left"/>
        <w:widowControl/>
        <w:rPr>
          <w:rFonts w:ascii="宋体" w:hAnsi="宋体"/>
          <w:color w:val="000000"/>
          <w:sz w:val="24"/>
          <w:szCs w:val="21"/>
          <w:highlight w:val="none"/>
        </w:rPr>
      </w:pPr>
      <w:r>
        <w:rPr>
          <w:highlight w:val="none"/>
        </w:rPr>
      </w:r>
      <w:bookmarkStart w:id="203" w:name="_Hlt26609389"/>
      <w:r>
        <w:rPr>
          <w:highlight w:val="none"/>
        </w:rPr>
      </w:r>
      <w:bookmarkEnd w:id="203"/>
      <w:r>
        <w:rPr>
          <w:highlight w:val="none"/>
        </w:rPr>
      </w:r>
      <w:bookmarkStart w:id="204" w:name="_Hlt26671374"/>
      <w:r>
        <w:rPr>
          <w:highlight w:val="none"/>
        </w:rPr>
      </w:r>
      <w:bookmarkEnd w:id="204"/>
      <w:r>
        <w:rPr>
          <w:highlight w:val="none"/>
        </w:rPr>
      </w:r>
      <w:bookmarkStart w:id="205" w:name="_Hlt26955066"/>
      <w:r>
        <w:rPr>
          <w:highlight w:val="none"/>
        </w:rPr>
      </w:r>
      <w:bookmarkEnd w:id="205"/>
      <w:r>
        <w:rPr>
          <w:highlight w:val="none"/>
        </w:rPr>
      </w:r>
      <w:bookmarkStart w:id="206" w:name="_Toc462564146"/>
      <w:r>
        <w:rPr>
          <w:rFonts w:ascii="宋体" w:hAnsi="宋体"/>
          <w:color w:val="000000"/>
          <w:sz w:val="24"/>
          <w:szCs w:val="21"/>
          <w:highlight w:val="none"/>
        </w:rPr>
        <w:br w:type="page" w:clear="all"/>
      </w:r>
      <w:bookmarkEnd w:id="206"/>
      <w:r>
        <w:rPr>
          <w:highlight w:val="none"/>
        </w:rPr>
      </w:r>
      <w:r>
        <w:rPr>
          <w:highlight w:val="none"/>
        </w:rPr>
      </w:r>
    </w:p>
    <w:p>
      <w:pPr>
        <w:ind w:firstLine="3390"/>
        <w:keepLines/>
        <w:keepNext/>
        <w:spacing w:before="260" w:after="260" w:line="276" w:lineRule="auto"/>
        <w:rPr>
          <w:rFonts w:ascii="宋体" w:hAnsi="宋体" w:cs="宋体"/>
          <w:i/>
          <w:color w:val="000000"/>
          <w:sz w:val="32"/>
          <w:szCs w:val="32"/>
          <w:highlight w:val="none"/>
          <w:u w:val="single"/>
        </w:rPr>
        <w:outlineLvl w:val="1"/>
      </w:pPr>
      <w:r>
        <w:rPr>
          <w:highlight w:val="none"/>
        </w:rPr>
      </w:r>
      <w:bookmarkStart w:id="207" w:name="_格式2__法定代表人授权书"/>
      <w:r>
        <w:rPr>
          <w:highlight w:val="none"/>
        </w:rPr>
      </w:r>
      <w:bookmarkEnd w:id="207"/>
      <w:r>
        <w:rPr>
          <w:highlight w:val="none"/>
        </w:rPr>
      </w:r>
      <w:bookmarkStart w:id="208" w:name="_Toc238220198"/>
      <w:r>
        <w:rPr>
          <w:rFonts w:hint="eastAsia" w:ascii="宋体" w:hAnsi="宋体" w:cs="宋体"/>
          <w:i/>
          <w:color w:val="000000"/>
          <w:sz w:val="32"/>
          <w:szCs w:val="32"/>
          <w:highlight w:val="none"/>
          <w:u w:val="single"/>
        </w:rPr>
        <w:t xml:space="preserve">十三（1）、 开标一览表</w:t>
      </w:r>
      <w:bookmarkEnd w:id="208"/>
      <w:r>
        <w:rPr>
          <w:highlight w:val="none"/>
        </w:rPr>
      </w:r>
      <w:r>
        <w:rPr>
          <w:highlight w:val="none"/>
        </w:rP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招标编号：                                   分包号：/</w:t>
      </w:r>
      <w:r>
        <w:rPr>
          <w:highlight w:val="none"/>
        </w:rPr>
      </w:r>
    </w:p>
    <w:tbl>
      <w:tblPr>
        <w:tblStyle w:val="924"/>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jc w:val="center"/>
              <w:spacing w:line="276" w:lineRule="auto"/>
              <w:rPr>
                <w:rFonts w:ascii="宋体" w:hAnsi="宋体"/>
                <w:color w:val="000000"/>
                <w:sz w:val="24"/>
                <w:highlight w:val="none"/>
              </w:rPr>
            </w:pPr>
            <w:r>
              <w:rPr>
                <w:rFonts w:hint="eastAsia" w:ascii="宋体" w:hAnsi="宋体"/>
                <w:color w:val="000000"/>
                <w:sz w:val="24"/>
                <w:highlight w:val="none"/>
              </w:rPr>
              <w:t xml:space="preserve">投标总报价</w:t>
            </w:r>
            <w:r>
              <w:rPr>
                <w:highlight w:val="none"/>
              </w:rPr>
            </w:r>
          </w:p>
        </w:tc>
      </w:tr>
      <w:tr>
        <w:trPr>
          <w:cantSplit/>
          <w:trHeight w:val="1134"/>
        </w:trPr>
        <w:tc>
          <w:tcPr>
            <w:tcW w:w="9066" w:type="dxa"/>
            <w:vAlign w:val="center"/>
            <w:textDirection w:val="lrTb"/>
            <w:noWrap w:val="false"/>
          </w:tcPr>
          <w:p>
            <w:pPr>
              <w:jc w:val="left"/>
              <w:spacing w:line="276" w:lineRule="auto"/>
              <w:rPr>
                <w:rFonts w:ascii="宋体" w:hAnsi="宋体"/>
                <w:color w:val="000000"/>
                <w:sz w:val="24"/>
                <w:szCs w:val="21"/>
                <w:highlight w:val="none"/>
              </w:rPr>
            </w:pPr>
            <w:r>
              <w:rPr>
                <w:rFonts w:hint="eastAsia" w:ascii="宋体" w:hAnsi="宋体" w:cs="宋体"/>
                <w:color w:val="000000"/>
                <w:sz w:val="24"/>
                <w:highlight w:val="none"/>
              </w:rPr>
              <w:t xml:space="preserve">小写：                             （人民币：元）</w:t>
            </w:r>
            <w:r>
              <w:rPr>
                <w:highlight w:val="none"/>
              </w:rPr>
            </w:r>
          </w:p>
        </w:tc>
      </w:tr>
    </w:tbl>
    <w:p>
      <w:pPr>
        <w:spacing w:line="276" w:lineRule="auto"/>
        <w:rPr>
          <w:rFonts w:ascii="宋体" w:hAnsi="宋体"/>
          <w:color w:val="000000"/>
          <w:sz w:val="24"/>
          <w:highlight w:val="none"/>
        </w:rPr>
      </w:pPr>
      <w:r>
        <w:rPr>
          <w:rFonts w:ascii="宋体" w:hAnsi="宋体"/>
          <w:color w:val="000000"/>
          <w:sz w:val="24"/>
          <w:highlight w:val="none"/>
        </w:rPr>
      </w:r>
      <w:r>
        <w:rPr>
          <w:highlight w:val="none"/>
        </w:rPr>
      </w:r>
    </w:p>
    <w:p>
      <w:pPr>
        <w:ind w:firstLine="480"/>
        <w:spacing w:line="276" w:lineRule="auto"/>
        <w:rPr>
          <w:rFonts w:ascii="宋体" w:hAnsi="宋体"/>
          <w:color w:val="000000"/>
          <w:sz w:val="24"/>
          <w:highlight w:val="none"/>
        </w:rPr>
      </w:pPr>
      <w:r>
        <w:rPr>
          <w:rFonts w:hint="eastAsia" w:ascii="宋体" w:hAnsi="宋体"/>
          <w:color w:val="000000"/>
          <w:sz w:val="24"/>
          <w:highlight w:val="none"/>
        </w:rPr>
        <w:t xml:space="preserve">                                        </w:t>
      </w:r>
      <w:r>
        <w:rPr>
          <w:highlight w:val="none"/>
        </w:rPr>
      </w:r>
    </w:p>
    <w:p>
      <w:pPr>
        <w:ind w:firstLine="5760"/>
        <w:spacing w:line="276" w:lineRule="auto"/>
        <w:rPr>
          <w:rFonts w:ascii="宋体" w:hAnsi="宋体"/>
          <w:color w:val="000000"/>
          <w:sz w:val="24"/>
          <w:highlight w:val="none"/>
        </w:rPr>
      </w:pPr>
      <w:r>
        <w:rPr>
          <w:rFonts w:hint="eastAsia" w:ascii="宋体" w:hAnsi="宋体"/>
          <w:color w:val="000000"/>
          <w:sz w:val="24"/>
          <w:highlight w:val="none"/>
        </w:rPr>
        <w:t xml:space="preserve">日期：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highlight w:val="none"/>
        </w:rPr>
      </w:r>
    </w:p>
    <w:p>
      <w:pPr>
        <w:spacing w:line="276"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p>
    <w:p>
      <w:pPr>
        <w:ind w:firstLine="480"/>
        <w:spacing w:line="276" w:lineRule="auto"/>
        <w:rPr>
          <w:rFonts w:ascii="宋体" w:hAnsi="宋体"/>
          <w:color w:val="000000"/>
          <w:sz w:val="24"/>
          <w:highlight w:val="none"/>
        </w:rPr>
      </w:pPr>
      <w:r>
        <w:rPr>
          <w:rFonts w:ascii="宋体" w:hAnsi="宋体"/>
          <w:color w:val="000000"/>
          <w:sz w:val="24"/>
          <w:highlight w:val="none"/>
        </w:rPr>
      </w:r>
      <w:r>
        <w:rPr>
          <w:highlight w:val="none"/>
        </w:rPr>
      </w:r>
    </w:p>
    <w:p>
      <w:pPr>
        <w:jc w:val="center"/>
        <w:spacing w:before="260" w:after="260" w:line="98" w:lineRule="atLeast"/>
        <w:rPr>
          <w:rFonts w:ascii="宋体" w:hAnsi="宋体" w:cs="宋体"/>
          <w:i/>
          <w:color w:val="000000"/>
          <w:sz w:val="32"/>
          <w:highlight w:val="none"/>
          <w:u w:val="single"/>
        </w:rPr>
        <w:outlineLvl w:val="1"/>
      </w:pPr>
      <w:r>
        <w:rPr>
          <w:rFonts w:ascii="宋体" w:hAnsi="宋体" w:cs="仿宋"/>
          <w:b/>
          <w:bCs/>
          <w:color w:val="000000"/>
          <w:sz w:val="32"/>
          <w:szCs w:val="32"/>
          <w:highlight w:val="none"/>
        </w:rPr>
        <w:br w:type="page" w:clear="all"/>
      </w:r>
      <w:r>
        <w:rPr>
          <w:rFonts w:hint="eastAsia" w:ascii="宋体" w:hAnsi="宋体" w:cs="宋体"/>
          <w:i/>
          <w:color w:val="000000"/>
          <w:sz w:val="32"/>
          <w:szCs w:val="32"/>
          <w:highlight w:val="none"/>
          <w:u w:val="single"/>
        </w:rPr>
        <w:t xml:space="preserve">十三（</w:t>
      </w:r>
      <w:r>
        <w:rPr>
          <w:rFonts w:ascii="宋体" w:hAnsi="宋体" w:cs="宋体"/>
          <w:i/>
          <w:color w:val="000000"/>
          <w:sz w:val="32"/>
          <w:szCs w:val="32"/>
          <w:highlight w:val="none"/>
          <w:u w:val="single"/>
        </w:rPr>
        <w:t xml:space="preserve">2</w:t>
      </w:r>
      <w:r>
        <w:rPr>
          <w:rFonts w:hint="eastAsia" w:ascii="宋体" w:hAnsi="宋体" w:cs="宋体"/>
          <w:i/>
          <w:color w:val="000000"/>
          <w:sz w:val="32"/>
          <w:szCs w:val="32"/>
          <w:highlight w:val="none"/>
          <w:u w:val="single"/>
        </w:rPr>
        <w:t xml:space="preserve">）、 </w:t>
      </w:r>
      <w:r>
        <w:rPr>
          <w:rFonts w:hint="eastAsia" w:ascii="宋体" w:hAnsi="宋体" w:cs="宋体"/>
          <w:i/>
          <w:color w:val="000000"/>
          <w:sz w:val="32"/>
          <w:highlight w:val="none"/>
          <w:u w:val="single"/>
        </w:rPr>
        <w:t xml:space="preserve">、投标分项报价表</w:t>
      </w:r>
      <w:r>
        <w:rPr>
          <w:highlight w:val="none"/>
        </w:rPr>
      </w:r>
    </w:p>
    <w:p>
      <w:pPr>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p>
    <w:p>
      <w:pPr>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p>
    <w:p>
      <w:pPr>
        <w:rPr>
          <w:rFonts w:ascii="宋体" w:hAnsi="宋体" w:cs="宋体"/>
          <w:color w:val="000000"/>
          <w:sz w:val="24"/>
          <w:highlight w:val="none"/>
        </w:rPr>
      </w:pPr>
      <w:r>
        <w:rPr>
          <w:rFonts w:hint="eastAsia" w:ascii="宋体" w:hAnsi="宋体" w:cs="宋体"/>
          <w:color w:val="000000"/>
          <w:sz w:val="24"/>
          <w:highlight w:val="none"/>
        </w:rPr>
        <w:t xml:space="preserve">招标编号： </w:t>
      </w:r>
      <w:r>
        <w:rPr>
          <w:highlight w:val="none"/>
        </w:rPr>
      </w:r>
    </w:p>
    <w:tbl>
      <w:tblPr>
        <w:tblStyle w:val="924"/>
        <w:tblW w:w="7897"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864"/>
        <w:gridCol w:w="2838"/>
        <w:gridCol w:w="987"/>
        <w:gridCol w:w="1604"/>
        <w:gridCol w:w="1604"/>
      </w:tblGrid>
      <w:tr>
        <w:trPr>
          <w:trHeight w:val="934"/>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hint="eastAsia" w:ascii="宋体" w:hAnsi="宋体"/>
                <w:sz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jc w:val="center"/>
              <w:rPr>
                <w:rFonts w:ascii="宋体"/>
                <w:sz w:val="24"/>
                <w:highlight w:val="none"/>
              </w:rPr>
            </w:pPr>
            <w:r>
              <w:rPr>
                <w:rFonts w:ascii="宋体"/>
                <w:sz w:val="24"/>
                <w:highlight w:val="none"/>
              </w:rPr>
              <w:t xml:space="preserve">服务项目名称</w:t>
            </w:r>
            <w:r>
              <w:rPr>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t xml:space="preserve">数量</w:t>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t xml:space="preserve">单价</w:t>
            </w:r>
            <w:r>
              <w:rPr>
                <w:highlight w:val="none"/>
              </w:rPr>
            </w:r>
          </w:p>
          <w:p>
            <w:pPr>
              <w:jc w:val="center"/>
              <w:rPr>
                <w:rFonts w:ascii="宋体"/>
                <w:sz w:val="24"/>
                <w:highlight w:val="none"/>
              </w:rPr>
            </w:pPr>
            <w:r>
              <w:rPr>
                <w:rFonts w:hint="eastAsia" w:ascii="宋体"/>
                <w:sz w:val="24"/>
                <w:highlight w:val="none"/>
              </w:rPr>
              <w:t xml:space="preserve">（元）</w:t>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t xml:space="preserve">总价</w:t>
            </w:r>
            <w:r>
              <w:rPr>
                <w:highlight w:val="none"/>
              </w:rPr>
            </w:r>
          </w:p>
          <w:p>
            <w:pPr>
              <w:jc w:val="center"/>
              <w:rPr>
                <w:rFonts w:ascii="宋体"/>
                <w:sz w:val="24"/>
                <w:highlight w:val="none"/>
              </w:rPr>
            </w:pPr>
            <w:r>
              <w:rPr>
                <w:rFonts w:hint="eastAsia" w:ascii="宋体"/>
                <w:sz w:val="24"/>
                <w:highlight w:val="none"/>
              </w:rPr>
              <w:t xml:space="preserve">（元）</w:t>
            </w:r>
            <w:r>
              <w:rPr>
                <w:highlight w:val="none"/>
              </w:rPr>
            </w:r>
          </w:p>
        </w:tc>
      </w:tr>
      <w:tr>
        <w:trPr>
          <w:cantSplit/>
          <w:trHeight w:val="608"/>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hint="eastAsia" w:ascii="宋体"/>
                <w:sz w:val="24"/>
                <w:highlight w:val="none"/>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hint="eastAsia" w:ascii="宋体"/>
                <w:sz w:val="24"/>
                <w:highlight w:val="none"/>
              </w:rPr>
              <w:t xml:space="preserve">3年</w:t>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cantSplit/>
          <w:trHeight w:val="591"/>
        </w:trPr>
        <w:tc>
          <w:tcPr>
            <w:tcBorders>
              <w:top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right w:val="single" w:color="auto" w:sz="4" w:space="0"/>
            </w:tcBorders>
            <w:tcW w:w="2838"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trHeight w:val="608"/>
        </w:trPr>
        <w:tc>
          <w:tcPr>
            <w:tcBorders>
              <w:top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right w:val="single" w:color="auto" w:sz="4" w:space="0"/>
            </w:tcBorders>
            <w:tcW w:w="2838"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trHeight w:val="608"/>
        </w:trPr>
        <w:tc>
          <w:tcPr>
            <w:tcBorders>
              <w:top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right w:val="single" w:color="auto" w:sz="4" w:space="0"/>
            </w:tcBorders>
            <w:tcW w:w="2838"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cantSplit/>
          <w:trHeight w:val="608"/>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trHeight w:val="608"/>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trHeight w:val="608"/>
        </w:trPr>
        <w:tc>
          <w:tcPr>
            <w:tcBorders>
              <w:top w:val="single" w:color="auto" w:sz="4" w:space="0"/>
              <w:bottom w:val="single" w:color="auto" w:sz="4" w:space="0"/>
              <w:right w:val="single" w:color="auto" w:sz="4" w:space="0"/>
            </w:tcBorders>
            <w:tcW w:w="86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c>
          <w:tcPr>
            <w:tcBorders>
              <w:top w:val="single" w:color="auto" w:sz="4" w:space="0"/>
              <w:left w:val="single" w:color="auto" w:sz="4" w:space="0"/>
              <w:bottom w:val="single" w:color="auto" w:sz="4" w:space="0"/>
            </w:tcBorders>
            <w:tcW w:w="1604" w:type="dxa"/>
            <w:vAlign w:val="center"/>
            <w:textDirection w:val="lrTb"/>
            <w:noWrap w:val="false"/>
          </w:tcPr>
          <w:p>
            <w:pPr>
              <w:jc w:val="center"/>
              <w:rPr>
                <w:rFonts w:ascii="宋体"/>
                <w:sz w:val="24"/>
                <w:highlight w:val="none"/>
              </w:rPr>
            </w:pPr>
            <w:r>
              <w:rPr>
                <w:rFonts w:ascii="宋体"/>
                <w:sz w:val="24"/>
                <w:highlight w:val="none"/>
              </w:rPr>
            </w:r>
            <w:r>
              <w:rPr>
                <w:highlight w:val="none"/>
              </w:rPr>
            </w:r>
          </w:p>
        </w:tc>
      </w:tr>
      <w:tr>
        <w:trPr>
          <w:trHeight w:val="618"/>
        </w:trPr>
        <w:tc>
          <w:tcPr>
            <w:gridSpan w:val="5"/>
            <w:tcBorders>
              <w:top w:val="single" w:color="auto" w:sz="4" w:space="0"/>
              <w:bottom w:val="single" w:color="auto" w:sz="4" w:space="0"/>
            </w:tcBorders>
            <w:tcW w:w="7897" w:type="dxa"/>
            <w:vAlign w:val="center"/>
            <w:textDirection w:val="lrTb"/>
            <w:noWrap w:val="false"/>
          </w:tcPr>
          <w:p>
            <w:pPr>
              <w:rPr>
                <w:rFonts w:ascii="宋体"/>
                <w:sz w:val="24"/>
                <w:highlight w:val="none"/>
              </w:rPr>
            </w:pPr>
            <w:r>
              <w:rPr>
                <w:rFonts w:hint="eastAsia" w:ascii="宋体"/>
                <w:sz w:val="24"/>
                <w:highlight w:val="none"/>
              </w:rPr>
              <w:t xml:space="preserve">合</w:t>
            </w:r>
            <w:r>
              <w:rPr>
                <w:rFonts w:ascii="宋体"/>
                <w:sz w:val="24"/>
                <w:highlight w:val="none"/>
              </w:rPr>
              <w:t xml:space="preserve">计</w:t>
            </w:r>
            <w:r>
              <w:rPr>
                <w:rFonts w:hint="eastAsia" w:ascii="宋体"/>
                <w:sz w:val="24"/>
                <w:highlight w:val="none"/>
              </w:rPr>
              <w:t xml:space="preserve">（含税）：</w:t>
            </w:r>
            <w:r>
              <w:rPr>
                <w:rFonts w:ascii="宋体"/>
                <w:sz w:val="24"/>
                <w:highlight w:val="none"/>
              </w:rPr>
              <w:t xml:space="preserve">        </w:t>
            </w:r>
            <w:r>
              <w:rPr>
                <w:rFonts w:hint="eastAsia" w:ascii="宋体"/>
                <w:sz w:val="24"/>
                <w:highlight w:val="none"/>
              </w:rPr>
              <w:t xml:space="preserve">元</w:t>
            </w:r>
            <w:r>
              <w:rPr>
                <w:rFonts w:ascii="宋体"/>
                <w:sz w:val="24"/>
                <w:highlight w:val="none"/>
              </w:rPr>
              <w:t xml:space="preserve">  </w:t>
            </w:r>
            <w:r>
              <w:rPr>
                <w:rFonts w:hint="eastAsia" w:ascii="宋体"/>
                <w:sz w:val="24"/>
                <w:highlight w:val="none"/>
              </w:rPr>
              <w:t xml:space="preserve">（大写： </w:t>
            </w:r>
            <w:r>
              <w:rPr>
                <w:rFonts w:ascii="宋体"/>
                <w:sz w:val="24"/>
                <w:highlight w:val="none"/>
              </w:rPr>
              <w:t xml:space="preserve">      </w:t>
            </w:r>
            <w:r>
              <w:rPr>
                <w:rFonts w:hint="eastAsia" w:ascii="宋体"/>
                <w:sz w:val="24"/>
                <w:highlight w:val="none"/>
              </w:rPr>
              <w:t xml:space="preserve">元</w:t>
            </w:r>
            <w:r>
              <w:rPr>
                <w:rFonts w:ascii="宋体"/>
                <w:sz w:val="24"/>
                <w:highlight w:val="none"/>
              </w:rPr>
              <w:t xml:space="preserve">    </w:t>
            </w:r>
            <w:r>
              <w:rPr>
                <w:rFonts w:hint="eastAsia" w:ascii="宋体"/>
                <w:sz w:val="24"/>
                <w:highlight w:val="none"/>
              </w:rPr>
              <w:t xml:space="preserve">）</w:t>
            </w:r>
            <w:r>
              <w:rPr>
                <w:highlight w:val="none"/>
              </w:rPr>
            </w:r>
          </w:p>
        </w:tc>
      </w:tr>
      <w:tr>
        <w:trPr>
          <w:trHeight w:val="618"/>
        </w:trPr>
        <w:tc>
          <w:tcPr>
            <w:gridSpan w:val="5"/>
            <w:tcBorders>
              <w:top w:val="single" w:color="auto" w:sz="4" w:space="0"/>
              <w:bottom w:val="single" w:color="auto" w:sz="4" w:space="0"/>
            </w:tcBorders>
            <w:tcW w:w="7897" w:type="dxa"/>
            <w:vAlign w:val="center"/>
            <w:textDirection w:val="lrTb"/>
            <w:noWrap w:val="false"/>
          </w:tcPr>
          <w:p>
            <w:pPr>
              <w:rPr>
                <w:rFonts w:hint="eastAsia" w:ascii="宋体"/>
                <w:sz w:val="24"/>
                <w:highlight w:val="none"/>
              </w:rPr>
            </w:pPr>
            <w:r>
              <w:rPr>
                <w:rFonts w:hint="eastAsia" w:cs="方正魏碑_GBK" w:asciiTheme="minorEastAsia" w:hAnsiTheme="minorEastAsia" w:eastAsiaTheme="minorEastAsia"/>
                <w:color w:val="ff0000"/>
                <w:sz w:val="24"/>
                <w:highlight w:val="none"/>
              </w:rPr>
              <w:t xml:space="preserve">本采购包中提供的符合本国产品标准的产品成本之和占该采购包提供的全部产品成本之和的比例为 </w:t>
            </w:r>
            <w:r>
              <w:rPr>
                <w:rFonts w:hint="eastAsia" w:cs="方正魏碑_GBK" w:asciiTheme="minorEastAsia" w:hAnsiTheme="minorEastAsia" w:eastAsiaTheme="minorEastAsia"/>
                <w:color w:val="ff0000"/>
                <w:sz w:val="24"/>
                <w:highlight w:val="none"/>
                <w:u w:val="single"/>
              </w:rPr>
              <w:t xml:space="preserve">(不适用)</w:t>
            </w:r>
            <w:r>
              <w:rPr>
                <w:rFonts w:cs="方正魏碑_GBK" w:asciiTheme="minorEastAsia" w:hAnsiTheme="minorEastAsia" w:eastAsiaTheme="minorEastAsia"/>
                <w:color w:val="ff0000"/>
                <w:sz w:val="24"/>
                <w:highlight w:val="none"/>
                <w:u w:val="single"/>
              </w:rPr>
              <w:t xml:space="preserve"> </w:t>
            </w:r>
            <w:r>
              <w:rPr>
                <w:rFonts w:cs="方正魏碑_GBK" w:asciiTheme="minorEastAsia" w:hAnsiTheme="minorEastAsia" w:eastAsiaTheme="minorEastAsia"/>
                <w:color w:val="ff0000"/>
                <w:sz w:val="24"/>
                <w:highlight w:val="none"/>
              </w:rPr>
              <w:t xml:space="preserve"> </w:t>
            </w:r>
            <w:r>
              <w:rPr>
                <w:rFonts w:hint="eastAsia" w:cs="方正魏碑_GBK" w:asciiTheme="minorEastAsia" w:hAnsiTheme="minorEastAsia" w:eastAsiaTheme="minorEastAsia"/>
                <w:color w:val="ff0000"/>
                <w:sz w:val="24"/>
                <w:highlight w:val="none"/>
              </w:rPr>
              <w:t xml:space="preserve">%。</w:t>
            </w:r>
            <w:r>
              <w:rPr>
                <w:highlight w:val="none"/>
              </w:rPr>
            </w:r>
          </w:p>
        </w:tc>
      </w:tr>
    </w:tbl>
    <w:p>
      <w:pPr>
        <w:rPr>
          <w:rFonts w:ascii="Arial" w:hAnsi="Arial" w:cs="Arial"/>
          <w:color w:val="ff0000"/>
          <w:szCs w:val="21"/>
          <w:highlight w:val="none"/>
        </w:rPr>
      </w:pPr>
      <w:r>
        <w:rPr>
          <w:rFonts w:hint="eastAsia" w:ascii="Arial" w:hAnsi="Arial" w:cs="Arial"/>
          <w:color w:val="ff0000"/>
          <w:szCs w:val="21"/>
          <w:highlight w:val="none"/>
        </w:rPr>
        <w:t xml:space="preserve">备注：</w:t>
      </w:r>
      <w:r>
        <w:rPr>
          <w:highlight w:val="none"/>
        </w:rPr>
      </w:r>
    </w:p>
    <w:p>
      <w:pPr>
        <w:rPr>
          <w:rFonts w:ascii="Arial" w:hAnsi="Arial" w:cs="Arial"/>
          <w:szCs w:val="21"/>
          <w:highlight w:val="none"/>
        </w:rPr>
      </w:pPr>
      <w:r>
        <w:rPr>
          <w:rFonts w:ascii="Arial" w:hAnsi="Arial" w:cs="Arial"/>
          <w:szCs w:val="21"/>
          <w:highlight w:val="none"/>
        </w:rPr>
        <w:t xml:space="preserve">1.</w:t>
      </w:r>
      <w:r>
        <w:rPr>
          <w:rFonts w:hint="eastAsia" w:ascii="Arial" w:hAnsi="Arial" w:cs="Arial"/>
          <w:szCs w:val="21"/>
          <w:highlight w:val="none"/>
        </w:rPr>
        <w:t xml:space="preserve">“合计</w:t>
      </w:r>
      <w:r>
        <w:rPr>
          <w:rFonts w:ascii="Arial" w:hAnsi="Arial" w:cs="Arial"/>
          <w:szCs w:val="21"/>
          <w:highlight w:val="none"/>
        </w:rPr>
        <w:t xml:space="preserve">”</w:t>
      </w:r>
      <w:r>
        <w:rPr>
          <w:rFonts w:hint="eastAsia" w:ascii="Arial" w:hAnsi="Arial" w:cs="Arial"/>
          <w:szCs w:val="21"/>
          <w:highlight w:val="none"/>
        </w:rPr>
        <w:t xml:space="preserve">须填写三年总报价。</w:t>
      </w:r>
      <w:r>
        <w:rPr>
          <w:highlight w:val="none"/>
        </w:rPr>
      </w:r>
    </w:p>
    <w:p>
      <w:pPr>
        <w:rPr>
          <w:rFonts w:ascii="Arial" w:hAnsi="Arial" w:cs="Arial"/>
          <w:szCs w:val="21"/>
          <w:highlight w:val="none"/>
        </w:rPr>
      </w:pPr>
      <w:r>
        <w:rPr>
          <w:rFonts w:ascii="Arial" w:hAnsi="Arial" w:cs="Arial"/>
          <w:szCs w:val="21"/>
          <w:highlight w:val="none"/>
        </w:rPr>
        <w:t xml:space="preserve">2</w:t>
      </w:r>
      <w:r>
        <w:rPr>
          <w:rFonts w:hint="eastAsia" w:ascii="Arial" w:hAnsi="Arial" w:cs="Arial"/>
          <w:szCs w:val="21"/>
          <w:highlight w:val="none"/>
        </w:rPr>
        <w:t xml:space="preserve">.请仔细检查报价以及合计，以免核算错误！</w:t>
      </w:r>
      <w:r>
        <w:rPr>
          <w:highlight w:val="none"/>
        </w:rPr>
      </w:r>
    </w:p>
    <w:p>
      <w:pPr>
        <w:jc w:val="left"/>
        <w:widowControl/>
        <w:rPr>
          <w:rFonts w:ascii="宋体" w:hAnsi="宋体" w:cs="仿宋"/>
          <w:b/>
          <w:bCs/>
          <w:color w:val="000000"/>
          <w:sz w:val="32"/>
          <w:szCs w:val="32"/>
          <w:highlight w:val="none"/>
        </w:rPr>
      </w:pPr>
      <w:r>
        <w:rPr>
          <w:rFonts w:ascii="宋体" w:hAnsi="宋体" w:cs="仿宋"/>
          <w:b/>
          <w:bCs/>
          <w:color w:val="000000"/>
          <w:sz w:val="32"/>
          <w:szCs w:val="32"/>
          <w:highlight w:val="none"/>
        </w:rPr>
        <w:br w:type="page" w:clear="all"/>
      </w:r>
      <w:r>
        <w:rPr>
          <w:highlight w:val="none"/>
        </w:rPr>
      </w:r>
    </w:p>
    <w:p>
      <w:pPr>
        <w:jc w:val="left"/>
        <w:widowControl/>
        <w:rPr>
          <w:rFonts w:ascii="宋体" w:hAnsi="宋体" w:cs="仿宋"/>
          <w:b/>
          <w:bCs/>
          <w:color w:val="000000"/>
          <w:sz w:val="32"/>
          <w:szCs w:val="32"/>
          <w:highlight w:val="none"/>
        </w:rPr>
      </w:pPr>
      <w:r>
        <w:rPr>
          <w:rFonts w:ascii="宋体" w:hAnsi="宋体" w:cs="仿宋"/>
          <w:b/>
          <w:bCs/>
          <w:color w:val="000000"/>
          <w:sz w:val="32"/>
          <w:szCs w:val="32"/>
          <w:highlight w:val="none"/>
        </w:rPr>
      </w:r>
      <w:r>
        <w:rPr>
          <w:highlight w:val="none"/>
        </w:rPr>
      </w:r>
    </w:p>
    <w:p>
      <w:pPr>
        <w:jc w:val="center"/>
        <w:keepLines/>
        <w:keepNext/>
        <w:spacing w:before="260" w:line="276" w:lineRule="auto"/>
        <w:rPr>
          <w:rFonts w:ascii="宋体" w:hAnsi="宋体" w:cs="宋体"/>
          <w:highlight w:val="none"/>
        </w:rPr>
        <w:outlineLvl w:val="1"/>
      </w:pPr>
      <w:r>
        <w:rPr>
          <w:highlight w:val="none"/>
        </w:rPr>
      </w:r>
      <w:bookmarkStart w:id="209" w:name="_Toc238220199"/>
      <w:r>
        <w:rPr>
          <w:rFonts w:hint="eastAsia" w:ascii="宋体" w:hAnsi="宋体" w:cs="宋体"/>
          <w:color w:val="000000"/>
          <w:sz w:val="32"/>
          <w:szCs w:val="32"/>
          <w:highlight w:val="none"/>
        </w:rPr>
        <w:t xml:space="preserve">十四、服务方案</w:t>
      </w:r>
      <w:bookmarkEnd w:id="209"/>
      <w:r>
        <w:rPr>
          <w:highlight w:val="none"/>
        </w:rPr>
      </w:r>
      <w:r>
        <w:rPr>
          <w:highlight w:val="none"/>
        </w:rPr>
      </w:r>
    </w:p>
    <w:p>
      <w:pPr>
        <w:ind w:left="420"/>
        <w:jc w:val="center"/>
        <w:spacing w:line="276" w:lineRule="auto"/>
        <w:rPr>
          <w:rFonts w:ascii="宋体" w:hAnsi="宋体" w:cs="宋体"/>
          <w:bCs/>
          <w:color w:val="ff0000"/>
          <w:sz w:val="24"/>
          <w:highlight w:val="none"/>
        </w:rPr>
      </w:pPr>
      <w:r>
        <w:rPr>
          <w:rFonts w:hint="eastAsia" w:ascii="宋体" w:hAnsi="宋体" w:cs="宋体"/>
          <w:bCs/>
          <w:color w:val="ff0000"/>
          <w:sz w:val="24"/>
          <w:highlight w:val="none"/>
        </w:rPr>
        <w:t xml:space="preserve">投标人须根据本项目的采购需求及评分标准的要求编制服务方案，格式自拟</w:t>
      </w:r>
      <w:r>
        <w:rPr>
          <w:highlight w:val="none"/>
        </w:rPr>
      </w:r>
    </w:p>
    <w:p>
      <w:pPr>
        <w:jc w:val="left"/>
        <w:widowControl/>
        <w:rPr>
          <w:rFonts w:ascii="宋体" w:hAnsi="宋体" w:cs="宋体"/>
          <w:bCs/>
          <w:color w:val="ff0000"/>
          <w:sz w:val="24"/>
          <w:highlight w:val="none"/>
        </w:rPr>
      </w:pPr>
      <w:r>
        <w:rPr>
          <w:rFonts w:ascii="宋体" w:hAnsi="宋体" w:cs="宋体"/>
          <w:bCs/>
          <w:color w:val="ff0000"/>
          <w:sz w:val="24"/>
          <w:highlight w:val="none"/>
        </w:rPr>
        <w:br w:type="page" w:clear="all"/>
      </w:r>
      <w:r>
        <w:rPr>
          <w:highlight w:val="none"/>
        </w:rPr>
      </w:r>
    </w:p>
    <w:p>
      <w:pPr>
        <w:jc w:val="center"/>
        <w:keepLines/>
        <w:keepNext/>
        <w:spacing w:before="260" w:line="276" w:lineRule="auto"/>
        <w:rPr>
          <w:rFonts w:hint="eastAsia" w:ascii="宋体" w:hAnsi="宋体" w:cs="宋体"/>
          <w:color w:val="000000"/>
          <w:sz w:val="32"/>
          <w:highlight w:val="none"/>
        </w:rPr>
        <w:outlineLvl w:val="1"/>
      </w:pPr>
      <w:r>
        <w:rPr>
          <w:rFonts w:ascii="宋体" w:hAnsi="宋体" w:cs="宋体"/>
          <w:i/>
          <w:iCs/>
          <w:color w:val="000000"/>
          <w:sz w:val="32"/>
          <w:szCs w:val="32"/>
          <w:highlight w:val="none"/>
          <w:u w:val="single"/>
        </w:rPr>
        <w:t xml:space="preserve">十</w:t>
      </w:r>
      <w:r>
        <w:rPr>
          <w:rFonts w:hint="eastAsia" w:ascii="宋体" w:hAnsi="宋体" w:cs="宋体"/>
          <w:i/>
          <w:iCs/>
          <w:color w:val="000000"/>
          <w:sz w:val="32"/>
          <w:szCs w:val="32"/>
          <w:highlight w:val="none"/>
          <w:u w:val="single"/>
        </w:rPr>
        <w:t xml:space="preserve">五</w:t>
      </w:r>
      <w:r>
        <w:rPr>
          <w:rFonts w:ascii="宋体" w:hAnsi="宋体" w:cs="宋体"/>
          <w:i/>
          <w:iCs/>
          <w:color w:val="000000"/>
          <w:sz w:val="32"/>
          <w:szCs w:val="32"/>
          <w:highlight w:val="none"/>
          <w:u w:val="single"/>
        </w:rPr>
        <w:t xml:space="preserve">、</w:t>
      </w:r>
      <w:r>
        <w:rPr>
          <w:rFonts w:hint="eastAsia" w:ascii="宋体" w:hAnsi="宋体" w:cs="宋体"/>
          <w:i/>
          <w:iCs/>
          <w:color w:val="000000"/>
          <w:sz w:val="32"/>
          <w:szCs w:val="32"/>
          <w:highlight w:val="none"/>
          <w:u w:val="single"/>
        </w:rPr>
        <w:t xml:space="preserve">南京市政府采购供应商信用承诺书</w:t>
      </w:r>
      <w:r>
        <w:rPr>
          <w:highlight w:val="none"/>
        </w:rPr>
      </w:r>
    </w:p>
    <w:p>
      <w:pPr>
        <w:jc w:val="right"/>
        <w:rPr>
          <w:rFonts w:ascii="方正小标宋简体" w:hAnsi="方正小标宋简体" w:eastAsia="方正小标宋简体" w:cs="方正小标宋简体"/>
          <w:sz w:val="22"/>
          <w:szCs w:val="28"/>
          <w:highlight w:val="none"/>
        </w:rPr>
      </w:pPr>
      <w:r>
        <w:rPr>
          <w:rFonts w:ascii="方正小标宋简体" w:hAnsi="方正小标宋简体" w:eastAsia="方正小标宋简体" w:cs="方正小标宋简体"/>
          <w:sz w:val="22"/>
          <w:szCs w:val="28"/>
          <w:highlight w:val="none"/>
        </w:rPr>
        <w:t xml:space="preserve">2026</w:t>
      </w:r>
      <w:r>
        <w:rPr>
          <w:rFonts w:hint="eastAsia" w:ascii="方正小标宋简体" w:hAnsi="方正小标宋简体" w:eastAsia="方正小标宋简体" w:cs="方正小标宋简体"/>
          <w:sz w:val="22"/>
          <w:szCs w:val="28"/>
          <w:highlight w:val="none"/>
        </w:rPr>
        <w:t xml:space="preserve">年</w:t>
      </w:r>
      <w:r>
        <w:rPr>
          <w:rFonts w:ascii="方正小标宋简体" w:hAnsi="方正小标宋简体" w:eastAsia="方正小标宋简体" w:cs="方正小标宋简体"/>
          <w:sz w:val="22"/>
          <w:szCs w:val="28"/>
          <w:highlight w:val="none"/>
        </w:rPr>
        <w:t xml:space="preserve">XX</w:t>
      </w:r>
      <w:r>
        <w:rPr>
          <w:rFonts w:hint="eastAsia" w:ascii="方正小标宋简体" w:hAnsi="方正小标宋简体" w:eastAsia="方正小标宋简体" w:cs="方正小标宋简体"/>
          <w:sz w:val="22"/>
          <w:szCs w:val="28"/>
          <w:highlight w:val="none"/>
        </w:rPr>
        <w:t xml:space="preserve">月</w:t>
      </w:r>
      <w:r>
        <w:rPr>
          <w:rFonts w:ascii="方正小标宋简体" w:hAnsi="方正小标宋简体" w:eastAsia="方正小标宋简体" w:cs="方正小标宋简体"/>
          <w:sz w:val="22"/>
          <w:szCs w:val="28"/>
          <w:highlight w:val="none"/>
        </w:rPr>
        <w:t xml:space="preserve">XX</w:t>
      </w:r>
      <w:r>
        <w:rPr>
          <w:rFonts w:hint="eastAsia" w:ascii="方正小标宋简体" w:hAnsi="方正小标宋简体" w:eastAsia="方正小标宋简体" w:cs="方正小标宋简体"/>
          <w:sz w:val="22"/>
          <w:szCs w:val="28"/>
          <w:highlight w:val="none"/>
        </w:rPr>
        <w:t xml:space="preserve">日</w:t>
      </w:r>
      <w:r>
        <w:rPr>
          <w:highlight w:val="none"/>
        </w:rPr>
      </w:r>
    </w:p>
    <w:p>
      <w:pPr>
        <w:jc w:val="center"/>
        <w:rPr>
          <w:rFonts w:hint="eastAsia"/>
          <w:highlight w:val="none"/>
        </w:rPr>
      </w:pPr>
      <w:r>
        <w:rPr>
          <w:rFonts w:hint="eastAsia"/>
          <w:highlight w:val="none"/>
        </w:rPr>
      </w:r>
      <w:r>
        <w:rPr>
          <w:highlight w:val="none"/>
        </w:rPr>
      </w:r>
    </w:p>
    <w:tbl>
      <w:tblPr>
        <w:tblStyle w:val="92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highlight w:val="none"/>
              </w:rPr>
            </w:pPr>
            <w:r>
              <w:rPr>
                <w:rFonts w:hint="eastAsia" w:ascii="宋体" w:hAnsi="宋体"/>
                <w:sz w:val="24"/>
                <w:szCs w:val="32"/>
                <w:highlight w:val="none"/>
              </w:rPr>
              <w:t xml:space="preserve">   单位名称</w:t>
            </w:r>
            <w:r>
              <w:rPr>
                <w:highlight w:val="none"/>
              </w:rPr>
            </w:r>
          </w:p>
        </w:tc>
        <w:tc>
          <w:tcPr>
            <w:tcW w:w="2284" w:type="dxa"/>
            <w:vAlign w:val="center"/>
            <w:textDirection w:val="lrTb"/>
            <w:noWrap w:val="false"/>
          </w:tcPr>
          <w:p>
            <w:pPr>
              <w:jc w:val="center"/>
              <w:rPr>
                <w:rFonts w:hint="eastAsia" w:ascii="宋体" w:hAnsi="宋体"/>
                <w:sz w:val="24"/>
                <w:szCs w:val="32"/>
                <w:highlight w:val="none"/>
              </w:rPr>
            </w:pPr>
            <w:r>
              <w:rPr>
                <w:rFonts w:hint="eastAsia" w:ascii="宋体" w:hAnsi="宋体"/>
                <w:sz w:val="24"/>
                <w:szCs w:val="32"/>
                <w:highlight w:val="none"/>
              </w:rPr>
            </w:r>
            <w:r>
              <w:rPr>
                <w:highlight w:val="none"/>
              </w:rP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统一社会信用代码</w:t>
            </w:r>
            <w:r>
              <w:rPr>
                <w:highlight w:val="none"/>
              </w:rPr>
            </w:r>
          </w:p>
        </w:tc>
        <w:tc>
          <w:tcPr>
            <w:tcW w:w="3331" w:type="dxa"/>
            <w:vAlign w:val="center"/>
            <w:textDirection w:val="lrTb"/>
            <w:noWrap w:val="false"/>
          </w:tcPr>
          <w:p>
            <w:pPr>
              <w:ind w:right="-678"/>
              <w:jc w:val="center"/>
              <w:tabs>
                <w:tab w:val="left" w:pos="2320" w:leader="none"/>
              </w:tabs>
              <w:rPr>
                <w:rFonts w:hint="eastAsia" w:ascii="宋体" w:hAnsi="宋体"/>
                <w:highlight w:val="none"/>
              </w:rPr>
            </w:pPr>
            <w:r>
              <w:rPr>
                <w:rFonts w:hint="eastAsia" w:ascii="宋体" w:hAnsi="宋体"/>
                <w:highlight w:val="none"/>
              </w:rPr>
            </w:r>
            <w:r>
              <w:rPr>
                <w:highlight w:val="none"/>
              </w:rPr>
            </w:r>
          </w:p>
        </w:tc>
      </w:tr>
      <w:tr>
        <w:trPr>
          <w:trHeight w:val="567"/>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法定代表人</w:t>
            </w:r>
            <w:r>
              <w:rPr>
                <w:highlight w:val="none"/>
              </w:rPr>
            </w:r>
          </w:p>
        </w:tc>
        <w:tc>
          <w:tcPr>
            <w:tcW w:w="2284" w:type="dxa"/>
            <w:vAlign w:val="center"/>
            <w:textDirection w:val="lrTb"/>
            <w:noWrap w:val="false"/>
          </w:tcPr>
          <w:p>
            <w:pPr>
              <w:jc w:val="center"/>
              <w:rPr>
                <w:rFonts w:hint="eastAsia" w:ascii="宋体" w:hAnsi="宋体"/>
                <w:sz w:val="24"/>
                <w:szCs w:val="32"/>
                <w:highlight w:val="none"/>
              </w:rPr>
            </w:pPr>
            <w:r>
              <w:rPr>
                <w:rFonts w:hint="eastAsia" w:ascii="宋体" w:hAnsi="宋体"/>
                <w:sz w:val="24"/>
                <w:szCs w:val="32"/>
                <w:highlight w:val="none"/>
              </w:rPr>
            </w:r>
            <w:r>
              <w:rPr>
                <w:highlight w:val="none"/>
              </w:rP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联系人</w:t>
            </w:r>
            <w:r>
              <w:rPr>
                <w:highlight w:val="none"/>
              </w:rPr>
            </w:r>
          </w:p>
        </w:tc>
        <w:tc>
          <w:tcPr>
            <w:tcW w:w="3331" w:type="dxa"/>
            <w:vAlign w:val="center"/>
            <w:textDirection w:val="lrTb"/>
            <w:noWrap w:val="false"/>
          </w:tcPr>
          <w:p>
            <w:pPr>
              <w:jc w:val="center"/>
              <w:rPr>
                <w:rFonts w:hint="eastAsia" w:ascii="宋体" w:hAnsi="宋体"/>
                <w:highlight w:val="none"/>
              </w:rPr>
            </w:pPr>
            <w:r>
              <w:rPr>
                <w:rFonts w:hint="eastAsia" w:ascii="宋体" w:hAnsi="宋体"/>
                <w:highlight w:val="none"/>
              </w:rPr>
            </w:r>
            <w:r>
              <w:rPr>
                <w:highlight w:val="none"/>
              </w:rPr>
            </w:r>
          </w:p>
        </w:tc>
      </w:tr>
      <w:tr>
        <w:trPr>
          <w:trHeight w:val="567"/>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联系地址</w:t>
            </w:r>
            <w:r>
              <w:rPr>
                <w:highlight w:val="none"/>
              </w:rPr>
            </w:r>
          </w:p>
        </w:tc>
        <w:tc>
          <w:tcPr>
            <w:tcW w:w="2284" w:type="dxa"/>
            <w:vAlign w:val="center"/>
            <w:textDirection w:val="lrTb"/>
            <w:noWrap w:val="false"/>
          </w:tcPr>
          <w:p>
            <w:pPr>
              <w:jc w:val="center"/>
              <w:rPr>
                <w:rFonts w:hint="eastAsia" w:ascii="宋体" w:hAnsi="宋体"/>
                <w:sz w:val="24"/>
                <w:szCs w:val="32"/>
                <w:highlight w:val="none"/>
              </w:rPr>
            </w:pPr>
            <w:r>
              <w:rPr>
                <w:rFonts w:hint="eastAsia" w:ascii="宋体" w:hAnsi="宋体"/>
                <w:sz w:val="24"/>
                <w:szCs w:val="32"/>
                <w:highlight w:val="none"/>
              </w:rPr>
            </w:r>
            <w:r>
              <w:rPr>
                <w:highlight w:val="none"/>
              </w:rPr>
            </w:r>
          </w:p>
        </w:tc>
        <w:tc>
          <w:tcPr>
            <w:tcW w:w="1833"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联系电话</w:t>
            </w:r>
            <w:r>
              <w:rPr>
                <w:highlight w:val="none"/>
              </w:rPr>
            </w:r>
          </w:p>
        </w:tc>
        <w:tc>
          <w:tcPr>
            <w:tcW w:w="3331" w:type="dxa"/>
            <w:vAlign w:val="center"/>
            <w:textDirection w:val="lrTb"/>
            <w:noWrap w:val="false"/>
          </w:tcPr>
          <w:p>
            <w:pPr>
              <w:jc w:val="center"/>
              <w:rPr>
                <w:rFonts w:hint="eastAsia" w:ascii="宋体" w:hAnsi="宋体"/>
                <w:highlight w:val="none"/>
              </w:rPr>
            </w:pPr>
            <w:r>
              <w:rPr>
                <w:rFonts w:hint="eastAsia" w:ascii="宋体" w:hAnsi="宋体"/>
                <w:highlight w:val="none"/>
              </w:rPr>
            </w:r>
            <w:r>
              <w:rPr>
                <w:highlight w:val="none"/>
              </w:rPr>
            </w:r>
          </w:p>
        </w:tc>
      </w:tr>
      <w:tr>
        <w:trPr>
          <w:trHeight w:val="5560"/>
        </w:trPr>
        <w:tc>
          <w:tcPr>
            <w:tcW w:w="2148" w:type="dxa"/>
            <w:vAlign w:val="center"/>
            <w:textDirection w:val="lrTb"/>
            <w:noWrap w:val="false"/>
          </w:tcPr>
          <w:p>
            <w:pPr>
              <w:jc w:val="center"/>
              <w:rPr>
                <w:rFonts w:ascii="宋体" w:hAnsi="宋体"/>
                <w:sz w:val="24"/>
                <w:szCs w:val="32"/>
                <w:highlight w:val="none"/>
              </w:rPr>
            </w:pPr>
            <w:r>
              <w:rPr>
                <w:rFonts w:hint="eastAsia" w:ascii="宋体" w:hAnsi="宋体"/>
                <w:sz w:val="24"/>
                <w:szCs w:val="32"/>
                <w:highlight w:val="none"/>
              </w:rPr>
              <w:t xml:space="preserve">信用承诺</w:t>
            </w:r>
            <w:r>
              <w:rPr>
                <w:highlight w:val="none"/>
              </w:rPr>
            </w:r>
          </w:p>
        </w:tc>
        <w:tc>
          <w:tcPr>
            <w:gridSpan w:val="3"/>
            <w:tcW w:w="7448" w:type="dxa"/>
            <w:vAlign w:val="center"/>
            <w:textDirection w:val="lrTb"/>
            <w:noWrap w:val="false"/>
          </w:tcPr>
          <w:p>
            <w:pPr>
              <w:ind w:firstLine="420"/>
              <w:rPr>
                <w:rFonts w:hint="eastAsia" w:ascii="宋体" w:hAnsi="宋体"/>
                <w:highlight w:val="none"/>
              </w:rPr>
            </w:pPr>
            <w:r>
              <w:rPr>
                <w:rFonts w:hint="eastAsia" w:ascii="宋体" w:hAnsi="宋体"/>
                <w:highlight w:val="none"/>
              </w:rPr>
              <w:t xml:space="preserve">我公司自愿参加贵中心（公司）组织的本次采购活动，严格遵守《中华人民共和国政府采购法》及相关</w:t>
            </w:r>
            <w:r>
              <w:rPr>
                <w:rFonts w:hint="eastAsia" w:ascii="宋体" w:hAnsi="宋体"/>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highlight w:val="none"/>
              </w:rPr>
            </w:r>
          </w:p>
          <w:p>
            <w:pPr>
              <w:ind w:firstLine="420"/>
              <w:rPr>
                <w:rFonts w:hint="eastAsia" w:ascii="宋体" w:hAnsi="宋体"/>
                <w:highlight w:val="none"/>
              </w:rPr>
            </w:pPr>
            <w:r>
              <w:rPr>
                <w:rFonts w:hint="eastAsia" w:ascii="宋体" w:hAnsi="宋体"/>
                <w:highlight w:val="none"/>
              </w:rPr>
            </w:r>
            <w:r>
              <w:rPr>
                <w:highlight w:val="none"/>
              </w:rPr>
            </w:r>
          </w:p>
          <w:p>
            <w:pPr>
              <w:ind w:firstLine="420"/>
              <w:jc w:val="center"/>
              <w:rPr>
                <w:rFonts w:hint="eastAsia" w:ascii="宋体" w:hAnsi="宋体"/>
                <w:highlight w:val="none"/>
              </w:rPr>
            </w:pPr>
            <w:r>
              <w:rPr>
                <w:rFonts w:hint="eastAsia" w:ascii="宋体" w:hAnsi="宋体"/>
                <w:highlight w:val="none"/>
              </w:rPr>
              <w:t xml:space="preserve">供应商名称（盖章）：</w:t>
            </w:r>
            <w:r>
              <w:rPr>
                <w:highlight w:val="none"/>
              </w:rPr>
            </w:r>
          </w:p>
          <w:p>
            <w:pPr>
              <w:ind w:firstLine="420"/>
              <w:jc w:val="center"/>
              <w:rPr>
                <w:rFonts w:hint="eastAsia" w:ascii="宋体" w:hAnsi="宋体"/>
                <w:highlight w:val="none"/>
              </w:rPr>
            </w:pPr>
            <w:r>
              <w:rPr>
                <w:rFonts w:hint="eastAsia" w:ascii="宋体" w:hAnsi="宋体"/>
                <w:highlight w:val="none"/>
              </w:rPr>
            </w:r>
            <w:r>
              <w:rPr>
                <w:highlight w:val="none"/>
              </w:rPr>
            </w:r>
          </w:p>
          <w:p>
            <w:pPr>
              <w:ind w:firstLine="420"/>
              <w:jc w:val="center"/>
              <w:rPr>
                <w:rFonts w:hint="eastAsia" w:ascii="宋体" w:hAnsi="宋体"/>
                <w:highlight w:val="none"/>
              </w:rPr>
            </w:pPr>
            <w:r>
              <w:rPr>
                <w:rFonts w:hint="eastAsia" w:ascii="宋体" w:hAnsi="宋体"/>
                <w:highlight w:val="none"/>
              </w:rPr>
              <w:t xml:space="preserve">法定代表人（签字）：</w:t>
            </w:r>
            <w:r>
              <w:rPr>
                <w:highlight w:val="none"/>
              </w:rPr>
            </w:r>
          </w:p>
          <w:p>
            <w:pPr>
              <w:ind w:firstLine="420"/>
              <w:jc w:val="center"/>
              <w:rPr>
                <w:rFonts w:hint="eastAsia" w:ascii="宋体" w:hAnsi="宋体"/>
                <w:highlight w:val="none"/>
              </w:rPr>
            </w:pPr>
            <w:r>
              <w:rPr>
                <w:rFonts w:hint="eastAsia" w:ascii="宋体" w:hAnsi="宋体"/>
                <w:highlight w:val="none"/>
              </w:rPr>
            </w:r>
            <w:r>
              <w:rPr>
                <w:highlight w:val="none"/>
              </w:rPr>
            </w:r>
          </w:p>
          <w:p>
            <w:pPr>
              <w:ind w:firstLine="420"/>
              <w:jc w:val="center"/>
              <w:rPr>
                <w:rFonts w:ascii="宋体" w:hAnsi="宋体"/>
                <w:highlight w:val="none"/>
              </w:rPr>
            </w:pPr>
            <w:r>
              <w:rPr>
                <w:rFonts w:hint="eastAsia" w:ascii="宋体" w:hAnsi="宋体"/>
                <w:highlight w:val="none"/>
              </w:rPr>
              <w:t xml:space="preserve">XXXX年XX月XX日</w:t>
            </w:r>
            <w:r>
              <w:rPr>
                <w:highlight w:val="none"/>
              </w:rPr>
            </w:r>
          </w:p>
        </w:tc>
      </w:tr>
    </w:tbl>
    <w:p>
      <w:pPr>
        <w:jc w:val="center"/>
        <w:rPr>
          <w:rFonts w:hint="eastAsia" w:ascii="宋体" w:hAnsi="宋体"/>
          <w:highlight w:val="none"/>
        </w:rPr>
      </w:pPr>
      <w:r>
        <w:rPr>
          <w:rFonts w:hint="eastAsia" w:ascii="宋体" w:hAnsi="宋体"/>
          <w:highlight w:val="none"/>
        </w:rPr>
      </w:r>
      <w:r>
        <w:rPr>
          <w:highlight w:val="none"/>
        </w:rPr>
      </w:r>
    </w:p>
    <w:p>
      <w:pPr>
        <w:jc w:val="center"/>
        <w:rPr>
          <w:rFonts w:hint="eastAsia" w:ascii="宋体" w:hAnsi="宋体"/>
          <w:highlight w:val="none"/>
        </w:rPr>
      </w:pPr>
      <w:r>
        <w:rPr>
          <w:rFonts w:hint="eastAsia" w:ascii="宋体" w:hAnsi="宋体"/>
          <w:highlight w:val="none"/>
        </w:rPr>
      </w:r>
      <w:r>
        <w:rPr>
          <w:highlight w:val="none"/>
        </w:rPr>
      </w:r>
    </w:p>
    <w:p>
      <w:pPr>
        <w:jc w:val="left"/>
        <w:widowControl/>
        <w:rPr>
          <w:rFonts w:ascii="宋体" w:hAnsi="宋体" w:cs="宋体"/>
          <w:color w:val="000000"/>
          <w:sz w:val="24"/>
          <w:highlight w:val="none"/>
        </w:rPr>
      </w:pPr>
      <w:r>
        <w:rPr>
          <w:rFonts w:ascii="宋体" w:hAnsi="宋体"/>
          <w:highlight w:val="none"/>
        </w:rPr>
        <w:br w:type="page" w:clear="all"/>
      </w:r>
      <w:r>
        <w:rPr>
          <w:highlight w:val="none"/>
        </w:rPr>
      </w:r>
    </w:p>
    <w:p>
      <w:pPr>
        <w:jc w:val="center"/>
        <w:keepLines/>
        <w:keepNext/>
        <w:spacing w:before="260" w:line="276" w:lineRule="auto"/>
        <w:rPr>
          <w:rFonts w:ascii="宋体" w:hAnsi="宋体" w:cs="宋体"/>
          <w:color w:val="000000"/>
          <w:sz w:val="32"/>
          <w:szCs w:val="32"/>
          <w:highlight w:val="none"/>
        </w:rPr>
        <w:outlineLvl w:val="1"/>
      </w:pPr>
      <w:r>
        <w:rPr>
          <w:highlight w:val="none"/>
        </w:rPr>
      </w:r>
      <w:bookmarkStart w:id="210" w:name="_Toc238220201"/>
      <w:r>
        <w:rPr>
          <w:rFonts w:hint="eastAsia" w:ascii="宋体" w:hAnsi="宋体" w:cs="宋体"/>
          <w:color w:val="000000"/>
          <w:sz w:val="32"/>
          <w:szCs w:val="32"/>
          <w:highlight w:val="none"/>
        </w:rPr>
        <w:t xml:space="preserve">十六、投标人认为需要提供的其它资料</w:t>
      </w:r>
      <w:bookmarkEnd w:id="210"/>
      <w:r>
        <w:rPr>
          <w:highlight w:val="none"/>
        </w:rPr>
      </w:r>
      <w:r>
        <w:rPr>
          <w:highlight w:val="none"/>
        </w:rPr>
      </w:r>
    </w:p>
    <w:p>
      <w:pPr>
        <w:jc w:val="center"/>
        <w:spacing w:line="276"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（评分标准或招标文件中要求提供的材料，格式自拟）</w:t>
      </w:r>
      <w:r>
        <w:rPr>
          <w:highlight w:val="none"/>
        </w:rPr>
      </w:r>
    </w:p>
    <w:p>
      <w:p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例如：</w:t>
      </w:r>
      <w:r>
        <w:rPr>
          <w:highlight w:val="none"/>
        </w:rPr>
      </w:r>
    </w:p>
    <w:p>
      <w:pPr>
        <w:numPr>
          <w:ilvl w:val="0"/>
          <w:numId w:val="7"/>
        </w:num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《第四章采购需求》维保服务要求内提及的佐证材料或承诺书</w:t>
      </w:r>
      <w:r>
        <w:rPr>
          <w:highlight w:val="none"/>
        </w:rPr>
      </w:r>
    </w:p>
    <w:p>
      <w:pPr>
        <w:numPr>
          <w:ilvl w:val="0"/>
          <w:numId w:val="7"/>
        </w:numPr>
        <w:jc w:val="left"/>
        <w:keepLines/>
        <w:keepNext/>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其他</w:t>
      </w:r>
      <w:r>
        <w:rPr>
          <w:highlight w:val="none"/>
        </w:rPr>
      </w:r>
    </w:p>
    <w:p>
      <w:pPr>
        <w:spacing w:line="276" w:lineRule="auto"/>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highlight w:val="none"/>
        </w:rPr>
      </w:r>
    </w:p>
    <w:p>
      <w:pPr>
        <w:jc w:val="center"/>
        <w:spacing w:line="276" w:lineRule="auto"/>
        <w:rPr>
          <w:rFonts w:ascii="宋体" w:hAnsi="宋体" w:cs="仿宋"/>
          <w:b/>
          <w:bCs/>
          <w:color w:val="000000"/>
          <w:sz w:val="32"/>
          <w:szCs w:val="32"/>
          <w:highlight w:val="none"/>
        </w:rPr>
        <w:outlineLvl w:val="1"/>
      </w:pPr>
      <w:r>
        <w:rPr>
          <w:highlight w:val="none"/>
        </w:rPr>
      </w:r>
      <w:bookmarkStart w:id="211" w:name="_Toc238220202"/>
      <w:r>
        <w:rPr>
          <w:rFonts w:hint="eastAsia" w:ascii="宋体" w:hAnsi="宋体" w:cs="仿宋"/>
          <w:b/>
          <w:bCs/>
          <w:color w:val="000000"/>
          <w:sz w:val="32"/>
          <w:szCs w:val="32"/>
          <w:highlight w:val="none"/>
        </w:rPr>
        <w:t xml:space="preserve">质疑函范本</w:t>
      </w:r>
      <w:bookmarkEnd w:id="211"/>
      <w:r>
        <w:rPr>
          <w:highlight w:val="none"/>
        </w:rPr>
      </w:r>
      <w:r>
        <w:rPr>
          <w:highlight w:val="none"/>
        </w:rPr>
      </w:r>
    </w:p>
    <w:p>
      <w:pPr>
        <w:spacing w:before="290"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highlight w:val="none"/>
        </w:rPr>
      </w:r>
    </w:p>
    <w:p>
      <w:pPr>
        <w:spacing w:line="276" w:lineRule="auto"/>
        <w:rPr>
          <w:rFonts w:ascii="宋体" w:hAnsi="宋体" w:cs="仿宋"/>
          <w:color w:val="000000"/>
          <w:sz w:val="24"/>
          <w:highlight w:val="none"/>
        </w:rPr>
      </w:pPr>
      <w:r>
        <w:rPr>
          <w:rFonts w:hint="eastAsia" w:ascii="宋体" w:hAnsi="宋体" w:cs="仿宋"/>
          <w:color w:val="000000"/>
          <w:sz w:val="24"/>
          <w:highlight w:val="none"/>
        </w:rPr>
        <w:t xml:space="preserve">……</w:t>
      </w:r>
      <w:r>
        <w:rPr>
          <w:highlight w:val="none"/>
        </w:rPr>
      </w:r>
    </w:p>
    <w:p>
      <w:pPr>
        <w:spacing w:line="276"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highlight w:val="none"/>
        </w:rPr>
      </w:r>
    </w:p>
    <w:p>
      <w:pPr>
        <w:spacing w:line="276"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highlight w:val="none"/>
        </w:rPr>
      </w:r>
    </w:p>
    <w:p>
      <w:pPr>
        <w:spacing w:line="276" w:lineRule="auto"/>
        <w:rPr>
          <w:rFonts w:ascii="宋体" w:hAnsi="宋体"/>
          <w:color w:val="000000"/>
          <w:sz w:val="24"/>
          <w:highlight w:val="none"/>
        </w:rPr>
      </w:pPr>
      <w:r>
        <w:rPr>
          <w:rFonts w:hint="eastAsia" w:ascii="宋体" w:hAnsi="宋体"/>
          <w:color w:val="000000"/>
          <w:sz w:val="24"/>
          <w:highlight w:val="none"/>
        </w:rPr>
        <w:t xml:space="preserve">签字(签章)：                   公章：                      </w:t>
      </w:r>
      <w:r>
        <w:rPr>
          <w:highlight w:val="none"/>
        </w:rPr>
      </w:r>
    </w:p>
    <w:p>
      <w:pPr>
        <w:spacing w:line="276" w:lineRule="auto"/>
        <w:rPr>
          <w:rFonts w:ascii="宋体" w:hAnsi="宋体"/>
          <w:color w:val="000000"/>
          <w:sz w:val="24"/>
          <w:highlight w:val="none"/>
        </w:rPr>
      </w:pPr>
      <w:r>
        <w:rPr>
          <w:rFonts w:hint="eastAsia" w:ascii="宋体" w:hAnsi="宋体"/>
          <w:color w:val="000000"/>
          <w:sz w:val="24"/>
          <w:highlight w:val="none"/>
        </w:rPr>
        <w:t xml:space="preserve">日期：    </w:t>
      </w:r>
      <w:r>
        <w:rPr>
          <w:highlight w:val="none"/>
        </w:rPr>
      </w:r>
    </w:p>
    <w:p>
      <w:pPr>
        <w:spacing w:line="276" w:lineRule="auto"/>
        <w:rPr>
          <w:rFonts w:ascii="宋体" w:hAnsi="宋体"/>
          <w:b/>
          <w:color w:val="000000"/>
          <w:sz w:val="24"/>
          <w:highlight w:val="none"/>
        </w:rPr>
      </w:pPr>
      <w:r>
        <w:rPr>
          <w:rFonts w:hint="eastAsia" w:ascii="宋体" w:hAnsi="宋体"/>
          <w:b/>
          <w:color w:val="000000"/>
          <w:sz w:val="24"/>
          <w:highlight w:val="none"/>
        </w:rPr>
        <w:t xml:space="preserve">质疑函制作说明：</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highlight w:val="none"/>
        </w:rPr>
      </w:r>
    </w:p>
    <w:p>
      <w:pPr>
        <w:ind w:firstLine="480"/>
        <w:jc w:val="left"/>
        <w:spacing w:line="276" w:lineRule="auto"/>
        <w:widowControl/>
        <w:rPr>
          <w:rFonts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sectPr>
      <w:footerReference w:type="default" r:id="rId14"/>
      <w:footnotePr/>
      <w:endnotePr/>
      <w:type w:val="nextPage"/>
      <w:pgSz w:w="11906" w:h="16838" w:orient="portrait"/>
      <w:pgMar w:top="1560"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 w:name="宋体">
    <w:panose1 w:val="02010600030101010101"/>
  </w:font>
  <w:font w:name="华文仿宋">
    <w:panose1 w:val="02010600040101010101"/>
  </w:font>
  <w:font w:name="Calibri">
    <w:panose1 w:val="020F0502020204030204"/>
  </w:font>
  <w:font w:name="Batang">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44</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44</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Pr>
        <w:rFonts w:hint="eastAsia"/>
      </w:rPr>
      <w:t xml:space="preserve">第</w:t>
    </w:r>
    <w:r>
      <w:fldChar w:fldCharType="begin"/>
    </w:r>
    <w:r>
      <w:rPr>
        <w:rStyle w:val="949"/>
      </w:rPr>
      <w:instrText xml:space="preserve"> PAGE </w:instrText>
    </w:r>
    <w:r>
      <w:fldChar w:fldCharType="separate"/>
    </w:r>
    <w:r>
      <w:rPr>
        <w:rStyle w:val="949"/>
      </w:rPr>
      <w:t xml:space="preserve">22</w:t>
    </w:r>
    <w:r>
      <w:fldChar w:fldCharType="end"/>
    </w:r>
    <w:r>
      <w:rPr>
        <w:rStyle w:val="949"/>
        <w:rFonts w:hint="eastAsia"/>
      </w:rPr>
      <w:t xml:space="preserve">页，共</w:t>
    </w:r>
    <w:r>
      <w:fldChar w:fldCharType="begin"/>
    </w:r>
    <w:r>
      <w:rPr>
        <w:rStyle w:val="949"/>
      </w:rPr>
      <w:instrText xml:space="preserve"> NUMPAGES </w:instrText>
    </w:r>
    <w:r>
      <w:fldChar w:fldCharType="separate"/>
    </w:r>
    <w:r>
      <w:rPr>
        <w:rStyle w:val="949"/>
      </w:rPr>
      <w:t xml:space="preserve">44</w:t>
    </w:r>
    <w:r>
      <w:fldChar w:fldCharType="end"/>
    </w:r>
    <w:r>
      <w:rPr>
        <w:rStyle w:val="949"/>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Pr>
        <w:rFonts w:hint="eastAsia" w:eastAsia="华文行楷"/>
        <w:sz w:val="24"/>
      </w:rPr>
      <w:t xml:space="preserve">江苏海事大厦智能化系统招标文件</w:t>
    </w:r>
    <w:r/>
  </w:p>
  <w:p>
    <w:pPr>
      <w:pStyle w:val="93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5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upperLetter"/>
      <w:pStyle w:val="91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77"/>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19"/>
      <w:isLgl w:val="false"/>
      <w:suff w:val="tab"/>
      <w:lvlText w:val="%1.%2."/>
      <w:lvlJc w:val="left"/>
      <w:pPr>
        <w:ind w:left="747" w:hanging="567"/>
        <w:tabs>
          <w:tab w:val="left" w:pos="747" w:leader="none"/>
        </w:tabs>
      </w:pPr>
      <w:rPr>
        <w:rFonts w:cs="Times New Roman"/>
      </w:rPr>
    </w:lvl>
    <w:lvl w:ilvl="2">
      <w:start w:val="1"/>
      <w:numFmt w:val="decimal"/>
      <w:pStyle w:val="92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2"/>
  </w:num>
  <w:num w:numId="2">
    <w:abstractNumId w:val="6"/>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923"/>
    <w:link w:val="918"/>
    <w:uiPriority w:val="9"/>
    <w:rPr>
      <w:rFonts w:ascii="Arial" w:hAnsi="Arial" w:eastAsia="Arial" w:cs="Arial"/>
      <w:sz w:val="40"/>
      <w:szCs w:val="40"/>
    </w:rPr>
  </w:style>
  <w:style w:type="character" w:styleId="756">
    <w:name w:val="Heading 2 Char"/>
    <w:basedOn w:val="923"/>
    <w:link w:val="919"/>
    <w:uiPriority w:val="9"/>
    <w:rPr>
      <w:rFonts w:ascii="Arial" w:hAnsi="Arial" w:eastAsia="Arial" w:cs="Arial"/>
      <w:sz w:val="34"/>
    </w:rPr>
  </w:style>
  <w:style w:type="character" w:styleId="757">
    <w:name w:val="Heading 3 Char"/>
    <w:basedOn w:val="923"/>
    <w:link w:val="920"/>
    <w:uiPriority w:val="9"/>
    <w:rPr>
      <w:rFonts w:ascii="Arial" w:hAnsi="Arial" w:eastAsia="Arial" w:cs="Arial"/>
      <w:sz w:val="30"/>
      <w:szCs w:val="30"/>
    </w:rPr>
  </w:style>
  <w:style w:type="character" w:styleId="758">
    <w:name w:val="Heading 4 Char"/>
    <w:basedOn w:val="923"/>
    <w:link w:val="921"/>
    <w:uiPriority w:val="9"/>
    <w:rPr>
      <w:rFonts w:ascii="Arial" w:hAnsi="Arial" w:eastAsia="Arial" w:cs="Arial"/>
      <w:b/>
      <w:bCs/>
      <w:sz w:val="26"/>
      <w:szCs w:val="26"/>
    </w:rPr>
  </w:style>
  <w:style w:type="character" w:styleId="759">
    <w:name w:val="Heading 5 Char"/>
    <w:basedOn w:val="923"/>
    <w:link w:val="922"/>
    <w:uiPriority w:val="9"/>
    <w:rPr>
      <w:rFonts w:ascii="Arial" w:hAnsi="Arial" w:eastAsia="Arial" w:cs="Arial"/>
      <w:b/>
      <w:bCs/>
      <w:sz w:val="24"/>
      <w:szCs w:val="24"/>
    </w:rPr>
  </w:style>
  <w:style w:type="paragraph" w:styleId="760">
    <w:name w:val="Heading 6"/>
    <w:basedOn w:val="917"/>
    <w:next w:val="917"/>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3"/>
    <w:link w:val="760"/>
    <w:uiPriority w:val="9"/>
    <w:rPr>
      <w:rFonts w:ascii="Arial" w:hAnsi="Arial" w:eastAsia="Arial" w:cs="Arial"/>
      <w:b/>
      <w:bCs/>
      <w:sz w:val="22"/>
      <w:szCs w:val="22"/>
    </w:rPr>
  </w:style>
  <w:style w:type="paragraph" w:styleId="762">
    <w:name w:val="Heading 7"/>
    <w:basedOn w:val="917"/>
    <w:next w:val="917"/>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3"/>
    <w:link w:val="762"/>
    <w:uiPriority w:val="9"/>
    <w:rPr>
      <w:rFonts w:ascii="Arial" w:hAnsi="Arial" w:eastAsia="Arial" w:cs="Arial"/>
      <w:b/>
      <w:bCs/>
      <w:i/>
      <w:iCs/>
      <w:sz w:val="22"/>
      <w:szCs w:val="22"/>
    </w:rPr>
  </w:style>
  <w:style w:type="paragraph" w:styleId="764">
    <w:name w:val="Heading 8"/>
    <w:basedOn w:val="917"/>
    <w:next w:val="917"/>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3"/>
    <w:link w:val="764"/>
    <w:uiPriority w:val="9"/>
    <w:rPr>
      <w:rFonts w:ascii="Arial" w:hAnsi="Arial" w:eastAsia="Arial" w:cs="Arial"/>
      <w:i/>
      <w:iCs/>
      <w:sz w:val="22"/>
      <w:szCs w:val="22"/>
    </w:rPr>
  </w:style>
  <w:style w:type="paragraph" w:styleId="766">
    <w:name w:val="Heading 9"/>
    <w:basedOn w:val="917"/>
    <w:next w:val="917"/>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3"/>
    <w:link w:val="766"/>
    <w:uiPriority w:val="9"/>
    <w:rPr>
      <w:rFonts w:ascii="Arial" w:hAnsi="Arial" w:eastAsia="Arial" w:cs="Arial"/>
      <w:i/>
      <w:iCs/>
      <w:sz w:val="21"/>
      <w:szCs w:val="21"/>
    </w:rPr>
  </w:style>
  <w:style w:type="character" w:styleId="768">
    <w:name w:val="Title Char"/>
    <w:basedOn w:val="923"/>
    <w:link w:val="944"/>
    <w:uiPriority w:val="10"/>
    <w:rPr>
      <w:sz w:val="48"/>
      <w:szCs w:val="48"/>
    </w:rPr>
  </w:style>
  <w:style w:type="paragraph" w:styleId="769">
    <w:name w:val="Subtitle"/>
    <w:basedOn w:val="917"/>
    <w:next w:val="917"/>
    <w:link w:val="770"/>
    <w:uiPriority w:val="11"/>
    <w:qFormat/>
    <w:pPr>
      <w:spacing w:before="200" w:after="200"/>
    </w:pPr>
    <w:rPr>
      <w:sz w:val="24"/>
      <w:szCs w:val="24"/>
    </w:rPr>
  </w:style>
  <w:style w:type="character" w:styleId="770">
    <w:name w:val="Subtitle Char"/>
    <w:basedOn w:val="923"/>
    <w:link w:val="769"/>
    <w:uiPriority w:val="11"/>
    <w:rPr>
      <w:sz w:val="24"/>
      <w:szCs w:val="24"/>
    </w:rPr>
  </w:style>
  <w:style w:type="paragraph" w:styleId="771">
    <w:name w:val="Quote"/>
    <w:basedOn w:val="917"/>
    <w:next w:val="917"/>
    <w:link w:val="772"/>
    <w:uiPriority w:val="29"/>
    <w:qFormat/>
    <w:pPr>
      <w:ind w:left="720" w:right="720"/>
    </w:pPr>
    <w:rPr>
      <w:i/>
    </w:rPr>
  </w:style>
  <w:style w:type="character" w:styleId="772">
    <w:name w:val="Quote Char"/>
    <w:link w:val="771"/>
    <w:uiPriority w:val="29"/>
    <w:rPr>
      <w:i/>
    </w:rPr>
  </w:style>
  <w:style w:type="paragraph" w:styleId="773">
    <w:name w:val="Intense Quote"/>
    <w:basedOn w:val="917"/>
    <w:next w:val="917"/>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38"/>
    <w:uiPriority w:val="99"/>
  </w:style>
  <w:style w:type="character" w:styleId="776">
    <w:name w:val="Footer Char"/>
    <w:basedOn w:val="923"/>
    <w:link w:val="937"/>
    <w:uiPriority w:val="99"/>
  </w:style>
  <w:style w:type="paragraph" w:styleId="777">
    <w:name w:val="Caption"/>
    <w:basedOn w:val="917"/>
    <w:next w:val="917"/>
    <w:uiPriority w:val="35"/>
    <w:semiHidden/>
    <w:unhideWhenUsed/>
    <w:qFormat/>
    <w:pPr>
      <w:spacing w:line="276" w:lineRule="auto"/>
    </w:pPr>
    <w:rPr>
      <w:b/>
      <w:bCs/>
      <w:color w:val="4f81bd" w:themeColor="accent1"/>
      <w:sz w:val="18"/>
      <w:szCs w:val="18"/>
    </w:rPr>
  </w:style>
  <w:style w:type="character" w:styleId="778">
    <w:name w:val="Caption Char"/>
    <w:basedOn w:val="777"/>
    <w:link w:val="937"/>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0"/>
    <w:uiPriority w:val="99"/>
    <w:rPr>
      <w:sz w:val="18"/>
    </w:rPr>
  </w:style>
  <w:style w:type="character" w:styleId="905">
    <w:name w:val="footnote reference"/>
    <w:basedOn w:val="923"/>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8">
    <w:name w:val="Heading 1"/>
    <w:basedOn w:val="917"/>
    <w:next w:val="917"/>
    <w:link w:val="957"/>
    <w:uiPriority w:val="99"/>
    <w:qFormat/>
    <w:pPr>
      <w:numPr>
        <w:ilvl w:val="0"/>
        <w:numId w:val="1"/>
      </w:numPr>
      <w:keepNext/>
      <w:outlineLvl w:val="0"/>
    </w:pPr>
    <w:rPr>
      <w:rFonts w:eastAsia="黑体"/>
      <w:b/>
      <w:sz w:val="28"/>
      <w:szCs w:val="20"/>
    </w:rPr>
  </w:style>
  <w:style w:type="paragraph" w:styleId="919">
    <w:name w:val="Heading 2"/>
    <w:basedOn w:val="917"/>
    <w:next w:val="917"/>
    <w:link w:val="958"/>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20">
    <w:name w:val="Heading 3"/>
    <w:basedOn w:val="917"/>
    <w:next w:val="925"/>
    <w:link w:val="959"/>
    <w:uiPriority w:val="99"/>
    <w:qFormat/>
    <w:pPr>
      <w:numPr>
        <w:ilvl w:val="2"/>
        <w:numId w:val="2"/>
      </w:numPr>
      <w:jc w:val="center"/>
      <w:keepNext/>
      <w:spacing w:line="400" w:lineRule="exact"/>
      <w:outlineLvl w:val="2"/>
    </w:pPr>
    <w:rPr>
      <w:rFonts w:ascii="仿宋_GB2312" w:eastAsia="仿宋_GB2312"/>
      <w:sz w:val="32"/>
      <w:szCs w:val="20"/>
    </w:rPr>
  </w:style>
  <w:style w:type="paragraph" w:styleId="921">
    <w:name w:val="Heading 4"/>
    <w:basedOn w:val="917"/>
    <w:next w:val="917"/>
    <w:link w:val="960"/>
    <w:uiPriority w:val="99"/>
    <w:qFormat/>
    <w:pPr>
      <w:keepLines/>
      <w:keepNext/>
      <w:spacing w:before="280" w:after="290" w:line="376" w:lineRule="auto"/>
      <w:outlineLvl w:val="3"/>
    </w:pPr>
    <w:rPr>
      <w:rFonts w:ascii="Cambria" w:hAnsi="Cambria"/>
      <w:b/>
      <w:bCs/>
      <w:sz w:val="28"/>
      <w:szCs w:val="28"/>
    </w:rPr>
  </w:style>
  <w:style w:type="paragraph" w:styleId="922">
    <w:name w:val="Heading 5"/>
    <w:basedOn w:val="917"/>
    <w:next w:val="917"/>
    <w:link w:val="961"/>
    <w:uiPriority w:val="99"/>
    <w:qFormat/>
    <w:pPr>
      <w:keepLines/>
      <w:keepNext/>
      <w:spacing w:before="280" w:after="290" w:line="376" w:lineRule="auto"/>
      <w:outlineLvl w:val="4"/>
    </w:pPr>
    <w:rPr>
      <w:b/>
      <w:bCs/>
      <w:sz w:val="28"/>
      <w:szCs w:val="28"/>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Normal Indent"/>
    <w:basedOn w:val="917"/>
    <w:uiPriority w:val="99"/>
    <w:qFormat/>
    <w:pPr>
      <w:ind w:firstLine="420"/>
      <w:jc w:val="left"/>
      <w:widowControl/>
    </w:pPr>
    <w:rPr>
      <w:sz w:val="20"/>
      <w:szCs w:val="20"/>
    </w:rPr>
  </w:style>
  <w:style w:type="paragraph" w:styleId="926">
    <w:name w:val="annotation text"/>
    <w:basedOn w:val="917"/>
    <w:link w:val="1028"/>
    <w:uiPriority w:val="99"/>
    <w:unhideWhenUsed/>
    <w:qFormat/>
    <w:pPr>
      <w:jc w:val="left"/>
    </w:pPr>
  </w:style>
  <w:style w:type="paragraph" w:styleId="927">
    <w:name w:val="Body Text 3"/>
    <w:basedOn w:val="917"/>
    <w:link w:val="963"/>
    <w:uiPriority w:val="99"/>
    <w:qFormat/>
    <w:pPr>
      <w:jc w:val="left"/>
      <w:spacing w:line="300" w:lineRule="auto"/>
      <w:widowControl/>
    </w:pPr>
    <w:rPr>
      <w:sz w:val="16"/>
      <w:szCs w:val="16"/>
    </w:rPr>
  </w:style>
  <w:style w:type="paragraph" w:styleId="928">
    <w:name w:val="Body Text"/>
    <w:basedOn w:val="917"/>
    <w:link w:val="975"/>
    <w:uiPriority w:val="99"/>
    <w:qFormat/>
    <w:pPr>
      <w:ind w:firstLine="285"/>
      <w:spacing w:after="120" w:line="360" w:lineRule="auto"/>
    </w:pPr>
    <w:rPr>
      <w:rFonts w:ascii="宋体" w:hAnsi="宋体" w:cs="宋体"/>
      <w:b/>
      <w:szCs w:val="21"/>
      <w:u w:val="single"/>
    </w:rPr>
  </w:style>
  <w:style w:type="paragraph" w:styleId="929">
    <w:name w:val="Body Text Indent"/>
    <w:basedOn w:val="917"/>
    <w:link w:val="967"/>
    <w:uiPriority w:val="99"/>
    <w:qFormat/>
    <w:pPr>
      <w:ind w:firstLine="420"/>
    </w:pPr>
    <w:rPr>
      <w:sz w:val="24"/>
      <w:shd w:val="pct10" w:color="auto" w:fill="ffffff"/>
    </w:rPr>
  </w:style>
  <w:style w:type="paragraph" w:styleId="930">
    <w:name w:val="Block Text"/>
    <w:basedOn w:val="917"/>
    <w:uiPriority w:val="99"/>
    <w:qFormat/>
    <w:pPr>
      <w:ind w:left="113" w:right="113"/>
      <w:jc w:val="center"/>
    </w:pPr>
    <w:rPr>
      <w:b/>
      <w:bCs/>
      <w:sz w:val="18"/>
      <w:szCs w:val="20"/>
    </w:rPr>
  </w:style>
  <w:style w:type="paragraph" w:styleId="931">
    <w:name w:val="index 4"/>
    <w:basedOn w:val="917"/>
    <w:next w:val="917"/>
    <w:uiPriority w:val="99"/>
    <w:unhideWhenUsed/>
    <w:qFormat/>
    <w:pPr>
      <w:ind w:left="600"/>
    </w:pPr>
    <w:rPr>
      <w:rFonts w:asciiTheme="minorHAnsi" w:hAnsiTheme="minorHAnsi" w:eastAsiaTheme="minorEastAsia" w:cstheme="minorBidi"/>
      <w:szCs w:val="22"/>
    </w:rPr>
  </w:style>
  <w:style w:type="paragraph" w:styleId="932">
    <w:name w:val="toc 3"/>
    <w:basedOn w:val="917"/>
    <w:next w:val="917"/>
    <w:uiPriority w:val="39"/>
    <w:qFormat/>
    <w:pPr>
      <w:ind w:left="840"/>
    </w:pPr>
  </w:style>
  <w:style w:type="paragraph" w:styleId="933">
    <w:name w:val="Plain Text"/>
    <w:basedOn w:val="917"/>
    <w:link w:val="962"/>
    <w:uiPriority w:val="99"/>
    <w:qFormat/>
    <w:rPr>
      <w:rFonts w:ascii="宋体" w:hAnsi="Courier New"/>
      <w:szCs w:val="21"/>
    </w:rPr>
  </w:style>
  <w:style w:type="paragraph" w:styleId="934">
    <w:name w:val="Date"/>
    <w:basedOn w:val="917"/>
    <w:next w:val="917"/>
    <w:link w:val="974"/>
    <w:uiPriority w:val="99"/>
    <w:qFormat/>
    <w:pPr>
      <w:ind w:left="100"/>
    </w:pPr>
    <w:rPr>
      <w:sz w:val="24"/>
    </w:rPr>
  </w:style>
  <w:style w:type="paragraph" w:styleId="935">
    <w:name w:val="Body Text Indent 2"/>
    <w:basedOn w:val="917"/>
    <w:link w:val="969"/>
    <w:uiPriority w:val="99"/>
    <w:qFormat/>
    <w:pPr>
      <w:ind w:left="420"/>
      <w:spacing w:after="120" w:line="480" w:lineRule="auto"/>
    </w:pPr>
    <w:rPr>
      <w:sz w:val="24"/>
    </w:rPr>
  </w:style>
  <w:style w:type="paragraph" w:styleId="936">
    <w:name w:val="Balloon Text"/>
    <w:basedOn w:val="917"/>
    <w:link w:val="1003"/>
    <w:uiPriority w:val="99"/>
    <w:qFormat/>
    <w:rPr>
      <w:sz w:val="18"/>
      <w:szCs w:val="18"/>
    </w:rPr>
  </w:style>
  <w:style w:type="paragraph" w:styleId="937">
    <w:name w:val="Footer"/>
    <w:basedOn w:val="917"/>
    <w:link w:val="964"/>
    <w:uiPriority w:val="0"/>
    <w:qFormat/>
    <w:pPr>
      <w:jc w:val="left"/>
      <w:widowControl/>
      <w:tabs>
        <w:tab w:val="center" w:pos="4153" w:leader="none"/>
        <w:tab w:val="right" w:pos="8306" w:leader="none"/>
      </w:tabs>
    </w:pPr>
    <w:rPr>
      <w:sz w:val="18"/>
      <w:szCs w:val="18"/>
    </w:rPr>
  </w:style>
  <w:style w:type="paragraph" w:styleId="938">
    <w:name w:val="Header"/>
    <w:basedOn w:val="917"/>
    <w:link w:val="965"/>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39">
    <w:name w:val="toc 1"/>
    <w:basedOn w:val="917"/>
    <w:next w:val="917"/>
    <w:uiPriority w:val="39"/>
    <w:qFormat/>
  </w:style>
  <w:style w:type="paragraph" w:styleId="940">
    <w:name w:val="footnote text"/>
    <w:basedOn w:val="917"/>
    <w:link w:val="1036"/>
    <w:uiPriority w:val="99"/>
    <w:unhideWhenUsed/>
    <w:qFormat/>
    <w:pPr>
      <w:jc w:val="left"/>
    </w:pPr>
    <w:rPr>
      <w:rFonts w:ascii="Calibri" w:hAnsi="Calibri" w:cs="Calibri"/>
      <w:sz w:val="18"/>
      <w:szCs w:val="18"/>
    </w:rPr>
  </w:style>
  <w:style w:type="paragraph" w:styleId="941">
    <w:name w:val="Body Text Indent 3"/>
    <w:basedOn w:val="917"/>
    <w:link w:val="971"/>
    <w:uiPriority w:val="99"/>
    <w:qFormat/>
    <w:pPr>
      <w:ind w:firstLine="412"/>
    </w:pPr>
    <w:rPr>
      <w:sz w:val="16"/>
      <w:szCs w:val="16"/>
    </w:rPr>
  </w:style>
  <w:style w:type="paragraph" w:styleId="942">
    <w:name w:val="toc 2"/>
    <w:basedOn w:val="917"/>
    <w:next w:val="917"/>
    <w:uiPriority w:val="39"/>
    <w:qFormat/>
    <w:pPr>
      <w:ind w:left="420"/>
    </w:pPr>
  </w:style>
  <w:style w:type="paragraph" w:styleId="943">
    <w:name w:val="Normal (Web)"/>
    <w:basedOn w:val="917"/>
    <w:uiPriority w:val="0"/>
    <w:unhideWhenUsed/>
    <w:qFormat/>
    <w:pPr>
      <w:jc w:val="left"/>
      <w:spacing w:before="100" w:beforeAutospacing="1" w:after="100" w:afterAutospacing="1"/>
      <w:widowControl/>
    </w:pPr>
    <w:rPr>
      <w:rFonts w:ascii="宋体" w:hAnsi="宋体" w:cs="宋体"/>
      <w:sz w:val="24"/>
    </w:rPr>
  </w:style>
  <w:style w:type="paragraph" w:styleId="944">
    <w:name w:val="Title"/>
    <w:basedOn w:val="917"/>
    <w:next w:val="917"/>
    <w:uiPriority w:val="0"/>
    <w:qFormat/>
    <w:pPr>
      <w:jc w:val="center"/>
      <w:spacing w:before="240" w:after="60"/>
      <w:outlineLvl w:val="0"/>
    </w:pPr>
    <w:rPr>
      <w:rFonts w:asciiTheme="majorHAnsi" w:hAnsiTheme="majorHAnsi" w:eastAsiaTheme="majorEastAsia" w:cstheme="majorBidi"/>
      <w:b/>
      <w:bCs/>
      <w:sz w:val="32"/>
      <w:szCs w:val="32"/>
    </w:rPr>
  </w:style>
  <w:style w:type="paragraph" w:styleId="945">
    <w:name w:val="annotation subject"/>
    <w:basedOn w:val="926"/>
    <w:next w:val="926"/>
    <w:link w:val="1029"/>
    <w:uiPriority w:val="99"/>
    <w:semiHidden/>
    <w:unhideWhenUsed/>
    <w:qFormat/>
    <w:rPr>
      <w:b/>
      <w:bCs/>
    </w:rPr>
  </w:style>
  <w:style w:type="paragraph" w:styleId="946">
    <w:name w:val="Body Text First Indent 2"/>
    <w:basedOn w:val="929"/>
    <w:link w:val="1035"/>
    <w:uiPriority w:val="99"/>
    <w:semiHidden/>
    <w:unhideWhenUsed/>
    <w:qFormat/>
    <w:pPr>
      <w:ind w:left="420"/>
      <w:jc w:val="left"/>
      <w:spacing w:after="120"/>
      <w:widowControl/>
    </w:pPr>
    <w:rPr>
      <w:sz w:val="20"/>
      <w:szCs w:val="20"/>
      <w:shd w:val="clear" w:color="auto" w:fill="auto"/>
    </w:rPr>
  </w:style>
  <w:style w:type="table" w:styleId="947">
    <w:name w:val="Table Grid"/>
    <w:basedOn w:val="92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name w:val="Strong"/>
    <w:uiPriority w:val="0"/>
    <w:qFormat/>
    <w:rPr>
      <w:b/>
      <w:bCs/>
    </w:rPr>
  </w:style>
  <w:style w:type="character" w:styleId="949">
    <w:name w:val="page number"/>
    <w:basedOn w:val="923"/>
    <w:uiPriority w:val="0"/>
    <w:qFormat/>
    <w:rPr>
      <w:rFonts w:cs="Times New Roman"/>
    </w:rPr>
  </w:style>
  <w:style w:type="character" w:styleId="950">
    <w:name w:val="Emphasis"/>
    <w:uiPriority w:val="0"/>
    <w:qFormat/>
    <w:rPr>
      <w:i/>
    </w:rPr>
  </w:style>
  <w:style w:type="character" w:styleId="951">
    <w:name w:val="Hyperlink"/>
    <w:uiPriority w:val="99"/>
    <w:unhideWhenUsed/>
    <w:qFormat/>
    <w:rPr>
      <w:color w:val="0000ff"/>
      <w:u w:val="single"/>
    </w:rPr>
  </w:style>
  <w:style w:type="character" w:styleId="952">
    <w:name w:val="annotation reference"/>
    <w:basedOn w:val="923"/>
    <w:uiPriority w:val="99"/>
    <w:semiHidden/>
    <w:unhideWhenUsed/>
    <w:qFormat/>
    <w:rPr>
      <w:sz w:val="21"/>
      <w:szCs w:val="21"/>
    </w:rPr>
  </w:style>
  <w:style w:type="paragraph" w:styleId="953" w:customStyle="1">
    <w:name w:val="索引 41"/>
    <w:basedOn w:val="917"/>
    <w:next w:val="917"/>
    <w:uiPriority w:val="99"/>
    <w:qFormat/>
    <w:pPr>
      <w:ind w:left="600"/>
    </w:pPr>
    <w:rPr>
      <w:szCs w:val="20"/>
    </w:rPr>
  </w:style>
  <w:style w:type="paragraph" w:styleId="954" w:customStyle="1">
    <w:name w:val="一级条标题"/>
    <w:basedOn w:val="955"/>
    <w:next w:val="956"/>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55" w:customStyle="1">
    <w:name w:val="章标题"/>
    <w:next w:val="91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56" w:customStyle="1">
    <w:name w:val="段"/>
    <w:basedOn w:val="917"/>
    <w:next w:val="917"/>
    <w:uiPriority w:val="0"/>
    <w:qFormat/>
    <w:pPr>
      <w:ind w:firstLine="200"/>
      <w:widowControl/>
    </w:pPr>
    <w:rPr>
      <w:rFonts w:hint="eastAsia" w:ascii="宋体"/>
      <w:szCs w:val="20"/>
    </w:rPr>
  </w:style>
  <w:style w:type="character" w:styleId="957" w:customStyle="1">
    <w:name w:val="标题 1 字符"/>
    <w:link w:val="918"/>
    <w:uiPriority w:val="99"/>
    <w:qFormat/>
    <w:rPr>
      <w:rFonts w:eastAsia="黑体"/>
      <w:b/>
      <w:sz w:val="28"/>
    </w:rPr>
  </w:style>
  <w:style w:type="character" w:styleId="958" w:customStyle="1">
    <w:name w:val="标题 2 字符"/>
    <w:link w:val="919"/>
    <w:uiPriority w:val="99"/>
    <w:qFormat/>
    <w:rPr>
      <w:rFonts w:ascii="Arial" w:hAnsi="Arial" w:eastAsia="黑体"/>
      <w:sz w:val="24"/>
    </w:rPr>
  </w:style>
  <w:style w:type="character" w:styleId="959" w:customStyle="1">
    <w:name w:val="标题 3 字符"/>
    <w:link w:val="920"/>
    <w:uiPriority w:val="99"/>
    <w:qFormat/>
    <w:rPr>
      <w:rFonts w:ascii="仿宋_GB2312" w:eastAsia="仿宋_GB2312"/>
      <w:sz w:val="32"/>
    </w:rPr>
  </w:style>
  <w:style w:type="character" w:styleId="960" w:customStyle="1">
    <w:name w:val="标题 4 字符"/>
    <w:link w:val="921"/>
    <w:uiPriority w:val="99"/>
    <w:semiHidden/>
    <w:qFormat/>
    <w:rPr>
      <w:rFonts w:ascii="Cambria" w:hAnsi="Cambria" w:eastAsia="宋体" w:cs="Times New Roman"/>
      <w:b/>
      <w:bCs/>
      <w:sz w:val="28"/>
      <w:szCs w:val="28"/>
    </w:rPr>
  </w:style>
  <w:style w:type="character" w:styleId="961" w:customStyle="1">
    <w:name w:val="标题 5 字符"/>
    <w:link w:val="922"/>
    <w:uiPriority w:val="99"/>
    <w:semiHidden/>
    <w:qFormat/>
    <w:rPr>
      <w:rFonts w:cs="Times New Roman"/>
      <w:b/>
      <w:bCs/>
      <w:sz w:val="28"/>
      <w:szCs w:val="28"/>
    </w:rPr>
  </w:style>
  <w:style w:type="character" w:styleId="962" w:customStyle="1">
    <w:name w:val="纯文本 字符"/>
    <w:link w:val="933"/>
    <w:uiPriority w:val="99"/>
    <w:qFormat/>
    <w:rPr>
      <w:rFonts w:ascii="宋体" w:hAnsi="Courier New" w:eastAsia="宋体" w:cs="Times New Roman"/>
      <w:sz w:val="21"/>
      <w:szCs w:val="21"/>
      <w:lang w:val="en-US" w:eastAsia="zh-CN" w:bidi="ar-SA"/>
    </w:rPr>
  </w:style>
  <w:style w:type="character" w:styleId="963" w:customStyle="1">
    <w:name w:val="正文文本 3 字符"/>
    <w:link w:val="927"/>
    <w:uiPriority w:val="99"/>
    <w:semiHidden/>
    <w:qFormat/>
    <w:rPr>
      <w:rFonts w:cs="Times New Roman"/>
      <w:sz w:val="16"/>
      <w:szCs w:val="16"/>
    </w:rPr>
  </w:style>
  <w:style w:type="character" w:styleId="964" w:customStyle="1">
    <w:name w:val="页脚 字符"/>
    <w:link w:val="937"/>
    <w:uiPriority w:val="99"/>
    <w:qFormat/>
    <w:rPr>
      <w:rFonts w:cs="Times New Roman"/>
      <w:sz w:val="18"/>
      <w:szCs w:val="18"/>
    </w:rPr>
  </w:style>
  <w:style w:type="character" w:styleId="965" w:customStyle="1">
    <w:name w:val="页眉 字符"/>
    <w:link w:val="938"/>
    <w:uiPriority w:val="99"/>
    <w:semiHidden/>
    <w:qFormat/>
    <w:rPr>
      <w:rFonts w:cs="Times New Roman"/>
      <w:sz w:val="18"/>
      <w:szCs w:val="18"/>
    </w:rPr>
  </w:style>
  <w:style w:type="character" w:styleId="966" w:customStyle="1">
    <w:name w:val="px121"/>
    <w:uiPriority w:val="99"/>
    <w:qFormat/>
    <w:rPr>
      <w:rFonts w:cs="Times New Roman"/>
      <w:spacing w:val="312"/>
    </w:rPr>
  </w:style>
  <w:style w:type="character" w:styleId="967" w:customStyle="1">
    <w:name w:val="正文文本缩进 字符"/>
    <w:link w:val="929"/>
    <w:uiPriority w:val="99"/>
    <w:semiHidden/>
    <w:qFormat/>
    <w:rPr>
      <w:rFonts w:cs="Times New Roman"/>
      <w:sz w:val="24"/>
      <w:szCs w:val="24"/>
    </w:rPr>
  </w:style>
  <w:style w:type="paragraph" w:styleId="968" w:customStyle="1">
    <w:name w:val="表格文字"/>
    <w:basedOn w:val="917"/>
    <w:uiPriority w:val="99"/>
    <w:qFormat/>
    <w:pPr>
      <w:spacing w:before="120"/>
    </w:pPr>
    <w:rPr>
      <w:rFonts w:ascii="Arial Narrow" w:hAnsi="Arial Narrow" w:eastAsia="仿宋_GB2312"/>
      <w:sz w:val="24"/>
      <w:szCs w:val="20"/>
    </w:rPr>
  </w:style>
  <w:style w:type="character" w:styleId="969" w:customStyle="1">
    <w:name w:val="正文文本缩进 2 字符"/>
    <w:link w:val="935"/>
    <w:uiPriority w:val="99"/>
    <w:semiHidden/>
    <w:qFormat/>
    <w:rPr>
      <w:rFonts w:cs="Times New Roman"/>
      <w:sz w:val="24"/>
      <w:szCs w:val="24"/>
    </w:rPr>
  </w:style>
  <w:style w:type="character" w:styleId="970" w:customStyle="1">
    <w:name w:val="Char Char3"/>
    <w:uiPriority w:val="99"/>
    <w:qFormat/>
    <w:rPr>
      <w:rFonts w:ascii="宋体" w:hAnsi="Courier New" w:eastAsia="宋体" w:cs="Times New Roman"/>
      <w:sz w:val="21"/>
      <w:szCs w:val="21"/>
      <w:lang w:val="en-US" w:eastAsia="zh-CN" w:bidi="ar-SA"/>
    </w:rPr>
  </w:style>
  <w:style w:type="character" w:styleId="971" w:customStyle="1">
    <w:name w:val="正文文本缩进 3 字符"/>
    <w:link w:val="941"/>
    <w:uiPriority w:val="99"/>
    <w:semiHidden/>
    <w:qFormat/>
    <w:rPr>
      <w:rFonts w:cs="Times New Roman"/>
      <w:sz w:val="16"/>
      <w:szCs w:val="16"/>
    </w:rPr>
  </w:style>
  <w:style w:type="paragraph" w:styleId="972" w:customStyle="1">
    <w:name w:val="Char1"/>
    <w:basedOn w:val="917"/>
    <w:uiPriority w:val="99"/>
    <w:qFormat/>
    <w:rPr>
      <w:sz w:val="24"/>
    </w:rPr>
  </w:style>
  <w:style w:type="paragraph" w:styleId="973" w:customStyle="1">
    <w:name w:val="样式 标4 + 段前: 0.5 行1"/>
    <w:basedOn w:val="917"/>
    <w:uiPriority w:val="99"/>
    <w:qFormat/>
    <w:pPr>
      <w:tabs>
        <w:tab w:val="left" w:pos="1260" w:leader="none"/>
      </w:tabs>
      <w:outlineLvl w:val="3"/>
    </w:pPr>
    <w:rPr>
      <w:rFonts w:ascii="Arial Narrow" w:hAnsi="Arial Narrow" w:eastAsia="仿宋_GB2312" w:cs="宋体"/>
      <w:sz w:val="28"/>
      <w:szCs w:val="20"/>
    </w:rPr>
  </w:style>
  <w:style w:type="character" w:styleId="974" w:customStyle="1">
    <w:name w:val="日期 字符"/>
    <w:link w:val="934"/>
    <w:uiPriority w:val="99"/>
    <w:semiHidden/>
    <w:qFormat/>
    <w:rPr>
      <w:rFonts w:cs="Times New Roman"/>
      <w:sz w:val="24"/>
      <w:szCs w:val="24"/>
    </w:rPr>
  </w:style>
  <w:style w:type="character" w:styleId="975" w:customStyle="1">
    <w:name w:val="正文文本 字符"/>
    <w:link w:val="928"/>
    <w:uiPriority w:val="99"/>
    <w:qFormat/>
    <w:rPr>
      <w:rFonts w:ascii="宋体" w:hAnsi="宋体" w:cs="宋体"/>
      <w:b/>
      <w:sz w:val="21"/>
      <w:szCs w:val="21"/>
      <w:u w:val="single"/>
    </w:rPr>
  </w:style>
  <w:style w:type="paragraph" w:styleId="976" w:customStyle="1">
    <w:name w:val="报告正文"/>
    <w:basedOn w:val="917"/>
    <w:uiPriority w:val="99"/>
    <w:qFormat/>
    <w:pPr>
      <w:ind w:firstLine="567"/>
    </w:pPr>
    <w:rPr>
      <w:rFonts w:ascii="Arial Narrow" w:hAnsi="Arial Narrow" w:eastAsia="仿宋_GB2312"/>
      <w:sz w:val="28"/>
      <w:szCs w:val="20"/>
    </w:rPr>
  </w:style>
  <w:style w:type="paragraph" w:styleId="977">
    <w:name w:val="List Paragraph"/>
    <w:basedOn w:val="917"/>
    <w:uiPriority w:val="34"/>
    <w:qFormat/>
    <w:pPr>
      <w:numPr>
        <w:ilvl w:val="0"/>
        <w:numId w:val="4"/>
      </w:numPr>
      <w:spacing w:line="360" w:lineRule="auto"/>
      <w:tabs>
        <w:tab w:val="left" w:pos="851" w:leader="none"/>
      </w:tabs>
    </w:pPr>
    <w:rPr>
      <w:rFonts w:ascii="宋体" w:hAnsi="宋体" w:cs="宋体"/>
    </w:rPr>
  </w:style>
  <w:style w:type="paragraph" w:styleId="978" w:customStyle="1">
    <w:name w:val="List Paragraph1"/>
    <w:basedOn w:val="917"/>
    <w:uiPriority w:val="99"/>
    <w:qFormat/>
    <w:pPr>
      <w:ind w:firstLine="420"/>
    </w:pPr>
    <w:rPr>
      <w:rFonts w:ascii="Calibri" w:hAnsi="Calibri"/>
      <w:szCs w:val="22"/>
    </w:rPr>
  </w:style>
  <w:style w:type="paragraph" w:styleId="979" w:customStyle="1">
    <w:name w:val="列出段落1"/>
    <w:uiPriority w:val="99"/>
    <w:qFormat/>
    <w:pPr>
      <w:ind w:firstLine="420"/>
    </w:pPr>
    <w:rPr>
      <w:rFonts w:ascii="Times New Roman" w:hAnsi="Times New Roman" w:eastAsia="宋体" w:cs="Times New Roman"/>
      <w:lang w:val="en-US" w:eastAsia="zh-CN" w:bidi="ar-SA"/>
    </w:rPr>
  </w:style>
  <w:style w:type="paragraph" w:styleId="980" w:customStyle="1">
    <w:name w:val="列出段落11"/>
    <w:uiPriority w:val="99"/>
    <w:qFormat/>
    <w:pPr>
      <w:ind w:firstLine="420"/>
    </w:pPr>
    <w:rPr>
      <w:rFonts w:ascii="Times New Roman" w:hAnsi="Times New Roman" w:eastAsia="宋体" w:cs="Times New Roman"/>
      <w:lang w:val="en-US" w:eastAsia="zh-CN" w:bidi="ar-SA"/>
    </w:rPr>
  </w:style>
  <w:style w:type="paragraph" w:styleId="981">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82" w:customStyle="1">
    <w:name w:val="CharAttribute2"/>
    <w:uiPriority w:val="99"/>
    <w:qFormat/>
    <w:rPr>
      <w:rFonts w:ascii="Times New Roman" w:eastAsia="宋体"/>
      <w:b/>
      <w:sz w:val="21"/>
    </w:rPr>
  </w:style>
  <w:style w:type="paragraph" w:styleId="983" w:customStyle="1">
    <w:name w:val="Char"/>
    <w:basedOn w:val="917"/>
    <w:uiPriority w:val="99"/>
    <w:qFormat/>
    <w:rPr>
      <w:sz w:val="30"/>
    </w:rPr>
  </w:style>
  <w:style w:type="paragraph" w:styleId="984"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985"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986"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987"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988"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989"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990" w:customStyle="1">
    <w:name w:val="CharAttribute4"/>
    <w:uiPriority w:val="99"/>
    <w:qFormat/>
    <w:rPr>
      <w:rFonts w:ascii="Arial Narrow" w:eastAsia="仿宋_GB2312"/>
      <w:sz w:val="21"/>
    </w:rPr>
  </w:style>
  <w:style w:type="character" w:styleId="991" w:customStyle="1">
    <w:name w:val="CharAttribute7"/>
    <w:uiPriority w:val="99"/>
    <w:qFormat/>
    <w:rPr>
      <w:rFonts w:ascii="Times New Roman" w:eastAsia="宋体"/>
      <w:sz w:val="21"/>
    </w:rPr>
  </w:style>
  <w:style w:type="character" w:styleId="992" w:customStyle="1">
    <w:name w:val="CharAttribute9"/>
    <w:uiPriority w:val="99"/>
    <w:qFormat/>
    <w:rPr>
      <w:rFonts w:ascii="Arial" w:eastAsia="宋体"/>
      <w:sz w:val="21"/>
    </w:rPr>
  </w:style>
  <w:style w:type="character" w:styleId="993" w:customStyle="1">
    <w:name w:val="CharAttribute11"/>
    <w:uiPriority w:val="99"/>
    <w:qFormat/>
    <w:rPr>
      <w:rFonts w:ascii="长城大标宋体" w:eastAsia="Times New Roman"/>
      <w:sz w:val="21"/>
    </w:rPr>
  </w:style>
  <w:style w:type="character" w:styleId="994" w:customStyle="1">
    <w:name w:val="CharAttribute12"/>
    <w:uiPriority w:val="99"/>
    <w:qFormat/>
    <w:rPr>
      <w:rFonts w:ascii="Arial Narrow" w:eastAsia="Times New Roman"/>
      <w:sz w:val="21"/>
    </w:rPr>
  </w:style>
  <w:style w:type="character" w:styleId="995" w:customStyle="1">
    <w:name w:val="CharAttribute14"/>
    <w:uiPriority w:val="99"/>
    <w:qFormat/>
    <w:rPr>
      <w:rFonts w:ascii="仿宋_GB2312" w:eastAsia="仿宋_GB2312"/>
      <w:sz w:val="21"/>
    </w:rPr>
  </w:style>
  <w:style w:type="character" w:styleId="996" w:customStyle="1">
    <w:name w:val="CharAttribute18"/>
    <w:uiPriority w:val="99"/>
    <w:qFormat/>
    <w:rPr>
      <w:rFonts w:ascii="仿宋_GB2312" w:eastAsia="仿宋_GB2312"/>
      <w:sz w:val="24"/>
    </w:rPr>
  </w:style>
  <w:style w:type="character" w:styleId="997" w:customStyle="1">
    <w:name w:val="MAICO Bold Zchn"/>
    <w:link w:val="998"/>
    <w:uiPriority w:val="99"/>
    <w:qFormat/>
    <w:rPr>
      <w:rFonts w:ascii="FrutBold" w:hAnsi="FrutBold" w:cs="Times New Roman"/>
      <w:sz w:val="28"/>
      <w:szCs w:val="28"/>
      <w:lang w:val="en-GB"/>
    </w:rPr>
  </w:style>
  <w:style w:type="paragraph" w:styleId="998" w:customStyle="1">
    <w:name w:val="MAICO Bold"/>
    <w:basedOn w:val="917"/>
    <w:link w:val="99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99" w:customStyle="1">
    <w:name w:val="MAICO light Zchn"/>
    <w:link w:val="1000"/>
    <w:uiPriority w:val="99"/>
    <w:qFormat/>
    <w:rPr>
      <w:rFonts w:ascii="华文仿宋" w:hAnsi="华文仿宋" w:eastAsia="华文仿宋" w:cs="Times New Roman"/>
      <w:b/>
      <w:sz w:val="28"/>
      <w:szCs w:val="28"/>
      <w:lang w:val="en-GB"/>
    </w:rPr>
  </w:style>
  <w:style w:type="paragraph" w:styleId="1000" w:customStyle="1">
    <w:name w:val="MAICO light"/>
    <w:basedOn w:val="917"/>
    <w:link w:val="999"/>
    <w:uiPriority w:val="99"/>
    <w:qFormat/>
    <w:pPr>
      <w:ind w:firstLine="561"/>
      <w:spacing w:line="360" w:lineRule="auto"/>
      <w:widowControl/>
    </w:pPr>
    <w:rPr>
      <w:rFonts w:ascii="华文仿宋" w:hAnsi="华文仿宋" w:eastAsia="华文仿宋"/>
      <w:b/>
      <w:sz w:val="28"/>
      <w:szCs w:val="28"/>
      <w:lang w:val="en-GB"/>
    </w:rPr>
  </w:style>
  <w:style w:type="paragraph" w:styleId="1001" w:customStyle="1">
    <w:name w:val="p22"/>
    <w:basedOn w:val="917"/>
    <w:uiPriority w:val="99"/>
    <w:qFormat/>
    <w:pPr>
      <w:ind w:left="720"/>
      <w:jc w:val="left"/>
      <w:spacing w:line="360" w:lineRule="auto"/>
      <w:widowControl/>
    </w:pPr>
    <w:rPr>
      <w:rFonts w:ascii="Verdana" w:hAnsi="Verdana" w:cs="宋体"/>
      <w:sz w:val="24"/>
    </w:rPr>
  </w:style>
  <w:style w:type="paragraph" w:styleId="1002" w:customStyle="1">
    <w:name w:val="Default"/>
    <w:uiPriority w:val="99"/>
    <w:qFormat/>
    <w:pPr>
      <w:widowControl w:val="off"/>
    </w:pPr>
    <w:rPr>
      <w:rFonts w:ascii="黑体" w:hAnsi="Calibri" w:eastAsia="黑体" w:cs="黑体"/>
      <w:color w:val="000000"/>
      <w:sz w:val="24"/>
      <w:szCs w:val="24"/>
      <w:lang w:val="en-US" w:eastAsia="zh-CN" w:bidi="ar-SA"/>
    </w:rPr>
  </w:style>
  <w:style w:type="character" w:styleId="1003" w:customStyle="1">
    <w:name w:val="批注框文本 字符"/>
    <w:link w:val="936"/>
    <w:uiPriority w:val="99"/>
    <w:qFormat/>
    <w:rPr>
      <w:rFonts w:cs="Times New Roman"/>
      <w:sz w:val="18"/>
      <w:szCs w:val="18"/>
    </w:rPr>
  </w:style>
  <w:style w:type="paragraph" w:styleId="1004" w:customStyle="1">
    <w:name w:val="Char Char3 Char Char"/>
    <w:basedOn w:val="917"/>
    <w:uiPriority w:val="99"/>
    <w:qFormat/>
    <w:rPr>
      <w:rFonts w:ascii="Tahoma" w:hAnsi="Tahoma"/>
      <w:sz w:val="24"/>
      <w:szCs w:val="20"/>
    </w:rPr>
  </w:style>
  <w:style w:type="paragraph" w:styleId="1005"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06" w:customStyle="1">
    <w:name w:val="默认段落字体 Para Char Char Char Char"/>
    <w:basedOn w:val="917"/>
    <w:uiPriority w:val="99"/>
    <w:qFormat/>
    <w:rPr>
      <w:szCs w:val="21"/>
    </w:rPr>
  </w:style>
  <w:style w:type="paragraph" w:styleId="1007" w:customStyle="1">
    <w:name w:val="p0"/>
    <w:uiPriority w:val="0"/>
    <w:qFormat/>
    <w:rPr>
      <w:rFonts w:ascii="Times New Roman" w:hAnsi="Times New Roman" w:eastAsia="宋体" w:cs="Times New Roman"/>
      <w:szCs w:val="21"/>
      <w:lang w:val="en-US" w:eastAsia="zh-CN" w:bidi="ar-SA"/>
    </w:rPr>
  </w:style>
  <w:style w:type="character" w:styleId="1008" w:customStyle="1">
    <w:name w:val="mark"/>
    <w:basedOn w:val="923"/>
    <w:uiPriority w:val="0"/>
    <w:qFormat/>
  </w:style>
  <w:style w:type="paragraph" w:styleId="1009" w:customStyle="1">
    <w:name w:val="ITB-0"/>
    <w:basedOn w:val="917"/>
    <w:uiPriority w:val="0"/>
    <w:qFormat/>
    <w:pPr>
      <w:jc w:val="center"/>
    </w:pPr>
    <w:rPr>
      <w:b/>
      <w:sz w:val="32"/>
      <w:szCs w:val="20"/>
    </w:rPr>
  </w:style>
  <w:style w:type="character" w:styleId="1010" w:customStyle="1">
    <w:name w:val="bot_zi"/>
    <w:basedOn w:val="923"/>
    <w:uiPriority w:val="0"/>
    <w:qFormat/>
  </w:style>
  <w:style w:type="character" w:styleId="1011" w:customStyle="1">
    <w:name w:val="font31"/>
    <w:uiPriority w:val="0"/>
    <w:qFormat/>
    <w:rPr>
      <w:rFonts w:hint="eastAsia" w:ascii="宋体" w:hAnsi="宋体" w:eastAsia="宋体" w:cs="宋体"/>
      <w:color w:val="000000"/>
      <w:sz w:val="24"/>
      <w:szCs w:val="24"/>
      <w:u w:val="none"/>
    </w:rPr>
  </w:style>
  <w:style w:type="paragraph" w:styleId="1012" w:customStyle="1">
    <w:name w:val="s3"/>
    <w:basedOn w:val="917"/>
    <w:uiPriority w:val="0"/>
    <w:qFormat/>
    <w:pPr>
      <w:jc w:val="left"/>
      <w:spacing w:before="100" w:beforeAutospacing="1" w:after="100" w:afterAutospacing="1"/>
      <w:widowControl/>
    </w:pPr>
    <w:rPr>
      <w:rFonts w:ascii="宋体" w:hAnsi="宋体" w:cs="宋体"/>
      <w:sz w:val="24"/>
    </w:rPr>
  </w:style>
  <w:style w:type="paragraph" w:styleId="1013" w:customStyle="1">
    <w:name w:val="s7"/>
    <w:basedOn w:val="917"/>
    <w:uiPriority w:val="0"/>
    <w:qFormat/>
    <w:pPr>
      <w:jc w:val="left"/>
      <w:spacing w:before="100" w:beforeAutospacing="1" w:after="100" w:afterAutospacing="1"/>
      <w:widowControl/>
    </w:pPr>
    <w:rPr>
      <w:rFonts w:ascii="宋体" w:hAnsi="宋体" w:cs="宋体"/>
      <w:sz w:val="24"/>
    </w:rPr>
  </w:style>
  <w:style w:type="character" w:styleId="1014" w:customStyle="1">
    <w:name w:val="bumpedfont15"/>
    <w:basedOn w:val="923"/>
    <w:uiPriority w:val="0"/>
    <w:qFormat/>
  </w:style>
  <w:style w:type="character" w:styleId="1015" w:customStyle="1">
    <w:name w:val="bumpedfont20"/>
    <w:basedOn w:val="923"/>
    <w:uiPriority w:val="0"/>
    <w:qFormat/>
  </w:style>
  <w:style w:type="character" w:styleId="1016" w:customStyle="1">
    <w:name w:val="标题一级 Char"/>
    <w:link w:val="1017"/>
    <w:uiPriority w:val="0"/>
    <w:qFormat/>
    <w:rPr>
      <w:rFonts w:ascii="宋体" w:hAnsi="宋体" w:cs="Times New Roman"/>
      <w:b/>
      <w:sz w:val="21"/>
      <w:szCs w:val="21"/>
    </w:rPr>
  </w:style>
  <w:style w:type="paragraph" w:styleId="1017" w:customStyle="1">
    <w:name w:val="标题一级"/>
    <w:basedOn w:val="917"/>
    <w:link w:val="1016"/>
    <w:uiPriority w:val="0"/>
    <w:qFormat/>
    <w:pPr>
      <w:spacing w:line="276" w:lineRule="auto"/>
      <w:outlineLvl w:val="2"/>
    </w:pPr>
    <w:rPr>
      <w:rFonts w:ascii="宋体" w:hAnsi="宋体"/>
      <w:b/>
      <w:szCs w:val="21"/>
    </w:rPr>
  </w:style>
  <w:style w:type="character" w:styleId="1018">
    <w:name w:val="Placeholder Text"/>
    <w:uiPriority w:val="99"/>
    <w:semiHidden/>
    <w:qFormat/>
    <w:rPr>
      <w:color w:val="808080"/>
    </w:rPr>
  </w:style>
  <w:style w:type="table" w:styleId="1019" w:customStyle="1">
    <w:name w:val="网格型1"/>
    <w:basedOn w:val="9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0" w:customStyle="1">
    <w:name w:val="标题二级"/>
    <w:basedOn w:val="917"/>
    <w:uiPriority w:val="0"/>
    <w:qFormat/>
    <w:pPr>
      <w:ind w:firstLine="422"/>
      <w:tabs>
        <w:tab w:val="left" w:pos="993" w:leader="none"/>
      </w:tabs>
    </w:pPr>
    <w:rPr>
      <w:rFonts w:ascii="宋体" w:hAnsi="宋体"/>
      <w:b/>
      <w:szCs w:val="21"/>
      <w:lang w:val="zh-CN"/>
    </w:rPr>
  </w:style>
  <w:style w:type="character" w:styleId="1021" w:customStyle="1">
    <w:name w:val="font01"/>
    <w:basedOn w:val="923"/>
    <w:uiPriority w:val="0"/>
    <w:qFormat/>
    <w:rPr>
      <w:rFonts w:hint="eastAsia" w:ascii="宋体" w:hAnsi="宋体" w:eastAsia="宋体" w:cs="宋体"/>
      <w:color w:val="000000"/>
      <w:sz w:val="22"/>
      <w:szCs w:val="22"/>
      <w:u w:val="none"/>
    </w:rPr>
  </w:style>
  <w:style w:type="character" w:styleId="1022" w:customStyle="1">
    <w:name w:val="font21"/>
    <w:basedOn w:val="923"/>
    <w:uiPriority w:val="0"/>
    <w:qFormat/>
    <w:rPr>
      <w:rFonts w:hint="eastAsia" w:ascii="宋体" w:hAnsi="宋体" w:eastAsia="宋体" w:cs="宋体"/>
      <w:color w:val="0000ff"/>
      <w:sz w:val="21"/>
      <w:szCs w:val="21"/>
      <w:u w:val="none"/>
    </w:rPr>
  </w:style>
  <w:style w:type="character" w:styleId="1023" w:customStyle="1">
    <w:name w:val="font11"/>
    <w:basedOn w:val="923"/>
    <w:uiPriority w:val="0"/>
    <w:qFormat/>
    <w:rPr>
      <w:rFonts w:hint="eastAsia" w:ascii="宋体" w:hAnsi="宋体" w:eastAsia="宋体" w:cs="宋体"/>
      <w:color w:val="000000"/>
      <w:sz w:val="21"/>
      <w:szCs w:val="21"/>
      <w:u w:val="none"/>
    </w:rPr>
  </w:style>
  <w:style w:type="character" w:styleId="1024" w:customStyle="1">
    <w:name w:val="font41"/>
    <w:basedOn w:val="923"/>
    <w:uiPriority w:val="0"/>
    <w:qFormat/>
    <w:rPr>
      <w:rFonts w:hint="eastAsia" w:ascii="宋体" w:hAnsi="宋体" w:eastAsia="宋体" w:cs="宋体"/>
      <w:color w:val="ff0000"/>
      <w:sz w:val="22"/>
      <w:szCs w:val="22"/>
      <w:u w:val="none"/>
    </w:rPr>
  </w:style>
  <w:style w:type="character" w:styleId="1025" w:customStyle="1">
    <w:name w:val="font61"/>
    <w:basedOn w:val="923"/>
    <w:uiPriority w:val="0"/>
    <w:qFormat/>
    <w:rPr>
      <w:rFonts w:hint="eastAsia" w:ascii="宋体" w:hAnsi="宋体" w:eastAsia="宋体" w:cs="宋体"/>
      <w:color w:val="000000"/>
      <w:sz w:val="24"/>
      <w:szCs w:val="24"/>
      <w:u w:val="none"/>
    </w:rPr>
  </w:style>
  <w:style w:type="character" w:styleId="1026" w:customStyle="1">
    <w:name w:val="font51"/>
    <w:basedOn w:val="923"/>
    <w:uiPriority w:val="0"/>
    <w:qFormat/>
    <w:rPr>
      <w:rFonts w:ascii="Calibri" w:hAnsi="Calibri" w:cs="Calibri"/>
      <w:color w:val="000000"/>
      <w:sz w:val="24"/>
      <w:szCs w:val="24"/>
      <w:u w:val="none"/>
    </w:rPr>
  </w:style>
  <w:style w:type="character" w:styleId="1027" w:customStyle="1">
    <w:name w:val="font71"/>
    <w:basedOn w:val="923"/>
    <w:uiPriority w:val="0"/>
    <w:qFormat/>
    <w:rPr>
      <w:rFonts w:hint="eastAsia" w:ascii="宋体" w:hAnsi="宋体" w:eastAsia="宋体" w:cs="宋体"/>
      <w:color w:val="000000"/>
      <w:sz w:val="18"/>
      <w:szCs w:val="18"/>
      <w:u w:val="none"/>
    </w:rPr>
  </w:style>
  <w:style w:type="character" w:styleId="1028" w:customStyle="1">
    <w:name w:val="批注文字 字符"/>
    <w:basedOn w:val="923"/>
    <w:link w:val="926"/>
    <w:uiPriority w:val="99"/>
    <w:qFormat/>
    <w:rPr>
      <w:sz w:val="21"/>
      <w:szCs w:val="24"/>
    </w:rPr>
  </w:style>
  <w:style w:type="character" w:styleId="1029" w:customStyle="1">
    <w:name w:val="批注主题 字符"/>
    <w:basedOn w:val="1028"/>
    <w:link w:val="945"/>
    <w:uiPriority w:val="99"/>
    <w:semiHidden/>
    <w:qFormat/>
    <w:rPr>
      <w:b/>
      <w:bCs/>
      <w:sz w:val="21"/>
      <w:szCs w:val="24"/>
    </w:rPr>
  </w:style>
  <w:style w:type="character" w:styleId="1030" w:customStyle="1">
    <w:name w:val="font81"/>
    <w:basedOn w:val="923"/>
    <w:uiPriority w:val="0"/>
    <w:qFormat/>
    <w:rPr>
      <w:rFonts w:hint="default" w:ascii="Calibri" w:hAnsi="Calibri" w:cs="Calibri"/>
      <w:color w:val="000000"/>
      <w:sz w:val="22"/>
      <w:szCs w:val="22"/>
      <w:u w:val="none"/>
    </w:rPr>
  </w:style>
  <w:style w:type="paragraph" w:styleId="1031" w:customStyle="1">
    <w:name w:val="正文文本1"/>
    <w:basedOn w:val="917"/>
    <w:next w:val="917"/>
    <w:uiPriority w:val="0"/>
    <w:qFormat/>
    <w:pPr>
      <w:spacing w:line="60" w:lineRule="auto"/>
    </w:pPr>
    <w:rPr>
      <w:rFonts w:ascii="仿宋_GB2312" w:eastAsia="仿宋_GB2312"/>
      <w:sz w:val="32"/>
    </w:rPr>
  </w:style>
  <w:style w:type="paragraph" w:styleId="1032" w:customStyle="1">
    <w:name w:val="页眉1"/>
    <w:basedOn w:val="917"/>
    <w:uiPriority w:val="0"/>
    <w:qFormat/>
    <w:pPr>
      <w:jc w:val="center"/>
      <w:tabs>
        <w:tab w:val="center" w:pos="4153" w:leader="none"/>
        <w:tab w:val="right" w:pos="8306" w:leader="none"/>
      </w:tabs>
      <w:pBdr>
        <w:bottom w:val="single" w:color="000000" w:sz="6" w:space="1"/>
      </w:pBdr>
    </w:pPr>
    <w:rPr>
      <w:sz w:val="18"/>
      <w:szCs w:val="18"/>
    </w:rPr>
  </w:style>
  <w:style w:type="paragraph" w:styleId="1033" w:customStyle="1">
    <w:name w:val="页脚1"/>
    <w:basedOn w:val="917"/>
    <w:uiPriority w:val="0"/>
    <w:qFormat/>
    <w:pPr>
      <w:jc w:val="left"/>
      <w:tabs>
        <w:tab w:val="center" w:pos="4153" w:leader="none"/>
        <w:tab w:val="right" w:pos="8306" w:leader="none"/>
      </w:tabs>
    </w:pPr>
    <w:rPr>
      <w:sz w:val="18"/>
      <w:szCs w:val="18"/>
    </w:rPr>
  </w:style>
  <w:style w:type="character" w:styleId="1034" w:customStyle="1">
    <w:name w:val="页码1"/>
    <w:uiPriority w:val="0"/>
    <w:qFormat/>
    <w:rPr>
      <w:rFonts w:ascii="Times New Roman" w:hAnsi="Times New Roman" w:eastAsia="宋体" w:cs="Times New Roman"/>
      <w:sz w:val="21"/>
      <w:szCs w:val="24"/>
      <w:lang w:val="en-US" w:eastAsia="zh-CN" w:bidi="ar-SA"/>
    </w:rPr>
  </w:style>
  <w:style w:type="character" w:styleId="1035" w:customStyle="1">
    <w:name w:val="正文首行缩进 2 字符"/>
    <w:basedOn w:val="967"/>
    <w:link w:val="946"/>
    <w:uiPriority w:val="99"/>
    <w:semiHidden/>
    <w:qFormat/>
    <w:rPr>
      <w:rFonts w:ascii="Times New Roman" w:hAnsi="Times New Roman" w:cs="Times New Roman"/>
      <w:sz w:val="24"/>
      <w:szCs w:val="24"/>
    </w:rPr>
  </w:style>
  <w:style w:type="character" w:styleId="1036" w:customStyle="1">
    <w:name w:val="脚注文本 字符"/>
    <w:link w:val="940"/>
    <w:uiPriority w:val="99"/>
    <w:qFormat/>
    <w:rPr>
      <w:sz w:val="18"/>
      <w:szCs w:val="18"/>
    </w:rPr>
  </w:style>
  <w:style w:type="character" w:styleId="1037" w:customStyle="1">
    <w:name w:val="脚注文本 字符1"/>
    <w:basedOn w:val="923"/>
    <w:uiPriority w:val="99"/>
    <w:semiHidden/>
    <w:qFormat/>
    <w:rPr>
      <w:rFonts w:ascii="Times New Roman" w:hAnsi="Times New Roman" w:cs="Times New Roman"/>
      <w:sz w:val="18"/>
      <w:szCs w:val="18"/>
    </w:rPr>
  </w:style>
  <w:style w:type="paragraph" w:styleId="1038" w:customStyle="1">
    <w:name w:val="标题二、"/>
    <w:basedOn w:val="917"/>
    <w:uiPriority w:val="99"/>
    <w:unhideWhenUsed/>
    <w:qFormat/>
    <w:pPr>
      <w:ind w:firstLine="200"/>
      <w:spacing w:line="360" w:lineRule="auto"/>
      <w:outlineLvl w:val="2"/>
    </w:pPr>
    <w:rPr>
      <w:rFonts w:hint="eastAsia" w:ascii="宋体" w:hAnsi="宋体"/>
      <w:b/>
    </w:rPr>
  </w:style>
  <w:style w:type="paragraph" w:styleId="1039" w:customStyle="1">
    <w:name w:val="修订1"/>
    <w:hidden/>
    <w:uiPriority w:val="99"/>
    <w:semiHidden/>
    <w:qFormat/>
    <w:rPr>
      <w:rFonts w:ascii="Times New Roman" w:hAnsi="Times New Roman" w:eastAsia="宋体" w:cs="Times New Roman"/>
      <w:sz w:val="21"/>
      <w:szCs w:val="24"/>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FF3AE43-AAAA-4236-9262-3EF05A3FF51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2026-08-21T10:02:00Z</dcterms:created>
  <dcterms:modified xsi:type="dcterms:W3CDTF">2026-08-25T08:37:53Z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EEE0C99B39324C99A0B76DE3289502A5_13</vt:lpwstr>
  </property>
  <property fmtid="{D5CDD505-2E9C-101B-9397-08002B2CF9AE}" pid="4" name="KSOTemplateDocerSaveRecord">
    <vt:lpwstr>eyJoZGlkIjoiODUzODAzNjQ1NTk4OWE1ODEyODlkNzkzODE2ZTllMjYiLCJ1c2VySWQiOiIzMTk2NTAxNDYifQ==</vt:lpwstr>
  </property>
</Properties>
</file>