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6"/>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t xml:space="preserve"> </w:t>
      </w:r>
      <w:r>
        <w:rPr>
          <w:rFonts w:hint="eastAsia" w:ascii="CESI黑体-GB2312" w:hAnsi="CESI黑体-GB2312" w:eastAsia="CESI黑体-GB2312" w:cs="CESI黑体-GB2312"/>
          <w:color w:val="000000"/>
          <w:sz w:val="32"/>
          <w:szCs w:val="32"/>
        </w:rPr>
      </w:r>
      <w:r/>
    </w:p>
    <w:p>
      <w:pPr>
        <w:pStyle w:val="1126"/>
        <w:ind w:firstLine="300"/>
        <w:spacing w:line="360" w:lineRule="auto"/>
        <w:rPr>
          <w:color w:val="000000"/>
          <w:sz w:val="60"/>
          <w:szCs w:val="60"/>
        </w:rPr>
      </w:pPr>
      <w:r>
        <w:rPr>
          <w:color w:val="000000"/>
          <w:sz w:val="60"/>
          <w:szCs w:val="60"/>
        </w:rPr>
      </w:r>
      <w:r/>
    </w:p>
    <w:p>
      <w:pPr>
        <w:pStyle w:val="1126"/>
        <w:ind w:firstLine="300"/>
        <w:spacing w:line="360" w:lineRule="auto"/>
        <w:rPr>
          <w:color w:val="000000"/>
          <w:sz w:val="60"/>
          <w:szCs w:val="60"/>
        </w:rPr>
      </w:pPr>
      <w:r>
        <w:rPr>
          <w:color w:val="000000"/>
          <w:sz w:val="60"/>
          <w:szCs w:val="60"/>
        </w:rPr>
      </w:r>
      <w:r/>
    </w:p>
    <w:p>
      <w:pPr>
        <w:pStyle w:val="1126"/>
        <w:jc w:val="center"/>
        <w:rPr>
          <w:b/>
          <w:bCs/>
          <w:color w:val="000000"/>
          <w:sz w:val="60"/>
          <w:szCs w:val="60"/>
        </w:rPr>
      </w:pPr>
      <w:r>
        <w:rPr>
          <w:rFonts w:hint="eastAsia"/>
          <w:b/>
          <w:bCs/>
          <w:color w:val="000000"/>
          <w:sz w:val="60"/>
          <w:szCs w:val="60"/>
        </w:rPr>
        <w:t xml:space="preserve">竞争性磋商文件</w:t>
      </w:r>
      <w:r>
        <w:rPr>
          <w:b/>
          <w:bCs/>
          <w:color w:val="000000"/>
          <w:sz w:val="60"/>
          <w:szCs w:val="60"/>
        </w:rPr>
      </w:r>
      <w:r/>
    </w:p>
    <w:p>
      <w:pPr>
        <w:pStyle w:val="1126"/>
        <w:jc w:val="center"/>
        <w:spacing w:line="360" w:lineRule="auto"/>
        <w:rPr>
          <w:rFonts w:ascii="宋体" w:hAnsi="宋体"/>
          <w:b/>
          <w:bCs/>
          <w:color w:val="000000"/>
          <w:sz w:val="60"/>
          <w:szCs w:val="60"/>
        </w:rPr>
      </w:pPr>
      <w:r>
        <w:rPr>
          <w:rFonts w:ascii="宋体" w:hAnsi="宋体"/>
          <w:b/>
          <w:bCs/>
          <w:color w:val="000000"/>
          <w:sz w:val="60"/>
          <w:szCs w:val="60"/>
        </w:rPr>
      </w:r>
      <w:r/>
    </w:p>
    <w:p>
      <w:pPr>
        <w:pStyle w:val="1126"/>
        <w:jc w:val="center"/>
        <w:spacing w:line="360" w:lineRule="auto"/>
        <w:rPr>
          <w:rFonts w:ascii="宋体" w:hAnsi="宋体"/>
          <w:b/>
          <w:bCs/>
          <w:color w:val="000000"/>
          <w:sz w:val="60"/>
          <w:szCs w:val="60"/>
        </w:rPr>
      </w:pPr>
      <w:r>
        <w:rPr>
          <w:rFonts w:ascii="宋体" w:hAnsi="宋体"/>
          <w:b/>
          <w:bCs/>
          <w:color w:val="000000"/>
          <w:sz w:val="60"/>
          <w:szCs w:val="60"/>
        </w:rPr>
      </w:r>
      <w:r/>
    </w:p>
    <w:p>
      <w:pPr>
        <w:pStyle w:val="1126"/>
        <w:ind w:right="0" w:firstLine="960"/>
        <w:jc w:val="left"/>
        <w:spacing w:line="360" w:lineRule="auto"/>
        <w:rPr>
          <w:bCs/>
          <w:sz w:val="32"/>
          <w:szCs w:val="32"/>
          <w:highlight w:val="none"/>
        </w:rPr>
      </w:pPr>
      <w:r>
        <w:rPr>
          <w:bCs/>
          <w:sz w:val="32"/>
          <w:szCs w:val="32"/>
          <w:highlight w:val="none"/>
        </w:rPr>
        <w:t xml:space="preserve">项目名称：</w:t>
      </w:r>
      <w:bookmarkStart w:id="0" w:name="_Hlk194430325"/>
      <w:r>
        <w:rPr>
          <w:rFonts w:ascii="Times New Roman" w:hAnsi="Times New Roman" w:cs="Times New Roman"/>
          <w:bCs/>
          <w:sz w:val="32"/>
          <w:szCs w:val="32"/>
          <w:highlight w:val="none"/>
          <w:lang w:eastAsia="zh-CN"/>
        </w:rPr>
        <w:t xml:space="preserve">常州市全域电动化标杆实践评估</w:t>
      </w:r>
      <w:r>
        <w:rPr>
          <w:rFonts w:ascii="Times New Roman" w:hAnsi="Times New Roman" w:cs="Times New Roman"/>
          <w:bCs/>
          <w:sz w:val="32"/>
          <w:szCs w:val="32"/>
          <w:highlight w:val="none"/>
        </w:rPr>
        <w:t xml:space="preserve">服务采购</w:t>
      </w:r>
      <w:bookmarkEnd w:id="0"/>
      <w:r>
        <w:rPr>
          <w:rFonts w:ascii="Times New Roman" w:hAnsi="Times New Roman" w:cs="Times New Roman"/>
          <w:bCs/>
          <w:sz w:val="32"/>
          <w:szCs w:val="32"/>
          <w:highlight w:val="none"/>
        </w:rPr>
        <w:t xml:space="preserve">项目</w:t>
      </w:r>
      <w:r>
        <w:rPr>
          <w:rFonts w:eastAsia="Times New Roman"/>
          <w:bCs/>
          <w:sz w:val="32"/>
          <w:szCs w:val="32"/>
          <w:highlight w:val="none"/>
        </w:rPr>
        <w:t xml:space="preserve"> </w:t>
      </w:r>
      <w:r>
        <w:rPr>
          <w:bCs/>
          <w:sz w:val="32"/>
          <w:szCs w:val="32"/>
          <w:highlight w:val="none"/>
        </w:rPr>
      </w:r>
      <w:r/>
    </w:p>
    <w:p>
      <w:pPr>
        <w:pStyle w:val="1126"/>
        <w:ind w:right="0" w:firstLine="960"/>
        <w:jc w:val="left"/>
        <w:keepLines w:val="0"/>
        <w:keepNext w:val="0"/>
        <w:pageBreakBefore w:val="0"/>
        <w:spacing w:line="360" w:lineRule="auto"/>
        <w:widowControl w:val="off"/>
        <w:tabs>
          <w:tab w:val="left" w:pos="3240" w:leader="none"/>
          <w:tab w:val="left" w:pos="3420" w:leader="none"/>
        </w:tabs>
        <w:rPr>
          <w:rFonts w:ascii="Times New Roman" w:hAnsi="Times New Roman" w:eastAsia="宋体" w:cs="Times New Roman"/>
          <w:bCs/>
          <w:sz w:val="32"/>
          <w:szCs w:val="32"/>
          <w:highlight w:val="none"/>
          <w:lang w:val="en-US" w:eastAsia="zh-CN"/>
        </w:rPr>
      </w:pPr>
      <w:r>
        <w:rPr>
          <w:rFonts w:ascii="宋体" w:hAnsi="宋体" w:cs="宋体"/>
          <w:sz w:val="32"/>
          <w:szCs w:val="32"/>
          <w:highlight w:val="none"/>
        </w:rPr>
        <w:t xml:space="preserve">项目编号：</w:t>
      </w:r>
      <w:r>
        <w:rPr>
          <w:rFonts w:ascii="Times New Roman" w:hAnsi="Times New Roman" w:eastAsia="宋体" w:cs="Times New Roman"/>
          <w:bCs/>
          <w:sz w:val="32"/>
          <w:szCs w:val="32"/>
          <w:highlight w:val="none"/>
          <w:lang w:eastAsia="zh-CN"/>
        </w:rPr>
        <w:t xml:space="preserve">JSZC-320400-CZZH-C2026-0045</w:t>
      </w:r>
      <w:r>
        <w:rPr>
          <w:rFonts w:ascii="Times New Roman" w:hAnsi="Times New Roman" w:eastAsia="宋体" w:cs="Times New Roman"/>
          <w:bCs/>
          <w:sz w:val="32"/>
          <w:szCs w:val="32"/>
          <w:highlight w:val="none"/>
          <w:lang w:val="en-US" w:eastAsia="zh-CN"/>
        </w:rPr>
      </w:r>
      <w:r/>
    </w:p>
    <w:p>
      <w:pPr>
        <w:pStyle w:val="1126"/>
        <w:ind w:right="0" w:firstLine="960"/>
        <w:jc w:val="left"/>
        <w:keepLines w:val="0"/>
        <w:keepNext w:val="0"/>
        <w:pageBreakBefore w:val="0"/>
        <w:spacing w:line="360" w:lineRule="auto"/>
        <w:widowControl w:val="off"/>
        <w:tabs>
          <w:tab w:val="left" w:pos="3240" w:leader="none"/>
          <w:tab w:val="left" w:pos="3420" w:leader="none"/>
        </w:tabs>
        <w:rPr>
          <w:rFonts w:hint="eastAsia" w:eastAsia="宋体"/>
          <w:bCs/>
          <w:sz w:val="32"/>
          <w:szCs w:val="32"/>
          <w:lang w:eastAsia="zh-CN"/>
        </w:rPr>
      </w:pPr>
      <w:r>
        <w:rPr>
          <w:bCs/>
          <w:sz w:val="32"/>
          <w:szCs w:val="32"/>
        </w:rPr>
        <w:t xml:space="preserve">采 购 人：</w:t>
      </w:r>
      <w:r>
        <w:rPr>
          <w:rFonts w:hint="eastAsia" w:ascii="宋体" w:hAnsi="宋体" w:eastAsia="宋体" w:cs="宋体"/>
          <w:sz w:val="32"/>
          <w:szCs w:val="32"/>
          <w:highlight w:val="none"/>
          <w:lang w:eastAsia="zh-CN"/>
        </w:rPr>
        <w:t xml:space="preserve">常州市发展和改革委员会</w:t>
      </w:r>
      <w:r>
        <w:rPr>
          <w:rFonts w:hint="eastAsia" w:eastAsia="宋体"/>
          <w:bCs/>
          <w:sz w:val="32"/>
          <w:szCs w:val="32"/>
          <w:lang w:eastAsia="zh-CN"/>
        </w:rPr>
      </w:r>
      <w:r/>
    </w:p>
    <w:p>
      <w:pPr>
        <w:pStyle w:val="1126"/>
        <w:ind w:firstLine="960"/>
        <w:keepLines w:val="0"/>
        <w:keepNext w:val="0"/>
        <w:pageBreakBefore w:val="0"/>
        <w:spacing w:line="360" w:lineRule="auto"/>
        <w:widowControl w:val="off"/>
        <w:rPr>
          <w:rFonts w:ascii="宋体" w:hAnsi="宋体" w:cs="宋体"/>
          <w:bCs/>
          <w:sz w:val="32"/>
          <w:szCs w:val="32"/>
        </w:rPr>
      </w:pPr>
      <w:r>
        <w:rPr>
          <w:rFonts w:hint="eastAsia"/>
          <w:bCs/>
          <w:sz w:val="32"/>
          <w:szCs w:val="32"/>
        </w:rPr>
        <w:t xml:space="preserve">采购</w:t>
      </w:r>
      <w:r>
        <w:rPr>
          <w:bCs/>
          <w:sz w:val="32"/>
          <w:szCs w:val="32"/>
        </w:rPr>
        <w:t xml:space="preserve">代理机构</w:t>
      </w:r>
      <w:r>
        <w:rPr>
          <w:rFonts w:hint="eastAsia"/>
          <w:bCs/>
          <w:sz w:val="32"/>
          <w:szCs w:val="32"/>
        </w:rPr>
        <w:t xml:space="preserve">：</w:t>
      </w:r>
      <w:r>
        <w:rPr>
          <w:rFonts w:hint="eastAsia" w:ascii="宋体" w:hAnsi="宋体" w:cs="宋体"/>
          <w:bCs/>
          <w:sz w:val="32"/>
          <w:szCs w:val="32"/>
        </w:rPr>
        <w:t xml:space="preserve">常州正衡招投标有限公司</w:t>
      </w:r>
      <w:r>
        <w:rPr>
          <w:rFonts w:ascii="宋体" w:hAnsi="宋体" w:cs="宋体"/>
          <w:bCs/>
          <w:sz w:val="32"/>
          <w:szCs w:val="32"/>
        </w:rPr>
      </w:r>
      <w:r/>
    </w:p>
    <w:p>
      <w:pPr>
        <w:pStyle w:val="1126"/>
        <w:ind w:firstLine="1280"/>
        <w:spacing w:line="360" w:lineRule="auto"/>
        <w:rPr>
          <w:rFonts w:ascii="宋体" w:hAnsi="宋体" w:cs="宋体"/>
          <w:bCs/>
          <w:sz w:val="32"/>
          <w:szCs w:val="32"/>
        </w:rPr>
      </w:pPr>
      <w:r>
        <w:rPr>
          <w:rFonts w:ascii="宋体" w:hAnsi="宋体" w:cs="宋体"/>
          <w:bCs/>
          <w:sz w:val="32"/>
          <w:szCs w:val="32"/>
        </w:rPr>
      </w:r>
      <w:r/>
    </w:p>
    <w:p>
      <w:pPr>
        <w:pStyle w:val="1126"/>
        <w:ind w:firstLine="3200"/>
        <w:spacing w:line="360" w:lineRule="auto"/>
        <w:rPr>
          <w:rFonts w:ascii="宋体" w:hAnsi="宋体" w:cs="宋体"/>
          <w:bCs/>
          <w:sz w:val="32"/>
          <w:szCs w:val="32"/>
        </w:rPr>
        <w:sectPr>
          <w:headerReference w:type="default" r:id="rId9"/>
          <w:headerReference w:type="first" r:id="rId10"/>
          <w:footerReference w:type="default" r:id="rId15"/>
          <w:footerReference w:type="even"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bCs/>
          <w:sz w:val="32"/>
          <w:szCs w:val="32"/>
        </w:rPr>
        <w:t xml:space="preserve">二零二</w:t>
      </w:r>
      <w:r>
        <w:rPr>
          <w:rFonts w:hint="eastAsia" w:ascii="宋体" w:hAnsi="宋体" w:cs="宋体"/>
          <w:bCs/>
          <w:sz w:val="32"/>
          <w:szCs w:val="32"/>
          <w:lang w:val="en-US" w:eastAsia="zh-CN"/>
        </w:rPr>
        <w:t xml:space="preserve">六</w:t>
      </w:r>
      <w:r>
        <w:rPr>
          <w:rFonts w:hint="eastAsia" w:ascii="宋体" w:hAnsi="宋体" w:cs="宋体"/>
          <w:bCs/>
          <w:sz w:val="32"/>
          <w:szCs w:val="32"/>
        </w:rPr>
        <w:t xml:space="preserve">年</w:t>
      </w:r>
      <w:r>
        <w:rPr>
          <w:rFonts w:hint="eastAsia" w:ascii="宋体" w:hAnsi="宋体" w:cs="宋体"/>
          <w:bCs/>
          <w:sz w:val="32"/>
          <w:szCs w:val="32"/>
          <w:lang w:val="en-US" w:eastAsia="zh-CN"/>
        </w:rPr>
        <w:t xml:space="preserve">九</w:t>
      </w:r>
      <w:r>
        <w:rPr>
          <w:rFonts w:hint="eastAsia" w:ascii="宋体" w:hAnsi="宋体" w:cs="宋体"/>
          <w:bCs/>
          <w:sz w:val="32"/>
          <w:szCs w:val="32"/>
        </w:rPr>
        <w:t xml:space="preserve">月</w:t>
      </w:r>
      <w:r>
        <w:rPr>
          <w:rFonts w:ascii="宋体" w:hAnsi="宋体" w:cs="宋体"/>
          <w:bCs/>
          <w:sz w:val="32"/>
          <w:szCs w:val="32"/>
        </w:rPr>
      </w:r>
      <w:r/>
    </w:p>
    <w:p>
      <w:pPr>
        <w:pStyle w:val="1209"/>
        <w:ind w:firstLine="480"/>
        <w:rPr>
          <w:color w:val="000000"/>
        </w:rPr>
      </w:pPr>
      <w:r>
        <w:rPr>
          <w:color w:val="000000"/>
        </w:rPr>
      </w:r>
      <w:r/>
    </w:p>
    <w:p>
      <w:pPr>
        <w:pStyle w:val="1210"/>
        <w:spacing w:line="360" w:lineRule="auto"/>
        <w:rPr>
          <w:rFonts w:ascii="Times New Roman" w:hAnsi="Times New Roman" w:cs="Times New Roman"/>
          <w:color w:val="000000"/>
        </w:rPr>
      </w:pPr>
      <w:r>
        <w:rPr>
          <w:rFonts w:ascii="Times New Roman" w:hAnsi="Times New Roman" w:cs="Times New Roman"/>
          <w:color w:val="000000"/>
        </w:rPr>
      </w:r>
      <w:r/>
    </w:p>
    <w:p>
      <w:pPr>
        <w:pStyle w:val="1126"/>
        <w:jc w:val="center"/>
        <w:spacing w:line="360" w:lineRule="auto"/>
        <w:rPr>
          <w:b/>
          <w:color w:val="000000"/>
          <w:sz w:val="36"/>
          <w:szCs w:val="36"/>
        </w:rPr>
        <w:outlineLvl w:val="0"/>
      </w:pPr>
      <w:r/>
      <w:bookmarkStart w:id="1" w:name="_Toc104818924"/>
      <w:r/>
      <w:bookmarkStart w:id="2" w:name="_Toc30599"/>
      <w:r/>
      <w:bookmarkStart w:id="3" w:name="_Toc31599"/>
      <w:r>
        <w:rPr>
          <w:rFonts w:hint="eastAsia"/>
          <w:b/>
          <w:color w:val="000000"/>
          <w:sz w:val="36"/>
          <w:szCs w:val="36"/>
        </w:rPr>
        <w:t xml:space="preserve">目</w:t>
      </w:r>
      <w:r>
        <w:rPr>
          <w:b/>
          <w:color w:val="000000"/>
          <w:sz w:val="36"/>
          <w:szCs w:val="36"/>
        </w:rPr>
        <w:t xml:space="preserve">      </w:t>
      </w:r>
      <w:r>
        <w:rPr>
          <w:rFonts w:hint="eastAsia"/>
          <w:b/>
          <w:color w:val="000000"/>
          <w:sz w:val="36"/>
          <w:szCs w:val="36"/>
          <w:lang w:val="en-US" w:eastAsia="zh-CN"/>
        </w:rPr>
        <w:t xml:space="preserve"> </w:t>
      </w:r>
      <w:r>
        <w:rPr>
          <w:rFonts w:hint="eastAsia"/>
          <w:b/>
          <w:color w:val="000000"/>
          <w:sz w:val="36"/>
          <w:szCs w:val="36"/>
        </w:rPr>
        <w:t xml:space="preserve">录</w:t>
      </w:r>
      <w:bookmarkEnd w:id="1"/>
      <w:r/>
      <w:bookmarkEnd w:id="2"/>
      <w:r/>
      <w:bookmarkEnd w:id="3"/>
      <w:r>
        <w:rPr>
          <w:b/>
          <w:color w:val="000000"/>
          <w:sz w:val="36"/>
          <w:szCs w:val="36"/>
        </w:rPr>
      </w:r>
      <w:r/>
    </w:p>
    <w:p>
      <w:pPr>
        <w:pStyle w:val="1126"/>
        <w:rPr>
          <w:color w:val="000000"/>
        </w:rPr>
      </w:pPr>
      <w:r>
        <w:rPr>
          <w:color w:val="000000"/>
        </w:rPr>
      </w:r>
      <w:r/>
    </w:p>
    <w:p>
      <w:pPr>
        <w:pStyle w:val="1126"/>
        <w:rPr>
          <w:color w:val="000000"/>
        </w:rPr>
      </w:pPr>
      <w:r>
        <w:rPr>
          <w:color w:val="000000"/>
        </w:rPr>
      </w:r>
      <w:r/>
    </w:p>
    <w:p>
      <w:pPr>
        <w:pStyle w:val="1126"/>
        <w:rPr>
          <w:color w:val="000000"/>
        </w:rPr>
      </w:pPr>
      <w:r>
        <w:rPr>
          <w:color w:val="000000"/>
        </w:rPr>
      </w:r>
      <w:r/>
    </w:p>
    <w:p>
      <w:pPr>
        <w:pStyle w:val="1126"/>
        <w:rPr>
          <w:color w:val="000000"/>
        </w:rPr>
      </w:pPr>
      <w:r>
        <w:rPr>
          <w:color w:val="000000"/>
        </w:rPr>
      </w:r>
      <w:r/>
    </w:p>
    <w:p>
      <w:pPr>
        <w:pStyle w:val="1181"/>
        <w:tabs>
          <w:tab w:val="right" w:pos="9072" w:leader="dot"/>
        </w:tabs>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rFonts w:ascii="Times New Roman" w:hAnsi="Times New Roman"/>
          <w:color w:val="000000"/>
        </w:rPr>
        <w:fldChar w:fldCharType="begin"/>
      </w:r>
      <w:r>
        <w:rPr>
          <w:rFonts w:ascii="Times New Roman" w:hAnsi="Times New Roman"/>
        </w:rPr>
        <w:instrText xml:space="preserve"> HYPERLINK \l _Toc30599 </w:instrText>
      </w:r>
      <w:r>
        <w:rPr>
          <w:rFonts w:ascii="Times New Roman" w:hAnsi="Times New Roman"/>
        </w:rPr>
        <w:fldChar w:fldCharType="separate"/>
      </w:r>
      <w:r>
        <w:rPr>
          <w:rFonts w:hint="eastAsia"/>
          <w:szCs w:val="36"/>
        </w:rPr>
        <w:t xml:space="preserve">目</w:t>
      </w:r>
      <w:r>
        <w:rPr>
          <w:szCs w:val="36"/>
        </w:rPr>
        <w:t xml:space="preserve">      </w:t>
      </w:r>
      <w:r>
        <w:rPr>
          <w:rFonts w:hint="eastAsia"/>
          <w:szCs w:val="36"/>
          <w:lang w:val="en-US" w:eastAsia="zh-CN"/>
        </w:rPr>
        <w:t xml:space="preserve"> </w:t>
      </w:r>
      <w:r>
        <w:rPr>
          <w:rFonts w:hint="eastAsia"/>
          <w:szCs w:val="36"/>
        </w:rPr>
        <w:t xml:space="preserve">录</w:t>
      </w:r>
      <w:r>
        <w:tab/>
      </w:r>
      <w:r>
        <w:fldChar w:fldCharType="begin"/>
      </w:r>
      <w:r>
        <w:instrText xml:space="preserve"> PAGEREF _Toc30599 \h </w:instrText>
      </w:r>
      <w:r>
        <w:fldChar w:fldCharType="separate"/>
      </w:r>
      <w:r>
        <w:t xml:space="preserve">1</w:t>
      </w:r>
      <w:r>
        <w:fldChar w:fldCharType="end"/>
      </w:r>
      <w:r>
        <w:rPr>
          <w:rFonts w:ascii="Times New Roman" w:hAnsi="Times New Roman"/>
          <w:color w:val="000000"/>
        </w:rPr>
        <w:fldChar w:fldCharType="end"/>
      </w:r>
      <w:r/>
    </w:p>
    <w:p>
      <w:pPr>
        <w:pStyle w:val="1181"/>
        <w:tabs>
          <w:tab w:val="right" w:pos="9072" w:leader="dot"/>
        </w:tabs>
      </w:pPr>
      <w:r>
        <w:rPr>
          <w:rFonts w:ascii="Times New Roman" w:hAnsi="Times New Roman"/>
          <w:color w:val="000000"/>
        </w:rPr>
        <w:fldChar w:fldCharType="begin"/>
      </w:r>
      <w:r>
        <w:rPr>
          <w:rFonts w:ascii="Times New Roman" w:hAnsi="Times New Roman"/>
        </w:rPr>
        <w:instrText xml:space="preserve"> HYPERLINK \l _Toc31782 </w:instrText>
      </w:r>
      <w:r>
        <w:rPr>
          <w:rFonts w:ascii="Times New Roman" w:hAnsi="Times New Roman"/>
        </w:rPr>
        <w:fldChar w:fldCharType="separate"/>
      </w:r>
      <w:r>
        <w:rPr>
          <w:szCs w:val="36"/>
        </w:rPr>
        <w:t xml:space="preserve">第一章  </w:t>
      </w:r>
      <w:r>
        <w:rPr>
          <w:rFonts w:hint="eastAsia"/>
          <w:szCs w:val="36"/>
          <w:lang w:val="en-US" w:eastAsia="zh-CN"/>
        </w:rPr>
        <w:t xml:space="preserve"> </w:t>
      </w:r>
      <w:r>
        <w:rPr>
          <w:rFonts w:hint="eastAsia"/>
          <w:szCs w:val="36"/>
        </w:rPr>
        <w:t xml:space="preserve">竞争性磋商公告</w:t>
      </w:r>
      <w:r>
        <w:tab/>
      </w:r>
      <w:r>
        <w:fldChar w:fldCharType="begin"/>
      </w:r>
      <w:r>
        <w:instrText xml:space="preserve"> PAGEREF _Toc31782 \h </w:instrText>
      </w:r>
      <w:r>
        <w:fldChar w:fldCharType="separate"/>
      </w:r>
      <w:r>
        <w:t xml:space="preserve">2</w:t>
      </w:r>
      <w:r>
        <w:fldChar w:fldCharType="end"/>
      </w:r>
      <w:r>
        <w:rPr>
          <w:rFonts w:ascii="Times New Roman" w:hAnsi="Times New Roman"/>
          <w:color w:val="000000"/>
        </w:rPr>
        <w:fldChar w:fldCharType="end"/>
      </w:r>
      <w:r/>
    </w:p>
    <w:p>
      <w:pPr>
        <w:pStyle w:val="1181"/>
        <w:tabs>
          <w:tab w:val="right" w:pos="9072" w:leader="dot"/>
        </w:tabs>
      </w:pPr>
      <w:r>
        <w:rPr>
          <w:rFonts w:ascii="Times New Roman" w:hAnsi="Times New Roman"/>
          <w:color w:val="000000"/>
        </w:rPr>
        <w:fldChar w:fldCharType="begin"/>
      </w:r>
      <w:r>
        <w:rPr>
          <w:rFonts w:ascii="Times New Roman" w:hAnsi="Times New Roman"/>
        </w:rPr>
        <w:instrText xml:space="preserve"> HYPERLINK \l _Toc2435 </w:instrText>
      </w:r>
      <w:r>
        <w:rPr>
          <w:rFonts w:ascii="Times New Roman" w:hAnsi="Times New Roman"/>
        </w:rPr>
        <w:fldChar w:fldCharType="separate"/>
      </w:r>
      <w:r>
        <w:rPr>
          <w:szCs w:val="36"/>
        </w:rPr>
        <w:t xml:space="preserve">第二章   供应商须知</w:t>
      </w:r>
      <w:r>
        <w:tab/>
      </w:r>
      <w:r>
        <w:fldChar w:fldCharType="begin"/>
      </w:r>
      <w:r>
        <w:instrText xml:space="preserve"> PAGEREF _Toc2435 \h </w:instrText>
      </w:r>
      <w:r>
        <w:fldChar w:fldCharType="separate"/>
      </w:r>
      <w:r>
        <w:t xml:space="preserve">4</w:t>
      </w:r>
      <w:r>
        <w:fldChar w:fldCharType="end"/>
      </w:r>
      <w:r>
        <w:rPr>
          <w:rFonts w:ascii="Times New Roman" w:hAnsi="Times New Roman"/>
          <w:color w:val="000000"/>
        </w:rPr>
        <w:fldChar w:fldCharType="end"/>
      </w:r>
      <w:r/>
    </w:p>
    <w:p>
      <w:pPr>
        <w:pStyle w:val="1181"/>
        <w:tabs>
          <w:tab w:val="right" w:pos="9072" w:leader="dot"/>
        </w:tabs>
      </w:pPr>
      <w:r>
        <w:rPr>
          <w:rFonts w:ascii="Times New Roman" w:hAnsi="Times New Roman"/>
          <w:color w:val="000000"/>
        </w:rPr>
        <w:fldChar w:fldCharType="begin"/>
      </w:r>
      <w:r>
        <w:rPr>
          <w:rFonts w:ascii="Times New Roman" w:hAnsi="Times New Roman"/>
        </w:rPr>
        <w:instrText xml:space="preserve"> HYPERLINK \l _Toc23924 </w:instrText>
      </w:r>
      <w:r>
        <w:rPr>
          <w:rFonts w:ascii="Times New Roman" w:hAnsi="Times New Roman"/>
        </w:rPr>
        <w:fldChar w:fldCharType="separate"/>
      </w:r>
      <w:r>
        <w:rPr>
          <w:szCs w:val="36"/>
        </w:rPr>
        <w:t xml:space="preserve">第三章   评审</w:t>
      </w:r>
      <w:r>
        <w:rPr>
          <w:rFonts w:hint="eastAsia"/>
          <w:szCs w:val="36"/>
        </w:rPr>
        <w:t xml:space="preserve">程序、评审</w:t>
      </w:r>
      <w:r>
        <w:rPr>
          <w:szCs w:val="36"/>
        </w:rPr>
        <w:t xml:space="preserve">方法和评审标准</w:t>
      </w:r>
      <w:r>
        <w:tab/>
      </w:r>
      <w:r>
        <w:fldChar w:fldCharType="begin"/>
      </w:r>
      <w:r>
        <w:instrText xml:space="preserve"> PAGEREF _Toc23924 \h </w:instrText>
      </w:r>
      <w:r>
        <w:fldChar w:fldCharType="separate"/>
      </w:r>
      <w:r>
        <w:t xml:space="preserve">20</w:t>
      </w:r>
      <w:r>
        <w:fldChar w:fldCharType="end"/>
      </w:r>
      <w:r>
        <w:rPr>
          <w:rFonts w:ascii="Times New Roman" w:hAnsi="Times New Roman"/>
          <w:color w:val="000000"/>
        </w:rPr>
        <w:fldChar w:fldCharType="end"/>
      </w:r>
      <w:r/>
    </w:p>
    <w:p>
      <w:pPr>
        <w:pStyle w:val="1181"/>
        <w:tabs>
          <w:tab w:val="right" w:pos="9072" w:leader="dot"/>
        </w:tabs>
      </w:pPr>
      <w:r>
        <w:rPr>
          <w:rFonts w:ascii="Times New Roman" w:hAnsi="Times New Roman"/>
          <w:color w:val="000000"/>
        </w:rPr>
        <w:fldChar w:fldCharType="begin"/>
      </w:r>
      <w:r>
        <w:rPr>
          <w:rFonts w:ascii="Times New Roman" w:hAnsi="Times New Roman"/>
        </w:rPr>
        <w:instrText xml:space="preserve"> HYPERLINK \l _Toc17524 </w:instrText>
      </w:r>
      <w:r>
        <w:rPr>
          <w:rFonts w:ascii="Times New Roman" w:hAnsi="Times New Roman"/>
        </w:rPr>
        <w:fldChar w:fldCharType="separate"/>
      </w:r>
      <w:r>
        <w:rPr>
          <w:rFonts w:hint="eastAsia"/>
          <w:szCs w:val="36"/>
        </w:rPr>
        <w:t xml:space="preserve">第四章 </w:t>
      </w:r>
      <w:r>
        <w:rPr>
          <w:szCs w:val="36"/>
        </w:rPr>
        <w:t xml:space="preserve">  采购需求</w:t>
      </w:r>
      <w:r>
        <w:tab/>
      </w:r>
      <w:r>
        <w:fldChar w:fldCharType="begin"/>
      </w:r>
      <w:r>
        <w:instrText xml:space="preserve"> PAGEREF _Toc17524 \h </w:instrText>
      </w:r>
      <w:r>
        <w:fldChar w:fldCharType="separate"/>
      </w:r>
      <w:r>
        <w:t xml:space="preserve">35</w:t>
      </w:r>
      <w:r>
        <w:fldChar w:fldCharType="end"/>
      </w:r>
      <w:r>
        <w:rPr>
          <w:rFonts w:ascii="Times New Roman" w:hAnsi="Times New Roman"/>
          <w:color w:val="000000"/>
        </w:rPr>
        <w:fldChar w:fldCharType="end"/>
      </w:r>
      <w:r/>
    </w:p>
    <w:p>
      <w:pPr>
        <w:pStyle w:val="1181"/>
        <w:tabs>
          <w:tab w:val="right" w:pos="9072" w:leader="dot"/>
        </w:tabs>
      </w:pPr>
      <w:r>
        <w:rPr>
          <w:rFonts w:ascii="Times New Roman" w:hAnsi="Times New Roman"/>
          <w:color w:val="000000"/>
        </w:rPr>
        <w:fldChar w:fldCharType="begin"/>
      </w:r>
      <w:r>
        <w:rPr>
          <w:rFonts w:ascii="Times New Roman" w:hAnsi="Times New Roman"/>
        </w:rPr>
        <w:instrText xml:space="preserve"> HYPERLINK \l _Toc8742 </w:instrText>
      </w:r>
      <w:r>
        <w:rPr>
          <w:rFonts w:ascii="Times New Roman" w:hAnsi="Times New Roman"/>
        </w:rPr>
        <w:fldChar w:fldCharType="separate"/>
      </w:r>
      <w:r>
        <w:rPr>
          <w:rFonts w:ascii="Times New Roman" w:hAnsi="Times New Roman" w:eastAsia="宋体" w:cs="Times New Roman"/>
          <w:szCs w:val="36"/>
        </w:rPr>
        <w:t xml:space="preserve">第五章   合同</w:t>
      </w:r>
      <w:r>
        <w:rPr>
          <w:rFonts w:hint="eastAsia" w:ascii="Times New Roman" w:hAnsi="Times New Roman" w:eastAsia="宋体" w:cs="Times New Roman"/>
          <w:szCs w:val="36"/>
        </w:rPr>
        <w:t xml:space="preserve">主要</w:t>
      </w:r>
      <w:r>
        <w:rPr>
          <w:rFonts w:ascii="Times New Roman" w:hAnsi="Times New Roman" w:eastAsia="宋体" w:cs="Times New Roman"/>
          <w:szCs w:val="36"/>
        </w:rPr>
        <w:t xml:space="preserve">条款</w:t>
      </w:r>
      <w:r>
        <w:tab/>
      </w:r>
      <w:r>
        <w:fldChar w:fldCharType="begin"/>
      </w:r>
      <w:r>
        <w:instrText xml:space="preserve"> PAGEREF _Toc8742 \h </w:instrText>
      </w:r>
      <w:r>
        <w:fldChar w:fldCharType="separate"/>
      </w:r>
      <w:r>
        <w:t xml:space="preserve">37</w:t>
      </w:r>
      <w:r>
        <w:fldChar w:fldCharType="end"/>
      </w:r>
      <w:r>
        <w:rPr>
          <w:rFonts w:ascii="Times New Roman" w:hAnsi="Times New Roman"/>
          <w:color w:val="000000"/>
        </w:rPr>
        <w:fldChar w:fldCharType="end"/>
      </w:r>
      <w:r/>
    </w:p>
    <w:p>
      <w:pPr>
        <w:pStyle w:val="1181"/>
        <w:tabs>
          <w:tab w:val="right" w:pos="9072" w:leader="dot"/>
        </w:tabs>
      </w:pPr>
      <w:r>
        <w:rPr>
          <w:rFonts w:ascii="Times New Roman" w:hAnsi="Times New Roman"/>
          <w:color w:val="000000"/>
        </w:rPr>
        <w:fldChar w:fldCharType="begin"/>
      </w:r>
      <w:r>
        <w:rPr>
          <w:rFonts w:ascii="Times New Roman" w:hAnsi="Times New Roman"/>
        </w:rPr>
        <w:instrText xml:space="preserve"> HYPERLINK \l _Toc24431 </w:instrText>
      </w:r>
      <w:r>
        <w:rPr>
          <w:rFonts w:ascii="Times New Roman" w:hAnsi="Times New Roman"/>
        </w:rPr>
        <w:fldChar w:fldCharType="separate"/>
      </w:r>
      <w:r>
        <w:rPr>
          <w:szCs w:val="36"/>
        </w:rPr>
        <w:t xml:space="preserve">第六章   响应文件格式</w:t>
      </w:r>
      <w:r>
        <w:tab/>
      </w:r>
      <w:r>
        <w:fldChar w:fldCharType="begin"/>
      </w:r>
      <w:r>
        <w:instrText xml:space="preserve"> PAGEREF _Toc24431 \h </w:instrText>
      </w:r>
      <w:r>
        <w:fldChar w:fldCharType="separate"/>
      </w:r>
      <w:r>
        <w:t xml:space="preserve">42</w:t>
      </w:r>
      <w:r>
        <w:fldChar w:fldCharType="end"/>
      </w:r>
      <w:r>
        <w:rPr>
          <w:rFonts w:ascii="Times New Roman" w:hAnsi="Times New Roman"/>
          <w:color w:val="000000"/>
        </w:rPr>
        <w:fldChar w:fldCharType="end"/>
      </w:r>
      <w:r/>
    </w:p>
    <w:p>
      <w:pPr>
        <w:pStyle w:val="1181"/>
        <w:spacing w:line="360" w:lineRule="auto"/>
        <w:tabs>
          <w:tab w:val="left" w:pos="1050" w:leader="none"/>
          <w:tab w:val="right" w:pos="8937" w:leader="dot"/>
        </w:tabs>
        <w:rPr>
          <w:rFonts w:ascii="Times New Roman" w:hAnsi="Times New Roman"/>
          <w:b w:val="0"/>
          <w:color w:val="000000"/>
        </w:rPr>
      </w:pPr>
      <w:r>
        <w:rPr>
          <w:rFonts w:ascii="Times New Roman" w:hAnsi="Times New Roman"/>
          <w:color w:val="000000"/>
        </w:rPr>
        <w:fldChar w:fldCharType="end"/>
      </w:r>
      <w:r>
        <w:rPr>
          <w:rFonts w:ascii="Times New Roman" w:hAnsi="Times New Roman"/>
          <w:b w:val="0"/>
          <w:color w:val="000000"/>
        </w:rPr>
      </w:r>
      <w:r/>
    </w:p>
    <w:p>
      <w:pPr>
        <w:pStyle w:val="1181"/>
        <w:spacing w:line="360" w:lineRule="auto"/>
        <w:tabs>
          <w:tab w:val="left" w:pos="1050" w:leader="none"/>
          <w:tab w:val="right" w:pos="8937" w:leader="dot"/>
        </w:tabs>
        <w:rPr>
          <w:b w:val="0"/>
          <w:color w:val="000000"/>
          <w:sz w:val="36"/>
          <w:szCs w:val="36"/>
        </w:rPr>
      </w:pPr>
      <w:r>
        <w:rPr>
          <w:b w:val="0"/>
          <w:color w:val="000000"/>
          <w:sz w:val="36"/>
          <w:szCs w:val="36"/>
        </w:rPr>
      </w:r>
      <w:r/>
    </w:p>
    <w:p>
      <w:pPr>
        <w:pStyle w:val="1126"/>
        <w:jc w:val="center"/>
        <w:spacing w:line="360" w:lineRule="auto"/>
        <w:rPr>
          <w:b/>
          <w:color w:val="000000"/>
          <w:sz w:val="36"/>
          <w:szCs w:val="36"/>
        </w:rPr>
        <w:sectPr>
          <w:headerReference w:type="default" r:id="rId11"/>
          <w:footerReference w:type="default" r:id="rId18"/>
          <w:footerReference w:type="first" r:id="rId19"/>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color w:val="000000"/>
          <w:sz w:val="36"/>
          <w:szCs w:val="36"/>
        </w:rPr>
      </w:r>
      <w:r/>
    </w:p>
    <w:p>
      <w:pPr>
        <w:pStyle w:val="1126"/>
        <w:ind w:firstLine="480"/>
        <w:spacing w:line="360" w:lineRule="auto"/>
        <w:rPr>
          <w:color w:val="000000"/>
          <w:sz w:val="24"/>
        </w:rPr>
      </w:pPr>
      <w:r/>
      <w:bookmarkStart w:id="4" w:name="_Hlk24379207"/>
      <w:r/>
      <w:bookmarkStart w:id="5" w:name="_Toc35393621"/>
      <w:r/>
      <w:bookmarkStart w:id="6" w:name="_Toc28359002"/>
      <w:r/>
      <w:bookmarkStart w:id="7" w:name="_Toc35393790"/>
      <w:r/>
      <w:bookmarkStart w:id="8" w:name="_Toc28359079"/>
      <w:r>
        <w:rPr>
          <w:color w:val="000000"/>
          <w:sz w:val="24"/>
        </w:rPr>
      </w:r>
      <w:r/>
    </w:p>
    <w:p>
      <w:pPr>
        <w:pStyle w:val="1126"/>
        <w:jc w:val="center"/>
        <w:spacing w:line="360" w:lineRule="auto"/>
        <w:rPr>
          <w:color w:val="000000"/>
          <w:sz w:val="24"/>
        </w:rPr>
        <w:outlineLvl w:val="0"/>
      </w:pPr>
      <w:r/>
      <w:bookmarkEnd w:id="4"/>
      <w:r/>
      <w:bookmarkEnd w:id="5"/>
      <w:r/>
      <w:bookmarkEnd w:id="6"/>
      <w:r/>
      <w:bookmarkEnd w:id="7"/>
      <w:r/>
      <w:bookmarkEnd w:id="8"/>
      <w:r/>
      <w:bookmarkStart w:id="9" w:name="_Toc104818925"/>
      <w:r/>
      <w:bookmarkStart w:id="10" w:name="_Toc31782"/>
      <w:r/>
      <w:bookmarkStart w:id="11" w:name="_Toc28359004"/>
      <w:r/>
      <w:bookmarkStart w:id="12" w:name="_Toc28359081"/>
      <w:r>
        <w:rPr>
          <w:b/>
          <w:color w:val="000000"/>
          <w:sz w:val="36"/>
          <w:szCs w:val="36"/>
        </w:rPr>
        <w:t xml:space="preserve">第一章  </w:t>
      </w:r>
      <w:bookmarkEnd w:id="9"/>
      <w:r>
        <w:rPr>
          <w:rFonts w:hint="eastAsia"/>
          <w:b/>
          <w:color w:val="000000"/>
          <w:sz w:val="36"/>
          <w:szCs w:val="36"/>
          <w:lang w:val="en-US" w:eastAsia="zh-CN"/>
        </w:rPr>
        <w:t xml:space="preserve"> </w:t>
      </w:r>
      <w:r>
        <w:rPr>
          <w:rFonts w:hint="eastAsia"/>
          <w:b/>
          <w:color w:val="000000"/>
          <w:sz w:val="36"/>
          <w:szCs w:val="36"/>
        </w:rPr>
        <w:t xml:space="preserve">竞争性磋商公告</w:t>
      </w:r>
      <w:bookmarkEnd w:id="10"/>
      <w:r>
        <w:rPr>
          <w:color w:val="000000"/>
          <w:sz w:val="24"/>
        </w:rPr>
      </w:r>
      <w:r/>
    </w:p>
    <w:p>
      <w:pPr>
        <w:pStyle w:val="1126"/>
        <w:spacing w:line="360" w:lineRule="auto"/>
        <w:rPr>
          <w:rFonts w:hint="eastAsia" w:ascii="宋体" w:hAnsi="宋体" w:eastAsia="宋体" w:cs="宋体"/>
          <w:color w:val="000000"/>
          <w:sz w:val="24"/>
          <w:szCs w:val="24"/>
        </w:rPr>
      </w:pPr>
      <w:r>
        <w:rPr>
          <w:rFonts w:hint="eastAsia" w:ascii="宋体" w:hAnsi="宋体" w:cs="宋体"/>
          <w:color w:val="000000"/>
        </w:rPr>
        <w:tab/>
      </w:r>
      <w:r>
        <w:rPr>
          <w:rFonts w:hint="eastAsia" w:ascii="宋体" w:hAnsi="宋体" w:eastAsia="宋体" w:cs="宋体"/>
          <w:color w:val="000000"/>
          <w:sz w:val="24"/>
          <w:szCs w:val="24"/>
        </w:rPr>
      </w:r>
      <w:r/>
    </w:p>
    <w:p>
      <w:pPr>
        <w:pStyle w:val="1126"/>
        <w:spacing w:line="360" w:lineRule="auto"/>
        <w:rPr>
          <w:rFonts w:ascii="宋体" w:hAnsi="宋体" w:eastAsia="宋体" w:cs="宋体"/>
          <w:color w:val="000000"/>
          <w:sz w:val="24"/>
          <w:szCs w:val="24"/>
        </w:rPr>
      </w:pPr>
      <w:r/>
      <w:bookmarkEnd w:id="11"/>
      <w:r/>
      <w:bookmarkEnd w:id="12"/>
      <w:r>
        <w:rPr>
          <w:rFonts w:ascii="宋体" w:hAnsi="宋体" w:eastAsia="宋体" w:cs="宋体"/>
          <w:color w:val="000000"/>
          <w:sz w:val="24"/>
          <w:szCs w:val="24"/>
        </w:rPr>
      </w:r>
      <w:r/>
    </w:p>
    <w:tbl>
      <w:tblPr>
        <w:tblW w:w="9400" w:type="dxa"/>
        <w:tblInd w:w="-108" w:type="dxa"/>
        <w:tblLayout w:type="fixed"/>
        <w:tblCellMar>
          <w:left w:w="108" w:type="dxa"/>
          <w:top w:w="0" w:type="dxa"/>
          <w:right w:w="108" w:type="dxa"/>
          <w:bottom w:w="0" w:type="dxa"/>
        </w:tblCellMar>
        <w:tblLook w:val="04A0" w:firstRow="1" w:lastRow="0" w:firstColumn="1" w:lastColumn="0" w:noHBand="0" w:noVBand="1"/>
      </w:tblPr>
      <w:tblGrid>
        <w:gridCol w:w="9400"/>
      </w:tblGrid>
      <w:tr>
        <w:trPr/>
        <w:tc>
          <w:tcPr>
            <w:tcBorders>
              <w:top w:val="single" w:color="000000" w:sz="4" w:space="0"/>
              <w:left w:val="single" w:color="000000" w:sz="4" w:space="0"/>
              <w:bottom w:val="single" w:color="000000" w:sz="4" w:space="0"/>
              <w:right w:val="single" w:color="000000" w:sz="4" w:space="0"/>
            </w:tcBorders>
            <w:tcW w:w="9400" w:type="dxa"/>
            <w:vAlign w:val="top"/>
            <w:textDirection w:val="lrTb"/>
            <w:noWrap w:val="false"/>
          </w:tcPr>
          <w:p>
            <w:pPr>
              <w:pStyle w:val="1126"/>
              <w:spacing w:line="360" w:lineRule="auto"/>
              <w:rPr>
                <w:rFonts w:ascii="宋体" w:hAnsi="宋体" w:eastAsia="宋体" w:cs="宋体"/>
                <w:b/>
                <w:bCs/>
                <w:color w:val="000000"/>
                <w:sz w:val="24"/>
                <w:szCs w:val="24"/>
              </w:rPr>
            </w:pPr>
            <w:r>
              <w:rPr>
                <w:rFonts w:ascii="宋体" w:hAnsi="宋体" w:cs="宋体"/>
                <w:b/>
                <w:bCs/>
                <w:color w:val="000000"/>
                <w:sz w:val="24"/>
                <w:szCs w:val="24"/>
              </w:rPr>
              <w:t xml:space="preserve">项目概况</w:t>
            </w:r>
            <w:r>
              <w:rPr>
                <w:rFonts w:ascii="宋体" w:hAnsi="宋体" w:eastAsia="宋体" w:cs="宋体"/>
                <w:b/>
                <w:bCs/>
                <w:color w:val="000000"/>
                <w:sz w:val="24"/>
                <w:szCs w:val="24"/>
              </w:rPr>
            </w:r>
            <w:r/>
          </w:p>
          <w:p>
            <w:pPr>
              <w:pStyle w:val="1126"/>
              <w:ind w:right="0" w:firstLine="482"/>
              <w:spacing w:line="360" w:lineRule="auto"/>
              <w:rPr>
                <w:rFonts w:ascii="宋体" w:hAnsi="宋体" w:eastAsia="宋体" w:cs="宋体"/>
                <w:color w:val="000000"/>
                <w:sz w:val="24"/>
                <w:szCs w:val="24"/>
              </w:rPr>
            </w:pPr>
            <w:r>
              <w:rPr>
                <w:rFonts w:ascii="宋体" w:hAnsi="宋体" w:cs="宋体"/>
                <w:b/>
                <w:bCs/>
                <w:color w:val="000000"/>
                <w:sz w:val="24"/>
                <w:szCs w:val="24"/>
                <w:highlight w:val="none"/>
                <w:lang w:eastAsia="zh-CN"/>
              </w:rPr>
              <w:t xml:space="preserve">常州市全域电动化标杆实践评估服务采购项目</w:t>
            </w:r>
            <w:r>
              <w:rPr>
                <w:rFonts w:ascii="宋体" w:hAnsi="宋体" w:cs="宋体"/>
                <w:color w:val="000000"/>
                <w:sz w:val="24"/>
                <w:szCs w:val="24"/>
                <w:highlight w:val="none"/>
              </w:rPr>
              <w:t xml:space="preserve">的潜在供应商应在</w:t>
            </w:r>
            <w:r>
              <w:rPr>
                <w:rFonts w:ascii="宋体" w:hAnsi="宋体" w:cs="宋体"/>
                <w:b/>
                <w:bCs/>
                <w:color w:val="000000"/>
                <w:sz w:val="24"/>
                <w:szCs w:val="24"/>
                <w:highlight w:val="none"/>
              </w:rPr>
              <w:t xml:space="preserve">“苏采云”政府采购一体化平台</w:t>
            </w:r>
            <w:r>
              <w:rPr>
                <w:rFonts w:ascii="宋体" w:hAnsi="宋体" w:cs="宋体"/>
                <w:color w:val="000000"/>
                <w:sz w:val="24"/>
                <w:szCs w:val="24"/>
                <w:highlight w:val="none"/>
              </w:rPr>
              <w:t xml:space="preserve">获取</w:t>
            </w:r>
            <w:r>
              <w:rPr>
                <w:rFonts w:ascii="宋体" w:hAnsi="宋体" w:cs="宋体"/>
                <w:color w:val="000000"/>
                <w:sz w:val="24"/>
                <w:szCs w:val="24"/>
                <w:highlight w:val="none"/>
              </w:rPr>
              <w:t xml:space="preserve">磋商文件</w:t>
            </w:r>
            <w:r>
              <w:rPr>
                <w:rFonts w:ascii="宋体" w:hAnsi="宋体" w:cs="宋体"/>
                <w:color w:val="000000"/>
                <w:sz w:val="24"/>
                <w:szCs w:val="24"/>
                <w:highlight w:val="none"/>
              </w:rPr>
              <w:t xml:space="preserve">，并于</w:t>
            </w:r>
            <w:r>
              <w:rPr>
                <w:rFonts w:ascii="宋体" w:hAnsi="宋体" w:eastAsia="宋体" w:cs="宋体"/>
                <w:b/>
                <w:color w:val="000000"/>
                <w:sz w:val="24"/>
                <w:szCs w:val="24"/>
                <w:highlight w:val="none"/>
              </w:rPr>
              <w:t xml:space="preserve">202</w:t>
            </w:r>
            <w:r>
              <w:rPr>
                <w:rFonts w:ascii="宋体" w:hAnsi="宋体" w:eastAsia="宋体" w:cs="宋体"/>
                <w:b/>
                <w:color w:val="000000"/>
                <w:sz w:val="24"/>
                <w:szCs w:val="24"/>
                <w:highlight w:val="none"/>
                <w:lang w:val="en-US" w:eastAsia="zh-CN"/>
              </w:rPr>
              <w:t xml:space="preserve">6</w:t>
            </w:r>
            <w:r>
              <w:rPr>
                <w:rFonts w:ascii="宋体" w:hAnsi="宋体" w:cs="宋体"/>
                <w:b/>
                <w:color w:val="000000"/>
                <w:sz w:val="24"/>
                <w:szCs w:val="24"/>
                <w:highlight w:val="none"/>
              </w:rPr>
              <w:t xml:space="preserve">年</w:t>
            </w:r>
            <w:r>
              <w:rPr>
                <w:rFonts w:hint="eastAsia" w:ascii="宋体" w:hAnsi="宋体" w:cs="宋体"/>
                <w:b/>
                <w:color w:val="000000"/>
                <w:sz w:val="24"/>
                <w:szCs w:val="24"/>
                <w:highlight w:val="none"/>
                <w:lang w:val="en-US" w:eastAsia="zh-CN"/>
              </w:rPr>
              <w:t xml:space="preserve">9</w:t>
            </w:r>
            <w:r>
              <w:rPr>
                <w:rFonts w:ascii="宋体" w:hAnsi="宋体" w:cs="宋体"/>
                <w:b/>
                <w:color w:val="000000"/>
                <w:sz w:val="24"/>
                <w:szCs w:val="24"/>
                <w:highlight w:val="none"/>
                <w:lang w:val="en-US" w:eastAsia="zh-CN"/>
              </w:rPr>
              <w:t xml:space="preserve">月</w:t>
            </w:r>
            <w:r>
              <w:rPr>
                <w:rFonts w:hint="eastAsia" w:ascii="宋体" w:hAnsi="宋体" w:cs="宋体"/>
                <w:b/>
                <w:color w:val="000000"/>
                <w:sz w:val="24"/>
                <w:szCs w:val="24"/>
                <w:highlight w:val="none"/>
                <w:lang w:val="en-US" w:eastAsia="zh-CN"/>
              </w:rPr>
              <w:t xml:space="preserve">20</w:t>
            </w:r>
            <w:r>
              <w:rPr>
                <w:rFonts w:ascii="宋体" w:hAnsi="宋体" w:cs="宋体"/>
                <w:b/>
                <w:color w:val="000000"/>
                <w:sz w:val="24"/>
                <w:szCs w:val="24"/>
                <w:highlight w:val="none"/>
              </w:rPr>
              <w:t xml:space="preserve">日</w:t>
            </w:r>
            <w:r>
              <w:rPr>
                <w:rFonts w:hint="eastAsia" w:ascii="宋体" w:hAnsi="宋体" w:cs="宋体"/>
                <w:b/>
                <w:color w:val="000000"/>
                <w:sz w:val="24"/>
                <w:szCs w:val="24"/>
                <w:highlight w:val="none"/>
                <w:lang w:val="en-US" w:eastAsia="zh-CN"/>
              </w:rPr>
              <w:t xml:space="preserve">9:30</w:t>
            </w:r>
            <w:r>
              <w:rPr>
                <w:rFonts w:ascii="宋体" w:hAnsi="宋体" w:cs="宋体"/>
                <w:color w:val="000000"/>
                <w:sz w:val="24"/>
                <w:szCs w:val="24"/>
                <w:highlight w:val="none"/>
              </w:rPr>
              <w:t xml:space="preserve">（北京时间）前提交投标文件。</w:t>
            </w:r>
            <w:r>
              <w:rPr>
                <w:rFonts w:ascii="宋体" w:hAnsi="宋体" w:eastAsia="宋体" w:cs="宋体"/>
                <w:color w:val="000000"/>
                <w:sz w:val="24"/>
                <w:szCs w:val="24"/>
              </w:rPr>
            </w:r>
            <w:r/>
          </w:p>
        </w:tc>
      </w:tr>
    </w:tbl>
    <w:p>
      <w:pPr>
        <w:pStyle w:val="1126"/>
        <w:ind w:right="0" w:firstLine="482"/>
        <w:spacing w:line="360" w:lineRule="auto"/>
        <w:rPr>
          <w:rFonts w:ascii="宋体" w:hAnsi="宋体" w:eastAsia="宋体" w:cs="宋体"/>
          <w:b/>
          <w:bCs/>
          <w:color w:val="000000"/>
          <w:sz w:val="24"/>
          <w:szCs w:val="24"/>
        </w:rPr>
      </w:pPr>
      <w:r>
        <w:rPr>
          <w:rFonts w:ascii="宋体" w:hAnsi="宋体" w:cs="宋体"/>
          <w:b/>
          <w:bCs/>
          <w:color w:val="000000"/>
          <w:sz w:val="24"/>
          <w:szCs w:val="24"/>
        </w:rPr>
        <w:t xml:space="preserve">一、项目基本情况  </w:t>
      </w:r>
      <w:r>
        <w:rPr>
          <w:rFonts w:ascii="宋体" w:hAnsi="宋体" w:eastAsia="宋体" w:cs="宋体"/>
          <w:b/>
          <w:bCs/>
          <w:color w:val="000000"/>
          <w:sz w:val="24"/>
          <w:szCs w:val="24"/>
        </w:rPr>
      </w:r>
      <w:r/>
    </w:p>
    <w:p>
      <w:pPr>
        <w:pStyle w:val="1126"/>
        <w:ind w:right="0" w:firstLine="482"/>
        <w:spacing w:line="360" w:lineRule="auto"/>
        <w:rPr>
          <w:rFonts w:ascii="宋体" w:hAnsi="宋体" w:eastAsia="宋体" w:cs="宋体"/>
          <w:color w:val="000000"/>
          <w:sz w:val="24"/>
          <w:szCs w:val="24"/>
          <w:highlight w:val="none"/>
          <w:lang w:val="en-US" w:eastAsia="zh-CN"/>
        </w:rPr>
      </w:pPr>
      <w:r>
        <w:rPr>
          <w:rFonts w:ascii="宋体" w:hAnsi="宋体" w:cs="宋体"/>
          <w:b/>
          <w:color w:val="000000"/>
          <w:sz w:val="24"/>
          <w:szCs w:val="24"/>
          <w:highlight w:val="none"/>
        </w:rPr>
        <w:t xml:space="preserve">项目编号：</w:t>
      </w:r>
      <w:r>
        <w:rPr>
          <w:rFonts w:ascii="宋体" w:hAnsi="宋体" w:eastAsia="宋体" w:cs="宋体"/>
          <w:b w:val="0"/>
          <w:bCs/>
          <w:color w:val="000000"/>
          <w:sz w:val="24"/>
          <w:szCs w:val="24"/>
          <w:lang w:eastAsia="zh-CN"/>
        </w:rPr>
        <w:t xml:space="preserve">JSZC-320400-CZZH-C2026-0045</w:t>
      </w:r>
      <w:r>
        <w:rPr>
          <w:rFonts w:ascii="宋体" w:hAnsi="宋体" w:eastAsia="宋体" w:cs="宋体"/>
          <w:color w:val="000000"/>
          <w:sz w:val="24"/>
          <w:szCs w:val="24"/>
          <w:highlight w:val="none"/>
          <w:lang w:val="en-US" w:eastAsia="zh-CN"/>
        </w:rPr>
      </w:r>
      <w:r/>
    </w:p>
    <w:p>
      <w:pPr>
        <w:pStyle w:val="1126"/>
        <w:ind w:right="0" w:firstLine="482"/>
        <w:spacing w:line="360" w:lineRule="auto"/>
        <w:rPr>
          <w:rFonts w:ascii="宋体" w:hAnsi="宋体" w:cs="宋体"/>
          <w:b/>
          <w:color w:val="000000"/>
          <w:sz w:val="24"/>
          <w:szCs w:val="24"/>
        </w:rPr>
      </w:pPr>
      <w:r>
        <w:rPr>
          <w:rFonts w:ascii="宋体" w:hAnsi="宋体" w:cs="宋体"/>
          <w:b/>
          <w:color w:val="000000"/>
          <w:sz w:val="24"/>
          <w:szCs w:val="24"/>
        </w:rPr>
        <w:t xml:space="preserve">项目名称：</w:t>
      </w:r>
      <w:r>
        <w:rPr>
          <w:rFonts w:ascii="宋体" w:hAnsi="宋体" w:cs="宋体"/>
          <w:b w:val="0"/>
          <w:bCs/>
          <w:color w:val="000000"/>
          <w:sz w:val="24"/>
          <w:szCs w:val="24"/>
          <w:lang w:eastAsia="zh-CN"/>
        </w:rPr>
        <w:t xml:space="preserve">常州市全域电动化标杆实践评估</w:t>
      </w:r>
      <w:r>
        <w:rPr>
          <w:rFonts w:ascii="宋体" w:hAnsi="宋体" w:cs="宋体"/>
          <w:b w:val="0"/>
          <w:bCs/>
          <w:color w:val="000000"/>
          <w:sz w:val="24"/>
          <w:szCs w:val="24"/>
        </w:rPr>
        <w:t xml:space="preserve">服务采购项目</w:t>
      </w:r>
      <w:r>
        <w:rPr>
          <w:rFonts w:ascii="宋体" w:hAnsi="宋体" w:cs="宋体"/>
          <w:b/>
          <w:color w:val="000000"/>
          <w:sz w:val="24"/>
          <w:szCs w:val="24"/>
        </w:rPr>
      </w:r>
      <w:r/>
    </w:p>
    <w:p>
      <w:pPr>
        <w:pStyle w:val="1126"/>
        <w:ind w:right="0" w:firstLine="482"/>
        <w:spacing w:line="360" w:lineRule="auto"/>
        <w:rPr>
          <w:rFonts w:ascii="宋体" w:hAnsi="宋体" w:eastAsia="宋体" w:cs="宋体"/>
          <w:b/>
          <w:color w:val="000000"/>
          <w:spacing w:val="2"/>
          <w:sz w:val="24"/>
          <w:szCs w:val="24"/>
        </w:rPr>
      </w:pPr>
      <w:r>
        <w:rPr>
          <w:rFonts w:ascii="宋体" w:hAnsi="宋体" w:cs="宋体"/>
          <w:b/>
          <w:color w:val="000000"/>
          <w:spacing w:val="2"/>
          <w:sz w:val="24"/>
          <w:szCs w:val="24"/>
        </w:rPr>
        <w:t xml:space="preserve">采购方式：</w:t>
      </w:r>
      <w:r>
        <w:rPr>
          <w:rFonts w:ascii="宋体" w:hAnsi="宋体" w:cs="宋体"/>
          <w:color w:val="000000"/>
          <w:spacing w:val="2"/>
          <w:sz w:val="24"/>
          <w:szCs w:val="24"/>
        </w:rPr>
        <w:t xml:space="preserve">竞争性磋商</w:t>
      </w:r>
      <w:r>
        <w:rPr>
          <w:rFonts w:ascii="宋体" w:hAnsi="宋体" w:eastAsia="宋体" w:cs="宋体"/>
          <w:b/>
          <w:color w:val="000000"/>
          <w:spacing w:val="2"/>
          <w:sz w:val="24"/>
          <w:szCs w:val="24"/>
        </w:rPr>
      </w:r>
      <w:r/>
    </w:p>
    <w:p>
      <w:pPr>
        <w:pStyle w:val="1126"/>
        <w:ind w:right="0" w:firstLine="490"/>
        <w:spacing w:line="360" w:lineRule="auto"/>
        <w:rPr>
          <w:rFonts w:ascii="宋体" w:hAnsi="宋体" w:eastAsia="宋体" w:cs="宋体"/>
          <w:b w:val="0"/>
          <w:bCs/>
          <w:color w:val="000000"/>
          <w:spacing w:val="2"/>
          <w:sz w:val="24"/>
          <w:szCs w:val="24"/>
          <w:highlight w:val="none"/>
        </w:rPr>
      </w:pPr>
      <w:r>
        <w:rPr>
          <w:rFonts w:ascii="宋体" w:hAnsi="宋体" w:eastAsia="宋体" w:cs="宋体"/>
          <w:b/>
          <w:color w:val="000000"/>
          <w:spacing w:val="2"/>
          <w:sz w:val="24"/>
          <w:szCs w:val="24"/>
          <w:highlight w:val="none"/>
        </w:rPr>
        <w:t xml:space="preserve">预算金额</w:t>
      </w:r>
      <w:r>
        <w:rPr>
          <w:rFonts w:hint="eastAsia" w:ascii="宋体" w:hAnsi="宋体" w:eastAsia="宋体" w:cs="宋体"/>
          <w:b w:val="0"/>
          <w:bCs/>
          <w:color w:val="000000"/>
          <w:spacing w:val="2"/>
          <w:sz w:val="24"/>
          <w:szCs w:val="24"/>
          <w:highlight w:val="none"/>
          <w:lang w:val="en-US" w:eastAsia="zh-CN"/>
        </w:rPr>
        <w:t xml:space="preserve">：</w:t>
      </w:r>
      <w:r>
        <w:rPr>
          <w:rFonts w:ascii="宋体" w:hAnsi="宋体" w:eastAsia="宋体" w:cs="宋体"/>
          <w:b w:val="0"/>
          <w:bCs/>
          <w:color w:val="000000"/>
          <w:spacing w:val="2"/>
          <w:sz w:val="24"/>
          <w:szCs w:val="24"/>
          <w:highlight w:val="none"/>
          <w:lang w:val="en-US" w:eastAsia="zh-CN"/>
        </w:rPr>
        <w:t xml:space="preserve">120</w:t>
      </w:r>
      <w:r>
        <w:rPr>
          <w:rFonts w:ascii="宋体" w:hAnsi="宋体" w:eastAsia="宋体" w:cs="宋体"/>
          <w:b w:val="0"/>
          <w:bCs/>
          <w:color w:val="000000"/>
          <w:spacing w:val="2"/>
          <w:sz w:val="24"/>
          <w:szCs w:val="24"/>
          <w:highlight w:val="none"/>
        </w:rPr>
        <w:t xml:space="preserve">万元</w:t>
      </w:r>
      <w:r>
        <w:rPr>
          <w:rFonts w:ascii="宋体" w:hAnsi="宋体" w:eastAsia="宋体" w:cs="宋体"/>
          <w:b w:val="0"/>
          <w:bCs/>
          <w:color w:val="000000"/>
          <w:spacing w:val="2"/>
          <w:sz w:val="24"/>
          <w:szCs w:val="24"/>
          <w:highlight w:val="none"/>
        </w:rPr>
      </w:r>
      <w:r/>
    </w:p>
    <w:p>
      <w:pPr>
        <w:pStyle w:val="1126"/>
        <w:ind w:right="0" w:firstLine="490"/>
        <w:spacing w:line="360" w:lineRule="auto"/>
        <w:rPr>
          <w:rFonts w:ascii="宋体" w:hAnsi="宋体" w:eastAsia="宋体" w:cs="宋体"/>
          <w:b w:val="0"/>
          <w:bCs/>
          <w:color w:val="000000"/>
          <w:spacing w:val="2"/>
          <w:sz w:val="24"/>
          <w:szCs w:val="24"/>
          <w:highlight w:val="none"/>
          <w:lang w:val="en-US" w:eastAsia="zh-CN"/>
        </w:rPr>
      </w:pPr>
      <w:r>
        <w:rPr>
          <w:rFonts w:hint="eastAsia" w:ascii="宋体" w:hAnsi="宋体" w:eastAsia="宋体" w:cs="宋体"/>
          <w:b/>
          <w:bCs w:val="0"/>
          <w:color w:val="000000"/>
          <w:spacing w:val="2"/>
          <w:sz w:val="24"/>
          <w:szCs w:val="24"/>
          <w:highlight w:val="none"/>
          <w:lang w:val="en-US" w:eastAsia="zh-CN"/>
        </w:rPr>
        <w:t xml:space="preserve">最高限价：</w:t>
      </w:r>
      <w:r>
        <w:rPr>
          <w:rFonts w:hint="eastAsia" w:ascii="宋体" w:hAnsi="宋体" w:eastAsia="宋体" w:cs="宋体"/>
          <w:b w:val="0"/>
          <w:bCs/>
          <w:color w:val="000000"/>
          <w:spacing w:val="2"/>
          <w:sz w:val="24"/>
          <w:szCs w:val="24"/>
          <w:highlight w:val="none"/>
          <w:lang w:val="en-US" w:eastAsia="zh-CN"/>
        </w:rPr>
        <w:t xml:space="preserve">118万元</w:t>
      </w:r>
      <w:r>
        <w:rPr>
          <w:rFonts w:ascii="宋体" w:hAnsi="宋体" w:eastAsia="宋体" w:cs="宋体"/>
          <w:b w:val="0"/>
          <w:bCs/>
          <w:color w:val="000000"/>
          <w:spacing w:val="2"/>
          <w:sz w:val="24"/>
          <w:szCs w:val="24"/>
          <w:highlight w:val="none"/>
          <w:lang w:val="en-US" w:eastAsia="zh-CN"/>
        </w:rPr>
      </w:r>
      <w:r/>
    </w:p>
    <w:p>
      <w:pPr>
        <w:pStyle w:val="1126"/>
        <w:numPr>
          <w:ilvl w:val="0"/>
          <w:numId w:val="0"/>
        </w:numPr>
        <w:ind w:firstLine="482"/>
        <w:keepLines w:val="0"/>
        <w:keepNext w:val="0"/>
        <w:pageBreakBefore w:val="0"/>
        <w:spacing w:line="360" w:lineRule="auto"/>
        <w:widowControl w:val="off"/>
        <w:rPr>
          <w:rFonts w:ascii="宋体" w:hAnsi="宋体" w:eastAsia="宋体" w:cs="宋体"/>
          <w:b w:val="0"/>
          <w:bCs/>
          <w:color w:val="000000"/>
          <w:spacing w:val="2"/>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采购需求</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常州市全域电动化标杆实践评估服务采购项目，详见采购需求。</w:t>
      </w:r>
      <w:r>
        <w:rPr>
          <w:rFonts w:hint="eastAsia" w:ascii="宋体" w:hAnsi="宋体" w:eastAsia="宋体" w:cs="宋体"/>
          <w:color w:val="000000"/>
          <w:sz w:val="24"/>
          <w:szCs w:val="24"/>
          <w:highlight w:val="none"/>
          <w:lang w:val="en-US" w:eastAsia="zh-CN"/>
        </w:rPr>
      </w:r>
      <w:r/>
    </w:p>
    <w:p>
      <w:pPr>
        <w:pStyle w:val="1126"/>
        <w:ind w:right="0" w:firstLine="490"/>
        <w:jc w:val="left"/>
        <w:keepLines w:val="0"/>
        <w:keepNext w:val="0"/>
        <w:pageBreakBefore w:val="0"/>
        <w:spacing w:line="360" w:lineRule="auto"/>
        <w:widowControl/>
        <w:rPr>
          <w:rFonts w:ascii="宋体" w:hAnsi="宋体" w:eastAsia="宋体" w:cs="宋体"/>
          <w:color w:val="000000"/>
          <w:spacing w:val="2"/>
          <w:sz w:val="24"/>
          <w:szCs w:val="24"/>
          <w:highlight w:val="none"/>
          <w:lang w:val="en-US" w:eastAsia="zh-CN"/>
        </w:rPr>
        <w:outlineLvl w:val="9"/>
        <w:suppressLineNumbers w:val="0"/>
      </w:pPr>
      <w:r>
        <w:rPr>
          <w:rFonts w:ascii="宋体" w:hAnsi="宋体" w:cs="宋体"/>
          <w:b/>
          <w:color w:val="000000"/>
          <w:spacing w:val="2"/>
          <w:sz w:val="24"/>
          <w:szCs w:val="24"/>
          <w:highlight w:val="none"/>
        </w:rPr>
        <w:t xml:space="preserve">合同履行期限：</w:t>
      </w:r>
      <w:r>
        <w:rPr>
          <w:rFonts w:hint="eastAsia" w:ascii="宋体" w:hAnsi="宋体" w:eastAsia="宋体" w:cs="宋体"/>
          <w:b w:val="0"/>
          <w:bCs/>
          <w:color w:val="000000"/>
          <w:spacing w:val="2"/>
          <w:sz w:val="24"/>
          <w:szCs w:val="24"/>
          <w:highlight w:val="none"/>
          <w:lang w:val="en-US" w:eastAsia="zh-CN"/>
        </w:rPr>
        <w:t xml:space="preserve">签订合同之日起4个</w:t>
      </w:r>
      <w:r>
        <w:rPr>
          <w:rFonts w:hint="eastAsia" w:ascii="宋体" w:hAnsi="宋体" w:cs="宋体"/>
          <w:b w:val="0"/>
          <w:bCs/>
          <w:color w:val="000000"/>
          <w:spacing w:val="2"/>
          <w:sz w:val="24"/>
          <w:szCs w:val="24"/>
          <w:highlight w:val="none"/>
          <w:lang w:val="en-US" w:eastAsia="zh-CN"/>
        </w:rPr>
        <w:t xml:space="preserve">月</w:t>
      </w:r>
      <w:r>
        <w:rPr>
          <w:rFonts w:ascii="宋体" w:hAnsi="宋体" w:eastAsia="宋体" w:cs="宋体"/>
          <w:color w:val="000000"/>
          <w:spacing w:val="2"/>
          <w:sz w:val="24"/>
          <w:szCs w:val="24"/>
          <w:highlight w:val="none"/>
          <w:lang w:val="en-US" w:eastAsia="zh-CN"/>
        </w:rPr>
      </w:r>
      <w:r/>
    </w:p>
    <w:p>
      <w:pPr>
        <w:pStyle w:val="1126"/>
        <w:ind w:right="0" w:firstLine="490"/>
        <w:keepLines w:val="0"/>
        <w:keepNext w:val="0"/>
        <w:pageBreakBefore w:val="0"/>
        <w:spacing w:line="360" w:lineRule="auto"/>
        <w:rPr>
          <w:rFonts w:ascii="宋体" w:hAnsi="宋体" w:eastAsia="宋体" w:cs="宋体"/>
          <w:bCs/>
          <w:color w:val="000000"/>
          <w:spacing w:val="2"/>
          <w:sz w:val="24"/>
          <w:szCs w:val="24"/>
        </w:rPr>
        <w:outlineLvl w:val="9"/>
      </w:pPr>
      <w:r>
        <w:rPr>
          <w:rFonts w:ascii="宋体" w:hAnsi="宋体" w:cs="宋体"/>
          <w:b/>
          <w:color w:val="000000"/>
          <w:spacing w:val="2"/>
          <w:sz w:val="24"/>
          <w:szCs w:val="24"/>
        </w:rPr>
        <w:t xml:space="preserve">二、申请人的资格要求：</w:t>
      </w:r>
      <w:r>
        <w:rPr>
          <w:rFonts w:ascii="宋体" w:hAnsi="宋体" w:eastAsia="宋体" w:cs="宋体"/>
          <w:bCs/>
          <w:color w:val="000000"/>
          <w:spacing w:val="2"/>
          <w:sz w:val="24"/>
          <w:szCs w:val="24"/>
        </w:rPr>
      </w:r>
      <w:r/>
    </w:p>
    <w:p>
      <w:pPr>
        <w:pStyle w:val="1126"/>
        <w:ind w:right="0" w:firstLine="488"/>
        <w:keepLines w:val="0"/>
        <w:keepNext w:val="0"/>
        <w:pageBreakBefore w:val="0"/>
        <w:spacing w:line="360" w:lineRule="auto"/>
        <w:rPr>
          <w:rFonts w:ascii="宋体" w:hAnsi="宋体" w:eastAsia="宋体" w:cs="宋体"/>
          <w:bCs/>
          <w:color w:val="000000"/>
          <w:spacing w:val="2"/>
          <w:sz w:val="24"/>
          <w:szCs w:val="24"/>
        </w:rPr>
        <w:outlineLvl w:val="9"/>
      </w:pPr>
      <w:r>
        <w:rPr>
          <w:rFonts w:ascii="宋体" w:hAnsi="宋体" w:eastAsia="宋体" w:cs="宋体"/>
          <w:bCs/>
          <w:color w:val="000000"/>
          <w:spacing w:val="2"/>
          <w:sz w:val="24"/>
          <w:szCs w:val="24"/>
        </w:rPr>
        <w:t xml:space="preserve">1.</w:t>
      </w:r>
      <w:r>
        <w:rPr>
          <w:rFonts w:ascii="宋体" w:hAnsi="宋体" w:cs="宋体"/>
          <w:bCs/>
          <w:color w:val="000000"/>
          <w:spacing w:val="2"/>
          <w:sz w:val="24"/>
          <w:szCs w:val="24"/>
        </w:rPr>
        <w:t xml:space="preserve">满足《中华人民共和国政府采购法》第二十二条规定</w:t>
      </w:r>
      <w:r>
        <w:rPr>
          <w:rFonts w:ascii="宋体" w:hAnsi="宋体" w:eastAsia="宋体" w:cs="宋体"/>
          <w:bCs/>
          <w:color w:val="000000"/>
          <w:spacing w:val="2"/>
          <w:sz w:val="24"/>
          <w:szCs w:val="24"/>
        </w:rPr>
      </w:r>
      <w:r/>
    </w:p>
    <w:p>
      <w:pPr>
        <w:pStyle w:val="1126"/>
        <w:ind w:right="0" w:firstLine="490"/>
        <w:keepLines w:val="0"/>
        <w:keepNext w:val="0"/>
        <w:pageBreakBefore w:val="0"/>
        <w:spacing w:line="360" w:lineRule="auto"/>
        <w:rPr>
          <w:rFonts w:ascii="宋体" w:hAnsi="宋体" w:eastAsia="宋体" w:cs="宋体"/>
          <w:bCs/>
          <w:color w:val="000000"/>
          <w:spacing w:val="2"/>
          <w:sz w:val="24"/>
          <w:szCs w:val="24"/>
        </w:rPr>
        <w:outlineLvl w:val="9"/>
      </w:pPr>
      <w:r>
        <w:rPr>
          <w:rFonts w:ascii="宋体" w:hAnsi="宋体" w:eastAsia="宋体" w:cs="宋体"/>
          <w:b/>
          <w:color w:val="000000"/>
          <w:spacing w:val="2"/>
          <w:sz w:val="24"/>
          <w:szCs w:val="24"/>
        </w:rPr>
        <w:t xml:space="preserve">2.</w:t>
      </w:r>
      <w:r>
        <w:rPr>
          <w:rFonts w:ascii="宋体" w:hAnsi="宋体" w:cs="宋体"/>
          <w:b/>
          <w:color w:val="000000"/>
          <w:spacing w:val="2"/>
          <w:sz w:val="24"/>
          <w:szCs w:val="24"/>
        </w:rPr>
        <w:t xml:space="preserve">落实政府采购政策需满足的资格要求</w:t>
      </w:r>
      <w:r>
        <w:rPr>
          <w:rFonts w:ascii="宋体" w:hAnsi="宋体" w:cs="宋体"/>
          <w:bCs/>
          <w:color w:val="000000"/>
          <w:spacing w:val="2"/>
          <w:sz w:val="24"/>
          <w:szCs w:val="24"/>
        </w:rPr>
        <w:t xml:space="preserve">：</w:t>
      </w:r>
      <w:r>
        <w:rPr>
          <w:rFonts w:ascii="宋体" w:hAnsi="宋体" w:eastAsia="宋体" w:cs="宋体"/>
          <w:bCs/>
          <w:color w:val="000000"/>
          <w:spacing w:val="2"/>
          <w:sz w:val="24"/>
          <w:szCs w:val="24"/>
        </w:rPr>
      </w:r>
      <w:r/>
    </w:p>
    <w:p>
      <w:pPr>
        <w:pStyle w:val="1126"/>
        <w:ind w:right="0" w:firstLine="488"/>
        <w:spacing w:line="360" w:lineRule="auto"/>
        <w:rPr>
          <w:rFonts w:ascii="宋体" w:hAnsi="宋体" w:eastAsia="宋体" w:cs="宋体"/>
          <w:bCs/>
          <w:color w:val="000000"/>
          <w:spacing w:val="2"/>
          <w:sz w:val="24"/>
          <w:szCs w:val="24"/>
        </w:rPr>
        <w:outlineLvl w:val="9"/>
      </w:pPr>
      <w:r>
        <w:rPr>
          <w:rFonts w:ascii="宋体" w:hAnsi="宋体" w:eastAsia="宋体" w:cs="宋体"/>
          <w:bCs/>
          <w:color w:val="000000"/>
          <w:spacing w:val="2"/>
          <w:sz w:val="24"/>
          <w:szCs w:val="24"/>
        </w:rPr>
        <w:t xml:space="preserve">2.1 </w:t>
      </w:r>
      <w:r>
        <w:rPr>
          <w:rFonts w:ascii="宋体" w:hAnsi="宋体" w:cs="宋体"/>
          <w:bCs/>
          <w:color w:val="000000"/>
          <w:spacing w:val="2"/>
          <w:sz w:val="24"/>
          <w:szCs w:val="24"/>
        </w:rPr>
        <w:t xml:space="preserve">中小企业政策</w:t>
      </w:r>
      <w:r>
        <w:rPr>
          <w:rFonts w:ascii="宋体" w:hAnsi="宋体" w:eastAsia="宋体" w:cs="宋体"/>
          <w:bCs/>
          <w:color w:val="000000"/>
          <w:spacing w:val="2"/>
          <w:sz w:val="24"/>
          <w:szCs w:val="24"/>
        </w:rPr>
      </w:r>
      <w:r/>
    </w:p>
    <w:p>
      <w:pPr>
        <w:pStyle w:val="1126"/>
        <w:ind w:right="0" w:firstLine="488"/>
        <w:spacing w:line="360" w:lineRule="auto"/>
        <w:rPr>
          <w:rFonts w:ascii="宋体" w:hAnsi="宋体" w:eastAsia="宋体" w:cs="宋体"/>
          <w:bCs/>
          <w:color w:val="000000"/>
          <w:spacing w:val="2"/>
          <w:sz w:val="24"/>
          <w:szCs w:val="24"/>
          <w:highlight w:val="none"/>
        </w:rPr>
        <w:outlineLvl w:val="9"/>
      </w:pPr>
      <w:r>
        <w:rPr>
          <w:rFonts w:ascii="宋体" w:hAnsi="宋体" w:cs="宋体"/>
          <w:bCs/>
          <w:color w:val="000000"/>
          <w:spacing w:val="2"/>
          <w:sz w:val="24"/>
          <w:szCs w:val="24"/>
        </w:rPr>
        <w:t xml:space="preserve">本项目</w:t>
      </w:r>
      <w:r>
        <w:rPr>
          <w:rFonts w:ascii="宋体" w:hAnsi="宋体" w:cs="宋体"/>
          <w:bCs/>
          <w:color w:val="000000"/>
          <w:spacing w:val="2"/>
          <w:sz w:val="24"/>
          <w:szCs w:val="24"/>
          <w:lang w:val="en-US" w:eastAsia="zh-CN"/>
        </w:rPr>
        <w:t xml:space="preserve">不</w:t>
      </w:r>
      <w:r>
        <w:rPr>
          <w:rFonts w:ascii="宋体" w:hAnsi="宋体" w:cs="宋体"/>
          <w:bCs/>
          <w:color w:val="000000"/>
          <w:spacing w:val="2"/>
          <w:sz w:val="24"/>
          <w:szCs w:val="24"/>
        </w:rPr>
        <w:t xml:space="preserve">专门面向中小企业采购</w:t>
      </w:r>
      <w:r>
        <w:rPr>
          <w:rFonts w:ascii="宋体" w:hAnsi="宋体" w:eastAsia="宋体" w:cs="宋体"/>
          <w:bCs/>
          <w:color w:val="000000"/>
          <w:spacing w:val="2"/>
          <w:sz w:val="24"/>
          <w:szCs w:val="24"/>
          <w:highlight w:val="none"/>
        </w:rPr>
      </w:r>
      <w:r/>
    </w:p>
    <w:p>
      <w:pPr>
        <w:pStyle w:val="1126"/>
        <w:ind w:right="0" w:firstLine="488"/>
        <w:spacing w:line="360" w:lineRule="auto"/>
        <w:rPr>
          <w:rFonts w:ascii="宋体" w:hAnsi="宋体" w:eastAsia="宋体" w:cs="宋体"/>
          <w:bCs/>
          <w:color w:val="000000"/>
          <w:spacing w:val="2"/>
          <w:sz w:val="24"/>
          <w:szCs w:val="24"/>
        </w:rPr>
        <w:outlineLvl w:val="9"/>
      </w:pPr>
      <w:r>
        <w:rPr>
          <w:rFonts w:ascii="宋体" w:hAnsi="宋体" w:eastAsia="宋体" w:cs="宋体"/>
          <w:bCs/>
          <w:color w:val="000000"/>
          <w:spacing w:val="2"/>
          <w:sz w:val="24"/>
          <w:szCs w:val="24"/>
        </w:rPr>
        <w:t xml:space="preserve">2.2 </w:t>
      </w:r>
      <w:r>
        <w:rPr>
          <w:rFonts w:ascii="宋体" w:hAnsi="宋体" w:cs="宋体"/>
          <w:bCs/>
          <w:color w:val="000000"/>
          <w:spacing w:val="2"/>
          <w:sz w:val="24"/>
          <w:szCs w:val="24"/>
        </w:rPr>
        <w:t xml:space="preserve">其它落实政府采购政策的资格要求（如有）：无。</w:t>
      </w:r>
      <w:r>
        <w:rPr>
          <w:rFonts w:ascii="宋体" w:hAnsi="宋体" w:eastAsia="宋体" w:cs="宋体"/>
          <w:bCs/>
          <w:color w:val="000000"/>
          <w:spacing w:val="2"/>
          <w:sz w:val="24"/>
          <w:szCs w:val="24"/>
        </w:rPr>
      </w:r>
      <w:r/>
    </w:p>
    <w:p>
      <w:pPr>
        <w:pStyle w:val="1126"/>
        <w:ind w:right="0" w:firstLine="488"/>
        <w:spacing w:line="360" w:lineRule="auto"/>
        <w:rPr>
          <w:rFonts w:ascii="宋体" w:hAnsi="宋体" w:eastAsia="宋体" w:cs="宋体"/>
          <w:bCs/>
          <w:color w:val="000000"/>
          <w:spacing w:val="2"/>
          <w:sz w:val="24"/>
          <w:szCs w:val="24"/>
        </w:rPr>
        <w:outlineLvl w:val="9"/>
      </w:pPr>
      <w:r>
        <w:rPr>
          <w:rFonts w:ascii="宋体" w:hAnsi="宋体" w:eastAsia="宋体" w:cs="宋体"/>
          <w:bCs/>
          <w:color w:val="000000"/>
          <w:spacing w:val="2"/>
          <w:sz w:val="24"/>
          <w:szCs w:val="24"/>
        </w:rPr>
        <w:t xml:space="preserve">3.</w:t>
      </w:r>
      <w:r>
        <w:rPr>
          <w:rFonts w:ascii="宋体" w:hAnsi="宋体" w:cs="宋体"/>
          <w:bCs/>
          <w:color w:val="000000"/>
          <w:spacing w:val="2"/>
          <w:sz w:val="24"/>
          <w:szCs w:val="24"/>
        </w:rPr>
        <w:t xml:space="preserve">本项目的特定资格要求：</w:t>
      </w:r>
      <w:r>
        <w:rPr>
          <w:rFonts w:ascii="宋体" w:hAnsi="宋体" w:eastAsia="宋体" w:cs="宋体"/>
          <w:bCs/>
          <w:color w:val="000000"/>
          <w:spacing w:val="2"/>
          <w:sz w:val="24"/>
          <w:szCs w:val="24"/>
        </w:rPr>
      </w:r>
      <w:r/>
    </w:p>
    <w:p>
      <w:pPr>
        <w:pStyle w:val="1126"/>
        <w:ind w:right="0" w:firstLine="488"/>
        <w:spacing w:line="360" w:lineRule="auto"/>
        <w:rPr>
          <w:rFonts w:ascii="宋体" w:hAnsi="宋体" w:eastAsia="宋体" w:cs="宋体"/>
          <w:bCs/>
          <w:color w:val="000000"/>
          <w:spacing w:val="2"/>
          <w:sz w:val="24"/>
          <w:szCs w:val="24"/>
        </w:rPr>
        <w:outlineLvl w:val="9"/>
      </w:pPr>
      <w:r>
        <w:rPr>
          <w:rFonts w:ascii="宋体" w:hAnsi="宋体" w:eastAsia="宋体" w:cs="宋体"/>
          <w:bCs/>
          <w:color w:val="000000"/>
          <w:spacing w:val="2"/>
          <w:sz w:val="24"/>
          <w:szCs w:val="24"/>
        </w:rPr>
        <w:t xml:space="preserve">3.1</w:t>
      </w:r>
      <w:r>
        <w:rPr>
          <w:rFonts w:ascii="宋体" w:hAnsi="宋体" w:cs="宋体"/>
          <w:bCs/>
          <w:color w:val="000000"/>
          <w:spacing w:val="2"/>
          <w:sz w:val="24"/>
          <w:szCs w:val="24"/>
        </w:rPr>
        <w:t xml:space="preserve">未被“信用中国”网站（</w:t>
      </w:r>
      <w:r>
        <w:rPr>
          <w:rFonts w:ascii="宋体" w:hAnsi="宋体" w:eastAsia="宋体" w:cs="宋体"/>
          <w:bCs/>
          <w:color w:val="000000"/>
          <w:spacing w:val="2"/>
          <w:sz w:val="24"/>
          <w:szCs w:val="24"/>
        </w:rPr>
        <w:t xml:space="preserve">WWW.creditchina.gov.cn</w:t>
      </w:r>
      <w:r>
        <w:rPr>
          <w:rFonts w:ascii="宋体" w:hAnsi="宋体" w:cs="宋体"/>
          <w:bCs/>
          <w:color w:val="000000"/>
          <w:spacing w:val="2"/>
          <w:sz w:val="24"/>
          <w:szCs w:val="24"/>
        </w:rPr>
        <w:t xml:space="preserve">）或“中国政府采购网”网站（</w:t>
      </w:r>
      <w:r>
        <w:rPr>
          <w:rFonts w:ascii="宋体" w:hAnsi="宋体" w:eastAsia="宋体" w:cs="宋体"/>
          <w:bCs/>
          <w:color w:val="000000"/>
          <w:spacing w:val="2"/>
          <w:sz w:val="24"/>
          <w:szCs w:val="24"/>
        </w:rPr>
        <w:t xml:space="preserve">www.ccgp.gov.cn</w:t>
      </w:r>
      <w:r>
        <w:rPr>
          <w:rFonts w:ascii="宋体" w:hAnsi="宋体" w:cs="宋体"/>
          <w:bCs/>
          <w:color w:val="000000"/>
          <w:spacing w:val="2"/>
          <w:sz w:val="24"/>
          <w:szCs w:val="24"/>
        </w:rPr>
        <w:t xml:space="preserve">）列入失信被执行人、重大税收违法失信主体、政府采购严重失信行为记录名单。</w:t>
      </w:r>
      <w:r>
        <w:rPr>
          <w:rFonts w:ascii="宋体" w:hAnsi="宋体" w:eastAsia="宋体" w:cs="宋体"/>
          <w:bCs/>
          <w:color w:val="000000"/>
          <w:spacing w:val="2"/>
          <w:sz w:val="24"/>
          <w:szCs w:val="24"/>
        </w:rPr>
      </w:r>
      <w:r/>
    </w:p>
    <w:p>
      <w:pPr>
        <w:pStyle w:val="1126"/>
        <w:ind w:right="0" w:firstLine="488"/>
        <w:spacing w:line="360" w:lineRule="auto"/>
        <w:rPr>
          <w:rFonts w:ascii="宋体" w:hAnsi="宋体" w:eastAsia="宋体" w:cs="宋体"/>
          <w:bCs/>
          <w:color w:val="000000"/>
          <w:spacing w:val="2"/>
          <w:sz w:val="24"/>
          <w:szCs w:val="24"/>
        </w:rPr>
        <w:outlineLvl w:val="9"/>
      </w:pPr>
      <w:r>
        <w:rPr>
          <w:rFonts w:ascii="宋体" w:hAnsi="宋体" w:eastAsia="宋体" w:cs="宋体"/>
          <w:bCs/>
          <w:color w:val="000000"/>
          <w:spacing w:val="2"/>
          <w:sz w:val="24"/>
          <w:szCs w:val="24"/>
        </w:rPr>
        <w:t xml:space="preserve">3.2</w:t>
      </w:r>
      <w:r>
        <w:rPr>
          <w:rFonts w:ascii="宋体" w:hAnsi="宋体" w:cs="宋体"/>
          <w:bCs/>
          <w:color w:val="000000"/>
          <w:spacing w:val="2"/>
          <w:sz w:val="24"/>
          <w:szCs w:val="24"/>
        </w:rPr>
        <w:t xml:space="preserve">单位负责人为同一人或者存在直接控股、管理关系的不同供应商（包含法定代人为同一个人的两个及两个以上法人，母公司、全资子公司及其控股公司），不得参加同一合同项下的政府采购活动。</w:t>
      </w:r>
      <w:r>
        <w:rPr>
          <w:rFonts w:ascii="宋体" w:hAnsi="宋体" w:eastAsia="宋体" w:cs="宋体"/>
          <w:bCs/>
          <w:color w:val="000000"/>
          <w:spacing w:val="2"/>
          <w:sz w:val="24"/>
          <w:szCs w:val="24"/>
        </w:rPr>
      </w:r>
      <w:r/>
    </w:p>
    <w:p>
      <w:pPr>
        <w:pStyle w:val="1126"/>
        <w:ind w:right="0" w:firstLine="488"/>
        <w:spacing w:line="360" w:lineRule="auto"/>
        <w:rPr>
          <w:rFonts w:ascii="宋体" w:hAnsi="宋体" w:eastAsia="宋体" w:cs="宋体"/>
          <w:bCs/>
          <w:color w:val="000000"/>
          <w:spacing w:val="2"/>
          <w:sz w:val="24"/>
          <w:szCs w:val="24"/>
          <w:highlight w:val="none"/>
          <w:lang w:val="en-US" w:eastAsia="zh-CN"/>
        </w:rPr>
        <w:outlineLvl w:val="9"/>
      </w:pPr>
      <w:r>
        <w:rPr>
          <w:rFonts w:ascii="宋体" w:hAnsi="宋体" w:eastAsia="宋体" w:cs="宋体"/>
          <w:bCs/>
          <w:color w:val="000000"/>
          <w:spacing w:val="2"/>
          <w:sz w:val="24"/>
          <w:szCs w:val="24"/>
          <w:highlight w:val="none"/>
        </w:rPr>
        <w:t xml:space="preserve">3.3</w:t>
      </w:r>
      <w:r>
        <w:rPr>
          <w:rFonts w:ascii="宋体" w:hAnsi="宋体" w:cs="宋体"/>
          <w:bCs/>
          <w:color w:val="000000"/>
          <w:spacing w:val="2"/>
          <w:sz w:val="24"/>
          <w:szCs w:val="24"/>
          <w:highlight w:val="none"/>
          <w:lang w:val="en-US" w:eastAsia="zh-CN"/>
        </w:rPr>
        <w:t xml:space="preserve">本项目是否接受联合体</w:t>
      </w:r>
      <w:r>
        <w:rPr>
          <w:rFonts w:ascii="宋体" w:hAnsi="宋体" w:eastAsia="宋体" w:cs="宋体"/>
          <w:bCs/>
          <w:color w:val="000000"/>
          <w:spacing w:val="2"/>
          <w:sz w:val="24"/>
          <w:szCs w:val="24"/>
          <w:highlight w:val="none"/>
          <w:lang w:val="en-US" w:eastAsia="zh-CN"/>
        </w:rPr>
        <w:t xml:space="preserve">:</w:t>
      </w:r>
      <w:r>
        <w:rPr>
          <w:rFonts w:hint="eastAsia" w:ascii="宋体" w:hAnsi="宋体" w:eastAsia="宋体" w:cs="宋体"/>
          <w:bCs/>
          <w:color w:val="000000"/>
          <w:spacing w:val="2"/>
          <w:sz w:val="24"/>
          <w:szCs w:val="24"/>
          <w:highlight w:val="none"/>
          <w:lang w:val="en-US" w:eastAsia="zh-CN"/>
        </w:rPr>
        <w:t xml:space="preserve">否</w:t>
      </w:r>
      <w:r>
        <w:rPr>
          <w:rFonts w:ascii="宋体" w:hAnsi="宋体" w:eastAsia="宋体" w:cs="宋体"/>
          <w:bCs/>
          <w:color w:val="000000"/>
          <w:spacing w:val="2"/>
          <w:sz w:val="24"/>
          <w:szCs w:val="24"/>
          <w:highlight w:val="none"/>
          <w:lang w:val="en-US" w:eastAsia="zh-CN"/>
        </w:rPr>
      </w:r>
      <w:r/>
    </w:p>
    <w:p>
      <w:pPr>
        <w:pStyle w:val="1126"/>
        <w:ind w:right="0" w:firstLine="488"/>
        <w:spacing w:line="360" w:lineRule="auto"/>
        <w:rPr>
          <w:rFonts w:ascii="宋体" w:hAnsi="宋体" w:eastAsia="宋体" w:cs="宋体"/>
          <w:bCs/>
          <w:color w:val="000000"/>
          <w:spacing w:val="2"/>
          <w:sz w:val="24"/>
          <w:szCs w:val="24"/>
        </w:rPr>
        <w:outlineLvl w:val="9"/>
      </w:pPr>
      <w:r>
        <w:rPr>
          <w:rFonts w:ascii="宋体" w:hAnsi="宋体" w:eastAsia="宋体" w:cs="宋体"/>
          <w:bCs/>
          <w:color w:val="000000"/>
          <w:spacing w:val="2"/>
          <w:sz w:val="24"/>
          <w:szCs w:val="24"/>
        </w:rPr>
        <w:t xml:space="preserve">3.4</w:t>
      </w:r>
      <w:r>
        <w:rPr>
          <w:rFonts w:ascii="宋体" w:hAnsi="宋体" w:cs="宋体"/>
          <w:bCs/>
          <w:color w:val="000000"/>
          <w:spacing w:val="2"/>
          <w:sz w:val="24"/>
          <w:szCs w:val="24"/>
        </w:rPr>
        <w:t xml:space="preserve">本项目是否接受分支机构参与响应：否</w:t>
      </w:r>
      <w:r>
        <w:rPr>
          <w:rFonts w:ascii="宋体" w:hAnsi="宋体" w:eastAsia="宋体" w:cs="宋体"/>
          <w:bCs/>
          <w:color w:val="000000"/>
          <w:spacing w:val="2"/>
          <w:sz w:val="24"/>
          <w:szCs w:val="24"/>
        </w:rPr>
      </w:r>
      <w:r/>
    </w:p>
    <w:p>
      <w:pPr>
        <w:pStyle w:val="1126"/>
        <w:ind w:right="0" w:firstLine="488"/>
        <w:spacing w:line="360" w:lineRule="auto"/>
        <w:rPr>
          <w:rFonts w:ascii="宋体" w:hAnsi="宋体" w:eastAsia="宋体" w:cs="宋体"/>
          <w:bCs/>
          <w:color w:val="000000"/>
          <w:spacing w:val="2"/>
          <w:sz w:val="24"/>
          <w:szCs w:val="24"/>
        </w:rPr>
        <w:outlineLvl w:val="9"/>
      </w:pPr>
      <w:r>
        <w:rPr>
          <w:rFonts w:ascii="宋体" w:hAnsi="宋体" w:eastAsia="宋体" w:cs="宋体"/>
          <w:bCs/>
          <w:color w:val="000000"/>
          <w:spacing w:val="2"/>
          <w:sz w:val="24"/>
          <w:szCs w:val="24"/>
        </w:rPr>
        <w:t xml:space="preserve">3.5</w:t>
      </w:r>
      <w:r>
        <w:rPr>
          <w:rFonts w:ascii="宋体" w:hAnsi="宋体" w:cs="宋体"/>
          <w:bCs/>
          <w:color w:val="000000"/>
          <w:spacing w:val="2"/>
          <w:sz w:val="24"/>
          <w:szCs w:val="24"/>
        </w:rPr>
        <w:t xml:space="preserve">本项目是否属于政府购买服务：</w:t>
      </w:r>
      <w:r>
        <w:rPr>
          <w:rFonts w:ascii="宋体" w:hAnsi="宋体" w:cs="宋体"/>
          <w:bCs/>
          <w:color w:val="000000"/>
          <w:spacing w:val="2"/>
          <w:sz w:val="24"/>
          <w:szCs w:val="24"/>
          <w:lang w:val="en-US" w:eastAsia="zh-CN"/>
        </w:rPr>
        <w:t xml:space="preserve">是，公益一类事业单位、使用事业编制且由财政拨款保障的群团组织，不得作为承接主体</w:t>
      </w:r>
      <w:r>
        <w:rPr>
          <w:rFonts w:ascii="宋体" w:hAnsi="宋体" w:eastAsia="宋体" w:cs="宋体"/>
          <w:bCs/>
          <w:color w:val="000000"/>
          <w:spacing w:val="2"/>
          <w:sz w:val="24"/>
          <w:szCs w:val="24"/>
        </w:rPr>
      </w:r>
      <w:r/>
    </w:p>
    <w:p>
      <w:pPr>
        <w:pStyle w:val="1126"/>
        <w:ind w:right="0" w:firstLine="488"/>
        <w:spacing w:line="360" w:lineRule="auto"/>
        <w:rPr>
          <w:rFonts w:ascii="宋体" w:hAnsi="宋体" w:eastAsia="宋体" w:cs="宋体"/>
          <w:bCs/>
          <w:color w:val="000000"/>
          <w:spacing w:val="2"/>
          <w:sz w:val="24"/>
          <w:szCs w:val="24"/>
          <w:highlight w:val="none"/>
          <w:lang w:val="en-US" w:eastAsia="zh-CN"/>
        </w:rPr>
        <w:outlineLvl w:val="9"/>
      </w:pPr>
      <w:r>
        <w:rPr>
          <w:rFonts w:ascii="宋体" w:hAnsi="宋体" w:eastAsia="宋体" w:cs="宋体"/>
          <w:bCs/>
          <w:color w:val="000000"/>
          <w:spacing w:val="2"/>
          <w:sz w:val="24"/>
          <w:szCs w:val="24"/>
          <w:lang w:val="en-US" w:eastAsia="zh-CN"/>
        </w:rPr>
        <w:t xml:space="preserve">3.6</w:t>
      </w:r>
      <w:r>
        <w:rPr>
          <w:rFonts w:ascii="宋体" w:hAnsi="宋体" w:cs="宋体"/>
          <w:bCs/>
          <w:color w:val="000000"/>
          <w:spacing w:val="2"/>
          <w:sz w:val="24"/>
          <w:szCs w:val="24"/>
          <w:lang w:val="en-US" w:eastAsia="zh-CN"/>
        </w:rPr>
        <w:t xml:space="preserve">本项目是否接受进口产品：否</w:t>
      </w:r>
      <w:r>
        <w:rPr>
          <w:rFonts w:ascii="宋体" w:hAnsi="宋体" w:eastAsia="宋体" w:cs="宋体"/>
          <w:bCs/>
          <w:color w:val="000000"/>
          <w:spacing w:val="2"/>
          <w:sz w:val="24"/>
          <w:szCs w:val="24"/>
          <w:highlight w:val="none"/>
          <w:lang w:val="en-US" w:eastAsia="zh-CN"/>
        </w:rPr>
      </w:r>
      <w:r/>
    </w:p>
    <w:p>
      <w:pPr>
        <w:pStyle w:val="1126"/>
        <w:ind w:right="0" w:firstLine="488"/>
        <w:spacing w:line="360" w:lineRule="auto"/>
        <w:rPr>
          <w:rFonts w:ascii="宋体" w:hAnsi="宋体" w:eastAsia="宋体" w:cs="宋体"/>
          <w:bCs/>
          <w:color w:val="000000"/>
          <w:spacing w:val="2"/>
          <w:sz w:val="24"/>
          <w:szCs w:val="24"/>
          <w:lang w:val="en-US" w:eastAsia="zh-CN"/>
        </w:rPr>
        <w:outlineLvl w:val="9"/>
      </w:pPr>
      <w:r>
        <w:rPr>
          <w:rFonts w:ascii="宋体" w:hAnsi="宋体" w:eastAsia="宋体" w:cs="宋体"/>
          <w:bCs/>
          <w:color w:val="000000"/>
          <w:spacing w:val="2"/>
          <w:sz w:val="24"/>
          <w:szCs w:val="24"/>
        </w:rPr>
        <w:t xml:space="preserve">3.</w:t>
      </w:r>
      <w:r>
        <w:rPr>
          <w:rFonts w:ascii="宋体" w:hAnsi="宋体" w:eastAsia="宋体" w:cs="宋体"/>
          <w:bCs/>
          <w:color w:val="000000"/>
          <w:spacing w:val="2"/>
          <w:sz w:val="24"/>
          <w:szCs w:val="24"/>
          <w:lang w:val="en-US" w:eastAsia="zh-CN"/>
        </w:rPr>
        <w:t xml:space="preserve">7</w:t>
      </w:r>
      <w:r>
        <w:rPr>
          <w:rFonts w:ascii="宋体" w:hAnsi="宋体" w:cs="宋体"/>
          <w:bCs/>
          <w:color w:val="000000"/>
          <w:spacing w:val="2"/>
          <w:sz w:val="24"/>
          <w:szCs w:val="24"/>
        </w:rPr>
        <w:t xml:space="preserve">其他特定资格要求：</w:t>
      </w:r>
      <w:r>
        <w:rPr>
          <w:rFonts w:ascii="宋体" w:hAnsi="宋体" w:cs="宋体"/>
          <w:bCs/>
          <w:color w:val="000000"/>
          <w:spacing w:val="2"/>
          <w:sz w:val="24"/>
          <w:szCs w:val="24"/>
          <w:lang w:val="en-US" w:eastAsia="zh-CN"/>
        </w:rPr>
        <w:t xml:space="preserve">无</w:t>
      </w:r>
      <w:r>
        <w:rPr>
          <w:rFonts w:ascii="宋体" w:hAnsi="宋体" w:eastAsia="宋体" w:cs="宋体"/>
          <w:bCs/>
          <w:color w:val="000000"/>
          <w:spacing w:val="2"/>
          <w:sz w:val="24"/>
          <w:szCs w:val="24"/>
          <w:lang w:val="en-US" w:eastAsia="zh-CN"/>
        </w:rPr>
      </w:r>
      <w:r/>
    </w:p>
    <w:p>
      <w:pPr>
        <w:pStyle w:val="1126"/>
        <w:ind w:left="0" w:right="0" w:firstLine="482"/>
        <w:jc w:val="left"/>
        <w:spacing w:before="0" w:after="0" w:line="360" w:lineRule="auto"/>
        <w:widowControl/>
        <w:rPr>
          <w:rFonts w:ascii="宋体" w:hAnsi="宋体" w:eastAsia="宋体" w:cs="宋体"/>
          <w:bCs/>
          <w:color w:val="000000"/>
          <w:sz w:val="24"/>
          <w:szCs w:val="24"/>
        </w:rPr>
        <w:outlineLvl w:val="9"/>
      </w:pPr>
      <w:r>
        <w:rPr>
          <w:rFonts w:ascii="宋体" w:hAnsi="宋体" w:eastAsia="宋体" w:cs="宋体"/>
          <w:bCs/>
          <w:color w:val="000000"/>
          <w:sz w:val="24"/>
          <w:szCs w:val="24"/>
        </w:rPr>
        <w:t xml:space="preserve">三、获取采购文件</w:t>
      </w:r>
      <w:r>
        <w:rPr>
          <w:rFonts w:ascii="宋体" w:hAnsi="宋体" w:eastAsia="宋体" w:cs="宋体"/>
          <w:bCs/>
          <w:color w:val="000000"/>
          <w:sz w:val="24"/>
          <w:szCs w:val="24"/>
        </w:rPr>
      </w:r>
      <w:r/>
    </w:p>
    <w:p>
      <w:pPr>
        <w:pStyle w:val="1126"/>
        <w:ind w:right="0" w:firstLine="480"/>
        <w:spacing w:line="360" w:lineRule="auto"/>
        <w:rPr>
          <w:rFonts w:ascii="宋体" w:hAnsi="宋体" w:eastAsia="宋体" w:cs="宋体"/>
          <w:color w:val="000000"/>
          <w:sz w:val="24"/>
          <w:szCs w:val="24"/>
        </w:rPr>
        <w:outlineLvl w:val="9"/>
      </w:pPr>
      <w:r>
        <w:rPr>
          <w:rFonts w:ascii="宋体" w:hAnsi="宋体" w:eastAsia="宋体" w:cs="宋体"/>
          <w:color w:val="000000"/>
          <w:sz w:val="24"/>
          <w:szCs w:val="24"/>
        </w:rPr>
        <w:t xml:space="preserve">1.</w:t>
      </w:r>
      <w:r>
        <w:rPr>
          <w:rFonts w:ascii="宋体" w:hAnsi="宋体" w:cs="宋体"/>
          <w:color w:val="000000"/>
          <w:sz w:val="24"/>
          <w:szCs w:val="24"/>
        </w:rPr>
        <w:t xml:space="preserve">时间：自招标文件公告发布之日起</w:t>
      </w:r>
      <w:r>
        <w:rPr>
          <w:rFonts w:ascii="宋体" w:hAnsi="宋体" w:eastAsia="宋体" w:cs="宋体"/>
          <w:color w:val="000000"/>
          <w:sz w:val="24"/>
          <w:szCs w:val="24"/>
        </w:rPr>
        <w:t xml:space="preserve">5</w:t>
      </w:r>
      <w:r>
        <w:rPr>
          <w:rFonts w:ascii="宋体" w:hAnsi="宋体" w:cs="宋体"/>
          <w:color w:val="000000"/>
          <w:sz w:val="24"/>
          <w:szCs w:val="24"/>
        </w:rPr>
        <w:t xml:space="preserve">个工作日 </w:t>
      </w:r>
      <w:r>
        <w:rPr>
          <w:rFonts w:ascii="宋体" w:hAnsi="宋体" w:eastAsia="宋体" w:cs="宋体"/>
          <w:color w:val="000000"/>
          <w:sz w:val="24"/>
          <w:szCs w:val="24"/>
        </w:rPr>
      </w:r>
      <w:r/>
    </w:p>
    <w:p>
      <w:pPr>
        <w:pStyle w:val="1126"/>
        <w:ind w:right="0" w:firstLine="480"/>
        <w:spacing w:line="360" w:lineRule="auto"/>
        <w:rPr>
          <w:rFonts w:ascii="宋体" w:hAnsi="宋体" w:eastAsia="宋体" w:cs="宋体"/>
          <w:color w:val="000000"/>
          <w:sz w:val="24"/>
          <w:szCs w:val="24"/>
        </w:rPr>
        <w:outlineLvl w:val="9"/>
      </w:pPr>
      <w:r>
        <w:rPr>
          <w:rFonts w:ascii="宋体" w:hAnsi="宋体" w:eastAsia="宋体" w:cs="宋体"/>
          <w:color w:val="000000"/>
          <w:sz w:val="24"/>
          <w:szCs w:val="24"/>
        </w:rPr>
        <w:t xml:space="preserve">2.</w:t>
      </w:r>
      <w:r>
        <w:rPr>
          <w:rFonts w:ascii="宋体" w:hAnsi="宋体" w:cs="宋体"/>
          <w:color w:val="000000"/>
          <w:sz w:val="24"/>
          <w:szCs w:val="24"/>
        </w:rPr>
        <w:t xml:space="preserve">地点：“苏采云”政府采购一体化平台</w:t>
      </w:r>
      <w:r>
        <w:rPr>
          <w:rFonts w:ascii="宋体" w:hAnsi="宋体" w:eastAsia="宋体" w:cs="宋体"/>
          <w:color w:val="000000"/>
          <w:sz w:val="24"/>
          <w:szCs w:val="24"/>
        </w:rPr>
      </w:r>
      <w:r/>
    </w:p>
    <w:p>
      <w:pPr>
        <w:pStyle w:val="1126"/>
        <w:ind w:right="0" w:firstLine="480"/>
        <w:jc w:val="left"/>
        <w:spacing w:line="360" w:lineRule="auto"/>
        <w:widowControl/>
        <w:rPr>
          <w:rFonts w:ascii="宋体" w:hAnsi="宋体" w:eastAsia="宋体" w:cs="宋体"/>
          <w:color w:val="000000"/>
          <w:sz w:val="24"/>
          <w:szCs w:val="24"/>
        </w:rPr>
        <w:outlineLvl w:val="9"/>
      </w:pPr>
      <w:r>
        <w:rPr>
          <w:rFonts w:ascii="宋体" w:hAnsi="宋体" w:eastAsia="宋体" w:cs="宋体"/>
          <w:color w:val="000000"/>
          <w:sz w:val="24"/>
          <w:szCs w:val="24"/>
        </w:rPr>
        <w:t xml:space="preserve">3.</w:t>
      </w:r>
      <w:r>
        <w:rPr>
          <w:rFonts w:ascii="宋体" w:hAnsi="宋体" w:cs="宋体"/>
          <w:color w:val="000000"/>
          <w:sz w:val="24"/>
          <w:szCs w:val="24"/>
        </w:rPr>
        <w:t xml:space="preserve">方式：供应商持</w:t>
      </w:r>
      <w:r>
        <w:rPr>
          <w:rFonts w:ascii="宋体" w:hAnsi="宋体" w:eastAsia="宋体" w:cs="宋体"/>
          <w:color w:val="000000"/>
          <w:sz w:val="24"/>
          <w:szCs w:val="24"/>
        </w:rPr>
        <w:t xml:space="preserve">CA</w:t>
      </w:r>
      <w:r>
        <w:rPr>
          <w:rFonts w:ascii="宋体" w:hAnsi="宋体" w:cs="宋体"/>
          <w:color w:val="000000"/>
          <w:sz w:val="24"/>
          <w:szCs w:val="24"/>
        </w:rPr>
        <w:t xml:space="preserve">数字认证证书登录“苏采云”政府采购一体化平台（</w:t>
      </w:r>
      <w:r>
        <w:rPr>
          <w:rFonts w:ascii="宋体" w:hAnsi="宋体" w:eastAsia="宋体" w:cs="宋体"/>
          <w:color w:val="000000"/>
          <w:sz w:val="24"/>
          <w:szCs w:val="24"/>
        </w:rPr>
        <w:t xml:space="preserve">http://jszfcg.jsczt.cn/</w:t>
      </w:r>
      <w:r>
        <w:rPr>
          <w:rFonts w:ascii="宋体" w:hAnsi="宋体" w:cs="宋体"/>
          <w:color w:val="000000"/>
          <w:sz w:val="24"/>
          <w:szCs w:val="24"/>
        </w:rPr>
        <w:t xml:space="preserve">）获取电子版磋商文件。</w:t>
      </w:r>
      <w:r>
        <w:rPr>
          <w:rFonts w:ascii="宋体" w:hAnsi="宋体" w:eastAsia="宋体" w:cs="宋体"/>
          <w:color w:val="000000"/>
          <w:sz w:val="24"/>
          <w:szCs w:val="24"/>
        </w:rPr>
      </w:r>
      <w:r/>
    </w:p>
    <w:p>
      <w:pPr>
        <w:pStyle w:val="1126"/>
        <w:ind w:right="0" w:firstLine="480"/>
        <w:jc w:val="left"/>
        <w:spacing w:line="360" w:lineRule="auto"/>
        <w:widowControl/>
        <w:rPr>
          <w:rFonts w:ascii="宋体" w:hAnsi="宋体" w:eastAsia="宋体" w:cs="宋体"/>
          <w:color w:val="000000"/>
          <w:sz w:val="24"/>
          <w:szCs w:val="24"/>
        </w:rPr>
        <w:outlineLvl w:val="9"/>
      </w:pPr>
      <w:r>
        <w:rPr>
          <w:rFonts w:ascii="宋体" w:hAnsi="宋体" w:eastAsia="宋体" w:cs="宋体"/>
          <w:color w:val="000000"/>
          <w:sz w:val="24"/>
          <w:szCs w:val="24"/>
        </w:rPr>
        <w:t xml:space="preserve">4.</w:t>
      </w:r>
      <w:r>
        <w:rPr>
          <w:rFonts w:ascii="宋体" w:hAnsi="宋体" w:cs="宋体"/>
          <w:color w:val="000000"/>
          <w:sz w:val="24"/>
          <w:szCs w:val="24"/>
        </w:rPr>
        <w:t xml:space="preserve">售价：</w:t>
      </w:r>
      <w:r>
        <w:rPr>
          <w:rFonts w:ascii="宋体" w:hAnsi="宋体" w:eastAsia="宋体" w:cs="宋体"/>
          <w:color w:val="000000"/>
          <w:sz w:val="24"/>
          <w:szCs w:val="24"/>
        </w:rPr>
        <w:t xml:space="preserve">0</w:t>
      </w:r>
      <w:r>
        <w:rPr>
          <w:rFonts w:ascii="宋体" w:hAnsi="宋体" w:cs="宋体"/>
          <w:color w:val="000000"/>
          <w:sz w:val="24"/>
          <w:szCs w:val="24"/>
        </w:rPr>
        <w:t xml:space="preserve">元。</w:t>
      </w:r>
      <w:r>
        <w:rPr>
          <w:rFonts w:ascii="宋体" w:hAnsi="宋体" w:eastAsia="宋体" w:cs="宋体"/>
          <w:color w:val="000000"/>
          <w:sz w:val="24"/>
          <w:szCs w:val="24"/>
        </w:rPr>
      </w:r>
      <w:r/>
    </w:p>
    <w:p>
      <w:pPr>
        <w:pStyle w:val="1126"/>
        <w:spacing w:line="360" w:lineRule="auto"/>
        <w:rPr>
          <w:rFonts w:ascii="宋体" w:hAnsi="宋体" w:eastAsia="宋体" w:cs="宋体"/>
          <w:b/>
          <w:bCs/>
          <w:color w:val="000000"/>
          <w:sz w:val="24"/>
          <w:szCs w:val="24"/>
        </w:rPr>
        <w:outlineLvl w:val="9"/>
      </w:pPr>
      <w:r>
        <w:rPr>
          <w:rFonts w:ascii="宋体" w:hAnsi="宋体" w:cs="宋体"/>
          <w:b/>
          <w:bCs/>
          <w:color w:val="000000"/>
          <w:sz w:val="24"/>
          <w:szCs w:val="24"/>
        </w:rPr>
        <w:t xml:space="preserve">四、响应文件提交</w:t>
      </w:r>
      <w:r>
        <w:rPr>
          <w:rFonts w:ascii="宋体" w:hAnsi="宋体" w:eastAsia="宋体" w:cs="宋体"/>
          <w:b/>
          <w:bCs/>
          <w:color w:val="000000"/>
          <w:sz w:val="24"/>
          <w:szCs w:val="24"/>
        </w:rPr>
      </w:r>
      <w:r/>
    </w:p>
    <w:p>
      <w:pPr>
        <w:pStyle w:val="1126"/>
        <w:ind w:right="0" w:firstLine="480"/>
        <w:spacing w:line="360" w:lineRule="auto"/>
        <w:rPr>
          <w:rFonts w:ascii="宋体" w:hAnsi="宋体" w:eastAsia="宋体" w:cs="宋体"/>
          <w:color w:val="000000"/>
          <w:sz w:val="24"/>
          <w:szCs w:val="24"/>
          <w:highlight w:val="none"/>
        </w:rPr>
        <w:outlineLvl w:val="9"/>
      </w:pPr>
      <w:r>
        <w:rPr>
          <w:rFonts w:ascii="宋体" w:hAnsi="宋体" w:cs="宋体"/>
          <w:color w:val="000000"/>
          <w:sz w:val="24"/>
          <w:szCs w:val="24"/>
          <w:highlight w:val="none"/>
        </w:rPr>
        <w:t xml:space="preserve">截止时间：</w:t>
      </w:r>
      <w:bookmarkStart w:id="13" w:name="XMTBJSR_1"/>
      <w:r>
        <w:rPr>
          <w:rFonts w:ascii="宋体" w:hAnsi="宋体" w:eastAsia="宋体" w:cs="宋体"/>
          <w:color w:val="000000"/>
          <w:sz w:val="24"/>
          <w:szCs w:val="24"/>
          <w:highlight w:val="none"/>
        </w:rPr>
        <w:t xml:space="preserve">202</w:t>
      </w:r>
      <w:r>
        <w:rPr>
          <w:rFonts w:ascii="宋体" w:hAnsi="宋体" w:eastAsia="宋体" w:cs="宋体"/>
          <w:color w:val="000000"/>
          <w:sz w:val="24"/>
          <w:szCs w:val="24"/>
          <w:highlight w:val="none"/>
          <w:lang w:val="en-US" w:eastAsia="zh-CN"/>
        </w:rPr>
        <w:t xml:space="preserve">6</w:t>
      </w:r>
      <w:r>
        <w:rPr>
          <w:rFonts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9</w:t>
      </w:r>
      <w:r>
        <w:rPr>
          <w:rFonts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20</w:t>
      </w:r>
      <w:r>
        <w:rPr>
          <w:rFonts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9:30</w:t>
      </w:r>
      <w:r>
        <w:rPr>
          <w:rFonts w:ascii="宋体" w:hAnsi="宋体" w:cs="宋体"/>
          <w:color w:val="000000"/>
          <w:sz w:val="24"/>
          <w:szCs w:val="24"/>
          <w:highlight w:val="none"/>
        </w:rPr>
        <w:t xml:space="preserve">（北京时间）</w:t>
      </w:r>
      <w:r>
        <w:rPr>
          <w:rFonts w:ascii="宋体" w:hAnsi="宋体" w:eastAsia="宋体" w:cs="宋体"/>
          <w:color w:val="000000"/>
          <w:sz w:val="24"/>
          <w:szCs w:val="24"/>
          <w:highlight w:val="none"/>
        </w:rPr>
      </w:r>
      <w:r/>
    </w:p>
    <w:p>
      <w:pPr>
        <w:pStyle w:val="1126"/>
        <w:ind w:right="0" w:firstLine="480"/>
        <w:spacing w:line="360" w:lineRule="auto"/>
        <w:rPr>
          <w:rFonts w:ascii="宋体" w:hAnsi="宋体" w:eastAsia="宋体" w:cs="宋体"/>
          <w:color w:val="000000"/>
          <w:sz w:val="24"/>
          <w:szCs w:val="24"/>
          <w:highlight w:val="none"/>
        </w:rPr>
        <w:outlineLvl w:val="9"/>
      </w:pPr>
      <w:r>
        <w:rPr>
          <w:rFonts w:ascii="宋体" w:hAnsi="宋体" w:cs="宋体"/>
          <w:color w:val="000000"/>
          <w:sz w:val="24"/>
          <w:szCs w:val="24"/>
          <w:highlight w:val="none"/>
        </w:rPr>
        <w:t xml:space="preserve">地点：本项目采用不见面交易方式，无需到现场提交，供应商登录“苏采云”政府采购一体化平台供应商端，通过系统在线提交电子响应文件</w:t>
      </w:r>
      <w:r>
        <w:rPr>
          <w:rFonts w:ascii="宋体" w:hAnsi="宋体" w:eastAsia="宋体" w:cs="宋体"/>
          <w:color w:val="000000"/>
          <w:sz w:val="24"/>
          <w:szCs w:val="24"/>
          <w:highlight w:val="none"/>
        </w:rPr>
      </w:r>
      <w:r/>
    </w:p>
    <w:p>
      <w:pPr>
        <w:pStyle w:val="1126"/>
        <w:spacing w:line="360" w:lineRule="auto"/>
        <w:rPr>
          <w:rFonts w:ascii="宋体" w:hAnsi="宋体" w:eastAsia="宋体" w:cs="宋体"/>
          <w:b/>
          <w:bCs/>
          <w:color w:val="000000"/>
          <w:sz w:val="24"/>
          <w:szCs w:val="24"/>
          <w:highlight w:val="none"/>
        </w:rPr>
        <w:outlineLvl w:val="9"/>
      </w:pPr>
      <w:r>
        <w:rPr>
          <w:rFonts w:ascii="宋体" w:hAnsi="宋体" w:cs="宋体"/>
          <w:b/>
          <w:bCs/>
          <w:color w:val="000000"/>
          <w:sz w:val="24"/>
          <w:szCs w:val="24"/>
          <w:highlight w:val="none"/>
        </w:rPr>
        <w:t xml:space="preserve">五、开启</w:t>
      </w:r>
      <w:r>
        <w:rPr>
          <w:rFonts w:ascii="宋体" w:hAnsi="宋体" w:eastAsia="宋体" w:cs="宋体"/>
          <w:b/>
          <w:bCs/>
          <w:color w:val="000000"/>
          <w:sz w:val="24"/>
          <w:szCs w:val="24"/>
          <w:highlight w:val="none"/>
        </w:rPr>
      </w:r>
      <w:r/>
    </w:p>
    <w:p>
      <w:pPr>
        <w:pStyle w:val="1126"/>
        <w:ind w:right="0" w:firstLine="480"/>
        <w:spacing w:line="360" w:lineRule="auto"/>
        <w:rPr>
          <w:rFonts w:ascii="宋体" w:hAnsi="宋体" w:eastAsia="宋体" w:cs="宋体"/>
          <w:color w:val="000000"/>
          <w:sz w:val="24"/>
          <w:szCs w:val="24"/>
          <w:highlight w:val="none"/>
        </w:rPr>
        <w:outlineLvl w:val="9"/>
      </w:pPr>
      <w:r>
        <w:rPr>
          <w:rFonts w:ascii="宋体" w:hAnsi="宋体" w:cs="宋体"/>
          <w:color w:val="000000"/>
          <w:sz w:val="24"/>
          <w:szCs w:val="24"/>
          <w:highlight w:val="none"/>
        </w:rPr>
        <w:t xml:space="preserve">时间：</w:t>
      </w:r>
      <w:bookmarkEnd w:id="13"/>
      <w:r/>
      <w:bookmarkStart w:id="14" w:name="XMTBJSR_2"/>
      <w:r>
        <w:rPr>
          <w:rFonts w:ascii="宋体" w:hAnsi="宋体" w:eastAsia="宋体" w:cs="宋体"/>
          <w:color w:val="000000"/>
          <w:sz w:val="24"/>
          <w:szCs w:val="24"/>
          <w:highlight w:val="none"/>
        </w:rPr>
        <w:t xml:space="preserve">202</w:t>
      </w:r>
      <w:r>
        <w:rPr>
          <w:rFonts w:ascii="宋体" w:hAnsi="宋体" w:eastAsia="宋体" w:cs="宋体"/>
          <w:color w:val="000000"/>
          <w:sz w:val="24"/>
          <w:szCs w:val="24"/>
          <w:highlight w:val="none"/>
          <w:lang w:val="en-US" w:eastAsia="zh-CN"/>
        </w:rPr>
        <w:t xml:space="preserve">6</w:t>
      </w:r>
      <w:r>
        <w:rPr>
          <w:rFonts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9</w:t>
      </w:r>
      <w:r>
        <w:rPr>
          <w:rFonts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20</w:t>
      </w:r>
      <w:r>
        <w:rPr>
          <w:rFonts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9:30</w:t>
      </w:r>
      <w:r>
        <w:rPr>
          <w:rFonts w:ascii="宋体" w:hAnsi="宋体" w:cs="宋体"/>
          <w:color w:val="000000"/>
          <w:sz w:val="24"/>
          <w:szCs w:val="24"/>
          <w:highlight w:val="none"/>
        </w:rPr>
        <w:t xml:space="preserve">（北京时间）</w:t>
      </w:r>
      <w:r>
        <w:rPr>
          <w:rFonts w:ascii="宋体" w:hAnsi="宋体" w:eastAsia="宋体" w:cs="宋体"/>
          <w:color w:val="000000"/>
          <w:sz w:val="24"/>
          <w:szCs w:val="24"/>
          <w:highlight w:val="none"/>
        </w:rPr>
      </w:r>
      <w:r/>
    </w:p>
    <w:p>
      <w:pPr>
        <w:pStyle w:val="1126"/>
        <w:ind w:right="0" w:firstLine="480"/>
        <w:spacing w:line="360" w:lineRule="auto"/>
        <w:rPr>
          <w:rFonts w:ascii="宋体" w:hAnsi="宋体" w:eastAsia="宋体" w:cs="宋体"/>
          <w:color w:val="000000"/>
          <w:sz w:val="24"/>
          <w:szCs w:val="24"/>
        </w:rPr>
        <w:outlineLvl w:val="9"/>
      </w:pPr>
      <w:r>
        <w:rPr>
          <w:rFonts w:ascii="宋体" w:hAnsi="宋体" w:cs="宋体"/>
          <w:color w:val="000000"/>
          <w:sz w:val="24"/>
          <w:szCs w:val="24"/>
        </w:rPr>
        <w:t xml:space="preserve">地点：本项目采用不见面交易方式，无需到现场提交，供应商登录“苏采云”政府采购交易系统网上开标大厅，通过系统在线解密电子响应文件</w:t>
      </w:r>
      <w:bookmarkEnd w:id="14"/>
      <w:r>
        <w:rPr>
          <w:rFonts w:ascii="宋体" w:hAnsi="宋体" w:eastAsia="宋体" w:cs="宋体"/>
          <w:color w:val="000000"/>
          <w:sz w:val="24"/>
          <w:szCs w:val="24"/>
        </w:rPr>
      </w:r>
      <w:r/>
    </w:p>
    <w:p>
      <w:pPr>
        <w:pStyle w:val="1126"/>
        <w:ind w:left="0" w:firstLine="0"/>
        <w:jc w:val="left"/>
        <w:spacing w:before="0" w:after="0" w:line="360" w:lineRule="auto"/>
        <w:rPr>
          <w:rFonts w:ascii="宋体" w:hAnsi="宋体" w:eastAsia="宋体" w:cs="宋体"/>
          <w:bCs/>
          <w:color w:val="000000"/>
          <w:sz w:val="24"/>
          <w:szCs w:val="24"/>
        </w:rPr>
        <w:outlineLvl w:val="9"/>
      </w:pPr>
      <w:r>
        <w:rPr>
          <w:rFonts w:ascii="宋体" w:hAnsi="宋体" w:eastAsia="宋体" w:cs="宋体"/>
          <w:bCs/>
          <w:color w:val="000000"/>
          <w:sz w:val="24"/>
          <w:szCs w:val="24"/>
        </w:rPr>
        <w:t xml:space="preserve">六、公告期限</w:t>
      </w:r>
      <w:r>
        <w:rPr>
          <w:rFonts w:ascii="宋体" w:hAnsi="宋体" w:eastAsia="宋体" w:cs="宋体"/>
          <w:bCs/>
          <w:color w:val="000000"/>
          <w:sz w:val="24"/>
          <w:szCs w:val="24"/>
        </w:rPr>
      </w:r>
      <w:r/>
    </w:p>
    <w:p>
      <w:pPr>
        <w:pStyle w:val="1126"/>
        <w:ind w:right="0" w:firstLine="480"/>
        <w:spacing w:line="360" w:lineRule="auto"/>
        <w:rPr>
          <w:rFonts w:ascii="宋体" w:hAnsi="宋体" w:eastAsia="宋体" w:cs="宋体"/>
          <w:color w:val="000000"/>
          <w:sz w:val="24"/>
          <w:szCs w:val="24"/>
          <w:highlight w:val="none"/>
        </w:rPr>
        <w:outlineLvl w:val="9"/>
      </w:pPr>
      <w:r>
        <w:rPr>
          <w:rFonts w:ascii="宋体" w:hAnsi="宋体" w:cs="宋体"/>
          <w:color w:val="000000"/>
          <w:sz w:val="24"/>
          <w:szCs w:val="24"/>
          <w:highlight w:val="none"/>
        </w:rPr>
        <w:t xml:space="preserve">自本公告发布之日起</w:t>
      </w:r>
      <w:r>
        <w:rPr>
          <w:rFonts w:ascii="宋体" w:hAnsi="宋体" w:eastAsia="宋体" w:cs="宋体"/>
          <w:color w:val="000000"/>
          <w:sz w:val="24"/>
          <w:szCs w:val="24"/>
          <w:highlight w:val="none"/>
        </w:rPr>
        <w:t xml:space="preserve">3</w:t>
      </w:r>
      <w:r>
        <w:rPr>
          <w:rFonts w:ascii="宋体" w:hAnsi="宋体" w:cs="宋体"/>
          <w:color w:val="000000"/>
          <w:sz w:val="24"/>
          <w:szCs w:val="24"/>
          <w:highlight w:val="none"/>
        </w:rPr>
        <w:t xml:space="preserve">个工作日。</w:t>
      </w:r>
      <w:r>
        <w:rPr>
          <w:rFonts w:ascii="宋体" w:hAnsi="宋体" w:eastAsia="宋体" w:cs="宋体"/>
          <w:color w:val="000000"/>
          <w:sz w:val="24"/>
          <w:szCs w:val="24"/>
          <w:highlight w:val="none"/>
        </w:rPr>
      </w:r>
      <w:r/>
    </w:p>
    <w:p>
      <w:pPr>
        <w:pStyle w:val="1126"/>
        <w:spacing w:line="360" w:lineRule="auto"/>
        <w:rPr>
          <w:rFonts w:hint="eastAsia" w:ascii="宋体" w:hAnsi="宋体" w:eastAsia="宋体" w:cs="宋体"/>
          <w:color w:val="000000"/>
          <w:sz w:val="24"/>
          <w:szCs w:val="24"/>
        </w:rPr>
        <w:outlineLvl w:val="9"/>
      </w:pPr>
      <w:r>
        <w:rPr>
          <w:rFonts w:hint="eastAsia" w:ascii="宋体" w:hAnsi="宋体" w:eastAsia="宋体" w:cs="宋体"/>
          <w:b/>
          <w:color w:val="000000"/>
          <w:spacing w:val="2"/>
          <w:sz w:val="24"/>
          <w:szCs w:val="24"/>
        </w:rPr>
        <w:t xml:space="preserve">七、其他补充事宜</w:t>
      </w:r>
      <w:r>
        <w:rPr>
          <w:rFonts w:hint="eastAsia" w:ascii="宋体" w:hAnsi="宋体" w:eastAsia="宋体" w:cs="宋体"/>
          <w:color w:val="000000"/>
          <w:sz w:val="24"/>
          <w:szCs w:val="24"/>
        </w:rPr>
      </w:r>
      <w:r/>
    </w:p>
    <w:p>
      <w:pPr>
        <w:pStyle w:val="1126"/>
        <w:ind w:firstLine="48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ascii="宋体" w:hAnsi="宋体" w:eastAsia="宋体" w:cs="宋体"/>
          <w:color w:val="000000"/>
          <w:sz w:val="24"/>
          <w:szCs w:val="24"/>
        </w:rPr>
      </w:r>
      <w:r/>
    </w:p>
    <w:p>
      <w:pPr>
        <w:pStyle w:val="1126"/>
        <w:ind w:firstLine="48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技术支持服务热线:0519-85588210</w:t>
      </w:r>
      <w:r>
        <w:rPr>
          <w:rFonts w:hint="eastAsia" w:ascii="宋体" w:hAnsi="宋体" w:eastAsia="宋体" w:cs="宋体"/>
          <w:color w:val="000000"/>
          <w:sz w:val="24"/>
          <w:szCs w:val="24"/>
        </w:rPr>
      </w:r>
      <w:r/>
    </w:p>
    <w:p>
      <w:pPr>
        <w:pStyle w:val="1210"/>
        <w:ind w:firstLine="48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CA认证证书办理联系电话   0519-85588120</w:t>
      </w:r>
      <w:r>
        <w:rPr>
          <w:rFonts w:hint="eastAsia" w:ascii="宋体" w:hAnsi="宋体" w:eastAsia="宋体" w:cs="宋体"/>
          <w:color w:val="000000"/>
          <w:sz w:val="24"/>
          <w:szCs w:val="24"/>
        </w:rPr>
      </w:r>
      <w:r/>
    </w:p>
    <w:p>
      <w:pPr>
        <w:pStyle w:val="1126"/>
        <w:ind w:firstLine="48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2.关于常州市中小企业政府采购信用融资：</w:t>
      </w:r>
      <w:r>
        <w:rPr>
          <w:rFonts w:hint="eastAsia" w:ascii="宋体" w:hAnsi="宋体" w:eastAsia="宋体" w:cs="宋体"/>
          <w:color w:val="000000"/>
          <w:sz w:val="24"/>
          <w:szCs w:val="24"/>
        </w:rPr>
      </w:r>
      <w:r/>
    </w:p>
    <w:p>
      <w:pPr>
        <w:pStyle w:val="1126"/>
        <w:ind w:firstLine="48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szCs w:val="24"/>
        </w:rPr>
      </w:r>
      <w:r/>
    </w:p>
    <w:p>
      <w:pPr>
        <w:pStyle w:val="1126"/>
        <w:ind w:firstLine="490"/>
        <w:spacing w:line="360" w:lineRule="auto"/>
        <w:rPr>
          <w:rFonts w:hint="eastAsia" w:ascii="宋体" w:hAnsi="宋体" w:eastAsia="宋体" w:cs="宋体"/>
          <w:b/>
          <w:color w:val="000000"/>
          <w:spacing w:val="2"/>
          <w:sz w:val="24"/>
          <w:szCs w:val="24"/>
        </w:rPr>
        <w:outlineLvl w:val="9"/>
      </w:pPr>
      <w:r>
        <w:rPr>
          <w:rFonts w:hint="eastAsia" w:ascii="宋体" w:hAnsi="宋体" w:eastAsia="宋体" w:cs="宋体"/>
          <w:b/>
          <w:color w:val="000000"/>
          <w:spacing w:val="2"/>
          <w:sz w:val="24"/>
          <w:szCs w:val="24"/>
        </w:rPr>
        <w:t xml:space="preserve">八、凡对本次采购提出询问，请按以下方式联系：</w:t>
      </w:r>
      <w:r>
        <w:rPr>
          <w:rFonts w:hint="eastAsia" w:ascii="宋体" w:hAnsi="宋体" w:eastAsia="宋体" w:cs="宋体"/>
          <w:b/>
          <w:color w:val="000000"/>
          <w:spacing w:val="2"/>
          <w:sz w:val="24"/>
          <w:szCs w:val="24"/>
        </w:rPr>
      </w:r>
      <w:r/>
    </w:p>
    <w:p>
      <w:pPr>
        <w:pStyle w:val="1126"/>
        <w:ind w:firstLine="48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1.采购人信息</w:t>
      </w:r>
      <w:r>
        <w:rPr>
          <w:rFonts w:hint="eastAsia" w:ascii="宋体" w:hAnsi="宋体" w:eastAsia="宋体" w:cs="宋体"/>
          <w:color w:val="000000"/>
          <w:sz w:val="24"/>
          <w:szCs w:val="24"/>
        </w:rPr>
      </w:r>
      <w:r/>
    </w:p>
    <w:p>
      <w:pPr>
        <w:pStyle w:val="1126"/>
        <w:ind w:firstLine="480"/>
        <w:spacing w:line="360" w:lineRule="auto"/>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lang w:eastAsia="zh-CN"/>
        </w:rPr>
        <w:t xml:space="preserve">常州市发展和改革委员会</w:t>
      </w:r>
      <w:r>
        <w:rPr>
          <w:rFonts w:hint="eastAsia" w:ascii="宋体" w:hAnsi="宋体" w:eastAsia="宋体" w:cs="宋体"/>
          <w:color w:val="000000"/>
          <w:sz w:val="24"/>
          <w:szCs w:val="24"/>
          <w:lang w:eastAsia="zh-CN"/>
        </w:rPr>
      </w:r>
      <w:r/>
    </w:p>
    <w:p>
      <w:pPr>
        <w:pStyle w:val="1126"/>
        <w:ind w:firstLine="48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地 址：江苏省常州市龙城大道1280号</w:t>
      </w:r>
      <w:r>
        <w:rPr>
          <w:rFonts w:hint="eastAsia" w:ascii="宋体" w:hAnsi="宋体" w:eastAsia="宋体" w:cs="宋体"/>
          <w:color w:val="000000"/>
          <w:sz w:val="24"/>
          <w:szCs w:val="24"/>
        </w:rPr>
      </w:r>
      <w:r/>
    </w:p>
    <w:p>
      <w:pPr>
        <w:pStyle w:val="1126"/>
        <w:ind w:firstLine="48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highlight w:val="none"/>
          <w:lang w:val="en-US" w:eastAsia="zh-CN"/>
        </w:rPr>
        <w:t xml:space="preserve">张</w:t>
      </w:r>
      <w:r>
        <w:rPr>
          <w:rFonts w:hint="eastAsia" w:ascii="宋体" w:hAnsi="宋体" w:eastAsia="宋体" w:cs="宋体"/>
          <w:color w:val="000000"/>
          <w:sz w:val="24"/>
          <w:szCs w:val="24"/>
          <w:highlight w:val="none"/>
          <w:lang w:eastAsia="zh-CN"/>
        </w:rPr>
        <w:t xml:space="preserve">先生</w:t>
      </w:r>
      <w:r>
        <w:rPr>
          <w:rFonts w:hint="eastAsia" w:ascii="宋体" w:hAnsi="宋体" w:eastAsia="宋体" w:cs="宋体"/>
          <w:color w:val="000000"/>
          <w:sz w:val="24"/>
          <w:szCs w:val="24"/>
          <w:highlight w:val="none"/>
          <w:lang w:eastAsia="zh-CN"/>
        </w:rPr>
      </w:r>
      <w:r/>
    </w:p>
    <w:p>
      <w:pPr>
        <w:pStyle w:val="1126"/>
        <w:ind w:firstLine="480"/>
        <w:spacing w:line="360" w:lineRule="auto"/>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lang w:eastAsia="zh-CN"/>
        </w:rPr>
        <w:t xml:space="preserve">0519-</w:t>
      </w:r>
      <w:r>
        <w:rPr>
          <w:rFonts w:hint="eastAsia" w:ascii="宋体" w:hAnsi="宋体" w:eastAsia="宋体" w:cs="宋体"/>
          <w:color w:val="000000"/>
          <w:sz w:val="24"/>
          <w:szCs w:val="24"/>
          <w:highlight w:val="none"/>
          <w:lang w:val="en-US" w:eastAsia="zh-CN"/>
        </w:rPr>
        <w:t xml:space="preserve">85681081</w:t>
      </w:r>
      <w:r>
        <w:rPr>
          <w:rFonts w:ascii="宋体" w:hAnsi="宋体" w:eastAsia="宋体" w:cs="宋体"/>
          <w:color w:val="000000"/>
          <w:sz w:val="24"/>
          <w:szCs w:val="24"/>
          <w:highlight w:val="none"/>
          <w:lang w:val="en-US" w:eastAsia="zh-CN"/>
        </w:rPr>
      </w:r>
      <w:r/>
    </w:p>
    <w:p>
      <w:pPr>
        <w:pStyle w:val="1126"/>
        <w:ind w:firstLine="48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2.采购代理机构信息</w:t>
      </w:r>
      <w:r>
        <w:rPr>
          <w:rFonts w:hint="eastAsia" w:ascii="宋体" w:hAnsi="宋体" w:eastAsia="宋体" w:cs="宋体"/>
          <w:color w:val="000000"/>
          <w:sz w:val="24"/>
          <w:szCs w:val="24"/>
        </w:rPr>
      </w:r>
      <w:r/>
    </w:p>
    <w:p>
      <w:pPr>
        <w:pStyle w:val="1126"/>
        <w:ind w:firstLine="48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名 称：常州正衡招投标有限公司 </w:t>
      </w:r>
      <w:r>
        <w:rPr>
          <w:rFonts w:hint="eastAsia" w:ascii="宋体" w:hAnsi="宋体" w:eastAsia="宋体" w:cs="宋体"/>
          <w:color w:val="000000"/>
          <w:sz w:val="24"/>
          <w:szCs w:val="24"/>
        </w:rPr>
      </w:r>
      <w:r/>
    </w:p>
    <w:p>
      <w:pPr>
        <w:pStyle w:val="1126"/>
        <w:ind w:firstLine="48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地 址：常州市新北区新城府翰苑6栋9楼</w:t>
      </w:r>
      <w:r>
        <w:rPr>
          <w:rFonts w:hint="eastAsia" w:ascii="宋体" w:hAnsi="宋体" w:eastAsia="宋体" w:cs="宋体"/>
          <w:color w:val="000000"/>
          <w:sz w:val="24"/>
          <w:szCs w:val="24"/>
        </w:rPr>
      </w:r>
      <w:r/>
    </w:p>
    <w:p>
      <w:pPr>
        <w:pStyle w:val="1126"/>
        <w:ind w:firstLine="48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3.项目联系方式</w:t>
      </w:r>
      <w:r>
        <w:rPr>
          <w:rFonts w:hint="eastAsia" w:ascii="宋体" w:hAnsi="宋体" w:eastAsia="宋体" w:cs="宋体"/>
          <w:color w:val="000000"/>
          <w:sz w:val="24"/>
          <w:szCs w:val="24"/>
        </w:rPr>
      </w:r>
      <w:r/>
    </w:p>
    <w:p>
      <w:pPr>
        <w:pStyle w:val="1126"/>
        <w:ind w:firstLine="48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项目联系人：刘欢</w:t>
      </w:r>
      <w:r>
        <w:rPr>
          <w:rFonts w:hint="eastAsia" w:ascii="宋体" w:hAnsi="宋体" w:eastAsia="宋体" w:cs="宋体"/>
          <w:color w:val="000000"/>
          <w:sz w:val="24"/>
          <w:szCs w:val="24"/>
        </w:rPr>
      </w:r>
      <w:r/>
    </w:p>
    <w:p>
      <w:pPr>
        <w:pStyle w:val="1126"/>
        <w:ind w:firstLine="48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电　话：0519-85510566</w:t>
      </w:r>
      <w:r>
        <w:rPr>
          <w:rFonts w:hint="eastAsia" w:ascii="宋体" w:hAnsi="宋体" w:eastAsia="宋体" w:cs="宋体"/>
          <w:color w:val="000000"/>
          <w:sz w:val="24"/>
          <w:szCs w:val="24"/>
        </w:rPr>
      </w:r>
      <w:r/>
    </w:p>
    <w:p>
      <w:pPr>
        <w:pStyle w:val="1126"/>
        <w:ind w:firstLine="723"/>
        <w:spacing w:line="360" w:lineRule="auto"/>
        <w:rPr>
          <w:b/>
          <w:color w:val="000000"/>
          <w:sz w:val="36"/>
          <w:szCs w:val="36"/>
        </w:rPr>
        <w:outlineLvl w:val="9"/>
      </w:pPr>
      <w:r/>
      <w:bookmarkStart w:id="15" w:name="_Toc512937850"/>
      <w:r/>
      <w:bookmarkStart w:id="16" w:name="_Toc127161488"/>
      <w:r/>
      <w:bookmarkStart w:id="17" w:name="_Toc353873938"/>
      <w:r/>
      <w:bookmarkStart w:id="18" w:name="_Toc353825548"/>
      <w:r/>
      <w:bookmarkStart w:id="19" w:name="_Toc127151777"/>
      <w:r/>
      <w:bookmarkStart w:id="20" w:name="_Toc265228423"/>
      <w:r/>
      <w:bookmarkStart w:id="21" w:name="_Toc305158928"/>
      <w:r/>
      <w:bookmarkStart w:id="22" w:name="_Toc226965856"/>
      <w:r/>
      <w:bookmarkStart w:id="23" w:name="_Toc264969275"/>
      <w:r/>
      <w:bookmarkStart w:id="24" w:name="_Toc195842950"/>
      <w:r/>
      <w:bookmarkStart w:id="25" w:name="_Toc104818926"/>
      <w:r/>
      <w:bookmarkStart w:id="26" w:name="_Toc150774783"/>
      <w:r/>
      <w:bookmarkStart w:id="27" w:name="_Toc305158854"/>
      <w:r/>
      <w:bookmarkStart w:id="28" w:name="_Toc195842884"/>
      <w:r/>
      <w:bookmarkStart w:id="29" w:name="_Toc164229360"/>
      <w:r/>
      <w:bookmarkStart w:id="30" w:name="_Toc150509270"/>
      <w:r/>
      <w:bookmarkStart w:id="31" w:name="_Toc151193617"/>
      <w:r/>
      <w:bookmarkStart w:id="32" w:name="_Toc150774724"/>
      <w:r/>
      <w:bookmarkStart w:id="33" w:name="_Toc151193689"/>
      <w:r/>
      <w:bookmarkStart w:id="34" w:name="_Toc151193907"/>
      <w:r/>
      <w:bookmarkStart w:id="35" w:name="_Toc164351613"/>
      <w:r/>
      <w:bookmarkStart w:id="36" w:name="_Toc226337215"/>
      <w:r/>
      <w:bookmarkStart w:id="37" w:name="_Toc149720812"/>
      <w:r/>
      <w:bookmarkStart w:id="38" w:name="_Toc226965709"/>
      <w:r/>
      <w:bookmarkStart w:id="39" w:name="_Toc150774619"/>
      <w:r/>
      <w:bookmarkStart w:id="40" w:name="_Toc520356144"/>
      <w:r/>
      <w:bookmarkStart w:id="41" w:name="_Toc142311021"/>
      <w:r/>
      <w:bookmarkStart w:id="42" w:name="_Toc226965792"/>
      <w:r/>
      <w:bookmarkStart w:id="43" w:name="_Toc127151720"/>
      <w:r/>
      <w:bookmarkStart w:id="44" w:name="_Toc151193761"/>
      <w:r/>
      <w:bookmarkStart w:id="45" w:name="_Toc164608633"/>
      <w:r/>
      <w:bookmarkStart w:id="46" w:name="_Toc127161433"/>
      <w:r/>
      <w:bookmarkStart w:id="47" w:name="_Toc150480757"/>
      <w:r/>
      <w:bookmarkStart w:id="48" w:name="_Toc151193833"/>
      <w:r/>
      <w:bookmarkStart w:id="49" w:name="_Toc226309763"/>
      <w:r/>
      <w:bookmarkStart w:id="50" w:name="_Toc127151519"/>
      <w:r/>
      <w:bookmarkStart w:id="51" w:name="_Toc164608788"/>
      <w:r/>
      <w:bookmarkStart w:id="52" w:name="_Toc151190146"/>
      <w:r/>
      <w:bookmarkStart w:id="53" w:name="_Toc164229214"/>
      <w:r>
        <w:rPr>
          <w:b/>
          <w:color w:val="000000"/>
          <w:sz w:val="36"/>
          <w:szCs w:val="36"/>
        </w:rPr>
        <w:br w:type="page" w:clear="all"/>
      </w:r>
      <w:r>
        <w:rPr>
          <w:b/>
          <w:color w:val="000000"/>
          <w:sz w:val="36"/>
          <w:szCs w:val="36"/>
        </w:rPr>
      </w:r>
      <w:r/>
    </w:p>
    <w:p>
      <w:pPr>
        <w:pStyle w:val="1126"/>
        <w:jc w:val="center"/>
        <w:spacing w:line="360" w:lineRule="auto"/>
        <w:rPr>
          <w:b/>
          <w:color w:val="000000"/>
          <w:sz w:val="32"/>
          <w:szCs w:val="32"/>
        </w:rPr>
        <w:outlineLvl w:val="0"/>
      </w:pPr>
      <w:r/>
      <w:bookmarkStart w:id="54" w:name="_Toc2435"/>
      <w:r>
        <w:rPr>
          <w:b/>
          <w:color w:val="000000"/>
          <w:sz w:val="36"/>
          <w:szCs w:val="36"/>
        </w:rPr>
        <w:t xml:space="preserve">第二章   供应商须知</w:t>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54"/>
      <w:r>
        <w:rPr>
          <w:b/>
          <w:color w:val="000000"/>
          <w:sz w:val="32"/>
          <w:szCs w:val="32"/>
        </w:rPr>
      </w:r>
      <w:r/>
    </w:p>
    <w:p>
      <w:pPr>
        <w:pStyle w:val="1128"/>
        <w:spacing w:before="0" w:line="360" w:lineRule="auto"/>
        <w:tabs>
          <w:tab w:val="center" w:pos="4592" w:leader="none"/>
          <w:tab w:val="left" w:pos="7860" w:leader="none"/>
        </w:tabs>
        <w:rPr>
          <w:rFonts w:ascii="Times New Roman" w:hAnsi="Times New Roman" w:eastAsia="宋体"/>
          <w:b w:val="0"/>
          <w:color w:val="000000"/>
          <w:sz w:val="28"/>
        </w:rPr>
      </w:pPr>
      <w:r>
        <w:rPr>
          <w:rFonts w:ascii="Times New Roman" w:hAnsi="Times New Roman" w:eastAsia="宋体"/>
          <w:color w:val="000000"/>
          <w:sz w:val="28"/>
        </w:rPr>
        <w:t xml:space="preserve">供应商须知资料表</w:t>
      </w:r>
      <w:r>
        <w:rPr>
          <w:rFonts w:ascii="Times New Roman" w:hAnsi="Times New Roman" w:eastAsia="宋体"/>
          <w:b w:val="0"/>
          <w:color w:val="000000"/>
          <w:sz w:val="28"/>
        </w:rPr>
      </w:r>
      <w:r/>
    </w:p>
    <w:p>
      <w:pPr>
        <w:pStyle w:val="1126"/>
        <w:jc w:val="center"/>
        <w:rPr>
          <w:b/>
          <w:color w:val="000000"/>
          <w:sz w:val="28"/>
          <w:szCs w:val="28"/>
        </w:rPr>
      </w:pPr>
      <w:r>
        <w:rPr>
          <w:b/>
          <w:color w:val="000000"/>
          <w:sz w:val="28"/>
          <w:szCs w:val="28"/>
        </w:rPr>
      </w:r>
      <w:r/>
    </w:p>
    <w:p>
      <w:pPr>
        <w:pStyle w:val="1126"/>
        <w:jc w:val="left"/>
        <w:rPr>
          <w:rFonts w:hint="eastAsia" w:ascii="宋体" w:hAnsi="宋体" w:cs="宋体"/>
          <w:color w:val="000000"/>
          <w:sz w:val="24"/>
          <w:szCs w:val="24"/>
        </w:rPr>
      </w:pPr>
      <w:r>
        <w:rPr>
          <w:rFonts w:hint="eastAsia" w:ascii="宋体" w:hAnsi="宋体" w:cs="宋体"/>
          <w:color w:val="000000"/>
          <w:sz w:val="24"/>
          <w:szCs w:val="24"/>
        </w:rPr>
        <w:t xml:space="preserve">本表是对供应商须知的具体补充和修改，如有矛盾，均以本资料表为准。标记“</w:t>
      </w:r>
      <w:r>
        <w:rPr>
          <w:rFonts w:ascii="Wingdings 2" w:hAnsi="Wingdings 2" w:eastAsia="Wingdings 2" w:cs="Wingdings 2"/>
          <w:color w:val="000000"/>
          <w:sz w:val="24"/>
          <w:szCs w:val="24"/>
        </w:rPr>
        <w:t xml:space="preserve">R</w:t>
      </w:r>
      <w:r>
        <w:rPr>
          <w:rFonts w:hint="eastAsia" w:ascii="宋体" w:hAnsi="宋体" w:cs="宋体"/>
          <w:color w:val="000000"/>
          <w:sz w:val="24"/>
          <w:szCs w:val="24"/>
        </w:rPr>
        <w:t xml:space="preserve">”的选项意为适用于本项目，标记“□”的选项意为不适用于本项目。</w:t>
      </w:r>
      <w:r>
        <w:rPr>
          <w:rFonts w:hint="eastAsia" w:ascii="宋体" w:hAnsi="宋体" w:cs="宋体"/>
          <w:color w:val="000000"/>
          <w:sz w:val="24"/>
          <w:szCs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126"/>
              <w:jc w:val="center"/>
              <w:rPr>
                <w:b/>
                <w:bCs/>
                <w:color w:val="000000"/>
                <w:sz w:val="24"/>
                <w:szCs w:val="24"/>
              </w:rPr>
            </w:pPr>
            <w:r>
              <w:rPr>
                <w:b/>
                <w:color w:val="000000"/>
                <w:sz w:val="24"/>
                <w:szCs w:val="24"/>
              </w:rPr>
              <w:t xml:space="preserve">条款号</w:t>
            </w:r>
            <w:r>
              <w:rPr>
                <w:b/>
                <w:bCs/>
                <w:color w:val="000000"/>
                <w:sz w:val="24"/>
                <w:szCs w:val="24"/>
              </w:rPr>
            </w:r>
            <w:r/>
          </w:p>
        </w:tc>
        <w:tc>
          <w:tcPr>
            <w:tcW w:w="1701" w:type="dxa"/>
            <w:vAlign w:val="center"/>
            <w:textDirection w:val="lrTb"/>
            <w:noWrap w:val="false"/>
          </w:tcPr>
          <w:p>
            <w:pPr>
              <w:pStyle w:val="1126"/>
              <w:jc w:val="center"/>
              <w:rPr>
                <w:b/>
                <w:bCs/>
                <w:color w:val="000000"/>
                <w:sz w:val="24"/>
                <w:szCs w:val="24"/>
              </w:rPr>
            </w:pPr>
            <w:r>
              <w:rPr>
                <w:b/>
                <w:bCs/>
                <w:color w:val="000000"/>
                <w:sz w:val="24"/>
                <w:szCs w:val="24"/>
              </w:rPr>
              <w:t xml:space="preserve">条目</w:t>
            </w:r>
            <w:r>
              <w:rPr>
                <w:b/>
                <w:bCs/>
                <w:color w:val="000000"/>
                <w:sz w:val="24"/>
                <w:szCs w:val="24"/>
              </w:rPr>
            </w:r>
            <w:r/>
          </w:p>
        </w:tc>
        <w:tc>
          <w:tcPr>
            <w:tcW w:w="7253" w:type="dxa"/>
            <w:vAlign w:val="center"/>
            <w:textDirection w:val="lrTb"/>
            <w:noWrap w:val="false"/>
          </w:tcPr>
          <w:p>
            <w:pPr>
              <w:pStyle w:val="1126"/>
              <w:jc w:val="center"/>
              <w:rPr>
                <w:b/>
                <w:bCs/>
                <w:color w:val="000000"/>
                <w:sz w:val="24"/>
                <w:szCs w:val="24"/>
              </w:rPr>
            </w:pPr>
            <w:r>
              <w:rPr>
                <w:b/>
                <w:bCs/>
                <w:color w:val="000000"/>
                <w:sz w:val="24"/>
                <w:szCs w:val="24"/>
              </w:rPr>
              <w:t xml:space="preserve">内容</w:t>
            </w:r>
            <w:r>
              <w:rPr>
                <w:b/>
                <w:bCs/>
                <w:color w:val="000000"/>
                <w:sz w:val="24"/>
                <w:szCs w:val="24"/>
              </w:rPr>
            </w:r>
            <w:r/>
          </w:p>
        </w:tc>
      </w:tr>
      <w:tr>
        <w:trPr>
          <w:trHeight w:val="20"/>
        </w:trPr>
        <w:tc>
          <w:tcPr>
            <w:tcW w:w="988" w:type="dxa"/>
            <w:vAlign w:val="center"/>
            <w:textDirection w:val="lrTb"/>
            <w:noWrap w:val="false"/>
          </w:tcPr>
          <w:p>
            <w:pPr>
              <w:pStyle w:val="1167"/>
              <w:jc w:val="center"/>
              <w:rPr>
                <w:rFonts w:hAnsi="宋体" w:cs="宋体"/>
                <w:color w:val="000000"/>
                <w:sz w:val="24"/>
                <w:szCs w:val="24"/>
              </w:rPr>
            </w:pPr>
            <w:r>
              <w:rPr>
                <w:rFonts w:hAnsi="宋体" w:cs="宋体"/>
                <w:color w:val="000000"/>
                <w:sz w:val="24"/>
                <w:szCs w:val="24"/>
              </w:rPr>
              <w:t xml:space="preserve">2.2</w:t>
            </w:r>
            <w:r>
              <w:rPr>
                <w:rFonts w:hAnsi="宋体" w:cs="宋体"/>
                <w:color w:val="000000"/>
                <w:sz w:val="24"/>
                <w:szCs w:val="24"/>
              </w:rPr>
            </w:r>
            <w:r/>
          </w:p>
        </w:tc>
        <w:tc>
          <w:tcPr>
            <w:tcW w:w="1701" w:type="dxa"/>
            <w:vAlign w:val="center"/>
            <w:textDirection w:val="lrTb"/>
            <w:noWrap w:val="false"/>
          </w:tcPr>
          <w:p>
            <w:pPr>
              <w:pStyle w:val="1126"/>
              <w:jc w:val="center"/>
              <w:rPr>
                <w:rFonts w:ascii="宋体" w:hAnsi="宋体" w:cs="宋体"/>
                <w:color w:val="000000"/>
                <w:sz w:val="24"/>
                <w:szCs w:val="24"/>
              </w:rPr>
            </w:pPr>
            <w:r>
              <w:rPr>
                <w:rFonts w:hint="eastAsia" w:ascii="宋体" w:hAnsi="宋体" w:cs="宋体"/>
                <w:color w:val="000000"/>
                <w:sz w:val="24"/>
                <w:szCs w:val="24"/>
              </w:rPr>
              <w:t xml:space="preserve">项目属性</w:t>
            </w:r>
            <w:r>
              <w:rPr>
                <w:rFonts w:ascii="宋体" w:hAnsi="宋体" w:cs="宋体"/>
                <w:color w:val="000000"/>
                <w:sz w:val="24"/>
                <w:szCs w:val="24"/>
              </w:rPr>
            </w:r>
            <w:r/>
          </w:p>
        </w:tc>
        <w:tc>
          <w:tcPr>
            <w:tcW w:w="7253" w:type="dxa"/>
            <w:vAlign w:val="center"/>
            <w:textDirection w:val="lrTb"/>
            <w:noWrap w:val="false"/>
          </w:tcPr>
          <w:p>
            <w:pPr>
              <w:pStyle w:val="1126"/>
              <w:jc w:val="left"/>
              <w:rPr>
                <w:rFonts w:ascii="宋体" w:hAnsi="宋体" w:cs="宋体"/>
                <w:color w:val="000000"/>
                <w:sz w:val="24"/>
                <w:szCs w:val="24"/>
              </w:rPr>
            </w:pPr>
            <w:r>
              <w:rPr>
                <w:rFonts w:hint="eastAsia" w:ascii="宋体" w:hAnsi="宋体" w:cs="宋体"/>
                <w:color w:val="000000"/>
                <w:sz w:val="24"/>
                <w:szCs w:val="24"/>
              </w:rPr>
              <w:t xml:space="preserve">项目属性：</w:t>
            </w:r>
            <w:r>
              <w:rPr>
                <w:rFonts w:ascii="宋体" w:hAnsi="宋体" w:cs="宋体"/>
                <w:color w:val="000000"/>
                <w:sz w:val="24"/>
                <w:szCs w:val="24"/>
              </w:rPr>
            </w:r>
            <w:r/>
          </w:p>
          <w:p>
            <w:pPr>
              <w:pStyle w:val="1126"/>
              <w:jc w:val="left"/>
              <w:rPr>
                <w:rFonts w:ascii="宋体" w:hAnsi="宋体" w:eastAsia="宋体" w:cs="宋体"/>
                <w:color w:val="000000"/>
                <w:sz w:val="24"/>
                <w:szCs w:val="24"/>
                <w:u w:val="single"/>
                <w:lang w:val="en-US" w:eastAsia="zh-CN"/>
              </w:rPr>
            </w:pPr>
            <w:r>
              <w:rPr>
                <w:rFonts w:hint="eastAsia" w:ascii="宋体" w:hAnsi="宋体" w:cs="宋体"/>
                <w:color w:val="000000"/>
                <w:sz w:val="24"/>
                <w:szCs w:val="24"/>
                <w:u w:val="single"/>
                <w:lang w:val="en-US" w:eastAsia="zh-CN"/>
              </w:rPr>
              <w:t xml:space="preserve">服务</w:t>
            </w:r>
            <w:r>
              <w:rPr>
                <w:rFonts w:ascii="宋体" w:hAnsi="宋体" w:eastAsia="宋体" w:cs="宋体"/>
                <w:color w:val="000000"/>
                <w:sz w:val="24"/>
                <w:szCs w:val="24"/>
                <w:u w:val="single"/>
                <w:lang w:val="en-US" w:eastAsia="zh-CN"/>
              </w:rPr>
            </w:r>
            <w:r/>
          </w:p>
        </w:tc>
      </w:tr>
      <w:tr>
        <w:trPr>
          <w:trHeight w:val="20"/>
        </w:trPr>
        <w:tc>
          <w:tcPr>
            <w:tcW w:w="988" w:type="dxa"/>
            <w:vAlign w:val="center"/>
            <w:textDirection w:val="lrTb"/>
            <w:noWrap w:val="false"/>
          </w:tcPr>
          <w:p>
            <w:pPr>
              <w:pStyle w:val="1167"/>
              <w:jc w:val="center"/>
              <w:rPr>
                <w:rFonts w:hAnsi="宋体" w:cs="宋体"/>
                <w:color w:val="000000"/>
                <w:sz w:val="24"/>
                <w:szCs w:val="24"/>
              </w:rPr>
            </w:pPr>
            <w:r>
              <w:rPr>
                <w:rFonts w:hAnsi="宋体" w:cs="宋体"/>
                <w:color w:val="000000"/>
                <w:sz w:val="24"/>
                <w:szCs w:val="24"/>
              </w:rPr>
              <w:t xml:space="preserve">2.3</w:t>
            </w:r>
            <w:r>
              <w:rPr>
                <w:rFonts w:hAnsi="宋体" w:cs="宋体"/>
                <w:color w:val="000000"/>
                <w:sz w:val="24"/>
                <w:szCs w:val="24"/>
              </w:rPr>
            </w:r>
            <w:r/>
          </w:p>
        </w:tc>
        <w:tc>
          <w:tcPr>
            <w:tcW w:w="1701" w:type="dxa"/>
            <w:vAlign w:val="center"/>
            <w:textDirection w:val="lrTb"/>
            <w:noWrap w:val="false"/>
          </w:tcPr>
          <w:p>
            <w:pPr>
              <w:pStyle w:val="1126"/>
              <w:jc w:val="center"/>
              <w:rPr>
                <w:rFonts w:ascii="宋体" w:hAnsi="宋体" w:cs="宋体"/>
                <w:color w:val="000000"/>
                <w:sz w:val="24"/>
                <w:szCs w:val="24"/>
              </w:rPr>
            </w:pPr>
            <w:r>
              <w:rPr>
                <w:rFonts w:hint="eastAsia" w:ascii="宋体" w:hAnsi="宋体" w:cs="宋体"/>
                <w:color w:val="000000"/>
                <w:sz w:val="24"/>
                <w:szCs w:val="24"/>
              </w:rPr>
              <w:t xml:space="preserve">科研仪器设备</w:t>
            </w:r>
            <w:r>
              <w:rPr>
                <w:rFonts w:ascii="宋体" w:hAnsi="宋体" w:cs="宋体"/>
                <w:color w:val="000000"/>
                <w:sz w:val="24"/>
                <w:szCs w:val="24"/>
              </w:rPr>
            </w:r>
            <w:r/>
          </w:p>
        </w:tc>
        <w:tc>
          <w:tcPr>
            <w:tcW w:w="7253" w:type="dxa"/>
            <w:vAlign w:val="center"/>
            <w:textDirection w:val="lrTb"/>
            <w:noWrap w:val="false"/>
          </w:tcPr>
          <w:p>
            <w:pPr>
              <w:pStyle w:val="1126"/>
              <w:jc w:val="left"/>
              <w:rPr>
                <w:rFonts w:ascii="宋体" w:hAnsi="宋体" w:cs="宋体"/>
                <w:color w:val="000000"/>
                <w:sz w:val="24"/>
                <w:szCs w:val="24"/>
              </w:rPr>
            </w:pPr>
            <w:r>
              <w:rPr>
                <w:rFonts w:hint="eastAsia" w:ascii="宋体" w:hAnsi="宋体" w:cs="宋体"/>
                <w:color w:val="000000"/>
                <w:sz w:val="24"/>
                <w:szCs w:val="24"/>
              </w:rPr>
              <w:t xml:space="preserve">是否属于科研仪器设备采购项目：</w:t>
            </w:r>
            <w:r>
              <w:rPr>
                <w:rFonts w:ascii="宋体" w:hAnsi="宋体" w:cs="宋体"/>
                <w:color w:val="000000"/>
                <w:sz w:val="24"/>
                <w:szCs w:val="24"/>
              </w:rPr>
            </w:r>
            <w:r/>
          </w:p>
          <w:p>
            <w:pPr>
              <w:pStyle w:val="1126"/>
              <w:jc w:val="left"/>
              <w:rPr>
                <w:rFonts w:ascii="宋体" w:hAnsi="宋体" w:cs="宋体"/>
                <w:color w:val="000000"/>
                <w:sz w:val="24"/>
                <w:szCs w:val="24"/>
              </w:rPr>
            </w:pPr>
            <w:r>
              <w:rPr>
                <w:rFonts w:hint="eastAsia" w:ascii="宋体" w:hAnsi="宋体" w:cs="宋体"/>
                <w:color w:val="000000"/>
                <w:sz w:val="24"/>
                <w:szCs w:val="24"/>
              </w:rPr>
              <w:t xml:space="preserve">□是</w:t>
            </w:r>
            <w:r>
              <w:rPr>
                <w:rFonts w:ascii="宋体" w:hAnsi="宋体" w:cs="宋体"/>
                <w:color w:val="000000"/>
                <w:sz w:val="24"/>
                <w:szCs w:val="24"/>
              </w:rPr>
            </w:r>
            <w:r/>
          </w:p>
          <w:p>
            <w:pPr>
              <w:pStyle w:val="1126"/>
              <w:jc w:val="left"/>
              <w:rPr>
                <w:rFonts w:ascii="宋体" w:hAnsi="宋体" w:cs="宋体"/>
                <w:color w:val="000000"/>
                <w:sz w:val="24"/>
                <w:szCs w:val="24"/>
              </w:rPr>
            </w:pPr>
            <w:r>
              <w:rPr>
                <w:rFonts w:hint="eastAsia" w:ascii="宋体" w:hAnsi="宋体" w:cs="宋体"/>
                <w:color w:val="000000"/>
                <w:sz w:val="24"/>
                <w:szCs w:val="24"/>
              </w:rPr>
              <w:t xml:space="preserve">☑否</w:t>
            </w:r>
            <w:r>
              <w:rPr>
                <w:rFonts w:ascii="宋体" w:hAnsi="宋体" w:cs="宋体"/>
                <w:color w:val="000000"/>
                <w:sz w:val="24"/>
                <w:szCs w:val="24"/>
              </w:rPr>
            </w:r>
            <w:r/>
          </w:p>
        </w:tc>
      </w:tr>
      <w:tr>
        <w:trPr>
          <w:trHeight w:val="20"/>
        </w:trPr>
        <w:tc>
          <w:tcPr>
            <w:tcW w:w="988" w:type="dxa"/>
            <w:vAlign w:val="center"/>
            <w:vMerge w:val="restart"/>
            <w:textDirection w:val="lrTb"/>
            <w:noWrap w:val="false"/>
          </w:tcPr>
          <w:p>
            <w:pPr>
              <w:pStyle w:val="1167"/>
              <w:jc w:val="center"/>
              <w:rPr>
                <w:rFonts w:hAnsi="宋体" w:cs="宋体"/>
                <w:color w:val="000000"/>
                <w:sz w:val="24"/>
                <w:szCs w:val="24"/>
              </w:rPr>
            </w:pPr>
            <w:r>
              <w:rPr>
                <w:rFonts w:hAnsi="宋体" w:cs="宋体"/>
                <w:color w:val="000000"/>
                <w:sz w:val="24"/>
                <w:szCs w:val="24"/>
              </w:rPr>
              <w:t xml:space="preserve">3.1</w:t>
            </w:r>
            <w:r>
              <w:rPr>
                <w:rFonts w:hAnsi="宋体" w:cs="宋体"/>
                <w:color w:val="000000"/>
                <w:sz w:val="24"/>
                <w:szCs w:val="24"/>
              </w:rPr>
            </w:r>
            <w:r/>
          </w:p>
        </w:tc>
        <w:tc>
          <w:tcPr>
            <w:tcW w:w="1701" w:type="dxa"/>
            <w:vAlign w:val="center"/>
            <w:textDirection w:val="lrTb"/>
            <w:noWrap w:val="false"/>
          </w:tcPr>
          <w:p>
            <w:pPr>
              <w:pStyle w:val="1126"/>
              <w:jc w:val="center"/>
              <w:rPr>
                <w:rFonts w:ascii="宋体" w:hAnsi="宋体" w:cs="宋体"/>
                <w:color w:val="000000"/>
                <w:sz w:val="24"/>
                <w:szCs w:val="24"/>
              </w:rPr>
            </w:pPr>
            <w:r>
              <w:rPr>
                <w:rFonts w:hint="eastAsia" w:ascii="宋体" w:hAnsi="宋体" w:cs="宋体"/>
                <w:color w:val="000000"/>
                <w:sz w:val="24"/>
                <w:szCs w:val="24"/>
              </w:rPr>
              <w:t xml:space="preserve">现场考察</w:t>
            </w:r>
            <w:r>
              <w:rPr>
                <w:rFonts w:ascii="宋体" w:hAnsi="宋体" w:cs="宋体"/>
                <w:color w:val="000000"/>
                <w:sz w:val="24"/>
                <w:szCs w:val="24"/>
              </w:rPr>
            </w:r>
            <w:r/>
          </w:p>
        </w:tc>
        <w:tc>
          <w:tcPr>
            <w:tcW w:w="7253" w:type="dxa"/>
            <w:vAlign w:val="center"/>
            <w:textDirection w:val="lrTb"/>
            <w:noWrap w:val="false"/>
          </w:tcPr>
          <w:p>
            <w:pPr>
              <w:pStyle w:val="1126"/>
              <w:jc w:val="left"/>
              <w:rPr>
                <w:rFonts w:ascii="宋体" w:hAnsi="宋体" w:cs="宋体"/>
                <w:color w:val="000000"/>
                <w:sz w:val="24"/>
                <w:szCs w:val="24"/>
              </w:rPr>
            </w:pPr>
            <w:r>
              <w:rPr>
                <w:rFonts w:hint="eastAsia" w:ascii="宋体" w:hAnsi="宋体" w:cs="宋体"/>
                <w:color w:val="000000"/>
                <w:sz w:val="24"/>
                <w:szCs w:val="24"/>
              </w:rPr>
              <w:t xml:space="preserve">☑不组织</w:t>
            </w:r>
            <w:r>
              <w:rPr>
                <w:rFonts w:ascii="宋体" w:hAnsi="宋体" w:cs="宋体"/>
                <w:color w:val="000000"/>
                <w:sz w:val="24"/>
                <w:szCs w:val="24"/>
              </w:rPr>
            </w:r>
            <w:r/>
          </w:p>
          <w:p>
            <w:pPr>
              <w:pStyle w:val="1126"/>
              <w:jc w:val="left"/>
              <w:rPr>
                <w:rFonts w:ascii="宋体" w:hAnsi="宋体" w:cs="宋体"/>
                <w:bCs/>
                <w:color w:val="000000"/>
                <w:sz w:val="24"/>
                <w:szCs w:val="24"/>
              </w:rPr>
            </w:pPr>
            <w:r>
              <w:rPr>
                <w:rFonts w:hint="eastAsia" w:ascii="宋体" w:hAnsi="宋体" w:cs="宋体"/>
                <w:color w:val="000000"/>
                <w:sz w:val="24"/>
                <w:szCs w:val="24"/>
              </w:rPr>
              <w:t xml:space="preserve">□组织，考察时间：___</w:t>
            </w:r>
            <w:r>
              <w:rPr>
                <w:rFonts w:hint="eastAsia" w:ascii="宋体" w:hAnsi="宋体" w:cs="宋体"/>
                <w:color w:val="000000"/>
                <w:sz w:val="24"/>
                <w:szCs w:val="24"/>
                <w:lang w:bidi="ar"/>
              </w:rPr>
              <w:t xml:space="preserve">年</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月</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日</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点</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分</w:t>
            </w:r>
            <w:r>
              <w:rPr>
                <w:rFonts w:ascii="宋体" w:hAnsi="宋体" w:cs="宋体"/>
                <w:bCs/>
                <w:color w:val="000000"/>
                <w:sz w:val="24"/>
                <w:szCs w:val="24"/>
              </w:rPr>
            </w:r>
            <w:r/>
          </w:p>
          <w:p>
            <w:pPr>
              <w:pStyle w:val="1167"/>
              <w:rPr>
                <w:rFonts w:hAnsi="宋体" w:cs="宋体"/>
                <w:color w:val="000000"/>
                <w:sz w:val="24"/>
                <w:szCs w:val="24"/>
              </w:rPr>
            </w:pPr>
            <w:r>
              <w:rPr>
                <w:rFonts w:hAnsi="宋体" w:cs="宋体"/>
                <w:color w:val="000000"/>
                <w:sz w:val="24"/>
                <w:szCs w:val="24"/>
              </w:rPr>
              <w:t xml:space="preserve">考察地点：___________。</w:t>
            </w:r>
            <w:r>
              <w:rPr>
                <w:rFonts w:hAnsi="宋体" w:cs="宋体"/>
                <w:color w:val="000000"/>
                <w:sz w:val="24"/>
                <w:szCs w:val="24"/>
              </w:rPr>
            </w:r>
            <w:r/>
          </w:p>
        </w:tc>
      </w:tr>
      <w:tr>
        <w:trPr>
          <w:trHeight w:val="20"/>
        </w:trPr>
        <w:tc>
          <w:tcPr>
            <w:tcW w:w="988" w:type="dxa"/>
            <w:vAlign w:val="center"/>
            <w:vMerge w:val="continue"/>
            <w:textDirection w:val="lrTb"/>
            <w:noWrap w:val="false"/>
          </w:tcPr>
          <w:p>
            <w:pPr>
              <w:pStyle w:val="1167"/>
              <w:jc w:val="center"/>
              <w:rPr>
                <w:rFonts w:hAnsi="宋体" w:cs="宋体"/>
                <w:color w:val="000000"/>
                <w:sz w:val="24"/>
                <w:szCs w:val="24"/>
              </w:rPr>
            </w:pPr>
            <w:r>
              <w:rPr>
                <w:rFonts w:hAnsi="宋体" w:cs="宋体"/>
                <w:color w:val="000000"/>
                <w:sz w:val="24"/>
                <w:szCs w:val="24"/>
              </w:rPr>
            </w:r>
            <w:r/>
          </w:p>
        </w:tc>
        <w:tc>
          <w:tcPr>
            <w:tcW w:w="1701" w:type="dxa"/>
            <w:vAlign w:val="center"/>
            <w:textDirection w:val="lrTb"/>
            <w:noWrap w:val="false"/>
          </w:tcPr>
          <w:p>
            <w:pPr>
              <w:pStyle w:val="1126"/>
              <w:jc w:val="center"/>
              <w:rPr>
                <w:rFonts w:ascii="宋体" w:hAnsi="宋体" w:cs="宋体"/>
                <w:color w:val="000000"/>
                <w:sz w:val="24"/>
                <w:szCs w:val="24"/>
              </w:rPr>
            </w:pPr>
            <w:r>
              <w:rPr>
                <w:rFonts w:hint="eastAsia" w:ascii="宋体" w:hAnsi="宋体" w:cs="宋体"/>
                <w:color w:val="000000"/>
                <w:sz w:val="24"/>
                <w:szCs w:val="24"/>
              </w:rPr>
              <w:t xml:space="preserve">磋商前答疑会</w:t>
            </w:r>
            <w:r>
              <w:rPr>
                <w:rFonts w:ascii="宋体" w:hAnsi="宋体" w:cs="宋体"/>
                <w:color w:val="000000"/>
                <w:sz w:val="24"/>
                <w:szCs w:val="24"/>
              </w:rPr>
            </w:r>
            <w:r/>
          </w:p>
        </w:tc>
        <w:tc>
          <w:tcPr>
            <w:tcW w:w="7253" w:type="dxa"/>
            <w:vAlign w:val="center"/>
            <w:textDirection w:val="lrTb"/>
            <w:noWrap w:val="false"/>
          </w:tcPr>
          <w:p>
            <w:pPr>
              <w:pStyle w:val="1126"/>
              <w:jc w:val="left"/>
              <w:rPr>
                <w:rFonts w:ascii="宋体" w:hAnsi="宋体" w:cs="宋体"/>
                <w:color w:val="000000"/>
                <w:sz w:val="24"/>
                <w:szCs w:val="24"/>
              </w:rPr>
            </w:pPr>
            <w:r>
              <w:rPr>
                <w:rFonts w:hint="eastAsia" w:ascii="宋体" w:hAnsi="宋体" w:cs="宋体"/>
                <w:color w:val="000000"/>
                <w:sz w:val="24"/>
                <w:szCs w:val="24"/>
              </w:rPr>
              <w:t xml:space="preserve">☑不召开</w:t>
            </w:r>
            <w:r>
              <w:rPr>
                <w:rFonts w:ascii="宋体" w:hAnsi="宋体" w:cs="宋体"/>
                <w:color w:val="000000"/>
                <w:sz w:val="24"/>
                <w:szCs w:val="24"/>
              </w:rPr>
            </w:r>
            <w:r/>
          </w:p>
          <w:p>
            <w:pPr>
              <w:pStyle w:val="1126"/>
              <w:jc w:val="left"/>
              <w:rPr>
                <w:rFonts w:ascii="宋体" w:hAnsi="宋体" w:cs="宋体"/>
                <w:color w:val="000000"/>
                <w:sz w:val="24"/>
                <w:szCs w:val="24"/>
              </w:rPr>
            </w:pPr>
            <w:r>
              <w:rPr>
                <w:rFonts w:hint="eastAsia" w:ascii="宋体" w:hAnsi="宋体" w:cs="宋体"/>
                <w:color w:val="000000"/>
                <w:sz w:val="24"/>
                <w:szCs w:val="24"/>
              </w:rPr>
              <w:t xml:space="preserve">□召开，召开时间：___</w:t>
            </w:r>
            <w:r>
              <w:rPr>
                <w:rFonts w:hint="eastAsia" w:ascii="宋体" w:hAnsi="宋体" w:cs="宋体"/>
                <w:color w:val="000000"/>
                <w:sz w:val="24"/>
                <w:szCs w:val="24"/>
                <w:lang w:bidi="ar"/>
              </w:rPr>
              <w:t xml:space="preserve">年</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月</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日</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点</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分</w:t>
            </w:r>
            <w:r>
              <w:rPr>
                <w:rFonts w:ascii="宋体" w:hAnsi="宋体" w:cs="宋体"/>
                <w:color w:val="000000"/>
                <w:sz w:val="24"/>
                <w:szCs w:val="24"/>
              </w:rPr>
            </w:r>
            <w:r/>
          </w:p>
          <w:p>
            <w:pPr>
              <w:pStyle w:val="1126"/>
              <w:jc w:val="left"/>
              <w:rPr>
                <w:rFonts w:ascii="宋体" w:hAnsi="宋体" w:cs="宋体"/>
                <w:color w:val="000000"/>
                <w:sz w:val="24"/>
                <w:szCs w:val="24"/>
              </w:rPr>
            </w:pPr>
            <w:r>
              <w:rPr>
                <w:rFonts w:hint="eastAsia" w:ascii="宋体" w:hAnsi="宋体" w:cs="宋体"/>
                <w:color w:val="000000"/>
                <w:sz w:val="24"/>
                <w:szCs w:val="24"/>
              </w:rPr>
              <w:t xml:space="preserve">召开地点：___________。</w:t>
            </w:r>
            <w:r>
              <w:rPr>
                <w:rFonts w:ascii="宋体" w:hAnsi="宋体" w:cs="宋体"/>
                <w:color w:val="000000"/>
                <w:sz w:val="24"/>
                <w:szCs w:val="24"/>
              </w:rPr>
            </w:r>
            <w:r/>
          </w:p>
        </w:tc>
      </w:tr>
      <w:tr>
        <w:trPr>
          <w:trHeight w:val="538"/>
        </w:trPr>
        <w:tc>
          <w:tcPr>
            <w:tcW w:w="988" w:type="dxa"/>
            <w:vAlign w:val="center"/>
            <w:textDirection w:val="lrTb"/>
            <w:noWrap w:val="false"/>
          </w:tcPr>
          <w:p>
            <w:pPr>
              <w:pStyle w:val="1167"/>
              <w:jc w:val="center"/>
              <w:rPr>
                <w:rFonts w:hAnsi="宋体" w:cs="宋体"/>
                <w:color w:val="000000"/>
                <w:sz w:val="24"/>
                <w:szCs w:val="24"/>
              </w:rPr>
            </w:pPr>
            <w:r>
              <w:rPr>
                <w:rFonts w:hAnsi="宋体" w:cs="宋体"/>
                <w:color w:val="000000"/>
                <w:sz w:val="24"/>
                <w:szCs w:val="24"/>
              </w:rPr>
              <w:t xml:space="preserve">4.2.5</w:t>
            </w:r>
            <w:r>
              <w:rPr>
                <w:rFonts w:hAnsi="宋体" w:cs="宋体"/>
                <w:color w:val="000000"/>
                <w:sz w:val="24"/>
                <w:szCs w:val="24"/>
              </w:rPr>
            </w:r>
            <w:r/>
          </w:p>
        </w:tc>
        <w:tc>
          <w:tcPr>
            <w:tcW w:w="1701" w:type="dxa"/>
            <w:vAlign w:val="center"/>
            <w:textDirection w:val="lrTb"/>
            <w:noWrap w:val="false"/>
          </w:tcPr>
          <w:p>
            <w:pPr>
              <w:pStyle w:val="1126"/>
              <w:jc w:val="center"/>
              <w:rPr>
                <w:rFonts w:ascii="宋体" w:hAnsi="宋体" w:cs="宋体"/>
                <w:color w:val="000000"/>
                <w:sz w:val="24"/>
                <w:szCs w:val="24"/>
              </w:rPr>
            </w:pPr>
            <w:r>
              <w:rPr>
                <w:rFonts w:hint="eastAsia" w:ascii="宋体" w:hAnsi="宋体" w:cs="宋体"/>
                <w:color w:val="000000"/>
                <w:sz w:val="24"/>
                <w:szCs w:val="24"/>
              </w:rPr>
              <w:t xml:space="preserve">标的所属行业</w:t>
            </w:r>
            <w:r>
              <w:rPr>
                <w:rFonts w:ascii="宋体" w:hAnsi="宋体" w:cs="宋体"/>
                <w:color w:val="000000"/>
                <w:sz w:val="24"/>
                <w:szCs w:val="24"/>
              </w:rPr>
            </w:r>
            <w:r/>
          </w:p>
        </w:tc>
        <w:tc>
          <w:tcPr>
            <w:tcW w:w="7253" w:type="dxa"/>
            <w:vAlign w:val="center"/>
            <w:textDirection w:val="lrTb"/>
            <w:noWrap w:val="false"/>
          </w:tcPr>
          <w:p>
            <w:pPr>
              <w:pStyle w:val="1126"/>
              <w:jc w:val="left"/>
              <w:keepLines w:val="0"/>
              <w:keepNext w:val="0"/>
              <w:widowControl/>
              <w:rPr>
                <w:rFonts w:ascii="宋体" w:hAnsi="宋体" w:eastAsia="宋体" w:cs="宋体"/>
                <w:color w:val="000000"/>
                <w:sz w:val="24"/>
                <w:szCs w:val="24"/>
                <w:lang w:val="en-US" w:eastAsia="zh-CN"/>
              </w:rPr>
              <w:suppressLineNumbers w:val="0"/>
            </w:pPr>
            <w:r>
              <w:rPr>
                <w:rFonts w:hint="eastAsia" w:ascii="宋体" w:hAnsi="宋体" w:cs="宋体"/>
                <w:color w:val="000000"/>
                <w:sz w:val="24"/>
                <w:szCs w:val="24"/>
              </w:rPr>
              <w:t xml:space="preserve">本项目采购标的对应的中小企业划分标准所属行业：</w:t>
            </w:r>
            <w:r>
              <w:rPr>
                <w:rFonts w:ascii="宋体" w:hAnsi="宋体" w:eastAsia="宋体" w:cs="宋体"/>
                <w:color w:val="000000"/>
                <w:sz w:val="24"/>
                <w:szCs w:val="24"/>
                <w:lang w:val="en-US" w:eastAsia="zh-CN"/>
              </w:rPr>
              <w:t xml:space="preserve">其他未列明行业</w:t>
            </w:r>
            <w:r>
              <w:rPr>
                <w:rFonts w:ascii="宋体" w:hAnsi="宋体" w:eastAsia="宋体" w:cs="宋体"/>
                <w:color w:val="000000"/>
                <w:sz w:val="24"/>
                <w:szCs w:val="24"/>
                <w:lang w:val="en-US" w:eastAsia="zh-CN"/>
              </w:rPr>
            </w:r>
            <w:r/>
          </w:p>
          <w:p>
            <w:pPr>
              <w:pStyle w:val="1126"/>
              <w:jc w:val="left"/>
              <w:keepLines w:val="0"/>
              <w:keepNext w:val="0"/>
              <w:widowControl/>
              <w:rPr>
                <w:rFonts w:hint="eastAsia" w:ascii="宋体" w:hAnsi="宋体" w:eastAsia="宋体" w:cs="宋体"/>
                <w:color w:val="000000"/>
                <w:sz w:val="24"/>
                <w:szCs w:val="24"/>
                <w:lang w:val="en-US" w:eastAsia="zh-CN"/>
              </w:rPr>
              <w:suppressLineNumbers w:val="0"/>
            </w:pPr>
            <w:r>
              <mc:AlternateContent>
                <mc:Choice Requires="wpg">
                  <w:drawing>
                    <wp:inline xmlns:wp="http://schemas.openxmlformats.org/drawingml/2006/wordprocessingDrawing" distT="0" distB="0" distL="0" distR="0">
                      <wp:extent cx="4462844" cy="6580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462844" cy="658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51.4pt;height:51.8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sz w:val="24"/>
                <w:szCs w:val="24"/>
                <w:lang w:val="en-US" w:eastAsia="zh-CN"/>
              </w:rPr>
            </w:r>
            <w:r/>
          </w:p>
        </w:tc>
      </w:tr>
      <w:tr>
        <w:trPr>
          <w:trHeight w:val="890"/>
        </w:trPr>
        <w:tc>
          <w:tcPr>
            <w:tcW w:w="988" w:type="dxa"/>
            <w:vAlign w:val="center"/>
            <w:textDirection w:val="lrTb"/>
            <w:noWrap w:val="false"/>
          </w:tcPr>
          <w:p>
            <w:pPr>
              <w:pStyle w:val="1167"/>
              <w:jc w:val="center"/>
              <w:rPr>
                <w:rFonts w:hAnsi="宋体" w:cs="宋体"/>
                <w:color w:val="000000"/>
                <w:sz w:val="24"/>
                <w:szCs w:val="24"/>
              </w:rPr>
            </w:pPr>
            <w:r>
              <w:rPr>
                <w:rFonts w:hAnsi="宋体" w:cs="宋体"/>
                <w:color w:val="000000"/>
                <w:sz w:val="24"/>
                <w:szCs w:val="24"/>
              </w:rPr>
              <w:t xml:space="preserve">10.2</w:t>
            </w:r>
            <w:r>
              <w:rPr>
                <w:rFonts w:hAnsi="宋体" w:cs="宋体"/>
                <w:color w:val="000000"/>
                <w:sz w:val="24"/>
                <w:szCs w:val="24"/>
              </w:rPr>
            </w:r>
            <w:r/>
          </w:p>
        </w:tc>
        <w:tc>
          <w:tcPr>
            <w:tcW w:w="1701" w:type="dxa"/>
            <w:vAlign w:val="center"/>
            <w:textDirection w:val="lrTb"/>
            <w:noWrap w:val="false"/>
          </w:tcPr>
          <w:p>
            <w:pPr>
              <w:pStyle w:val="1126"/>
              <w:jc w:val="center"/>
              <w:rPr>
                <w:rFonts w:ascii="宋体" w:hAnsi="宋体" w:cs="宋体"/>
                <w:color w:val="000000"/>
                <w:sz w:val="24"/>
                <w:szCs w:val="24"/>
              </w:rPr>
            </w:pPr>
            <w:r>
              <w:rPr>
                <w:rFonts w:hint="eastAsia" w:ascii="宋体" w:hAnsi="宋体" w:cs="宋体"/>
                <w:color w:val="000000"/>
                <w:sz w:val="24"/>
                <w:szCs w:val="24"/>
              </w:rPr>
              <w:t xml:space="preserve">报价</w:t>
            </w:r>
            <w:r>
              <w:rPr>
                <w:rFonts w:ascii="宋体" w:hAnsi="宋体" w:cs="宋体"/>
                <w:color w:val="000000"/>
                <w:sz w:val="24"/>
                <w:szCs w:val="24"/>
              </w:rPr>
            </w:r>
            <w:r/>
          </w:p>
        </w:tc>
        <w:tc>
          <w:tcPr>
            <w:tcW w:w="7253" w:type="dxa"/>
            <w:vAlign w:val="center"/>
            <w:textDirection w:val="lrTb"/>
            <w:noWrap w:val="false"/>
          </w:tcPr>
          <w:p>
            <w:pPr>
              <w:pStyle w:val="1126"/>
              <w:jc w:val="left"/>
              <w:rPr>
                <w:rFonts w:ascii="宋体" w:hAnsi="宋体" w:cs="宋体"/>
                <w:color w:val="000000"/>
                <w:sz w:val="24"/>
                <w:szCs w:val="24"/>
              </w:rPr>
            </w:pPr>
            <w:r>
              <w:rPr>
                <w:rFonts w:hint="eastAsia" w:ascii="宋体" w:hAnsi="宋体" w:cs="宋体"/>
                <w:color w:val="000000"/>
                <w:sz w:val="24"/>
                <w:szCs w:val="24"/>
              </w:rPr>
              <w:t xml:space="preserve">报价的特殊规定：</w:t>
            </w:r>
            <w:r>
              <w:rPr>
                <w:rFonts w:ascii="宋体" w:hAnsi="宋体" w:cs="宋体"/>
                <w:color w:val="000000"/>
                <w:sz w:val="24"/>
                <w:szCs w:val="24"/>
              </w:rPr>
            </w:r>
            <w:r/>
          </w:p>
          <w:p>
            <w:pPr>
              <w:pStyle w:val="1126"/>
              <w:jc w:val="lef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1126"/>
              <w:jc w:val="left"/>
              <w:rPr>
                <w:rFonts w:ascii="宋体" w:hAnsi="宋体" w:cs="宋体"/>
                <w:color w:val="000000"/>
                <w:sz w:val="24"/>
                <w:szCs w:val="24"/>
                <w:lang w:val="en-US"/>
              </w:rPr>
            </w:pP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有，具体情形：</w:t>
            </w:r>
            <w:r>
              <w:rPr>
                <w:rFonts w:ascii="宋体" w:hAnsi="宋体" w:cs="宋体"/>
                <w:color w:val="000000"/>
                <w:sz w:val="24"/>
                <w:szCs w:val="24"/>
                <w:lang w:val="en-US"/>
              </w:rPr>
            </w:r>
            <w:r/>
          </w:p>
        </w:tc>
      </w:tr>
      <w:tr>
        <w:trPr>
          <w:trHeight w:val="680"/>
        </w:trPr>
        <w:tc>
          <w:tcPr>
            <w:tcW w:w="988" w:type="dxa"/>
            <w:vAlign w:val="center"/>
            <w:textDirection w:val="lrTb"/>
            <w:noWrap w:val="false"/>
          </w:tcPr>
          <w:p>
            <w:pPr>
              <w:pStyle w:val="1167"/>
              <w:jc w:val="center"/>
              <w:rPr>
                <w:rFonts w:hAnsi="宋体" w:cs="宋体"/>
                <w:color w:val="000000"/>
                <w:sz w:val="24"/>
                <w:szCs w:val="24"/>
              </w:rPr>
            </w:pPr>
            <w:r>
              <w:rPr>
                <w:rFonts w:hAnsi="宋体" w:cs="宋体"/>
                <w:color w:val="000000"/>
                <w:sz w:val="24"/>
                <w:szCs w:val="24"/>
              </w:rPr>
              <w:t xml:space="preserve">11.1</w:t>
            </w:r>
            <w:r>
              <w:rPr>
                <w:rFonts w:hAnsi="宋体" w:cs="宋体"/>
                <w:color w:val="000000"/>
                <w:sz w:val="24"/>
                <w:szCs w:val="24"/>
              </w:rPr>
            </w:r>
            <w:r/>
          </w:p>
        </w:tc>
        <w:tc>
          <w:tcPr>
            <w:tcW w:w="1701" w:type="dxa"/>
            <w:vAlign w:val="center"/>
            <w:textDirection w:val="lrTb"/>
            <w:noWrap w:val="false"/>
          </w:tcPr>
          <w:p>
            <w:pPr>
              <w:pStyle w:val="1126"/>
              <w:jc w:val="center"/>
              <w:rPr>
                <w:rFonts w:ascii="宋体" w:hAnsi="宋体" w:cs="宋体"/>
                <w:color w:val="000000"/>
                <w:sz w:val="24"/>
                <w:szCs w:val="24"/>
              </w:rPr>
            </w:pPr>
            <w:r>
              <w:rPr>
                <w:rFonts w:hint="eastAsia" w:ascii="宋体" w:hAnsi="宋体" w:cs="宋体"/>
                <w:color w:val="000000"/>
                <w:sz w:val="24"/>
                <w:szCs w:val="24"/>
              </w:rPr>
              <w:t xml:space="preserve">磋商保证金</w:t>
            </w:r>
            <w:r>
              <w:rPr>
                <w:rFonts w:ascii="宋体" w:hAnsi="宋体" w:cs="宋体"/>
                <w:color w:val="000000"/>
                <w:sz w:val="24"/>
                <w:szCs w:val="24"/>
              </w:rPr>
            </w:r>
            <w:r/>
          </w:p>
        </w:tc>
        <w:tc>
          <w:tcPr>
            <w:tcW w:w="7253" w:type="dxa"/>
            <w:vAlign w:val="center"/>
            <w:textDirection w:val="lrTb"/>
            <w:noWrap w:val="false"/>
          </w:tcPr>
          <w:p>
            <w:pPr>
              <w:pStyle w:val="1126"/>
              <w:jc w:val="left"/>
              <w:rPr>
                <w:rFonts w:ascii="宋体" w:hAnsi="宋体" w:cs="宋体"/>
                <w:color w:val="000000"/>
                <w:sz w:val="24"/>
                <w:szCs w:val="24"/>
              </w:rPr>
            </w:pPr>
            <w:r>
              <w:rPr>
                <w:rFonts w:hint="eastAsia" w:ascii="宋体" w:hAnsi="宋体" w:cs="宋体"/>
                <w:color w:val="000000"/>
                <w:sz w:val="24"/>
                <w:szCs w:val="24"/>
              </w:rPr>
              <w:t xml:space="preserve">免收</w:t>
            </w:r>
            <w:r>
              <w:rPr>
                <w:rFonts w:ascii="宋体" w:hAnsi="宋体" w:cs="宋体"/>
                <w:color w:val="000000"/>
                <w:sz w:val="24"/>
                <w:szCs w:val="24"/>
              </w:rPr>
            </w:r>
            <w:r/>
          </w:p>
        </w:tc>
      </w:tr>
      <w:tr>
        <w:trPr>
          <w:trHeight w:val="680"/>
        </w:trPr>
        <w:tc>
          <w:tcPr>
            <w:tcW w:w="988" w:type="dxa"/>
            <w:vAlign w:val="center"/>
            <w:textDirection w:val="lrTb"/>
            <w:noWrap w:val="false"/>
          </w:tcPr>
          <w:p>
            <w:pPr>
              <w:pStyle w:val="1167"/>
              <w:jc w:val="center"/>
              <w:rPr>
                <w:rFonts w:hAnsi="宋体" w:cs="宋体"/>
                <w:color w:val="000000"/>
                <w:sz w:val="24"/>
                <w:szCs w:val="24"/>
              </w:rPr>
            </w:pPr>
            <w:r>
              <w:rPr>
                <w:rFonts w:hAnsi="宋体" w:cs="宋体"/>
                <w:color w:val="000000"/>
                <w:sz w:val="24"/>
                <w:szCs w:val="24"/>
              </w:rPr>
              <w:t xml:space="preserve">12.1</w:t>
            </w:r>
            <w:r>
              <w:rPr>
                <w:rFonts w:hAnsi="宋体" w:cs="宋体"/>
                <w:color w:val="000000"/>
                <w:sz w:val="24"/>
                <w:szCs w:val="24"/>
              </w:rPr>
            </w:r>
            <w:r/>
          </w:p>
        </w:tc>
        <w:tc>
          <w:tcPr>
            <w:tcW w:w="1701" w:type="dxa"/>
            <w:vAlign w:val="center"/>
            <w:textDirection w:val="lrTb"/>
            <w:noWrap w:val="false"/>
          </w:tcPr>
          <w:p>
            <w:pPr>
              <w:pStyle w:val="1126"/>
              <w:jc w:val="center"/>
              <w:rPr>
                <w:rFonts w:ascii="宋体" w:hAnsi="宋体" w:cs="宋体"/>
                <w:color w:val="000000"/>
                <w:sz w:val="24"/>
                <w:szCs w:val="24"/>
              </w:rPr>
            </w:pPr>
            <w:r>
              <w:rPr>
                <w:rFonts w:hint="eastAsia" w:ascii="宋体" w:hAnsi="宋体" w:cs="宋体"/>
                <w:color w:val="000000"/>
                <w:sz w:val="24"/>
                <w:szCs w:val="24"/>
              </w:rPr>
              <w:t xml:space="preserve">响应有效期</w:t>
            </w:r>
            <w:r>
              <w:rPr>
                <w:rFonts w:ascii="宋体" w:hAnsi="宋体" w:cs="宋体"/>
                <w:color w:val="000000"/>
                <w:sz w:val="24"/>
                <w:szCs w:val="24"/>
              </w:rPr>
            </w:r>
            <w:r/>
          </w:p>
        </w:tc>
        <w:tc>
          <w:tcPr>
            <w:tcW w:w="7253" w:type="dxa"/>
            <w:vAlign w:val="center"/>
            <w:textDirection w:val="lrTb"/>
            <w:noWrap w:val="false"/>
          </w:tcPr>
          <w:p>
            <w:pPr>
              <w:pStyle w:val="1126"/>
              <w:jc w:val="left"/>
              <w:rPr>
                <w:rFonts w:ascii="宋体" w:hAnsi="宋体" w:cs="宋体"/>
                <w:color w:val="000000"/>
                <w:sz w:val="24"/>
                <w:szCs w:val="24"/>
              </w:rPr>
            </w:pPr>
            <w:r>
              <w:rPr>
                <w:rFonts w:hint="eastAsia" w:ascii="宋体" w:hAnsi="宋体" w:cs="宋体"/>
                <w:color w:val="000000"/>
                <w:sz w:val="24"/>
                <w:szCs w:val="24"/>
              </w:rPr>
              <w:t xml:space="preserve">自提交响应文件的截止之日起算</w:t>
            </w:r>
            <w:r>
              <w:rPr>
                <w:rFonts w:hint="eastAsia" w:ascii="宋体" w:hAnsi="宋体" w:cs="宋体"/>
                <w:color w:val="000000"/>
                <w:sz w:val="24"/>
                <w:szCs w:val="24"/>
                <w:u w:val="single"/>
              </w:rPr>
              <w:t xml:space="preserve">60</w:t>
            </w:r>
            <w:r>
              <w:rPr>
                <w:rFonts w:hint="eastAsia" w:ascii="宋体" w:hAnsi="宋体" w:cs="宋体"/>
                <w:color w:val="000000"/>
                <w:sz w:val="24"/>
                <w:szCs w:val="24"/>
              </w:rPr>
              <w:t xml:space="preserve">日历天。</w:t>
            </w:r>
            <w:r>
              <w:rPr>
                <w:rFonts w:ascii="宋体" w:hAnsi="宋体" w:cs="宋体"/>
                <w:color w:val="000000"/>
                <w:sz w:val="24"/>
                <w:szCs w:val="24"/>
              </w:rPr>
            </w:r>
            <w:r/>
          </w:p>
        </w:tc>
      </w:tr>
      <w:tr>
        <w:trPr>
          <w:trHeight w:val="20"/>
        </w:trPr>
        <w:tc>
          <w:tcPr>
            <w:tcW w:w="988" w:type="dxa"/>
            <w:vAlign w:val="center"/>
            <w:textDirection w:val="lrTb"/>
            <w:noWrap w:val="false"/>
          </w:tcPr>
          <w:p>
            <w:pPr>
              <w:pStyle w:val="1167"/>
              <w:jc w:val="center"/>
              <w:rPr>
                <w:rFonts w:hAnsi="宋体" w:cs="宋体"/>
                <w:color w:val="000000"/>
                <w:sz w:val="24"/>
                <w:szCs w:val="24"/>
              </w:rPr>
            </w:pPr>
            <w:r>
              <w:rPr>
                <w:rFonts w:hAnsi="宋体" w:cs="宋体"/>
                <w:color w:val="000000"/>
                <w:sz w:val="24"/>
                <w:szCs w:val="24"/>
              </w:rPr>
              <w:t xml:space="preserve">23.5</w:t>
            </w:r>
            <w:r>
              <w:rPr>
                <w:rFonts w:hAnsi="宋体" w:cs="宋体"/>
                <w:color w:val="000000"/>
                <w:sz w:val="24"/>
                <w:szCs w:val="24"/>
              </w:rPr>
            </w:r>
            <w:r/>
          </w:p>
        </w:tc>
        <w:tc>
          <w:tcPr>
            <w:tcW w:w="1701" w:type="dxa"/>
            <w:vAlign w:val="center"/>
            <w:textDirection w:val="lrTb"/>
            <w:noWrap w:val="false"/>
          </w:tcPr>
          <w:p>
            <w:pPr>
              <w:pStyle w:val="1126"/>
              <w:jc w:val="center"/>
              <w:rPr>
                <w:rFonts w:ascii="宋体" w:hAnsi="宋体" w:cs="宋体"/>
                <w:color w:val="000000"/>
                <w:sz w:val="24"/>
                <w:szCs w:val="24"/>
              </w:rPr>
            </w:pPr>
            <w:r>
              <w:rPr>
                <w:rFonts w:hint="eastAsia" w:ascii="宋体" w:hAnsi="宋体" w:cs="宋体"/>
                <w:color w:val="000000"/>
                <w:sz w:val="24"/>
                <w:szCs w:val="24"/>
              </w:rPr>
              <w:t xml:space="preserve">分包</w:t>
            </w:r>
            <w:r>
              <w:rPr>
                <w:rFonts w:ascii="宋体" w:hAnsi="宋体" w:cs="宋体"/>
                <w:color w:val="000000"/>
                <w:sz w:val="24"/>
                <w:szCs w:val="24"/>
              </w:rPr>
            </w:r>
            <w:r/>
          </w:p>
        </w:tc>
        <w:tc>
          <w:tcPr>
            <w:tcW w:w="7253" w:type="dxa"/>
            <w:vAlign w:val="center"/>
            <w:textDirection w:val="lrTb"/>
            <w:noWrap w:val="false"/>
          </w:tcPr>
          <w:p>
            <w:pPr>
              <w:pStyle w:val="1126"/>
              <w:jc w:val="left"/>
              <w:rPr>
                <w:rFonts w:ascii="宋体" w:hAnsi="宋体" w:cs="宋体"/>
                <w:color w:val="000000"/>
                <w:sz w:val="24"/>
                <w:szCs w:val="24"/>
              </w:rPr>
            </w:pPr>
            <w:r>
              <w:rPr>
                <w:rFonts w:hint="eastAsia" w:ascii="宋体" w:hAnsi="宋体" w:cs="宋体"/>
                <w:color w:val="000000"/>
                <w:sz w:val="24"/>
                <w:szCs w:val="24"/>
              </w:rPr>
              <w:t xml:space="preserve">本项目是否允许分包： </w:t>
            </w:r>
            <w:r>
              <w:rPr>
                <w:rFonts w:ascii="宋体" w:hAnsi="宋体" w:cs="宋体"/>
                <w:color w:val="000000"/>
                <w:sz w:val="24"/>
                <w:szCs w:val="24"/>
              </w:rPr>
            </w:r>
            <w:r/>
          </w:p>
          <w:p>
            <w:pPr>
              <w:pStyle w:val="1126"/>
              <w:jc w:val="left"/>
              <w:rPr>
                <w:rFonts w:ascii="宋体" w:hAnsi="宋体" w:cs="宋体"/>
                <w:color w:val="000000"/>
                <w:sz w:val="24"/>
                <w:szCs w:val="24"/>
              </w:rPr>
            </w:pPr>
            <w:r>
              <w:rPr>
                <w:rFonts w:hint="eastAsia" w:ascii="宋体" w:hAnsi="宋体" w:cs="宋体"/>
                <w:color w:val="000000"/>
                <w:sz w:val="24"/>
                <w:szCs w:val="24"/>
              </w:rPr>
              <w:t xml:space="preserve">☑不允许</w:t>
            </w:r>
            <w:r>
              <w:rPr>
                <w:rFonts w:ascii="宋体" w:hAnsi="宋体" w:cs="宋体"/>
                <w:color w:val="000000"/>
                <w:sz w:val="24"/>
                <w:szCs w:val="24"/>
              </w:rPr>
            </w:r>
            <w:r/>
          </w:p>
          <w:p>
            <w:pPr>
              <w:pStyle w:val="1126"/>
              <w:jc w:val="left"/>
              <w:rPr>
                <w:rFonts w:ascii="宋体" w:hAnsi="宋体" w:cs="宋体"/>
                <w:color w:val="000000"/>
                <w:sz w:val="24"/>
                <w:szCs w:val="24"/>
                <w:u w:val="single"/>
              </w:rPr>
            </w:pPr>
            <w:r>
              <w:rPr>
                <w:rFonts w:ascii="Wingdings 2" w:hAnsi="Wingdings 2" w:eastAsia="Wingdings 2" w:cs="Wingdings 2"/>
                <w:color w:val="000000"/>
                <w:sz w:val="24"/>
                <w:szCs w:val="24"/>
              </w:rPr>
              <w:t xml:space="preserve">£</w:t>
            </w:r>
            <w:r>
              <w:rPr>
                <w:rFonts w:hint="eastAsia" w:ascii="宋体" w:hAnsi="宋体" w:cs="宋体"/>
                <w:color w:val="000000"/>
                <w:sz w:val="24"/>
                <w:szCs w:val="24"/>
              </w:rPr>
              <w:t xml:space="preserve">允许。</w:t>
            </w:r>
            <w:r>
              <w:rPr>
                <w:rFonts w:ascii="宋体" w:hAnsi="宋体" w:cs="宋体"/>
                <w:color w:val="000000"/>
                <w:sz w:val="24"/>
                <w:szCs w:val="24"/>
                <w:u w:val="single"/>
              </w:rPr>
            </w:r>
            <w:r/>
          </w:p>
        </w:tc>
      </w:tr>
      <w:tr>
        <w:trPr>
          <w:trHeight w:val="680"/>
        </w:trPr>
        <w:tc>
          <w:tcPr>
            <w:tcW w:w="988" w:type="dxa"/>
            <w:vAlign w:val="center"/>
            <w:textDirection w:val="lrTb"/>
            <w:noWrap w:val="false"/>
          </w:tcPr>
          <w:p>
            <w:pPr>
              <w:pStyle w:val="1167"/>
              <w:jc w:val="center"/>
              <w:rPr>
                <w:rFonts w:hAnsi="宋体" w:cs="宋体"/>
                <w:color w:val="000000"/>
                <w:sz w:val="24"/>
                <w:szCs w:val="24"/>
              </w:rPr>
            </w:pPr>
            <w:r>
              <w:rPr>
                <w:rFonts w:hAnsi="宋体" w:cs="宋体"/>
                <w:color w:val="000000"/>
                <w:sz w:val="24"/>
                <w:szCs w:val="24"/>
              </w:rPr>
              <w:t xml:space="preserve">24.1.1</w:t>
            </w:r>
            <w:r>
              <w:rPr>
                <w:rFonts w:hAnsi="宋体" w:cs="宋体"/>
                <w:color w:val="000000"/>
                <w:sz w:val="24"/>
                <w:szCs w:val="24"/>
              </w:rPr>
            </w:r>
            <w:r/>
          </w:p>
        </w:tc>
        <w:tc>
          <w:tcPr>
            <w:tcW w:w="1701" w:type="dxa"/>
            <w:vAlign w:val="center"/>
            <w:textDirection w:val="lrTb"/>
            <w:noWrap w:val="false"/>
          </w:tcPr>
          <w:p>
            <w:pPr>
              <w:pStyle w:val="1126"/>
              <w:jc w:val="center"/>
              <w:rPr>
                <w:rFonts w:ascii="宋体" w:hAnsi="宋体" w:cs="宋体"/>
                <w:color w:val="000000"/>
                <w:sz w:val="24"/>
                <w:szCs w:val="24"/>
              </w:rPr>
            </w:pPr>
            <w:r>
              <w:rPr>
                <w:rFonts w:hint="eastAsia" w:ascii="宋体" w:hAnsi="宋体" w:cs="宋体"/>
                <w:color w:val="000000"/>
                <w:sz w:val="24"/>
                <w:szCs w:val="24"/>
              </w:rPr>
              <w:t xml:space="preserve">询问</w:t>
            </w:r>
            <w:r>
              <w:rPr>
                <w:rFonts w:ascii="宋体" w:hAnsi="宋体" w:cs="宋体"/>
                <w:color w:val="000000"/>
                <w:sz w:val="24"/>
                <w:szCs w:val="24"/>
              </w:rPr>
            </w:r>
            <w:r/>
          </w:p>
        </w:tc>
        <w:tc>
          <w:tcPr>
            <w:tcW w:w="7253" w:type="dxa"/>
            <w:vAlign w:val="center"/>
            <w:textDirection w:val="lrTb"/>
            <w:noWrap w:val="false"/>
          </w:tcPr>
          <w:p>
            <w:pPr>
              <w:pStyle w:val="1126"/>
              <w:jc w:val="left"/>
              <w:rPr>
                <w:rFonts w:ascii="宋体" w:hAnsi="宋体" w:cs="宋体"/>
                <w:color w:val="000000"/>
                <w:sz w:val="24"/>
                <w:szCs w:val="24"/>
              </w:rPr>
            </w:pPr>
            <w:r>
              <w:rPr>
                <w:rFonts w:hint="eastAsia" w:ascii="宋体" w:hAnsi="宋体" w:cs="宋体"/>
                <w:color w:val="000000"/>
                <w:sz w:val="24"/>
                <w:szCs w:val="24"/>
              </w:rPr>
              <w:t xml:space="preserve">询问送达形式：</w:t>
            </w:r>
            <w:r>
              <w:rPr>
                <w:rFonts w:hint="eastAsia" w:ascii="宋体" w:hAnsi="宋体" w:cs="宋体"/>
                <w:color w:val="000000"/>
                <w:sz w:val="24"/>
                <w:szCs w:val="24"/>
                <w:u w:val="single"/>
              </w:rPr>
              <w:t xml:space="preserve">书面</w:t>
            </w:r>
            <w:r>
              <w:rPr>
                <w:rFonts w:ascii="宋体" w:hAnsi="宋体" w:cs="宋体"/>
                <w:color w:val="000000"/>
                <w:sz w:val="24"/>
                <w:szCs w:val="24"/>
              </w:rPr>
            </w:r>
            <w:r/>
          </w:p>
        </w:tc>
      </w:tr>
      <w:tr>
        <w:trPr>
          <w:trHeight w:val="20"/>
        </w:trPr>
        <w:tc>
          <w:tcPr>
            <w:tcW w:w="988" w:type="dxa"/>
            <w:vAlign w:val="center"/>
            <w:textDirection w:val="lrTb"/>
            <w:noWrap w:val="false"/>
          </w:tcPr>
          <w:p>
            <w:pPr>
              <w:pStyle w:val="1167"/>
              <w:jc w:val="center"/>
              <w:rPr>
                <w:rFonts w:hAnsi="宋体" w:cs="宋体"/>
                <w:color w:val="000000"/>
                <w:sz w:val="24"/>
                <w:szCs w:val="24"/>
              </w:rPr>
            </w:pPr>
            <w:r>
              <w:rPr>
                <w:rFonts w:hAnsi="宋体" w:cs="宋体"/>
                <w:color w:val="000000"/>
                <w:sz w:val="24"/>
                <w:szCs w:val="24"/>
              </w:rPr>
              <w:t xml:space="preserve">24.3</w:t>
            </w:r>
            <w:r>
              <w:rPr>
                <w:rFonts w:hAnsi="宋体" w:cs="宋体"/>
                <w:color w:val="000000"/>
                <w:sz w:val="24"/>
                <w:szCs w:val="24"/>
              </w:rPr>
            </w:r>
            <w:r/>
          </w:p>
        </w:tc>
        <w:tc>
          <w:tcPr>
            <w:tcW w:w="1701" w:type="dxa"/>
            <w:vAlign w:val="center"/>
            <w:textDirection w:val="lrTb"/>
            <w:noWrap w:val="false"/>
          </w:tcPr>
          <w:p>
            <w:pPr>
              <w:pStyle w:val="1126"/>
              <w:jc w:val="center"/>
              <w:rPr>
                <w:rFonts w:ascii="宋体" w:hAnsi="宋体" w:cs="宋体"/>
                <w:color w:val="000000"/>
                <w:sz w:val="24"/>
                <w:szCs w:val="24"/>
              </w:rPr>
            </w:pPr>
            <w:r>
              <w:rPr>
                <w:rFonts w:hint="eastAsia" w:ascii="宋体" w:hAnsi="宋体" w:cs="宋体"/>
                <w:color w:val="000000"/>
                <w:sz w:val="24"/>
                <w:szCs w:val="24"/>
              </w:rPr>
              <w:t xml:space="preserve">联系方式</w:t>
            </w:r>
            <w:r>
              <w:rPr>
                <w:rFonts w:ascii="宋体" w:hAnsi="宋体" w:cs="宋体"/>
                <w:color w:val="000000"/>
                <w:sz w:val="24"/>
                <w:szCs w:val="24"/>
              </w:rPr>
            </w:r>
            <w:r/>
          </w:p>
        </w:tc>
        <w:tc>
          <w:tcPr>
            <w:tcW w:w="7253" w:type="dxa"/>
            <w:vAlign w:val="center"/>
            <w:textDirection w:val="lrTb"/>
            <w:noWrap w:val="false"/>
          </w:tcPr>
          <w:p>
            <w:pPr>
              <w:pStyle w:val="1126"/>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接收询问和质疑的联系方式</w:t>
            </w:r>
            <w:r>
              <w:rPr>
                <w:rFonts w:hint="eastAsia" w:ascii="宋体" w:hAnsi="宋体" w:eastAsia="宋体" w:cs="宋体"/>
                <w:color w:val="000000"/>
                <w:sz w:val="24"/>
                <w:szCs w:val="24"/>
                <w:lang w:eastAsia="zh-CN"/>
              </w:rPr>
            </w:r>
            <w:r/>
          </w:p>
          <w:p>
            <w:pPr>
              <w:pStyle w:val="1126"/>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名 称：常州市发展和改革委员会</w:t>
            </w:r>
            <w:r>
              <w:rPr>
                <w:rFonts w:hint="eastAsia" w:ascii="宋体" w:hAnsi="宋体" w:eastAsia="宋体" w:cs="宋体"/>
                <w:color w:val="000000"/>
                <w:sz w:val="24"/>
                <w:szCs w:val="24"/>
                <w:lang w:eastAsia="zh-CN"/>
              </w:rPr>
            </w:r>
            <w:r/>
          </w:p>
          <w:p>
            <w:pPr>
              <w:pStyle w:val="1126"/>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地 址：江苏省常州市龙城大道1280号</w:t>
            </w:r>
            <w:r>
              <w:rPr>
                <w:rFonts w:hint="eastAsia" w:ascii="宋体" w:hAnsi="宋体" w:eastAsia="宋体" w:cs="宋体"/>
                <w:color w:val="000000"/>
                <w:sz w:val="24"/>
                <w:szCs w:val="24"/>
                <w:lang w:eastAsia="zh-CN"/>
              </w:rPr>
            </w:r>
            <w:r/>
          </w:p>
          <w:p>
            <w:pPr>
              <w:pStyle w:val="1126"/>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highlight w:val="none"/>
                <w:lang w:val="en-US" w:eastAsia="zh-CN"/>
              </w:rPr>
              <w:t xml:space="preserve">张</w:t>
            </w:r>
            <w:r>
              <w:rPr>
                <w:rFonts w:hint="eastAsia" w:ascii="宋体" w:hAnsi="宋体" w:eastAsia="宋体" w:cs="宋体"/>
                <w:color w:val="000000"/>
                <w:sz w:val="24"/>
                <w:szCs w:val="24"/>
                <w:highlight w:val="none"/>
                <w:lang w:eastAsia="zh-CN"/>
              </w:rPr>
              <w:t xml:space="preserve">先生</w:t>
            </w:r>
            <w:r>
              <w:rPr>
                <w:rFonts w:hint="eastAsia" w:ascii="宋体" w:hAnsi="宋体" w:eastAsia="宋体" w:cs="宋体"/>
                <w:color w:val="000000"/>
                <w:sz w:val="24"/>
                <w:szCs w:val="24"/>
                <w:highlight w:val="none"/>
                <w:lang w:eastAsia="zh-CN"/>
              </w:rPr>
            </w:r>
            <w:r/>
          </w:p>
          <w:p>
            <w:pPr>
              <w:pStyle w:val="1126"/>
              <w:spacing w:line="360" w:lineRule="auto"/>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lang w:eastAsia="zh-CN"/>
              </w:rPr>
              <w:t xml:space="preserve">0519-</w:t>
            </w:r>
            <w:r>
              <w:rPr>
                <w:rFonts w:hint="eastAsia" w:ascii="宋体" w:hAnsi="宋体" w:eastAsia="宋体" w:cs="宋体"/>
                <w:color w:val="000000"/>
                <w:sz w:val="24"/>
                <w:szCs w:val="24"/>
                <w:highlight w:val="none"/>
                <w:lang w:val="en-US" w:eastAsia="zh-CN"/>
              </w:rPr>
              <w:t xml:space="preserve">85681081</w:t>
            </w:r>
            <w:r>
              <w:rPr>
                <w:rFonts w:ascii="宋体" w:hAnsi="宋体" w:eastAsia="宋体" w:cs="宋体"/>
                <w:color w:val="000000"/>
                <w:sz w:val="24"/>
                <w:szCs w:val="24"/>
                <w:highlight w:val="none"/>
                <w:lang w:val="en-US" w:eastAsia="zh-CN"/>
              </w:rPr>
            </w:r>
            <w:r/>
          </w:p>
          <w:p>
            <w:pPr>
              <w:pStyle w:val="1126"/>
              <w:jc w:val="left"/>
              <w:rPr>
                <w:rFonts w:hint="eastAsia" w:ascii="宋体" w:hAnsi="宋体" w:cs="宋体"/>
                <w:color w:val="000000"/>
                <w:sz w:val="24"/>
                <w:szCs w:val="24"/>
              </w:rPr>
            </w:pPr>
            <w:r>
              <w:rPr>
                <w:rFonts w:hint="eastAsia" w:ascii="宋体" w:hAnsi="宋体" w:eastAsia="宋体" w:cs="宋体"/>
                <w:color w:val="000000"/>
                <w:sz w:val="24"/>
                <w:szCs w:val="24"/>
                <w:lang w:eastAsia="zh-CN"/>
              </w:rPr>
              <w:t xml:space="preserve">代理机构：常州正衡招投标有限公</w:t>
            </w:r>
            <w:r>
              <w:rPr>
                <w:rFonts w:hint="eastAsia" w:ascii="宋体" w:hAnsi="宋体" w:cs="宋体"/>
                <w:color w:val="000000"/>
                <w:sz w:val="24"/>
                <w:szCs w:val="24"/>
              </w:rPr>
              <w:t xml:space="preserve">司</w:t>
            </w:r>
            <w:r>
              <w:rPr>
                <w:rFonts w:hint="eastAsia" w:ascii="宋体" w:hAnsi="宋体" w:cs="宋体"/>
                <w:color w:val="000000"/>
                <w:sz w:val="24"/>
                <w:szCs w:val="24"/>
              </w:rPr>
            </w:r>
            <w:r/>
          </w:p>
          <w:p>
            <w:pPr>
              <w:pStyle w:val="1126"/>
              <w:jc w:val="left"/>
              <w:rPr>
                <w:rFonts w:ascii="宋体" w:hAnsi="宋体" w:cs="宋体"/>
                <w:color w:val="000000"/>
                <w:sz w:val="24"/>
                <w:szCs w:val="24"/>
              </w:rPr>
            </w:pPr>
            <w:r>
              <w:rPr>
                <w:rFonts w:hint="eastAsia" w:ascii="宋体" w:hAnsi="宋体" w:cs="宋体"/>
                <w:color w:val="000000"/>
                <w:sz w:val="24"/>
                <w:szCs w:val="24"/>
              </w:rPr>
              <w:t xml:space="preserve">地  址：常州市新北区府翰苑6栋9楼</w:t>
            </w:r>
            <w:r>
              <w:rPr>
                <w:rFonts w:ascii="宋体" w:hAnsi="宋体" w:cs="宋体"/>
                <w:color w:val="000000"/>
                <w:sz w:val="24"/>
                <w:szCs w:val="24"/>
              </w:rPr>
            </w:r>
            <w:r/>
          </w:p>
          <w:p>
            <w:pPr>
              <w:pStyle w:val="1126"/>
              <w:jc w:val="left"/>
              <w:rPr>
                <w:rFonts w:ascii="宋体" w:hAnsi="宋体" w:cs="宋体"/>
                <w:color w:val="000000"/>
                <w:sz w:val="24"/>
                <w:szCs w:val="24"/>
              </w:rPr>
            </w:pPr>
            <w:r>
              <w:rPr>
                <w:rFonts w:hint="eastAsia" w:ascii="宋体" w:hAnsi="宋体" w:cs="宋体"/>
                <w:color w:val="000000"/>
                <w:sz w:val="24"/>
                <w:szCs w:val="24"/>
              </w:rPr>
              <w:t xml:space="preserve">电  话：0519-85510566</w:t>
            </w:r>
            <w:r>
              <w:rPr>
                <w:rFonts w:ascii="宋体" w:hAnsi="宋体" w:cs="宋体"/>
                <w:color w:val="000000"/>
                <w:sz w:val="24"/>
                <w:szCs w:val="24"/>
              </w:rPr>
            </w:r>
            <w:r/>
          </w:p>
        </w:tc>
      </w:tr>
      <w:tr>
        <w:trPr>
          <w:trHeight w:val="20"/>
        </w:trPr>
        <w:tc>
          <w:tcPr>
            <w:tcW w:w="988" w:type="dxa"/>
            <w:vAlign w:val="center"/>
            <w:textDirection w:val="lrTb"/>
            <w:noWrap w:val="false"/>
          </w:tcPr>
          <w:p>
            <w:pPr>
              <w:pStyle w:val="1167"/>
              <w:jc w:val="center"/>
              <w:rPr>
                <w:rFonts w:ascii="Times New Roman" w:hAnsi="Times New Roman"/>
                <w:color w:val="000000"/>
                <w:sz w:val="24"/>
                <w:szCs w:val="24"/>
              </w:rPr>
            </w:pPr>
            <w:r>
              <w:rPr>
                <w:rFonts w:ascii="Times New Roman" w:hAnsi="Times New Roman"/>
                <w:color w:val="000000"/>
                <w:sz w:val="24"/>
                <w:szCs w:val="24"/>
              </w:rPr>
              <w:t xml:space="preserve">25</w:t>
            </w:r>
            <w:r>
              <w:rPr>
                <w:rFonts w:ascii="Times New Roman" w:hAnsi="Times New Roman"/>
                <w:color w:val="000000"/>
                <w:sz w:val="24"/>
                <w:szCs w:val="24"/>
              </w:rPr>
            </w:r>
            <w:r/>
          </w:p>
        </w:tc>
        <w:tc>
          <w:tcPr>
            <w:tcW w:w="1701" w:type="dxa"/>
            <w:vAlign w:val="center"/>
            <w:textDirection w:val="lrTb"/>
            <w:noWrap w:val="false"/>
          </w:tcPr>
          <w:p>
            <w:pPr>
              <w:pStyle w:val="1126"/>
              <w:jc w:val="center"/>
              <w:rPr>
                <w:color w:val="000000"/>
                <w:sz w:val="24"/>
                <w:szCs w:val="24"/>
              </w:rPr>
            </w:pPr>
            <w:r>
              <w:rPr>
                <w:rFonts w:hint="eastAsia" w:ascii="宋体" w:hAnsi="宋体" w:eastAsia="宋体" w:cs="宋体"/>
                <w:color w:val="000000"/>
                <w:sz w:val="24"/>
                <w:szCs w:val="24"/>
              </w:rPr>
              <w:t xml:space="preserve">代理费</w:t>
            </w:r>
            <w:r>
              <w:rPr>
                <w:color w:val="000000"/>
                <w:sz w:val="24"/>
                <w:szCs w:val="24"/>
              </w:rPr>
            </w:r>
            <w:r/>
          </w:p>
        </w:tc>
        <w:tc>
          <w:tcPr>
            <w:tcW w:w="7253" w:type="dxa"/>
            <w:vAlign w:val="center"/>
            <w:textDirection w:val="lrTb"/>
            <w:noWrap w:val="false"/>
          </w:tcPr>
          <w:p>
            <w:pPr>
              <w:pStyle w:val="1126"/>
              <w:spacing w:line="360" w:lineRule="auto"/>
              <w:rPr>
                <w:rFonts w:hint="eastAsia" w:ascii="宋体" w:hAnsi="宋体" w:eastAsia="宋体" w:cs="宋体"/>
                <w:bCs/>
                <w:color w:val="000000"/>
                <w:spacing w:val="2"/>
                <w:sz w:val="24"/>
                <w:szCs w:val="24"/>
                <w:highlight w:val="none"/>
                <w:lang w:eastAsia="zh-CN"/>
              </w:rPr>
            </w:pPr>
            <w:r>
              <w:rPr>
                <w:rFonts w:hint="eastAsia" w:ascii="宋体" w:hAnsi="宋体" w:cs="宋体"/>
                <w:bCs/>
                <w:color w:val="000000"/>
                <w:spacing w:val="2"/>
                <w:sz w:val="24"/>
                <w:szCs w:val="24"/>
                <w:highlight w:val="none"/>
              </w:rPr>
              <w:t xml:space="preserve">收费对象：</w:t>
            </w:r>
            <w:r>
              <w:rPr>
                <w:rFonts w:hint="eastAsia" w:ascii="宋体" w:hAnsi="宋体" w:cs="宋体"/>
                <w:bCs/>
                <w:color w:val="000000"/>
                <w:spacing w:val="2"/>
                <w:sz w:val="24"/>
                <w:szCs w:val="24"/>
                <w:highlight w:val="none"/>
                <w:lang w:val="en-US" w:eastAsia="zh-CN"/>
              </w:rPr>
              <w:t xml:space="preserve">采购人</w:t>
            </w:r>
            <w:r>
              <w:rPr>
                <w:rFonts w:hint="eastAsia" w:ascii="宋体" w:hAnsi="宋体" w:eastAsia="宋体" w:cs="宋体"/>
                <w:bCs/>
                <w:color w:val="000000"/>
                <w:spacing w:val="2"/>
                <w:sz w:val="24"/>
                <w:szCs w:val="24"/>
                <w:highlight w:val="none"/>
                <w:lang w:eastAsia="zh-CN"/>
              </w:rPr>
            </w:r>
            <w:r/>
          </w:p>
          <w:p>
            <w:pPr>
              <w:pStyle w:val="1126"/>
              <w:spacing w:line="360" w:lineRule="auto"/>
              <w:rPr>
                <w:rFonts w:ascii="宋体" w:hAnsi="宋体" w:cs="宋体"/>
                <w:bCs/>
                <w:color w:val="000000"/>
                <w:spacing w:val="2"/>
                <w:sz w:val="24"/>
                <w:szCs w:val="24"/>
                <w:lang w:val="en-US"/>
              </w:rPr>
            </w:pPr>
            <w:r>
              <w:rPr>
                <w:rFonts w:hint="eastAsia" w:ascii="宋体" w:hAnsi="宋体" w:cs="宋体"/>
                <w:bCs/>
                <w:color w:val="000000"/>
                <w:spacing w:val="2"/>
                <w:sz w:val="24"/>
                <w:szCs w:val="24"/>
                <w:highlight w:val="none"/>
              </w:rPr>
              <w:t xml:space="preserve">收费标准：</w:t>
            </w:r>
            <w:r>
              <w:rPr>
                <w:rFonts w:hint="eastAsia" w:ascii="宋体" w:hAnsi="宋体" w:cs="宋体"/>
                <w:bCs/>
                <w:color w:val="000000"/>
                <w:spacing w:val="2"/>
                <w:sz w:val="24"/>
                <w:szCs w:val="24"/>
                <w:highlight w:val="none"/>
                <w:lang w:val="en-US" w:eastAsia="zh-CN"/>
              </w:rPr>
              <w:t xml:space="preserve">15000元。</w:t>
            </w:r>
            <w:r>
              <w:rPr>
                <w:rFonts w:hint="eastAsia" w:ascii="宋体" w:hAnsi="宋体" w:eastAsia="宋体" w:cs="宋体"/>
                <w:bCs/>
                <w:color w:val="000000"/>
                <w:spacing w:val="2"/>
                <w:sz w:val="24"/>
                <w:szCs w:val="24"/>
                <w:highlight w:val="none"/>
                <w:lang w:val="en-US" w:eastAsia="zh-CN"/>
              </w:rPr>
              <w:t xml:space="preserve">提交项目归档材料后，采购人一次性支付代理服务费用。</w:t>
            </w:r>
            <w:r>
              <w:rPr>
                <w:rFonts w:ascii="宋体" w:hAnsi="宋体" w:cs="宋体"/>
                <w:bCs/>
                <w:color w:val="000000"/>
                <w:spacing w:val="2"/>
                <w:sz w:val="24"/>
                <w:szCs w:val="24"/>
                <w:lang w:val="en-US"/>
              </w:rPr>
            </w:r>
            <w:r/>
          </w:p>
        </w:tc>
      </w:tr>
    </w:tbl>
    <w:p>
      <w:pPr>
        <w:pStyle w:val="1126"/>
        <w:jc w:val="center"/>
        <w:spacing w:before="240" w:after="240"/>
        <w:rPr>
          <w:b/>
          <w:color w:val="000000"/>
          <w:sz w:val="28"/>
          <w:szCs w:val="28"/>
        </w:rPr>
      </w:pPr>
      <w:r>
        <w:rPr>
          <w:b/>
          <w:color w:val="000000"/>
          <w:sz w:val="28"/>
          <w:szCs w:val="28"/>
        </w:rPr>
        <w:br w:type="page" w:clear="all"/>
      </w:r>
      <w:r>
        <w:rPr>
          <w:b/>
          <w:color w:val="000000"/>
          <w:sz w:val="28"/>
          <w:szCs w:val="28"/>
        </w:rPr>
        <w:t xml:space="preserve">供应商须知</w:t>
      </w:r>
      <w:r>
        <w:rPr>
          <w:b/>
          <w:color w:val="000000"/>
          <w:sz w:val="28"/>
          <w:szCs w:val="28"/>
        </w:rPr>
      </w:r>
      <w:r/>
    </w:p>
    <w:p>
      <w:pPr>
        <w:pStyle w:val="1128"/>
        <w:jc w:val="left"/>
        <w:spacing w:before="0" w:line="360" w:lineRule="auto"/>
        <w:tabs>
          <w:tab w:val="center" w:pos="4592" w:leader="none"/>
          <w:tab w:val="left" w:pos="7860" w:leader="none"/>
        </w:tabs>
        <w:rPr>
          <w:rFonts w:ascii="Times New Roman" w:hAnsi="Times New Roman" w:eastAsia="宋体"/>
          <w:color w:val="000000"/>
          <w:sz w:val="28"/>
        </w:rPr>
      </w:pPr>
      <w:r/>
      <w:bookmarkStart w:id="55" w:name="_Toc127151518"/>
      <w:r/>
      <w:bookmarkStart w:id="56" w:name="_Toc520356143"/>
      <w:r>
        <w:rPr>
          <w:rFonts w:ascii="Times New Roman" w:hAnsi="Times New Roman" w:eastAsia="宋体"/>
          <w:color w:val="000000"/>
          <w:sz w:val="28"/>
        </w:rPr>
        <w:tab/>
      </w:r>
      <w:bookmarkStart w:id="57" w:name="_Toc151193906"/>
      <w:r/>
      <w:bookmarkStart w:id="58" w:name="_Toc226965791"/>
      <w:r/>
      <w:bookmarkStart w:id="59" w:name="_Toc265228356"/>
      <w:r/>
      <w:bookmarkStart w:id="60" w:name="_Toc150774618"/>
      <w:r/>
      <w:bookmarkStart w:id="61" w:name="_Toc305158860"/>
      <w:r/>
      <w:bookmarkStart w:id="62" w:name="_Toc150509269"/>
      <w:r/>
      <w:bookmarkStart w:id="63" w:name="_Toc151193832"/>
      <w:r/>
      <w:bookmarkStart w:id="64" w:name="_Toc226337214"/>
      <w:r/>
      <w:bookmarkStart w:id="65" w:name="_Toc150774723"/>
      <w:r/>
      <w:bookmarkStart w:id="66" w:name="_Toc264969208"/>
      <w:r/>
      <w:bookmarkStart w:id="67" w:name="_Toc151190145"/>
      <w:r/>
      <w:bookmarkStart w:id="68" w:name="_Toc226309762"/>
      <w:r/>
      <w:bookmarkStart w:id="69" w:name="_Toc151193688"/>
      <w:r/>
      <w:bookmarkStart w:id="70" w:name="_Toc151193616"/>
      <w:r/>
      <w:bookmarkStart w:id="71" w:name="_Toc151193760"/>
      <w:r/>
      <w:bookmarkStart w:id="72" w:name="_Toc226965708"/>
      <w:r/>
      <w:bookmarkStart w:id="73" w:name="_Toc142311020"/>
      <w:r/>
      <w:bookmarkStart w:id="74" w:name="_Toc195842883"/>
      <w:r/>
      <w:bookmarkStart w:id="75" w:name="_Toc150480756"/>
      <w:r/>
      <w:bookmarkStart w:id="76" w:name="_Toc305158786"/>
      <w:r>
        <w:rPr>
          <w:rFonts w:ascii="Times New Roman" w:hAnsi="Times New Roman" w:eastAsia="宋体"/>
          <w:color w:val="000000"/>
          <w:sz w:val="28"/>
        </w:rPr>
        <w:t xml:space="preserve">一   说  明</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rFonts w:ascii="Times New Roman" w:hAnsi="Times New Roman" w:eastAsia="宋体"/>
          <w:color w:val="000000"/>
          <w:sz w:val="28"/>
        </w:rPr>
        <w:tab/>
      </w:r>
      <w:r>
        <w:rPr>
          <w:rFonts w:ascii="Times New Roman" w:hAnsi="Times New Roman" w:eastAsia="宋体"/>
          <w:color w:val="000000"/>
          <w:sz w:val="28"/>
        </w:rPr>
      </w:r>
      <w:r/>
    </w:p>
    <w:p>
      <w:pPr>
        <w:pStyle w:val="1126"/>
        <w:numPr>
          <w:ilvl w:val="0"/>
          <w:numId w:val="8"/>
        </w:numPr>
        <w:ind w:left="357" w:hanging="357"/>
        <w:spacing w:line="360" w:lineRule="auto"/>
        <w:tabs>
          <w:tab w:val="left" w:pos="360" w:leader="none"/>
        </w:tabs>
        <w:rPr>
          <w:color w:val="000000"/>
          <w:sz w:val="24"/>
        </w:rPr>
        <w:outlineLvl w:val="1"/>
      </w:pPr>
      <w:r/>
      <w:bookmarkStart w:id="77" w:name="_Toc265228357"/>
      <w:r/>
      <w:bookmarkStart w:id="78" w:name="_Toc305158861"/>
      <w:r/>
      <w:bookmarkStart w:id="79" w:name="_Toc305158787"/>
      <w:r/>
      <w:bookmarkStart w:id="80" w:name="_Toc264969209"/>
      <w:r>
        <w:rPr>
          <w:color w:val="000000"/>
          <w:sz w:val="24"/>
        </w:rPr>
        <w:t xml:space="preserve">采购人、采购代理机构、供应商</w:t>
      </w:r>
      <w:bookmarkEnd w:id="77"/>
      <w:r/>
      <w:bookmarkEnd w:id="78"/>
      <w:r/>
      <w:bookmarkEnd w:id="79"/>
      <w:r/>
      <w:bookmarkEnd w:id="80"/>
      <w:r>
        <w:rPr>
          <w:color w:val="000000"/>
          <w:sz w:val="24"/>
        </w:rPr>
        <w:t xml:space="preserve">、联合体</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采购人、采购代理机构：指依法进行政府采购的国家机关、事业单位、团体组织，及其委托的采购代理机构。本项目采购人、采购代理机构见第一章《采购邀请》。</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供应商（也称“申请人”）：指向采购人提供货物、工程或者服务的法人、其他组织或者自然人。</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联合体：指两个以上的自然人、法人或者其他组织组成一个联合体，以一个供应商的身份共同参加政府采购。</w:t>
      </w:r>
      <w:r>
        <w:rPr>
          <w:color w:val="000000"/>
          <w:sz w:val="24"/>
        </w:rPr>
      </w:r>
      <w:r/>
    </w:p>
    <w:p>
      <w:pPr>
        <w:pStyle w:val="1126"/>
        <w:numPr>
          <w:ilvl w:val="0"/>
          <w:numId w:val="8"/>
        </w:numPr>
        <w:ind w:left="357" w:hanging="357"/>
        <w:spacing w:line="360" w:lineRule="auto"/>
        <w:tabs>
          <w:tab w:val="left" w:pos="360" w:leader="none"/>
        </w:tabs>
        <w:rPr>
          <w:color w:val="000000"/>
          <w:sz w:val="24"/>
        </w:rPr>
        <w:outlineLvl w:val="1"/>
      </w:pPr>
      <w:r/>
      <w:bookmarkStart w:id="81" w:name="_Toc164229215"/>
      <w:r/>
      <w:bookmarkStart w:id="82" w:name="_Toc195842885"/>
      <w:r/>
      <w:bookmarkStart w:id="83" w:name="_Toc151193618"/>
      <w:r/>
      <w:bookmarkStart w:id="84" w:name="_Toc150509271"/>
      <w:r/>
      <w:bookmarkStart w:id="85" w:name="_Toc127151520"/>
      <w:r/>
      <w:bookmarkStart w:id="86" w:name="_Toc265228358"/>
      <w:r/>
      <w:bookmarkStart w:id="87" w:name="_Toc151193762"/>
      <w:r/>
      <w:bookmarkStart w:id="88" w:name="_Toc164351614"/>
      <w:r/>
      <w:bookmarkStart w:id="89" w:name="_Toc164229361"/>
      <w:r/>
      <w:bookmarkStart w:id="90" w:name="_Toc150774620"/>
      <w:r/>
      <w:bookmarkStart w:id="91" w:name="_Toc151193834"/>
      <w:r/>
      <w:bookmarkStart w:id="92" w:name="_Toc150480758"/>
      <w:r/>
      <w:bookmarkStart w:id="93" w:name="_Toc127151721"/>
      <w:r/>
      <w:bookmarkStart w:id="94" w:name="_Toc149720813"/>
      <w:r/>
      <w:bookmarkStart w:id="95" w:name="_Toc264969210"/>
      <w:r/>
      <w:bookmarkStart w:id="96" w:name="_Toc151190147"/>
      <w:r/>
      <w:bookmarkStart w:id="97" w:name="_Toc151193690"/>
      <w:r/>
      <w:bookmarkStart w:id="98" w:name="_Toc127161434"/>
      <w:r/>
      <w:bookmarkStart w:id="99" w:name="_Toc142311022"/>
      <w:r/>
      <w:bookmarkStart w:id="100" w:name="_Toc226309764"/>
      <w:r/>
      <w:bookmarkStart w:id="101" w:name="_Toc305158788"/>
      <w:r/>
      <w:bookmarkStart w:id="102" w:name="_Toc226965793"/>
      <w:r/>
      <w:bookmarkStart w:id="103" w:name="_Toc151193908"/>
      <w:r/>
      <w:bookmarkStart w:id="104" w:name="_Toc305158862"/>
      <w:r/>
      <w:bookmarkStart w:id="105" w:name="_Toc150774725"/>
      <w:r/>
      <w:bookmarkStart w:id="106" w:name="_Toc164608789"/>
      <w:r/>
      <w:bookmarkStart w:id="107" w:name="_Toc226337216"/>
      <w:r/>
      <w:bookmarkStart w:id="108" w:name="_Toc226965710"/>
      <w:r/>
      <w:bookmarkStart w:id="109" w:name="_Toc164608634"/>
      <w:r>
        <w:rPr>
          <w:color w:val="000000"/>
          <w:sz w:val="24"/>
        </w:rPr>
        <w:t xml:space="preserve">资金来源</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color w:val="000000"/>
          <w:sz w:val="24"/>
        </w:rPr>
        <w:t xml:space="preserve">、项目属性、科研仪器设备采购</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资金来源为财政性资金和/或本项目采购中无法与财政性资金分割的非财政性资金。</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项目属性见《供应商须知资料表》。</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是否属于科研仪器设备采购见《供应商须知资料表》。</w:t>
      </w:r>
      <w:r>
        <w:rPr>
          <w:color w:val="000000"/>
          <w:sz w:val="24"/>
        </w:rPr>
      </w:r>
      <w:r/>
    </w:p>
    <w:p>
      <w:pPr>
        <w:pStyle w:val="1126"/>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现场考察、磋商前答疑会</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color w:val="000000"/>
          <w:sz w:val="28"/>
        </w:rPr>
      </w:pPr>
      <w:r>
        <w:rPr>
          <w:color w:val="000000"/>
          <w:sz w:val="24"/>
        </w:rPr>
        <w:t xml:space="preserve">若《供应商须知资料表》中规定了组织现场考察、召开磋商前答疑会，则供应商应按要求在规定的时间和地点参加。</w:t>
      </w:r>
      <w:bookmarkStart w:id="110" w:name="_Toc195842887"/>
      <w:r/>
      <w:bookmarkStart w:id="111" w:name="_Toc226309766"/>
      <w:r/>
      <w:bookmarkStart w:id="112" w:name="_Toc305158864"/>
      <w:r/>
      <w:bookmarkStart w:id="113" w:name="_Toc226965712"/>
      <w:r/>
      <w:bookmarkStart w:id="114" w:name="_Toc150774727"/>
      <w:r/>
      <w:bookmarkStart w:id="115" w:name="_Toc226965795"/>
      <w:r/>
      <w:bookmarkStart w:id="116" w:name="_Toc151193910"/>
      <w:r/>
      <w:bookmarkStart w:id="117" w:name="_Toc127151522"/>
      <w:r/>
      <w:bookmarkStart w:id="118" w:name="_Toc151190149"/>
      <w:r/>
      <w:bookmarkStart w:id="119" w:name="_Toc150509273"/>
      <w:r/>
      <w:bookmarkStart w:id="120" w:name="_Toc151193620"/>
      <w:r/>
      <w:bookmarkStart w:id="121" w:name="_Toc305158790"/>
      <w:r/>
      <w:bookmarkStart w:id="122" w:name="_Toc150480760"/>
      <w:r/>
      <w:bookmarkStart w:id="123" w:name="_Toc151193836"/>
      <w:r/>
      <w:bookmarkStart w:id="124" w:name="_Toc142311024"/>
      <w:r/>
      <w:bookmarkStart w:id="125" w:name="_Toc264969212"/>
      <w:r/>
      <w:bookmarkStart w:id="126" w:name="_Toc520356146"/>
      <w:r/>
      <w:bookmarkStart w:id="127" w:name="_Toc226337218"/>
      <w:r/>
      <w:bookmarkStart w:id="128" w:name="_Toc151193692"/>
      <w:r/>
      <w:bookmarkStart w:id="129" w:name="_Toc151193764"/>
      <w:r/>
      <w:bookmarkStart w:id="130" w:name="_Toc265228360"/>
      <w:r/>
      <w:bookmarkStart w:id="131" w:name="_Toc150774622"/>
      <w:r>
        <w:rPr>
          <w:color w:val="000000"/>
          <w:sz w:val="28"/>
        </w:rPr>
      </w:r>
      <w:r/>
    </w:p>
    <w:p>
      <w:pPr>
        <w:pStyle w:val="1126"/>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由于未参加现场考察或磋商前答疑会而导致对项目实际情况不了解，影响响应文件编制、报价准确性、综合因素响应不全面等问题的，由供应商自行承担不利评审后果。</w:t>
      </w:r>
      <w:r>
        <w:rPr>
          <w:color w:val="000000"/>
          <w:sz w:val="24"/>
        </w:rPr>
      </w:r>
      <w:r/>
    </w:p>
    <w:p>
      <w:pPr>
        <w:pStyle w:val="1126"/>
        <w:numPr>
          <w:ilvl w:val="0"/>
          <w:numId w:val="8"/>
        </w:numPr>
        <w:ind w:left="357" w:hanging="357"/>
        <w:spacing w:line="360" w:lineRule="auto"/>
        <w:tabs>
          <w:tab w:val="left" w:pos="360" w:leader="none"/>
        </w:tabs>
        <w:rPr>
          <w:color w:val="000000"/>
          <w:sz w:val="24"/>
        </w:rPr>
        <w:outlineLvl w:val="1"/>
      </w:pPr>
      <w:r>
        <w:rPr>
          <w:color w:val="000000"/>
          <w:sz w:val="24"/>
        </w:rPr>
        <w:t xml:space="preserve">政府采购政策（包括但不限于下列具体政策要求）</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进口产品</w:t>
      </w:r>
      <w:r>
        <w:rPr>
          <w:color w:val="000000"/>
          <w:sz w:val="24"/>
        </w:rPr>
      </w:r>
      <w:r/>
    </w:p>
    <w:p>
      <w:pPr>
        <w:pStyle w:val="1126"/>
        <w:numPr>
          <w:ilvl w:val="2"/>
          <w:numId w:val="8"/>
        </w:numPr>
        <w:spacing w:line="360" w:lineRule="auto"/>
        <w:tabs>
          <w:tab w:val="left" w:pos="1980" w:leader="none"/>
          <w:tab w:val="left" w:pos="2014" w:leader="none"/>
        </w:tabs>
        <w:rPr>
          <w:color w:val="000000"/>
          <w:sz w:val="24"/>
        </w:rPr>
      </w:pPr>
      <w:r>
        <w:rPr>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中小企业、监狱企业及残疾人福利性单位</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中小企业定义：</w:t>
      </w:r>
      <w:r>
        <w:rPr>
          <w:color w:val="000000"/>
          <w:sz w:val="24"/>
        </w:rPr>
      </w:r>
      <w:r/>
    </w:p>
    <w:p>
      <w:pPr>
        <w:pStyle w:val="122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7"/>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7"/>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7"/>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12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供应商提供的货物、工程或者服务符合下列情形的，享受中小企业扶持政策：</w:t>
      </w:r>
      <w:r>
        <w:rPr>
          <w:color w:val="000000"/>
          <w:sz w:val="24"/>
        </w:rPr>
      </w:r>
      <w:r/>
    </w:p>
    <w:p>
      <w:pPr>
        <w:pStyle w:val="1126"/>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126"/>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126"/>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112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在货物采购项目中，供应商提供的货物既有中小企业制造货物，也有大型企业制造货物的，不享受中小企业扶持政策。</w:t>
      </w:r>
      <w:r>
        <w:rPr>
          <w:color w:val="000000"/>
          <w:sz w:val="24"/>
        </w:rPr>
      </w:r>
      <w:r/>
    </w:p>
    <w:p>
      <w:pPr>
        <w:pStyle w:val="112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以联合体形式参加政府采购活动，联合体各方均为中小企业的，联合体视同中小企业。其中，联合体各方均为小微企业的，联合体视同小微企业。</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残疾人福利单位定义：享受政府采购支持政策的残疾人福利性单位应当同时满足以下条件：</w:t>
      </w:r>
      <w:r>
        <w:rPr>
          <w:color w:val="000000"/>
          <w:sz w:val="24"/>
        </w:rPr>
      </w:r>
      <w:r/>
    </w:p>
    <w:p>
      <w:pPr>
        <w:pStyle w:val="1227"/>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7"/>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112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依法与安置的每位残疾人签订了一年以上（含一年）的劳动合同或服务协议；</w:t>
      </w:r>
      <w:r>
        <w:rPr>
          <w:color w:val="000000"/>
          <w:sz w:val="24"/>
        </w:rPr>
      </w:r>
      <w:r/>
    </w:p>
    <w:p>
      <w:pPr>
        <w:pStyle w:val="112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为安置的每位残疾人按月足额缴纳了基本养老保险、基本医疗保险、失业保险、工伤保险和生育保险等社会保险费；</w:t>
      </w:r>
      <w:r>
        <w:rPr>
          <w:color w:val="000000"/>
          <w:sz w:val="24"/>
        </w:rPr>
      </w:r>
      <w:r/>
    </w:p>
    <w:p>
      <w:pPr>
        <w:pStyle w:val="112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通过银行等金融机构向安置的每位残疾人，按月支付了不低于单位所在区县适用的经省级人民政府批准的月最低工资标准的工资；</w:t>
      </w:r>
      <w:r>
        <w:rPr>
          <w:color w:val="000000"/>
          <w:sz w:val="24"/>
        </w:rPr>
      </w:r>
      <w:r/>
    </w:p>
    <w:p>
      <w:pPr>
        <w:pStyle w:val="112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112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本项目是否专门面向中小企业预留采购份额见第一章《采购邀请》。</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采购标的对应的中小企业划分标准所属行业见《供应商须知资料表》。</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小微企业价格评审优惠的政策调整：见第三章《评审方法和评审标准》。</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政府采购节能产品、环境标志产品</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如本项目采购产品属于实施政府强制采购品目清单范围的节能产品，则供应商所报产品必须获得国家确定的认证机构出具的、处于有效期之内的节能产品认证证书，</w:t>
      </w:r>
      <w:r>
        <w:rPr>
          <w:color w:val="000000"/>
          <w:sz w:val="24"/>
        </w:rPr>
        <w:t xml:space="preserve">否则</w:t>
      </w:r>
      <w:r>
        <w:rPr>
          <w:b/>
          <w:color w:val="000000"/>
          <w:sz w:val="24"/>
        </w:rPr>
        <w:t xml:space="preserve">响应无效</w:t>
      </w:r>
      <w:r>
        <w:rPr>
          <w:color w:val="000000"/>
          <w:sz w:val="24"/>
        </w:rPr>
        <w:t xml:space="preserve">；</w:t>
      </w:r>
      <w:r>
        <w:rPr>
          <w:color w:val="000000"/>
          <w:sz w:val="24"/>
        </w:rPr>
      </w:r>
      <w:r/>
    </w:p>
    <w:p>
      <w:pPr>
        <w:pStyle w:val="1126"/>
        <w:numPr>
          <w:ilvl w:val="2"/>
          <w:numId w:val="8"/>
        </w:numPr>
        <w:spacing w:line="360" w:lineRule="auto"/>
        <w:tabs>
          <w:tab w:val="left" w:pos="1980" w:leader="none"/>
        </w:tabs>
        <w:rPr>
          <w:rFonts w:hint="eastAsia"/>
          <w:color w:val="000000"/>
          <w:sz w:val="24"/>
        </w:rPr>
      </w:pPr>
      <w:r>
        <w:rPr>
          <w:color w:val="000000"/>
          <w:sz w:val="24"/>
        </w:rPr>
        <w:t xml:space="preserve">非政府强制采购的节能产品或环境标志产品，依据品目清单和认证证书实施政府优先采购。优先采购的具体规定见第三章《评审方法和评审标准》（如涉及）。</w:t>
      </w:r>
      <w:r>
        <w:rPr>
          <w:rFonts w:hint="eastAsia"/>
          <w:color w:val="000000"/>
          <w:sz w:val="24"/>
        </w:rPr>
      </w:r>
      <w:r/>
    </w:p>
    <w:p>
      <w:pPr>
        <w:pStyle w:val="1126"/>
        <w:numPr>
          <w:ilvl w:val="2"/>
          <w:numId w:val="8"/>
        </w:numPr>
        <w:spacing w:line="360" w:lineRule="auto"/>
        <w:tabs>
          <w:tab w:val="left" w:pos="1980" w:leader="none"/>
          <w:tab w:val="left" w:pos="2014" w:leader="none"/>
        </w:tabs>
        <w:rPr>
          <w:color w:val="000000"/>
          <w:sz w:val="24"/>
        </w:rPr>
      </w:pP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支持乡村产业振兴管理</w:t>
      </w:r>
      <w:r>
        <w:rPr>
          <w:color w:val="000000"/>
          <w:sz w:val="24"/>
        </w:rPr>
      </w:r>
      <w:r/>
    </w:p>
    <w:p>
      <w:pPr>
        <w:pStyle w:val="1126"/>
        <w:numPr>
          <w:ilvl w:val="2"/>
          <w:numId w:val="8"/>
        </w:numPr>
        <w:spacing w:line="360" w:lineRule="auto"/>
        <w:tabs>
          <w:tab w:val="left" w:pos="1980" w:leader="none"/>
          <w:tab w:val="left" w:pos="2014" w:leader="none"/>
        </w:tabs>
        <w:rPr>
          <w:color w:val="000000"/>
          <w:sz w:val="24"/>
        </w:rPr>
      </w:pPr>
      <w:r>
        <w:rPr>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正版软件</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sz w:val="24"/>
        </w:rPr>
        <w:t xml:space="preserve">否则</w:t>
      </w:r>
      <w:r>
        <w:rPr>
          <w:b/>
          <w:color w:val="000000"/>
          <w:sz w:val="24"/>
        </w:rPr>
        <w:t xml:space="preserve">响应无效</w:t>
      </w:r>
      <w:r>
        <w:rPr>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政府采购创新产品政策</w:t>
      </w:r>
      <w:r>
        <w:rPr>
          <w:rFonts w:hint="eastAsia" w:ascii="宋体" w:hAnsi="宋体" w:cs="宋体"/>
          <w:color w:val="000000"/>
          <w:sz w:val="24"/>
        </w:rPr>
      </w:r>
      <w:r/>
    </w:p>
    <w:p>
      <w:pPr>
        <w:pStyle w:val="1126"/>
        <w:numPr>
          <w:ilvl w:val="2"/>
          <w:numId w:val="8"/>
        </w:numPr>
        <w:spacing w:line="360" w:lineRule="auto"/>
        <w:tabs>
          <w:tab w:val="left" w:pos="1980"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rPr>
      </w:r>
      <w:r/>
    </w:p>
    <w:p>
      <w:pPr>
        <w:pStyle w:val="1126"/>
        <w:ind w:left="36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4.7   绿色采购政策</w:t>
      </w:r>
      <w:r>
        <w:rPr>
          <w:rFonts w:hint="eastAsia" w:ascii="宋体" w:hAnsi="宋体" w:cs="宋体"/>
          <w:color w:val="000000"/>
          <w:sz w:val="24"/>
        </w:rPr>
      </w:r>
      <w:r/>
    </w:p>
    <w:p>
      <w:pPr>
        <w:pStyle w:val="1126"/>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4.7.1  绿色数据中心政策 </w:t>
      </w:r>
      <w:r>
        <w:rPr>
          <w:rFonts w:hint="eastAsia" w:ascii="宋体" w:hAnsi="宋体" w:cs="宋体"/>
          <w:color w:val="000000"/>
          <w:sz w:val="24"/>
        </w:rPr>
      </w:r>
      <w:r/>
    </w:p>
    <w:p>
      <w:pPr>
        <w:pStyle w:val="1126"/>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依据《绿色数据中心政府采购需求标准（试行）》（财办库〔2023〕7 号）文件精神，采购</w:t>
      </w:r>
      <w:r>
        <w:rPr>
          <w:rFonts w:hint="eastAsia"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rPr>
      </w:r>
      <w:r/>
    </w:p>
    <w:p>
      <w:pPr>
        <w:pStyle w:val="1126"/>
        <w:ind w:left="36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4.7.2 推广应用绿色建材</w:t>
      </w:r>
      <w:r>
        <w:rPr>
          <w:rFonts w:hint="eastAsia" w:ascii="宋体" w:hAnsi="宋体" w:cs="宋体"/>
          <w:color w:val="000000"/>
          <w:sz w:val="24"/>
        </w:rPr>
      </w:r>
      <w:r/>
    </w:p>
    <w:p>
      <w:pPr>
        <w:pStyle w:val="1126"/>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color w:val="000000"/>
          <w:sz w:val="24"/>
        </w:rPr>
      </w:r>
      <w:r/>
    </w:p>
    <w:p>
      <w:pPr>
        <w:pStyle w:val="1126"/>
        <w:ind w:firstLine="120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4.7.3 优先使用低挥发性有机化合物产品</w:t>
      </w:r>
      <w:r>
        <w:rPr>
          <w:rFonts w:hint="eastAsia" w:ascii="宋体" w:hAnsi="宋体" w:cs="宋体"/>
          <w:color w:val="000000"/>
          <w:sz w:val="24"/>
        </w:rPr>
      </w:r>
      <w:r/>
    </w:p>
    <w:p>
      <w:pPr>
        <w:pStyle w:val="1126"/>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color w:val="000000"/>
          <w:sz w:val="24"/>
        </w:rPr>
      </w:r>
      <w:r/>
    </w:p>
    <w:p>
      <w:pPr>
        <w:pStyle w:val="1126"/>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响应费用</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供应商应自行承担所有与准备和参加磋商有关的费用，无论磋商的结果如何，采购人或采购代理机构在任何情况下均无承担这些费用的义务和责任。</w:t>
      </w:r>
      <w:r>
        <w:rPr>
          <w:color w:val="000000"/>
          <w:sz w:val="24"/>
        </w:rPr>
      </w:r>
      <w:r/>
    </w:p>
    <w:p>
      <w:pPr>
        <w:pStyle w:val="1126"/>
        <w:ind w:left="1080"/>
        <w:spacing w:line="360" w:lineRule="auto"/>
        <w:tabs>
          <w:tab w:val="left" w:pos="1080" w:leader="none"/>
        </w:tabs>
        <w:rPr>
          <w:color w:val="000000"/>
          <w:sz w:val="28"/>
        </w:rPr>
      </w:pPr>
      <w:r/>
      <w:bookmarkStart w:id="132" w:name="_1.8_计量单位"/>
      <w:r/>
      <w:bookmarkEnd w:id="132"/>
      <w:r>
        <w:rPr>
          <w:color w:val="000000"/>
          <w:sz w:val="28"/>
        </w:rPr>
      </w:r>
      <w:r/>
    </w:p>
    <w:p>
      <w:pPr>
        <w:pStyle w:val="1128"/>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二   竞争性磋商文件</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ascii="Times New Roman" w:hAnsi="Times New Roman" w:eastAsia="宋体"/>
          <w:color w:val="000000"/>
          <w:sz w:val="28"/>
        </w:rPr>
      </w:r>
      <w:r/>
    </w:p>
    <w:p>
      <w:pPr>
        <w:pStyle w:val="1126"/>
        <w:numPr>
          <w:ilvl w:val="0"/>
          <w:numId w:val="8"/>
        </w:numPr>
        <w:ind w:left="357" w:hanging="357"/>
        <w:spacing w:line="360" w:lineRule="auto"/>
        <w:tabs>
          <w:tab w:val="left" w:pos="360" w:leader="none"/>
          <w:tab w:val="left" w:pos="900" w:leader="none"/>
        </w:tabs>
        <w:rPr>
          <w:color w:val="000000"/>
          <w:sz w:val="24"/>
        </w:rPr>
        <w:outlineLvl w:val="1"/>
      </w:pPr>
      <w:r/>
      <w:bookmarkStart w:id="133" w:name="_Toc151193911"/>
      <w:r/>
      <w:bookmarkStart w:id="134" w:name="_Toc226965713"/>
      <w:r/>
      <w:bookmarkStart w:id="135" w:name="_Toc164608637"/>
      <w:r/>
      <w:bookmarkStart w:id="136" w:name="_Toc127151523"/>
      <w:r/>
      <w:bookmarkStart w:id="137" w:name="_Toc226965796"/>
      <w:r/>
      <w:bookmarkStart w:id="138" w:name="_Toc142311025"/>
      <w:r/>
      <w:bookmarkStart w:id="139" w:name="_Toc150774623"/>
      <w:r/>
      <w:bookmarkStart w:id="140" w:name="_Toc151193693"/>
      <w:r/>
      <w:bookmarkStart w:id="141" w:name="_Toc164351617"/>
      <w:r/>
      <w:bookmarkStart w:id="142" w:name="_Toc226309767"/>
      <w:r/>
      <w:bookmarkStart w:id="143" w:name="_Toc226337219"/>
      <w:r/>
      <w:bookmarkStart w:id="144" w:name="_Toc305158791"/>
      <w:r/>
      <w:bookmarkStart w:id="145" w:name="_Toc151190150"/>
      <w:r/>
      <w:bookmarkStart w:id="146" w:name="_Toc150774728"/>
      <w:r/>
      <w:bookmarkStart w:id="147" w:name="_Toc149720816"/>
      <w:r/>
      <w:bookmarkStart w:id="148" w:name="_Toc164229364"/>
      <w:r/>
      <w:bookmarkStart w:id="149" w:name="_Toc150509274"/>
      <w:r/>
      <w:bookmarkStart w:id="150" w:name="_Toc164229218"/>
      <w:r/>
      <w:bookmarkStart w:id="151" w:name="_Toc305158865"/>
      <w:r/>
      <w:bookmarkStart w:id="152" w:name="_Toc151193621"/>
      <w:r/>
      <w:bookmarkStart w:id="153" w:name="_Toc151193765"/>
      <w:r/>
      <w:bookmarkStart w:id="154" w:name="_Toc264969213"/>
      <w:r/>
      <w:bookmarkStart w:id="155" w:name="_Toc195842888"/>
      <w:r/>
      <w:bookmarkStart w:id="156" w:name="_Toc265228361"/>
      <w:r/>
      <w:bookmarkStart w:id="157" w:name="_Toc127161437"/>
      <w:r/>
      <w:bookmarkStart w:id="158" w:name="_Toc151193837"/>
      <w:r/>
      <w:bookmarkStart w:id="159" w:name="_Toc520356147"/>
      <w:r/>
      <w:bookmarkStart w:id="160" w:name="_Toc150480761"/>
      <w:r/>
      <w:bookmarkStart w:id="161" w:name="_Toc127151724"/>
      <w:r/>
      <w:bookmarkStart w:id="162" w:name="_Toc164608792"/>
      <w:r>
        <w:rPr>
          <w:color w:val="000000"/>
          <w:sz w:val="24"/>
        </w:rPr>
        <w:t xml:space="preserve">竞争性磋商文件构</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color w:val="000000"/>
          <w:sz w:val="24"/>
        </w:rPr>
        <w:t xml:space="preserve">成</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竞争性磋商文件包括以下部分：</w:t>
      </w:r>
      <w:r>
        <w:rPr>
          <w:color w:val="000000"/>
          <w:sz w:val="24"/>
        </w:rPr>
      </w:r>
      <w:r/>
    </w:p>
    <w:p>
      <w:pPr>
        <w:pStyle w:val="1126"/>
        <w:numPr>
          <w:ilvl w:val="0"/>
          <w:numId w:val="10"/>
        </w:numPr>
        <w:ind w:left="1440" w:firstLine="5"/>
        <w:spacing w:line="360" w:lineRule="auto"/>
        <w:tabs>
          <w:tab w:val="left" w:pos="1980" w:leader="none"/>
          <w:tab w:val="left" w:pos="2520" w:leader="none"/>
          <w:tab w:val="left" w:pos="4941" w:leader="none"/>
        </w:tabs>
        <w:rPr>
          <w:color w:val="000000"/>
          <w:sz w:val="24"/>
        </w:rPr>
      </w:pPr>
      <w:r>
        <w:rPr>
          <w:rFonts w:hint="eastAsia"/>
          <w:color w:val="000000"/>
          <w:sz w:val="24"/>
        </w:rPr>
        <w:t xml:space="preserve">竞争性磋商公告</w:t>
      </w:r>
      <w:r>
        <w:rPr>
          <w:color w:val="000000"/>
          <w:sz w:val="24"/>
        </w:rPr>
      </w:r>
      <w:r/>
    </w:p>
    <w:p>
      <w:pPr>
        <w:pStyle w:val="1126"/>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供应商须知</w:t>
      </w:r>
      <w:r>
        <w:rPr>
          <w:color w:val="000000"/>
          <w:sz w:val="24"/>
        </w:rPr>
      </w:r>
      <w:r/>
    </w:p>
    <w:p>
      <w:pPr>
        <w:pStyle w:val="1126"/>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评审</w:t>
      </w:r>
      <w:r>
        <w:rPr>
          <w:rFonts w:hint="eastAsia"/>
          <w:color w:val="000000"/>
          <w:sz w:val="24"/>
        </w:rPr>
        <w:t xml:space="preserve">程序、评审</w:t>
      </w:r>
      <w:r>
        <w:rPr>
          <w:color w:val="000000"/>
          <w:sz w:val="24"/>
        </w:rPr>
        <w:t xml:space="preserve">方法和评审标准</w:t>
      </w:r>
      <w:r>
        <w:rPr>
          <w:color w:val="000000"/>
          <w:sz w:val="24"/>
        </w:rPr>
      </w:r>
      <w:r/>
    </w:p>
    <w:p>
      <w:pPr>
        <w:pStyle w:val="1126"/>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采购需求</w:t>
      </w:r>
      <w:r>
        <w:rPr>
          <w:color w:val="000000"/>
          <w:sz w:val="24"/>
        </w:rPr>
      </w:r>
      <w:r/>
    </w:p>
    <w:p>
      <w:pPr>
        <w:pStyle w:val="1126"/>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合同草案条款</w:t>
      </w:r>
      <w:r>
        <w:rPr>
          <w:color w:val="000000"/>
          <w:sz w:val="24"/>
        </w:rPr>
      </w:r>
      <w:r/>
    </w:p>
    <w:p>
      <w:pPr>
        <w:pStyle w:val="1126"/>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响应文件格式</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rPr>
        <w:t xml:space="preserve">响应无效</w:t>
      </w:r>
      <w:r>
        <w:rPr>
          <w:color w:val="000000"/>
          <w:sz w:val="24"/>
        </w:rPr>
        <w:t xml:space="preserve">。</w:t>
      </w:r>
      <w:r>
        <w:rPr>
          <w:color w:val="000000"/>
          <w:sz w:val="24"/>
        </w:rPr>
      </w:r>
      <w:r/>
    </w:p>
    <w:p>
      <w:pPr>
        <w:pStyle w:val="1126"/>
        <w:numPr>
          <w:ilvl w:val="0"/>
          <w:numId w:val="8"/>
        </w:numPr>
        <w:ind w:left="357" w:hanging="357"/>
        <w:spacing w:line="360" w:lineRule="auto"/>
        <w:tabs>
          <w:tab w:val="left" w:pos="900" w:leader="none"/>
          <w:tab w:val="left" w:pos="1080" w:leader="none"/>
          <w:tab w:val="left" w:pos="2014" w:leader="none"/>
        </w:tabs>
        <w:rPr>
          <w:color w:val="000000"/>
          <w:sz w:val="24"/>
        </w:rPr>
        <w:outlineLvl w:val="1"/>
      </w:pPr>
      <w:r>
        <w:rPr>
          <w:color w:val="000000"/>
          <w:sz w:val="24"/>
        </w:rPr>
        <w:t xml:space="preserve">对竞争性磋商文件的澄清或修改</w:t>
      </w:r>
      <w:r>
        <w:rPr>
          <w:color w:val="000000"/>
          <w:sz w:val="24"/>
        </w:rPr>
      </w:r>
      <w:r/>
    </w:p>
    <w:p>
      <w:pPr>
        <w:pStyle w:val="1126"/>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采购人或采购代理机构对已发出的竞争性磋商文件进行必要澄清或者修改的，将在原公告发布媒体上以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w:t>
      </w:r>
      <w:r>
        <w:rPr>
          <w:rFonts w:hint="eastAsia"/>
          <w:color w:val="000000"/>
          <w:sz w:val="24"/>
        </w:rPr>
        <w:t xml:space="preserve">磋商文件</w:t>
      </w:r>
      <w:r>
        <w:rPr>
          <w:color w:val="000000"/>
          <w:sz w:val="24"/>
        </w:rPr>
        <w:t xml:space="preserve">的</w:t>
      </w:r>
      <w:r>
        <w:rPr>
          <w:rFonts w:hint="eastAsia"/>
          <w:color w:val="000000"/>
          <w:sz w:val="24"/>
        </w:rPr>
        <w:t xml:space="preserve">供应商。</w:t>
      </w:r>
      <w:r>
        <w:rPr>
          <w:color w:val="000000"/>
          <w:sz w:val="24"/>
        </w:rPr>
      </w:r>
      <w:r/>
    </w:p>
    <w:p>
      <w:pPr>
        <w:pStyle w:val="1126"/>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rPr>
        <w:t xml:space="preserve">5</w:t>
      </w:r>
      <w:r>
        <w:rPr>
          <w:color w:val="000000"/>
          <w:sz w:val="24"/>
        </w:rPr>
        <w:t xml:space="preserve">日前</w:t>
      </w:r>
      <w:r>
        <w:rPr>
          <w:rFonts w:hint="eastAsia"/>
          <w:color w:val="000000"/>
          <w:sz w:val="24"/>
        </w:rPr>
        <w:t xml:space="preserve">，</w:t>
      </w:r>
      <w:r>
        <w:rPr>
          <w:color w:val="000000"/>
          <w:sz w:val="24"/>
        </w:rPr>
        <w:t xml:space="preserve">以更正公告形式通知所有获取</w:t>
      </w:r>
      <w:r>
        <w:rPr>
          <w:rFonts w:hint="eastAsia"/>
          <w:color w:val="000000"/>
          <w:sz w:val="24"/>
        </w:rPr>
        <w:t xml:space="preserve">磋商</w:t>
      </w:r>
      <w:r>
        <w:rPr>
          <w:color w:val="000000"/>
          <w:sz w:val="24"/>
        </w:rPr>
        <w:t xml:space="preserve">文件的潜在供应商；；不足上述时间的，将顺延提交响应文件的截止时间。</w:t>
      </w:r>
      <w:r>
        <w:rPr>
          <w:color w:val="000000"/>
          <w:sz w:val="24"/>
        </w:rPr>
      </w:r>
      <w:r/>
    </w:p>
    <w:p>
      <w:pPr>
        <w:pStyle w:val="1126"/>
        <w:ind w:left="1080"/>
        <w:spacing w:line="360" w:lineRule="auto"/>
        <w:tabs>
          <w:tab w:val="left" w:pos="1080" w:leader="none"/>
          <w:tab w:val="left" w:pos="1561" w:leader="none"/>
        </w:tabs>
        <w:rPr>
          <w:color w:val="000000"/>
          <w:sz w:val="28"/>
        </w:rPr>
      </w:pPr>
      <w:r/>
      <w:bookmarkStart w:id="163" w:name="_Toc151193768"/>
      <w:r/>
      <w:bookmarkStart w:id="164" w:name="_Toc264969216"/>
      <w:r/>
      <w:bookmarkStart w:id="165" w:name="_Toc142311028"/>
      <w:r/>
      <w:bookmarkStart w:id="166" w:name="_Toc520356150"/>
      <w:r/>
      <w:bookmarkStart w:id="167" w:name="_Toc226965716"/>
      <w:r/>
      <w:bookmarkStart w:id="168" w:name="_Toc226965799"/>
      <w:r/>
      <w:bookmarkStart w:id="169" w:name="_Toc195842891"/>
      <w:r/>
      <w:bookmarkStart w:id="170" w:name="_Toc226337222"/>
      <w:r/>
      <w:bookmarkStart w:id="171" w:name="_Toc151193914"/>
      <w:r/>
      <w:bookmarkStart w:id="172" w:name="_Toc305158868"/>
      <w:r/>
      <w:bookmarkStart w:id="173" w:name="_Toc150774731"/>
      <w:r/>
      <w:bookmarkStart w:id="174" w:name="_Toc151193624"/>
      <w:r/>
      <w:bookmarkStart w:id="175" w:name="_Toc151193696"/>
      <w:r/>
      <w:bookmarkStart w:id="176" w:name="_Toc150774626"/>
      <w:r/>
      <w:bookmarkStart w:id="177" w:name="_Toc265228364"/>
      <w:r/>
      <w:bookmarkStart w:id="178" w:name="_Toc226309770"/>
      <w:r/>
      <w:bookmarkStart w:id="179" w:name="_Toc151193840"/>
      <w:r/>
      <w:bookmarkStart w:id="180" w:name="_Toc127151526"/>
      <w:r/>
      <w:bookmarkStart w:id="181" w:name="_Toc150480764"/>
      <w:r/>
      <w:bookmarkStart w:id="182" w:name="_Toc305158794"/>
      <w:r/>
      <w:bookmarkStart w:id="183" w:name="_Toc150509277"/>
      <w:r/>
      <w:bookmarkStart w:id="184" w:name="_Toc151190153"/>
      <w:r/>
      <w:bookmarkStart w:id="185" w:name="_Toc516367020"/>
      <w:r>
        <w:rPr>
          <w:color w:val="000000"/>
          <w:sz w:val="28"/>
        </w:rPr>
      </w:r>
      <w:r/>
    </w:p>
    <w:p>
      <w:pPr>
        <w:pStyle w:val="1128"/>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三   响应文件</w:t>
      </w:r>
      <w:bookmarkEnd w:id="185"/>
      <w:r>
        <w:rPr>
          <w:rFonts w:ascii="Times New Roman" w:hAnsi="Times New Roman" w:eastAsia="宋体"/>
          <w:color w:val="000000"/>
          <w:sz w:val="28"/>
        </w:rPr>
        <w:t xml:space="preserve">的编制</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ascii="Times New Roman" w:hAnsi="Times New Roman" w:eastAsia="宋体"/>
          <w:color w:val="000000"/>
          <w:sz w:val="28"/>
        </w:rPr>
      </w:r>
      <w:r/>
    </w:p>
    <w:p>
      <w:pPr>
        <w:pStyle w:val="1126"/>
        <w:numPr>
          <w:ilvl w:val="0"/>
          <w:numId w:val="8"/>
        </w:numPr>
        <w:ind w:left="357" w:hanging="357"/>
        <w:spacing w:line="360" w:lineRule="auto"/>
        <w:tabs>
          <w:tab w:val="left" w:pos="360" w:leader="none"/>
          <w:tab w:val="left" w:pos="900" w:leader="none"/>
        </w:tabs>
        <w:rPr>
          <w:color w:val="000000"/>
          <w:sz w:val="24"/>
        </w:rPr>
        <w:outlineLvl w:val="1"/>
      </w:pPr>
      <w:r/>
      <w:bookmarkStart w:id="186" w:name="_Toc516367021"/>
      <w:r/>
      <w:bookmarkStart w:id="187" w:name="_Toc164229222"/>
      <w:r/>
      <w:bookmarkStart w:id="188" w:name="_Toc226309771"/>
      <w:r/>
      <w:bookmarkStart w:id="189" w:name="_Toc150480765"/>
      <w:r/>
      <w:bookmarkStart w:id="190" w:name="_Toc127151527"/>
      <w:r/>
      <w:bookmarkStart w:id="191" w:name="_Toc150509278"/>
      <w:r/>
      <w:bookmarkStart w:id="192" w:name="_Toc520356151"/>
      <w:r/>
      <w:bookmarkStart w:id="193" w:name="_Toc226965717"/>
      <w:r/>
      <w:bookmarkStart w:id="194" w:name="_Toc149720820"/>
      <w:r/>
      <w:bookmarkStart w:id="195" w:name="_Toc164229368"/>
      <w:r/>
      <w:bookmarkStart w:id="196" w:name="_Toc265228365"/>
      <w:r/>
      <w:bookmarkStart w:id="197" w:name="_Toc151193625"/>
      <w:r/>
      <w:bookmarkStart w:id="198" w:name="_Toc164351621"/>
      <w:r/>
      <w:bookmarkStart w:id="199" w:name="_Toc151193915"/>
      <w:r/>
      <w:bookmarkStart w:id="200" w:name="_Toc151193769"/>
      <w:r/>
      <w:bookmarkStart w:id="201" w:name="_Toc127151728"/>
      <w:r/>
      <w:bookmarkStart w:id="202" w:name="_Toc127161441"/>
      <w:r/>
      <w:bookmarkStart w:id="203" w:name="_Toc151190154"/>
      <w:r/>
      <w:bookmarkStart w:id="204" w:name="_Toc150774627"/>
      <w:r/>
      <w:bookmarkStart w:id="205" w:name="_Toc195842892"/>
      <w:r/>
      <w:bookmarkStart w:id="206" w:name="_Toc305158795"/>
      <w:r/>
      <w:bookmarkStart w:id="207" w:name="_Toc150774732"/>
      <w:r/>
      <w:bookmarkStart w:id="208" w:name="_Toc305158869"/>
      <w:r/>
      <w:bookmarkStart w:id="209" w:name="_Toc151193841"/>
      <w:r/>
      <w:bookmarkStart w:id="210" w:name="_Toc264969217"/>
      <w:r/>
      <w:bookmarkStart w:id="211" w:name="_Toc164608796"/>
      <w:r/>
      <w:bookmarkStart w:id="212" w:name="_Toc142311029"/>
      <w:r/>
      <w:bookmarkStart w:id="213" w:name="_Toc226965800"/>
      <w:r/>
      <w:bookmarkStart w:id="214" w:name="_Toc226337223"/>
      <w:r/>
      <w:bookmarkStart w:id="215" w:name="_Toc164608641"/>
      <w:r/>
      <w:bookmarkStart w:id="216" w:name="_Toc151193697"/>
      <w:r>
        <w:rPr>
          <w:color w:val="000000"/>
          <w:sz w:val="24"/>
        </w:rPr>
        <w:t xml:space="preserve">响应范围、竞争性磋商文件中计量单位的使用</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color w:val="000000"/>
          <w:sz w:val="24"/>
        </w:rPr>
        <w:t xml:space="preserve">及磋商语言</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rPr>
        <w:t xml:space="preserve">响应无效</w:t>
      </w:r>
      <w:r>
        <w:rPr>
          <w:color w:val="000000"/>
          <w:sz w:val="24"/>
        </w:rPr>
        <w:t xml:space="preserve">。</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除竞争性磋商文件有特殊要求外，本项目磋商所使用的计量单位，应采用中华人民共和国法定计量单位。</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rPr>
      </w:r>
      <w:r/>
    </w:p>
    <w:p>
      <w:pPr>
        <w:pStyle w:val="1126"/>
        <w:numPr>
          <w:ilvl w:val="0"/>
          <w:numId w:val="8"/>
        </w:numPr>
        <w:ind w:left="357" w:hanging="357"/>
        <w:spacing w:line="360" w:lineRule="auto"/>
        <w:tabs>
          <w:tab w:val="left" w:pos="360" w:leader="none"/>
          <w:tab w:val="left" w:pos="900" w:leader="none"/>
        </w:tabs>
        <w:rPr>
          <w:color w:val="000000"/>
          <w:sz w:val="24"/>
        </w:rPr>
        <w:outlineLvl w:val="1"/>
      </w:pPr>
      <w:r/>
      <w:bookmarkStart w:id="217" w:name="_Toc164608642"/>
      <w:r/>
      <w:bookmarkStart w:id="218" w:name="_Toc127151729"/>
      <w:r/>
      <w:bookmarkStart w:id="219" w:name="_Toc151193626"/>
      <w:r/>
      <w:bookmarkStart w:id="220" w:name="_Toc305158796"/>
      <w:r/>
      <w:bookmarkStart w:id="221" w:name="_Toc520356152"/>
      <w:r/>
      <w:bookmarkStart w:id="222" w:name="_Toc127151528"/>
      <w:r/>
      <w:bookmarkStart w:id="223" w:name="_Toc226337224"/>
      <w:r/>
      <w:bookmarkStart w:id="224" w:name="_Ref467306195"/>
      <w:r/>
      <w:bookmarkStart w:id="225" w:name="_Ref467306676"/>
      <w:r/>
      <w:bookmarkStart w:id="226" w:name="_Toc516367022"/>
      <w:r/>
      <w:bookmarkStart w:id="227" w:name="_Toc150509279"/>
      <w:r/>
      <w:bookmarkStart w:id="228" w:name="_Toc151193916"/>
      <w:r/>
      <w:bookmarkStart w:id="229" w:name="_Toc149720821"/>
      <w:r/>
      <w:bookmarkStart w:id="230" w:name="_Toc151193698"/>
      <w:r/>
      <w:bookmarkStart w:id="231" w:name="_Toc151193770"/>
      <w:r/>
      <w:bookmarkStart w:id="232" w:name="_Toc151190155"/>
      <w:r/>
      <w:bookmarkStart w:id="233" w:name="_Toc150774733"/>
      <w:r/>
      <w:bookmarkStart w:id="234" w:name="_Toc164229223"/>
      <w:r/>
      <w:bookmarkStart w:id="235" w:name="_Toc150774628"/>
      <w:r/>
      <w:bookmarkStart w:id="236" w:name="_Toc142311030"/>
      <w:r/>
      <w:bookmarkStart w:id="237" w:name="_Toc164608797"/>
      <w:r/>
      <w:bookmarkStart w:id="238" w:name="_Toc151193842"/>
      <w:r/>
      <w:bookmarkStart w:id="239" w:name="_Toc127161442"/>
      <w:r/>
      <w:bookmarkStart w:id="240" w:name="_Toc265228366"/>
      <w:r/>
      <w:bookmarkStart w:id="241" w:name="_Toc264969218"/>
      <w:r/>
      <w:bookmarkStart w:id="242" w:name="_Toc226309772"/>
      <w:r/>
      <w:bookmarkStart w:id="243" w:name="_Toc226965801"/>
      <w:r/>
      <w:bookmarkStart w:id="244" w:name="_Toc226965718"/>
      <w:r/>
      <w:bookmarkStart w:id="245" w:name="_Toc164229369"/>
      <w:r/>
      <w:bookmarkStart w:id="246" w:name="_Toc164351622"/>
      <w:r/>
      <w:bookmarkStart w:id="247" w:name="_Toc195842893"/>
      <w:r/>
      <w:bookmarkStart w:id="248" w:name="_Toc305158870"/>
      <w:r/>
      <w:bookmarkStart w:id="249" w:name="_Toc150480766"/>
      <w:r>
        <w:rPr>
          <w:color w:val="000000"/>
          <w:sz w:val="24"/>
        </w:rPr>
        <w:t xml:space="preserve">响应文件</w:t>
      </w:r>
      <w:bookmarkEnd w:id="224"/>
      <w:r/>
      <w:bookmarkEnd w:id="225"/>
      <w:r/>
      <w:bookmarkEnd w:id="226"/>
      <w:r>
        <w:rPr>
          <w:color w:val="000000"/>
          <w:sz w:val="24"/>
        </w:rPr>
        <w:t xml:space="preserve">构成</w:t>
      </w:r>
      <w:bookmarkEnd w:id="217"/>
      <w:r/>
      <w:bookmarkEnd w:id="218"/>
      <w:r/>
      <w:bookmarkEnd w:id="219"/>
      <w:r/>
      <w:bookmarkEnd w:id="220"/>
      <w:r/>
      <w:bookmarkEnd w:id="221"/>
      <w:r/>
      <w:bookmarkEnd w:id="222"/>
      <w:r/>
      <w:bookmarkEnd w:id="223"/>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250" w:name="_Ref467052588"/>
      <w:r>
        <w:rPr>
          <w:color w:val="000000"/>
          <w:sz w:val="24"/>
        </w:rPr>
        <w:t xml:space="preserve">供应商应当按照竞争性磋商文件的要求编制响应文件，</w:t>
      </w:r>
      <w:r>
        <w:rPr>
          <w:color w:val="000000"/>
          <w:sz w:val="24"/>
        </w:rPr>
        <w:t xml:space="preserve">并对其提交的响应文件的真实性、合法性承担法律责任</w:t>
      </w:r>
      <w:r>
        <w:rPr>
          <w:color w:val="000000"/>
          <w:sz w:val="24"/>
        </w:rPr>
        <w:t xml:space="preserve">。响应文件的部分格式要求，见第六章《响应文件格式》。</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对于竞争性磋商文件中标记了“实质性格式”文件的，</w:t>
      </w:r>
      <w:r>
        <w:rPr>
          <w:color w:val="000000"/>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第三章《评审方法和评审标准》中涉及的证明文件。</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供应商认为应附的其他材料。</w:t>
      </w:r>
      <w:bookmarkEnd w:id="250"/>
      <w:r>
        <w:rPr>
          <w:color w:val="000000"/>
          <w:sz w:val="24"/>
        </w:rPr>
      </w:r>
      <w:r/>
    </w:p>
    <w:p>
      <w:pPr>
        <w:pStyle w:val="1126"/>
        <w:numPr>
          <w:ilvl w:val="0"/>
          <w:numId w:val="8"/>
        </w:numPr>
        <w:ind w:left="357" w:hanging="357"/>
        <w:spacing w:line="360" w:lineRule="auto"/>
        <w:tabs>
          <w:tab w:val="left" w:pos="360" w:leader="none"/>
          <w:tab w:val="left" w:pos="900" w:leader="none"/>
        </w:tabs>
        <w:rPr>
          <w:color w:val="000000"/>
          <w:sz w:val="24"/>
        </w:rPr>
        <w:outlineLvl w:val="1"/>
      </w:pPr>
      <w:r/>
      <w:bookmarkStart w:id="251" w:name="_Toc149720823"/>
      <w:r/>
      <w:bookmarkStart w:id="252" w:name="_Toc151190157"/>
      <w:r/>
      <w:bookmarkStart w:id="253" w:name="_Toc127161444"/>
      <w:r/>
      <w:bookmarkStart w:id="254" w:name="_Toc151193700"/>
      <w:r/>
      <w:bookmarkStart w:id="255" w:name="_Toc150509281"/>
      <w:r/>
      <w:bookmarkStart w:id="256" w:name="_Toc151193918"/>
      <w:r/>
      <w:bookmarkStart w:id="257" w:name="_Toc195842895"/>
      <w:r/>
      <w:bookmarkStart w:id="258" w:name="_Toc150774630"/>
      <w:r/>
      <w:bookmarkStart w:id="259" w:name="_Toc164229225"/>
      <w:r/>
      <w:bookmarkStart w:id="260" w:name="_Toc164351624"/>
      <w:r/>
      <w:bookmarkStart w:id="261" w:name="_Toc127151530"/>
      <w:r/>
      <w:bookmarkStart w:id="262" w:name="_Toc164229371"/>
      <w:r/>
      <w:bookmarkStart w:id="263" w:name="_Toc164608799"/>
      <w:r/>
      <w:bookmarkStart w:id="264" w:name="_Toc151193772"/>
      <w:r/>
      <w:bookmarkStart w:id="265" w:name="_Toc150774735"/>
      <w:r/>
      <w:bookmarkStart w:id="266" w:name="_Toc151193628"/>
      <w:r/>
      <w:bookmarkStart w:id="267" w:name="_Toc151193844"/>
      <w:r/>
      <w:bookmarkStart w:id="268" w:name="_Toc150480768"/>
      <w:r/>
      <w:bookmarkStart w:id="269" w:name="_Toc127151731"/>
      <w:r/>
      <w:bookmarkStart w:id="270" w:name="_Toc164608644"/>
      <w:r/>
      <w:bookmarkStart w:id="271" w:name="_Toc520356155"/>
      <w:r/>
      <w:bookmarkStart w:id="272" w:name="_Toc142311032"/>
      <w:r>
        <w:rPr>
          <w:color w:val="000000"/>
          <w:sz w:val="24"/>
        </w:rPr>
        <w:t xml:space="preserve">报价</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所有响应均以人民币报价。</w:t>
      </w:r>
      <w:r>
        <w:rPr>
          <w:color w:val="000000"/>
          <w:sz w:val="24"/>
        </w:rPr>
      </w:r>
      <w:r/>
    </w:p>
    <w:p>
      <w:pPr>
        <w:pStyle w:val="1126"/>
        <w:numPr>
          <w:ilvl w:val="1"/>
          <w:numId w:val="8"/>
        </w:numPr>
        <w:spacing w:line="360" w:lineRule="auto"/>
        <w:tabs>
          <w:tab w:val="left" w:pos="1080" w:leader="none"/>
          <w:tab w:val="left" w:pos="1589" w:leader="none"/>
        </w:tabs>
        <w:rPr>
          <w:color w:val="000000"/>
          <w:sz w:val="24"/>
        </w:rPr>
      </w:pPr>
      <w:r>
        <w:rPr>
          <w:color w:val="000000"/>
          <w:sz w:val="24"/>
        </w:rPr>
        <w:t xml:space="preserve">供应商的报价应包括为完成本项目所发生的一切费用和税费，采购人将不再支付报价以外的任何费用。</w:t>
      </w:r>
      <w:r>
        <w:rPr>
          <w:rFonts w:hint="eastAsia"/>
          <w:color w:val="000000"/>
          <w:sz w:val="24"/>
        </w:rPr>
        <w:t xml:space="preserve">供应商的报价应包括但不限于下列内容，《供应商须知资料表》中有特殊规定的，从其规定。</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按照竞争性磋商文件要求完成本项</w:t>
      </w:r>
      <w:r>
        <w:rPr>
          <w:rFonts w:hint="eastAsia"/>
          <w:color w:val="000000"/>
          <w:sz w:val="24"/>
        </w:rPr>
        <w:t xml:space="preserve">目的全部相关工程或服务费用。</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采购人不得向供应商索要或者接受其给予的赠品、回扣或者与采购无关的其他商品、服务。</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供应商不能提供任何有选择性或可调整的最终报价（</w:t>
      </w:r>
      <w:r>
        <w:rPr>
          <w:color w:val="000000"/>
          <w:sz w:val="24"/>
        </w:rPr>
        <w:t xml:space="preserve">竞争性磋商文件</w:t>
      </w:r>
      <w:r>
        <w:rPr>
          <w:color w:val="000000"/>
          <w:sz w:val="24"/>
        </w:rPr>
        <w:t xml:space="preserve">另有规定的除外），否则其</w:t>
      </w:r>
      <w:r>
        <w:rPr>
          <w:b/>
          <w:color w:val="000000"/>
          <w:sz w:val="24"/>
        </w:rPr>
        <w:t xml:space="preserve">响应无效</w:t>
      </w:r>
      <w:r>
        <w:rPr>
          <w:color w:val="000000"/>
          <w:sz w:val="24"/>
        </w:rPr>
        <w:t xml:space="preserve">。</w:t>
      </w:r>
      <w:r>
        <w:rPr>
          <w:color w:val="000000"/>
          <w:sz w:val="24"/>
        </w:rPr>
      </w:r>
      <w:r/>
    </w:p>
    <w:p>
      <w:pPr>
        <w:pStyle w:val="1126"/>
        <w:ind w:firstLine="241"/>
        <w:spacing w:line="360" w:lineRule="auto"/>
        <w:tabs>
          <w:tab w:val="left" w:pos="1080" w:leader="none"/>
          <w:tab w:val="left" w:pos="2014" w:leader="none"/>
        </w:tabs>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10.5   </w:t>
      </w:r>
      <w:r>
        <w:rPr>
          <w:rFonts w:ascii="宋体" w:hAnsi="宋体" w:cs="宋体"/>
          <w:b/>
          <w:bCs/>
          <w:color w:val="000000"/>
          <w:sz w:val="24"/>
          <w:highlight w:val="none"/>
        </w:rPr>
        <w:t xml:space="preserve">评审过程中出现下列情形之一的，</w:t>
      </w:r>
      <w:r>
        <w:rPr>
          <w:rFonts w:hint="eastAsia" w:ascii="宋体" w:hAnsi="宋体" w:eastAsia="宋体" w:cs="宋体"/>
          <w:b/>
          <w:bCs/>
          <w:color w:val="000000"/>
          <w:sz w:val="24"/>
          <w:highlight w:val="none"/>
          <w:lang w:val="en-US" w:eastAsia="zh-CN"/>
        </w:rPr>
        <w:t xml:space="preserve">磋商小组会</w:t>
      </w:r>
      <w:r>
        <w:rPr>
          <w:rFonts w:ascii="宋体" w:hAnsi="宋体" w:cs="宋体"/>
          <w:b/>
          <w:bCs/>
          <w:color w:val="000000"/>
          <w:sz w:val="24"/>
          <w:highlight w:val="none"/>
        </w:rPr>
        <w:t xml:space="preserve">应当动异常低价响应审查程序： </w:t>
      </w:r>
      <w:r>
        <w:rPr>
          <w:rFonts w:ascii="宋体" w:hAnsi="宋体" w:cs="宋体"/>
          <w:b/>
          <w:bCs/>
          <w:color w:val="000000"/>
          <w:sz w:val="24"/>
          <w:highlight w:val="none"/>
        </w:rPr>
      </w:r>
      <w:r/>
    </w:p>
    <w:p>
      <w:pPr>
        <w:pStyle w:val="1126"/>
        <w:ind w:firstLine="241"/>
        <w:spacing w:line="360" w:lineRule="auto"/>
        <w:tabs>
          <w:tab w:val="left" w:pos="1080" w:leader="none"/>
          <w:tab w:val="left" w:pos="2014" w:leader="none"/>
        </w:tabs>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10.5.1投标报价低于全部通过符合性审查供应商投标报价平均值50%的，即投标报价&lt;全部通过符合性审查供应商投标报价平均值×50%；</w:t>
      </w:r>
      <w:r>
        <w:rPr>
          <w:rFonts w:ascii="宋体" w:hAnsi="宋体" w:eastAsia="宋体" w:cs="宋体"/>
          <w:b/>
          <w:bCs/>
          <w:color w:val="000000"/>
          <w:sz w:val="24"/>
          <w:highlight w:val="none"/>
        </w:rPr>
      </w:r>
      <w:r/>
    </w:p>
    <w:p>
      <w:pPr>
        <w:pStyle w:val="1126"/>
        <w:ind w:firstLine="241"/>
        <w:spacing w:line="360" w:lineRule="auto"/>
        <w:tabs>
          <w:tab w:val="left" w:pos="1080" w:leader="none"/>
          <w:tab w:val="left" w:pos="2014" w:leader="none"/>
        </w:tabs>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10.5.2投标报价低于通过符合性审查的次低报价供应商投标报价50%的，即投标报价&lt;通过符合性审查的次低报价供应商投标报价×50%；</w:t>
      </w:r>
      <w:r>
        <w:rPr>
          <w:rFonts w:ascii="宋体" w:hAnsi="宋体" w:eastAsia="宋体" w:cs="宋体"/>
          <w:b/>
          <w:bCs/>
          <w:color w:val="000000"/>
          <w:sz w:val="24"/>
          <w:highlight w:val="none"/>
        </w:rPr>
      </w:r>
      <w:r/>
    </w:p>
    <w:p>
      <w:pPr>
        <w:pStyle w:val="1126"/>
        <w:ind w:firstLine="241"/>
        <w:spacing w:line="360" w:lineRule="auto"/>
        <w:tabs>
          <w:tab w:val="left" w:pos="1080" w:leader="none"/>
          <w:tab w:val="left" w:pos="2014" w:leader="none"/>
        </w:tabs>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10.5.3投标报价低于采购项目最高限价45%的，即投标报价&lt;采购项目最高限价×45%；</w:t>
      </w:r>
      <w:r>
        <w:rPr>
          <w:rFonts w:ascii="宋体" w:hAnsi="宋体" w:eastAsia="宋体" w:cs="宋体"/>
          <w:b/>
          <w:bCs/>
          <w:color w:val="000000"/>
          <w:sz w:val="24"/>
          <w:highlight w:val="none"/>
        </w:rPr>
      </w:r>
      <w:r/>
    </w:p>
    <w:p>
      <w:pPr>
        <w:pStyle w:val="1126"/>
        <w:ind w:firstLine="241"/>
        <w:spacing w:line="360" w:lineRule="auto"/>
        <w:tabs>
          <w:tab w:val="left" w:pos="1080" w:leader="none"/>
          <w:tab w:val="left" w:pos="2014"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10.5.4磋商小组基于专业判断，认为供应商报价过低，有可能影响产品质量或者不能诚信履约的其他情形。</w:t>
      </w:r>
      <w:r>
        <w:rPr>
          <w:rFonts w:hint="eastAsia" w:ascii="宋体" w:hAnsi="宋体" w:eastAsia="宋体" w:cs="宋体"/>
          <w:b/>
          <w:bCs/>
          <w:color w:val="000000"/>
          <w:sz w:val="24"/>
          <w:highlight w:val="none"/>
          <w:lang w:val="en-US" w:eastAsia="zh-CN"/>
        </w:rPr>
      </w:r>
      <w:r/>
    </w:p>
    <w:p>
      <w:pPr>
        <w:pStyle w:val="1126"/>
        <w:ind w:firstLine="482"/>
        <w:spacing w:line="360" w:lineRule="auto"/>
        <w:tabs>
          <w:tab w:val="left" w:pos="1080" w:leader="none"/>
          <w:tab w:val="left" w:pos="2014"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磋商小组启动异常低价投标审查后，属于前述10.5.1至10.5.4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r>
        <w:rPr>
          <w:rFonts w:hint="eastAsia" w:ascii="宋体" w:hAnsi="宋体" w:eastAsia="宋体" w:cs="宋体"/>
          <w:b/>
          <w:bCs/>
          <w:color w:val="000000"/>
          <w:sz w:val="24"/>
          <w:highlight w:val="none"/>
          <w:lang w:val="en-US" w:eastAsia="zh-CN"/>
        </w:rPr>
      </w:r>
      <w:r/>
    </w:p>
    <w:p>
      <w:pPr>
        <w:pStyle w:val="1126"/>
        <w:ind w:firstLine="482"/>
        <w:spacing w:line="360" w:lineRule="auto"/>
        <w:tabs>
          <w:tab w:val="left" w:pos="1080" w:leader="none"/>
          <w:tab w:val="left" w:pos="2014"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rPr>
          <w:rFonts w:hint="eastAsia" w:ascii="宋体" w:hAnsi="宋体" w:eastAsia="宋体" w:cs="宋体"/>
          <w:b/>
          <w:bCs/>
          <w:color w:val="000000"/>
          <w:sz w:val="24"/>
          <w:highlight w:val="none"/>
          <w:lang w:val="en-US" w:eastAsia="zh-CN"/>
        </w:rPr>
      </w:r>
      <w:r/>
    </w:p>
    <w:p>
      <w:pPr>
        <w:pStyle w:val="1311"/>
        <w:rPr>
          <w:color w:val="000000"/>
        </w:rPr>
      </w:pPr>
      <w:r>
        <w:rPr>
          <w:rFonts w:hint="eastAsia" w:ascii="宋体" w:hAnsi="宋体" w:eastAsia="宋体" w:cs="宋体"/>
          <w:b/>
          <w:bCs/>
          <w:color w:val="000000"/>
          <w:sz w:val="24"/>
          <w:highlight w:val="none"/>
          <w:lang w:val="en-US" w:eastAsia="zh-CN"/>
        </w:rPr>
        <w:t xml:space="preserve">具体详见《关于推动解决政府采购异常低价问题的通知》财库〔2026〕2号</w:t>
      </w:r>
      <w:r>
        <w:rPr>
          <w:color w:val="000000"/>
        </w:rPr>
      </w:r>
      <w:r/>
    </w:p>
    <w:p>
      <w:pPr>
        <w:pStyle w:val="1126"/>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磋商保证金</w:t>
      </w:r>
      <w:r>
        <w:rPr>
          <w:color w:val="000000"/>
          <w:sz w:val="24"/>
        </w:rPr>
      </w:r>
      <w:r/>
    </w:p>
    <w:p>
      <w:pPr>
        <w:pStyle w:val="1126"/>
        <w:ind w:firstLine="360"/>
        <w:spacing w:line="360" w:lineRule="auto"/>
        <w:tabs>
          <w:tab w:val="left" w:pos="360" w:leader="none"/>
        </w:tabs>
        <w:rPr>
          <w:color w:val="000000"/>
          <w:sz w:val="24"/>
        </w:rPr>
        <w:outlineLvl w:val="1"/>
      </w:pPr>
      <w:r>
        <w:rPr>
          <w:rFonts w:hint="eastAsia"/>
          <w:color w:val="000000"/>
          <w:sz w:val="24"/>
        </w:rPr>
        <w:t xml:space="preserve">根据江苏省和常州市的相关文件规定，免收保证金。</w:t>
      </w:r>
      <w:r>
        <w:rPr>
          <w:color w:val="000000"/>
          <w:sz w:val="24"/>
        </w:rPr>
      </w:r>
      <w:r/>
    </w:p>
    <w:p>
      <w:pPr>
        <w:pStyle w:val="1126"/>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响应有效期</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响应文件应在本竞争性磋商文件《供应商须知资料表》中规定的响应有效期内保持有效，响应有效期少于竞争性磋商文件规定期限的，其</w:t>
      </w:r>
      <w:r>
        <w:rPr>
          <w:b/>
          <w:color w:val="000000"/>
          <w:sz w:val="24"/>
        </w:rPr>
        <w:t xml:space="preserve">响应无效</w:t>
      </w:r>
      <w:r>
        <w:rPr>
          <w:color w:val="000000"/>
          <w:sz w:val="24"/>
        </w:rPr>
        <w:t xml:space="preserve">。</w:t>
      </w:r>
      <w:r>
        <w:rPr>
          <w:color w:val="000000"/>
          <w:sz w:val="24"/>
        </w:rPr>
      </w:r>
      <w:r/>
    </w:p>
    <w:p>
      <w:pPr>
        <w:pStyle w:val="1126"/>
        <w:numPr>
          <w:ilvl w:val="0"/>
          <w:numId w:val="8"/>
        </w:numPr>
        <w:ind w:left="357" w:hanging="357"/>
        <w:spacing w:line="360" w:lineRule="auto"/>
        <w:tabs>
          <w:tab w:val="left" w:pos="360" w:leader="none"/>
          <w:tab w:val="left" w:pos="900" w:leader="none"/>
        </w:tabs>
        <w:rPr>
          <w:color w:val="000000"/>
          <w:sz w:val="24"/>
        </w:rPr>
        <w:outlineLvl w:val="1"/>
      </w:pPr>
      <w:r/>
      <w:bookmarkStart w:id="273" w:name="_Toc195842898"/>
      <w:r/>
      <w:bookmarkStart w:id="274" w:name="_Toc164351627"/>
      <w:r/>
      <w:bookmarkStart w:id="275" w:name="_Toc127151533"/>
      <w:r/>
      <w:bookmarkStart w:id="276" w:name="_Toc150774633"/>
      <w:r/>
      <w:bookmarkStart w:id="277" w:name="_Toc305158801"/>
      <w:r/>
      <w:bookmarkStart w:id="278" w:name="_Toc151193847"/>
      <w:r/>
      <w:bookmarkStart w:id="279" w:name="_Toc127161447"/>
      <w:r/>
      <w:bookmarkStart w:id="280" w:name="_Toc164229228"/>
      <w:r/>
      <w:bookmarkStart w:id="281" w:name="_Toc151190160"/>
      <w:r/>
      <w:bookmarkStart w:id="282" w:name="_Toc226965806"/>
      <w:r/>
      <w:bookmarkStart w:id="283" w:name="_Toc127151734"/>
      <w:r/>
      <w:bookmarkStart w:id="284" w:name="_Toc265228371"/>
      <w:r/>
      <w:bookmarkStart w:id="285" w:name="_Toc226965723"/>
      <w:r/>
      <w:bookmarkStart w:id="286" w:name="_Toc164608647"/>
      <w:r/>
      <w:bookmarkStart w:id="287" w:name="_Toc150774738"/>
      <w:r/>
      <w:bookmarkStart w:id="288" w:name="_Toc151193921"/>
      <w:r/>
      <w:bookmarkStart w:id="289" w:name="_Toc305158875"/>
      <w:r/>
      <w:bookmarkStart w:id="290" w:name="_Toc264969223"/>
      <w:r/>
      <w:bookmarkStart w:id="291" w:name="_Toc150509284"/>
      <w:r/>
      <w:bookmarkStart w:id="292" w:name="_Toc149720826"/>
      <w:r/>
      <w:bookmarkStart w:id="293" w:name="_Toc151193703"/>
      <w:r/>
      <w:bookmarkStart w:id="294" w:name="_Toc226337229"/>
      <w:r/>
      <w:bookmarkStart w:id="295" w:name="_Toc164229374"/>
      <w:r/>
      <w:bookmarkStart w:id="296" w:name="_Toc150480771"/>
      <w:r/>
      <w:bookmarkStart w:id="297" w:name="_Toc164608802"/>
      <w:r/>
      <w:bookmarkStart w:id="298" w:name="_Toc142311035"/>
      <w:r/>
      <w:bookmarkStart w:id="299" w:name="_Toc151193631"/>
      <w:r/>
      <w:bookmarkStart w:id="300" w:name="_Toc226309777"/>
      <w:r/>
      <w:bookmarkStart w:id="301" w:name="_Toc520356158"/>
      <w:r/>
      <w:bookmarkStart w:id="302" w:name="_Toc151193775"/>
      <w:r>
        <w:rPr>
          <w:color w:val="000000"/>
          <w:sz w:val="24"/>
        </w:rPr>
        <w:t xml:space="preserve">响应文件的签署</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color w:val="000000"/>
          <w:sz w:val="24"/>
        </w:rPr>
        <w:t xml:space="preserve">、盖章</w:t>
      </w:r>
      <w:r>
        <w:rPr>
          <w:color w:val="000000"/>
          <w:sz w:val="24"/>
        </w:rPr>
      </w:r>
      <w:r/>
    </w:p>
    <w:p>
      <w:pPr>
        <w:pStyle w:val="1126"/>
        <w:numPr>
          <w:ilvl w:val="1"/>
          <w:numId w:val="8"/>
        </w:numPr>
        <w:spacing w:line="360" w:lineRule="auto"/>
        <w:tabs>
          <w:tab w:val="left" w:pos="1080" w:leader="none"/>
          <w:tab w:val="left" w:pos="1589" w:leader="none"/>
        </w:tabs>
        <w:rPr>
          <w:color w:val="000000"/>
          <w:sz w:val="24"/>
        </w:rPr>
      </w:pPr>
      <w:r/>
      <w:bookmarkStart w:id="303" w:name="_Toc150480772"/>
      <w:r/>
      <w:bookmarkStart w:id="304" w:name="_Toc151193848"/>
      <w:r/>
      <w:bookmarkStart w:id="305" w:name="_Toc151190161"/>
      <w:r/>
      <w:bookmarkStart w:id="306" w:name="_Toc150774739"/>
      <w:r/>
      <w:bookmarkStart w:id="307" w:name="_Toc127151534"/>
      <w:r/>
      <w:bookmarkStart w:id="308" w:name="_Toc151193704"/>
      <w:r/>
      <w:bookmarkStart w:id="309" w:name="_Toc151193776"/>
      <w:r/>
      <w:bookmarkStart w:id="310" w:name="_Toc520356159"/>
      <w:r/>
      <w:bookmarkStart w:id="311" w:name="_Toc305158802"/>
      <w:r/>
      <w:bookmarkStart w:id="312" w:name="_Toc151193632"/>
      <w:r/>
      <w:bookmarkStart w:id="313" w:name="_Toc265228372"/>
      <w:r/>
      <w:bookmarkStart w:id="314" w:name="_Toc305158876"/>
      <w:r/>
      <w:bookmarkStart w:id="315" w:name="_Toc226309778"/>
      <w:r/>
      <w:bookmarkStart w:id="316" w:name="_Toc142311036"/>
      <w:r/>
      <w:bookmarkStart w:id="317" w:name="_Toc226965724"/>
      <w:r/>
      <w:bookmarkStart w:id="318" w:name="_Toc195842899"/>
      <w:r/>
      <w:bookmarkStart w:id="319" w:name="_Toc226337230"/>
      <w:r/>
      <w:bookmarkStart w:id="320" w:name="_Toc151193922"/>
      <w:r/>
      <w:bookmarkStart w:id="321" w:name="_Toc226965807"/>
      <w:r/>
      <w:bookmarkStart w:id="322" w:name="_Toc150509285"/>
      <w:r/>
      <w:bookmarkStart w:id="323" w:name="_Toc150774634"/>
      <w:r/>
      <w:bookmarkStart w:id="324" w:name="_Toc264969224"/>
      <w:r>
        <w:rPr>
          <w:color w:val="000000"/>
          <w:sz w:val="24"/>
        </w:rPr>
        <w:t xml:space="preserve">竞争性磋商文件要求签字的内容（如授权委托书等），</w:t>
      </w:r>
      <w:r>
        <w:rPr>
          <w:rFonts w:hint="eastAsia"/>
          <w:color w:val="000000"/>
          <w:sz w:val="24"/>
        </w:rPr>
        <w:t xml:space="preserve">可以使用电子签章或使用原件的电子件（电子件指扫描件、照片等形式电子文件）；要求</w:t>
      </w:r>
      <w:r>
        <w:rPr>
          <w:color w:val="000000"/>
          <w:sz w:val="24"/>
        </w:rPr>
        <w:t xml:space="preserve">第三方出具的盖章件原件（如联合协议、分包意向协议、制造商授权书原件等），响应文件中应使用原件的电子件。</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竞争性磋商文件要求盖章的内容，</w:t>
      </w:r>
      <w:r>
        <w:rPr>
          <w:rFonts w:hint="eastAsia"/>
          <w:color w:val="000000"/>
          <w:sz w:val="24"/>
        </w:rPr>
        <w:t xml:space="preserve">一般</w:t>
      </w:r>
      <w:r>
        <w:rPr>
          <w:color w:val="000000"/>
          <w:sz w:val="24"/>
        </w:rPr>
        <w:t xml:space="preserve">通过投标文件编制工具加盖电子签章。</w:t>
      </w:r>
      <w:r>
        <w:rPr>
          <w:color w:val="000000"/>
          <w:sz w:val="24"/>
        </w:rPr>
      </w:r>
      <w:r/>
    </w:p>
    <w:p>
      <w:pPr>
        <w:pStyle w:val="1126"/>
        <w:ind w:left="357"/>
        <w:spacing w:line="360" w:lineRule="auto"/>
        <w:tabs>
          <w:tab w:val="left" w:pos="900" w:leader="none"/>
          <w:tab w:val="left" w:pos="1080" w:leader="none"/>
        </w:tabs>
        <w:rPr>
          <w:color w:val="000000"/>
        </w:rPr>
      </w:pPr>
      <w:r>
        <w:rPr>
          <w:color w:val="000000"/>
        </w:rPr>
      </w:r>
      <w:r/>
    </w:p>
    <w:p>
      <w:pPr>
        <w:pStyle w:val="1128"/>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四   响应文件的提交</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ascii="Times New Roman" w:hAnsi="Times New Roman" w:eastAsia="宋体"/>
          <w:color w:val="000000"/>
          <w:sz w:val="28"/>
        </w:rPr>
      </w:r>
      <w:r/>
    </w:p>
    <w:p>
      <w:pPr>
        <w:pStyle w:val="1126"/>
        <w:numPr>
          <w:ilvl w:val="0"/>
          <w:numId w:val="8"/>
        </w:numPr>
        <w:ind w:left="357" w:hanging="357"/>
        <w:spacing w:line="360" w:lineRule="auto"/>
        <w:tabs>
          <w:tab w:val="left" w:pos="360" w:leader="none"/>
          <w:tab w:val="left" w:pos="900" w:leader="none"/>
        </w:tabs>
        <w:rPr>
          <w:color w:val="000000"/>
          <w:sz w:val="24"/>
        </w:rPr>
        <w:outlineLvl w:val="1"/>
      </w:pPr>
      <w:r/>
      <w:bookmarkStart w:id="325" w:name="_Toc151193777"/>
      <w:r/>
      <w:bookmarkStart w:id="326" w:name="_Toc127161449"/>
      <w:r/>
      <w:bookmarkStart w:id="327" w:name="_Toc164229376"/>
      <w:r/>
      <w:bookmarkStart w:id="328" w:name="_Toc520356160"/>
      <w:r/>
      <w:bookmarkStart w:id="329" w:name="_Toc151193633"/>
      <w:r/>
      <w:bookmarkStart w:id="330" w:name="_Toc226337231"/>
      <w:r/>
      <w:bookmarkStart w:id="331" w:name="_Toc151190162"/>
      <w:r/>
      <w:bookmarkStart w:id="332" w:name="_Toc264969225"/>
      <w:r/>
      <w:bookmarkStart w:id="333" w:name="_Toc265228373"/>
      <w:r/>
      <w:bookmarkStart w:id="334" w:name="_Toc164351629"/>
      <w:r/>
      <w:bookmarkStart w:id="335" w:name="_Toc151193923"/>
      <w:r/>
      <w:bookmarkStart w:id="336" w:name="_Toc164608649"/>
      <w:r/>
      <w:bookmarkStart w:id="337" w:name="_Toc151193705"/>
      <w:r/>
      <w:bookmarkStart w:id="338" w:name="_Toc142311037"/>
      <w:r/>
      <w:bookmarkStart w:id="339" w:name="_Toc305158803"/>
      <w:r/>
      <w:bookmarkStart w:id="340" w:name="_Toc150774635"/>
      <w:r/>
      <w:bookmarkStart w:id="341" w:name="_Toc195842900"/>
      <w:r/>
      <w:bookmarkStart w:id="342" w:name="_Toc127151736"/>
      <w:r/>
      <w:bookmarkStart w:id="343" w:name="_Toc164608804"/>
      <w:r/>
      <w:bookmarkStart w:id="344" w:name="_Toc127151535"/>
      <w:r/>
      <w:bookmarkStart w:id="345" w:name="_Toc150480773"/>
      <w:r/>
      <w:bookmarkStart w:id="346" w:name="_Toc150774740"/>
      <w:r/>
      <w:bookmarkStart w:id="347" w:name="_Toc226965808"/>
      <w:r/>
      <w:bookmarkStart w:id="348" w:name="_Toc226965725"/>
      <w:r/>
      <w:bookmarkStart w:id="349" w:name="_Toc150509286"/>
      <w:r/>
      <w:bookmarkStart w:id="350" w:name="_Toc226309779"/>
      <w:r/>
      <w:bookmarkStart w:id="351" w:name="_Toc164229230"/>
      <w:r/>
      <w:bookmarkStart w:id="352" w:name="_Toc149720828"/>
      <w:r/>
      <w:bookmarkStart w:id="353" w:name="_Toc151193849"/>
      <w:r/>
      <w:bookmarkStart w:id="354" w:name="_Toc305158877"/>
      <w:r>
        <w:rPr>
          <w:color w:val="000000"/>
          <w:sz w:val="24"/>
        </w:rPr>
        <w:t xml:space="preserve">响应文件的</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color w:val="000000"/>
          <w:sz w:val="24"/>
        </w:rPr>
        <w:t xml:space="preserve">提交</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本项目使用</w:t>
      </w:r>
      <w:r>
        <w:rPr>
          <w:rFonts w:hint="eastAsia"/>
          <w:color w:val="000000"/>
          <w:sz w:val="24"/>
        </w:rPr>
        <w:t xml:space="preserve">“苏采云”政府采购一体化平台</w:t>
      </w:r>
      <w:r>
        <w:rPr>
          <w:color w:val="000000"/>
          <w:sz w:val="24"/>
        </w:rPr>
        <w:t xml:space="preserve">。供应商根据竞争性磋商文件及</w:t>
      </w:r>
      <w:r>
        <w:rPr>
          <w:rFonts w:hint="eastAsia"/>
          <w:color w:val="000000"/>
          <w:sz w:val="24"/>
        </w:rPr>
        <w:t xml:space="preserve">“苏采云”政府采购一体化平台</w:t>
      </w:r>
      <w:r>
        <w:rPr>
          <w:color w:val="000000"/>
          <w:sz w:val="24"/>
        </w:rPr>
        <w:t xml:space="preserve">供应商操作手册要求编制、生成并提交电子响应文件。</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采购人及采购代理机构拒绝接受通过电子交易平台以外任何形式提交的响应文件，磋商保证金除外。</w:t>
      </w:r>
      <w:r>
        <w:rPr>
          <w:color w:val="000000"/>
          <w:sz w:val="24"/>
        </w:rPr>
      </w:r>
      <w:r/>
    </w:p>
    <w:p>
      <w:pPr>
        <w:pStyle w:val="1126"/>
        <w:numPr>
          <w:ilvl w:val="0"/>
          <w:numId w:val="8"/>
        </w:numPr>
        <w:ind w:left="357" w:hanging="357"/>
        <w:spacing w:line="360" w:lineRule="auto"/>
        <w:tabs>
          <w:tab w:val="left" w:pos="360" w:leader="none"/>
          <w:tab w:val="left" w:pos="900" w:leader="none"/>
        </w:tabs>
        <w:rPr>
          <w:color w:val="000000"/>
          <w:sz w:val="24"/>
        </w:rPr>
        <w:outlineLvl w:val="1"/>
      </w:pPr>
      <w:r/>
      <w:bookmarkStart w:id="355" w:name="_Toc164608805"/>
      <w:r/>
      <w:bookmarkStart w:id="356" w:name="_Toc151193634"/>
      <w:r/>
      <w:bookmarkStart w:id="357" w:name="_Toc520356161"/>
      <w:r/>
      <w:bookmarkStart w:id="358" w:name="_Toc305158878"/>
      <w:r/>
      <w:bookmarkStart w:id="359" w:name="_Toc150774741"/>
      <w:r/>
      <w:bookmarkStart w:id="360" w:name="_Toc151193924"/>
      <w:r/>
      <w:bookmarkStart w:id="361" w:name="_Toc142311038"/>
      <w:r/>
      <w:bookmarkStart w:id="362" w:name="_Toc265228374"/>
      <w:r/>
      <w:bookmarkStart w:id="363" w:name="_Toc264969226"/>
      <w:r/>
      <w:bookmarkStart w:id="364" w:name="_Toc305158804"/>
      <w:r/>
      <w:bookmarkStart w:id="365" w:name="_Toc164229231"/>
      <w:r/>
      <w:bookmarkStart w:id="366" w:name="_Toc195842901"/>
      <w:r/>
      <w:bookmarkStart w:id="367" w:name="_Toc151193778"/>
      <w:r/>
      <w:bookmarkStart w:id="368" w:name="_Toc127151536"/>
      <w:r/>
      <w:bookmarkStart w:id="369" w:name="_Toc164229377"/>
      <w:r/>
      <w:bookmarkStart w:id="370" w:name="_Toc127151737"/>
      <w:r/>
      <w:bookmarkStart w:id="371" w:name="_Toc226309780"/>
      <w:r/>
      <w:bookmarkStart w:id="372" w:name="_Toc164608650"/>
      <w:r/>
      <w:bookmarkStart w:id="373" w:name="_Toc164351630"/>
      <w:r/>
      <w:bookmarkStart w:id="374" w:name="_Toc150480774"/>
      <w:r/>
      <w:bookmarkStart w:id="375" w:name="_Toc151193850"/>
      <w:r/>
      <w:bookmarkStart w:id="376" w:name="_Toc150774636"/>
      <w:r/>
      <w:bookmarkStart w:id="377" w:name="_Toc226965809"/>
      <w:r/>
      <w:bookmarkStart w:id="378" w:name="_Toc226965726"/>
      <w:r/>
      <w:bookmarkStart w:id="379" w:name="_Toc151193706"/>
      <w:r/>
      <w:bookmarkStart w:id="380" w:name="_Toc149720829"/>
      <w:r/>
      <w:bookmarkStart w:id="381" w:name="_Toc127161450"/>
      <w:r/>
      <w:bookmarkStart w:id="382" w:name="_Toc226337232"/>
      <w:r/>
      <w:bookmarkStart w:id="383" w:name="_Toc150509287"/>
      <w:r/>
      <w:bookmarkStart w:id="384" w:name="_Toc151190163"/>
      <w:r>
        <w:rPr>
          <w:color w:val="000000"/>
          <w:sz w:val="24"/>
        </w:rPr>
        <w:t xml:space="preserve">响应文件截止</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color w:val="000000"/>
          <w:sz w:val="24"/>
        </w:rPr>
        <w:t xml:space="preserve">时间</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供应商应在竞争性磋商文件要求提交响应文件截止时间前，将电子响应文件提交至</w:t>
      </w:r>
      <w:r>
        <w:rPr>
          <w:rFonts w:hint="eastAsia"/>
          <w:color w:val="000000"/>
          <w:sz w:val="24"/>
        </w:rPr>
        <w:t xml:space="preserve">“苏采云”政府采购一体化平台</w:t>
      </w:r>
      <w:r>
        <w:rPr>
          <w:color w:val="000000"/>
          <w:sz w:val="24"/>
        </w:rPr>
        <w:t xml:space="preserve">。</w:t>
      </w:r>
      <w:r>
        <w:rPr>
          <w:color w:val="000000"/>
          <w:sz w:val="24"/>
        </w:rPr>
      </w:r>
      <w:r/>
    </w:p>
    <w:p>
      <w:pPr>
        <w:pStyle w:val="1126"/>
        <w:numPr>
          <w:ilvl w:val="0"/>
          <w:numId w:val="8"/>
        </w:numPr>
        <w:ind w:left="357" w:hanging="357"/>
        <w:spacing w:line="360" w:lineRule="auto"/>
        <w:tabs>
          <w:tab w:val="left" w:pos="360" w:leader="none"/>
          <w:tab w:val="left" w:pos="900" w:leader="none"/>
        </w:tabs>
        <w:rPr>
          <w:color w:val="000000"/>
          <w:sz w:val="24"/>
        </w:rPr>
        <w:outlineLvl w:val="1"/>
      </w:pPr>
      <w:r/>
      <w:bookmarkStart w:id="385" w:name="_Toc151193925"/>
      <w:r/>
      <w:bookmarkStart w:id="386" w:name="_Toc226965727"/>
      <w:r/>
      <w:bookmarkStart w:id="387" w:name="_Toc195842902"/>
      <w:r/>
      <w:bookmarkStart w:id="388" w:name="_Toc142311039"/>
      <w:r/>
      <w:bookmarkStart w:id="389" w:name="_Toc150774742"/>
      <w:r/>
      <w:bookmarkStart w:id="390" w:name="_Toc226309781"/>
      <w:r/>
      <w:bookmarkStart w:id="391" w:name="_Toc151193635"/>
      <w:r/>
      <w:bookmarkStart w:id="392" w:name="_Toc151193851"/>
      <w:r/>
      <w:bookmarkStart w:id="393" w:name="_Toc164229232"/>
      <w:r/>
      <w:bookmarkStart w:id="394" w:name="_Toc264969227"/>
      <w:r/>
      <w:bookmarkStart w:id="395" w:name="_Toc127151537"/>
      <w:r/>
      <w:bookmarkStart w:id="396" w:name="_Toc265228375"/>
      <w:r/>
      <w:bookmarkStart w:id="397" w:name="_Toc151190164"/>
      <w:r/>
      <w:bookmarkStart w:id="398" w:name="_Toc150480775"/>
      <w:r/>
      <w:bookmarkStart w:id="399" w:name="_Toc127161451"/>
      <w:r/>
      <w:bookmarkStart w:id="400" w:name="_Toc127151738"/>
      <w:r/>
      <w:bookmarkStart w:id="401" w:name="_Toc164608806"/>
      <w:r/>
      <w:bookmarkStart w:id="402" w:name="_Toc150774637"/>
      <w:r/>
      <w:bookmarkStart w:id="403" w:name="_Toc164608651"/>
      <w:r/>
      <w:bookmarkStart w:id="404" w:name="_Toc151193707"/>
      <w:r/>
      <w:bookmarkStart w:id="405" w:name="_Toc151193779"/>
      <w:r/>
      <w:bookmarkStart w:id="406" w:name="_Toc164229378"/>
      <w:r/>
      <w:bookmarkStart w:id="407" w:name="_Toc164351631"/>
      <w:r/>
      <w:bookmarkStart w:id="408" w:name="_Toc150509288"/>
      <w:r/>
      <w:bookmarkStart w:id="409" w:name="_Toc226337233"/>
      <w:r/>
      <w:bookmarkStart w:id="410" w:name="_Toc305158879"/>
      <w:r/>
      <w:bookmarkStart w:id="411" w:name="_Toc520356162"/>
      <w:r/>
      <w:bookmarkStart w:id="412" w:name="_Toc305158805"/>
      <w:r/>
      <w:bookmarkStart w:id="413" w:name="_Toc149720830"/>
      <w:r/>
      <w:bookmarkStart w:id="414" w:name="_Toc226965810"/>
      <w:r>
        <w:rPr>
          <w:color w:val="000000"/>
          <w:sz w:val="24"/>
        </w:rPr>
        <w:t xml:space="preserve">响应文件的修改与撤回</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提交响应文件截止时间前，供应商可以通过电子交易平台对所提交的响应文件进行补充、修改或者撤回。磋商保证金</w:t>
      </w:r>
      <w:r>
        <w:rPr>
          <w:rFonts w:hint="eastAsia"/>
          <w:color w:val="000000"/>
          <w:sz w:val="24"/>
        </w:rPr>
        <w:t xml:space="preserve">的</w:t>
      </w:r>
      <w:r>
        <w:rPr>
          <w:color w:val="000000"/>
          <w:sz w:val="24"/>
        </w:rPr>
        <w:t xml:space="preserve">补充、修改或者撤回</w:t>
      </w:r>
      <w:r>
        <w:rPr>
          <w:rFonts w:hint="eastAsia"/>
          <w:color w:val="000000"/>
          <w:sz w:val="24"/>
        </w:rPr>
        <w:t xml:space="preserve">无需</w:t>
      </w:r>
      <w:r>
        <w:rPr>
          <w:color w:val="000000"/>
          <w:sz w:val="24"/>
        </w:rPr>
        <w:t xml:space="preserve">通过电子交易平台</w:t>
      </w:r>
      <w:r>
        <w:rPr>
          <w:rFonts w:hint="eastAsia"/>
          <w:color w:val="000000"/>
          <w:sz w:val="24"/>
        </w:rPr>
        <w:t xml:space="preserve">，</w:t>
      </w:r>
      <w:r>
        <w:rPr>
          <w:color w:val="000000"/>
          <w:sz w:val="24"/>
        </w:rPr>
        <w:t xml:space="preserve">但应</w:t>
      </w:r>
      <w:r>
        <w:rPr>
          <w:rFonts w:hint="eastAsia"/>
          <w:color w:val="000000"/>
          <w:sz w:val="24"/>
        </w:rPr>
        <w:t xml:space="preserve">就其</w:t>
      </w:r>
      <w:r>
        <w:rPr>
          <w:color w:val="000000"/>
          <w:sz w:val="24"/>
        </w:rPr>
        <w:t xml:space="preserve">补充、修改或者撤回</w:t>
      </w:r>
      <w:r>
        <w:rPr>
          <w:rFonts w:hint="eastAsia"/>
          <w:color w:val="000000"/>
          <w:sz w:val="24"/>
        </w:rPr>
        <w:t xml:space="preserve">通知</w:t>
      </w:r>
      <w:r>
        <w:rPr>
          <w:color w:val="000000"/>
          <w:sz w:val="24"/>
        </w:rPr>
        <w:t xml:space="preserve">采购人或采购代理机构。</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供应商对响应文件的补充、修改的内容应当按照竞争性磋商文件要求签署、盖章，作为响应文件的组成部分。</w:t>
      </w:r>
      <w:r>
        <w:rPr>
          <w:color w:val="000000"/>
          <w:sz w:val="24"/>
        </w:rPr>
        <w:t xml:space="preserve">补充、修改的内容与响应文件不一致的，以补充、修改的内容为准。</w:t>
      </w:r>
      <w:r>
        <w:rPr>
          <w:color w:val="000000"/>
          <w:sz w:val="24"/>
        </w:rPr>
      </w:r>
      <w:r/>
    </w:p>
    <w:p>
      <w:pPr>
        <w:pStyle w:val="1126"/>
        <w:ind w:left="357"/>
        <w:spacing w:line="360" w:lineRule="auto"/>
        <w:tabs>
          <w:tab w:val="left" w:pos="900" w:leader="none"/>
          <w:tab w:val="left" w:pos="1080" w:leader="none"/>
          <w:tab w:val="left" w:pos="1589" w:leader="none"/>
        </w:tabs>
        <w:rPr>
          <w:color w:val="000000"/>
          <w:sz w:val="24"/>
        </w:rPr>
      </w:pPr>
      <w:r>
        <w:rPr>
          <w:color w:val="000000"/>
          <w:sz w:val="24"/>
        </w:rPr>
      </w:r>
      <w:r/>
    </w:p>
    <w:p>
      <w:pPr>
        <w:pStyle w:val="1128"/>
        <w:spacing w:before="0" w:line="360" w:lineRule="auto"/>
        <w:rPr>
          <w:rFonts w:ascii="Times New Roman" w:hAnsi="Times New Roman" w:eastAsia="宋体"/>
          <w:color w:val="000000"/>
          <w:sz w:val="28"/>
        </w:rPr>
      </w:pPr>
      <w:r/>
      <w:bookmarkStart w:id="415" w:name="_Toc305158806"/>
      <w:r/>
      <w:bookmarkStart w:id="416" w:name="_Toc226965728"/>
      <w:r/>
      <w:bookmarkStart w:id="417" w:name="_Toc264969228"/>
      <w:r/>
      <w:bookmarkStart w:id="418" w:name="_Toc195842903"/>
      <w:r/>
      <w:bookmarkStart w:id="419" w:name="_Toc151193926"/>
      <w:r/>
      <w:bookmarkStart w:id="420" w:name="_Toc226965811"/>
      <w:r/>
      <w:bookmarkStart w:id="421" w:name="_Toc150480776"/>
      <w:r/>
      <w:bookmarkStart w:id="422" w:name="_Toc151193852"/>
      <w:r/>
      <w:bookmarkStart w:id="423" w:name="_Toc150774743"/>
      <w:r/>
      <w:bookmarkStart w:id="424" w:name="_Toc150774638"/>
      <w:r/>
      <w:bookmarkStart w:id="425" w:name="_Toc226337234"/>
      <w:r/>
      <w:bookmarkStart w:id="426" w:name="_Toc265228376"/>
      <w:r/>
      <w:bookmarkStart w:id="427" w:name="_Toc226309782"/>
      <w:r/>
      <w:bookmarkStart w:id="428" w:name="_Toc142311040"/>
      <w:r/>
      <w:bookmarkStart w:id="429" w:name="_Toc520356163"/>
      <w:r/>
      <w:bookmarkStart w:id="430" w:name="_Toc305158880"/>
      <w:r/>
      <w:bookmarkStart w:id="431" w:name="_Toc151190165"/>
      <w:r/>
      <w:bookmarkStart w:id="432" w:name="_Toc150509289"/>
      <w:r/>
      <w:bookmarkStart w:id="433" w:name="_Toc127151538"/>
      <w:r/>
      <w:bookmarkStart w:id="434" w:name="_Toc151193780"/>
      <w:r/>
      <w:bookmarkStart w:id="435" w:name="_Toc151193708"/>
      <w:r/>
      <w:bookmarkStart w:id="436" w:name="_Toc151193636"/>
      <w:r>
        <w:rPr>
          <w:rFonts w:ascii="Times New Roman" w:hAnsi="Times New Roman" w:eastAsia="宋体"/>
          <w:color w:val="000000"/>
          <w:sz w:val="28"/>
        </w:rPr>
        <w:t xml:space="preserve">五   </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ascii="Times New Roman" w:hAnsi="Times New Roman" w:eastAsia="宋体"/>
          <w:color w:val="000000"/>
          <w:sz w:val="28"/>
        </w:rPr>
        <w:t xml:space="preserve">评审</w:t>
      </w:r>
      <w:r>
        <w:rPr>
          <w:rFonts w:ascii="Times New Roman" w:hAnsi="Times New Roman" w:eastAsia="宋体"/>
          <w:color w:val="000000"/>
          <w:sz w:val="28"/>
        </w:rPr>
      </w:r>
      <w:r/>
    </w:p>
    <w:p>
      <w:pPr>
        <w:pStyle w:val="1126"/>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响应文件的</w:t>
      </w:r>
      <w:r>
        <w:rPr>
          <w:rFonts w:hint="eastAsia"/>
          <w:color w:val="000000"/>
          <w:sz w:val="24"/>
        </w:rPr>
        <w:t xml:space="preserve">解密与</w:t>
      </w:r>
      <w:r>
        <w:rPr>
          <w:color w:val="000000"/>
          <w:sz w:val="24"/>
        </w:rPr>
        <w:t xml:space="preserve">开启</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采购人或采购代理机构将按竞争性磋商文件的规定，在响应文件提交截止时间的同一时间和竞争性磋商文件预先确定的地点开启响应文件。</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w:t>
      </w:r>
      <w:r>
        <w:rPr>
          <w:rFonts w:ascii="宋体" w:hAnsi="宋体"/>
          <w:color w:val="000000"/>
          <w:sz w:val="24"/>
        </w:rPr>
        <w:t xml:space="preserve">采用不见面招</w:t>
      </w:r>
      <w:r>
        <w:rPr>
          <w:rFonts w:hint="eastAsia" w:ascii="宋体" w:hAnsi="宋体"/>
          <w:color w:val="000000"/>
          <w:sz w:val="24"/>
        </w:rPr>
        <w:t xml:space="preserve">交易</w:t>
      </w:r>
      <w:r>
        <w:rPr>
          <w:rFonts w:ascii="宋体" w:hAnsi="宋体"/>
          <w:color w:val="000000"/>
          <w:sz w:val="24"/>
        </w:rPr>
        <w:t xml:space="preserve">模式</w:t>
      </w:r>
      <w:r>
        <w:rPr>
          <w:rFonts w:hint="eastAsia" w:ascii="宋体" w:hAnsi="宋体"/>
          <w:color w:val="000000"/>
          <w:sz w:val="24"/>
        </w:rPr>
        <w:t xml:space="preserve">，</w:t>
      </w:r>
      <w:r>
        <w:rPr>
          <w:color w:val="000000"/>
          <w:sz w:val="24"/>
        </w:rPr>
        <w:t xml:space="preserve">使用</w:t>
      </w:r>
      <w:r>
        <w:rPr>
          <w:rFonts w:hint="eastAsia"/>
          <w:color w:val="000000"/>
          <w:sz w:val="24"/>
        </w:rPr>
        <w:t xml:space="preserve">“苏采云”政府采购一体化平台在线进行</w:t>
      </w:r>
      <w:r>
        <w:rPr>
          <w:color w:val="000000"/>
          <w:sz w:val="24"/>
        </w:rPr>
        <w:t xml:space="preserve">解密。供应商应在规定的时间内对</w:t>
      </w:r>
      <w:r>
        <w:rPr>
          <w:rFonts w:hint="eastAsia"/>
          <w:color w:val="000000"/>
          <w:sz w:val="24"/>
        </w:rPr>
        <w:t xml:space="preserve">响应</w:t>
      </w:r>
      <w:r>
        <w:rPr>
          <w:color w:val="000000"/>
          <w:sz w:val="24"/>
        </w:rPr>
        <w:t xml:space="preserve">文件进行解密，因非系统原因导致的解密失败，视为</w:t>
      </w:r>
      <w:r>
        <w:rPr>
          <w:b/>
          <w:color w:val="000000"/>
          <w:sz w:val="24"/>
        </w:rPr>
        <w:t xml:space="preserve">响应无效</w:t>
      </w:r>
      <w:r>
        <w:rPr>
          <w:color w:val="000000"/>
          <w:sz w:val="24"/>
        </w:rPr>
        <w:t xml:space="preserve">。</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供应商不足3家的，不予解密。</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bookmarkStart w:id="437" w:name="_Toc520356165"/>
      <w:r>
        <w:rPr>
          <w:color w:val="000000"/>
          <w:sz w:val="24"/>
        </w:rPr>
        <w:t xml:space="preserve">本项目不公开报价。</w:t>
      </w:r>
      <w:r>
        <w:rPr>
          <w:rFonts w:hint="eastAsia"/>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供应商须在开标前使用“验证CA”功能验证本地计算机的控件环境是否正常，并且在</w:t>
      </w:r>
      <w:r>
        <w:rPr>
          <w:rFonts w:hint="eastAsia"/>
          <w:color w:val="000000"/>
          <w:sz w:val="24"/>
        </w:rPr>
        <w:t xml:space="preserve">解密、评审</w:t>
      </w:r>
      <w:r>
        <w:rPr>
          <w:color w:val="000000"/>
          <w:sz w:val="24"/>
        </w:rPr>
        <w:t xml:space="preserve">过程中不可随意更换</w:t>
      </w:r>
      <w:r>
        <w:rPr>
          <w:rFonts w:hint="eastAsia"/>
          <w:color w:val="000000"/>
          <w:sz w:val="24"/>
        </w:rPr>
        <w:t xml:space="preserve">计算机</w:t>
      </w:r>
      <w:r>
        <w:rPr>
          <w:color w:val="000000"/>
          <w:sz w:val="24"/>
        </w:rPr>
        <w:t xml:space="preserve">，必须使用验证成功的计算机进行操作，否则造成相应后果由供应商自行承担。本地计算机</w:t>
      </w:r>
      <w:r>
        <w:rPr>
          <w:rFonts w:hint="eastAsia"/>
          <w:color w:val="000000"/>
          <w:sz w:val="24"/>
        </w:rPr>
        <w:t xml:space="preserve">要求安装摄像头、麦克风和音箱，保持网络通畅。</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因本项目</w:t>
      </w:r>
      <w:r>
        <w:rPr>
          <w:color w:val="000000"/>
          <w:sz w:val="24"/>
        </w:rPr>
        <w:t xml:space="preserve">采用不见面交易的</w:t>
      </w:r>
      <w:r>
        <w:rPr>
          <w:rFonts w:hint="eastAsia"/>
          <w:color w:val="000000"/>
          <w:sz w:val="24"/>
        </w:rPr>
        <w:t xml:space="preserve">方式</w:t>
      </w:r>
      <w:r>
        <w:rPr>
          <w:color w:val="000000"/>
          <w:sz w:val="24"/>
        </w:rPr>
        <w:t xml:space="preserve">，在</w:t>
      </w:r>
      <w:r>
        <w:rPr>
          <w:rFonts w:hint="eastAsia"/>
          <w:color w:val="000000"/>
          <w:sz w:val="24"/>
        </w:rPr>
        <w:t xml:space="preserve">解密、评审</w:t>
      </w:r>
      <w:r>
        <w:rPr>
          <w:color w:val="000000"/>
          <w:sz w:val="24"/>
        </w:rPr>
        <w:t xml:space="preserve">过程中，</w:t>
      </w:r>
      <w:r>
        <w:rPr>
          <w:rFonts w:hint="eastAsia"/>
          <w:color w:val="000000"/>
          <w:sz w:val="24"/>
        </w:rPr>
        <w:t xml:space="preserve">供应商</w:t>
      </w:r>
      <w:r>
        <w:rPr>
          <w:color w:val="000000"/>
          <w:sz w:val="24"/>
        </w:rPr>
        <w:t xml:space="preserve">需</w:t>
      </w:r>
      <w:r>
        <w:rPr>
          <w:rFonts w:hint="eastAsia"/>
          <w:color w:val="000000"/>
          <w:sz w:val="24"/>
        </w:rPr>
        <w:t xml:space="preserve">要</w:t>
      </w:r>
      <w:r>
        <w:rPr>
          <w:color w:val="000000"/>
          <w:sz w:val="24"/>
        </w:rPr>
        <w:t xml:space="preserve">保持操作计算机前有相关责任人</w:t>
      </w:r>
      <w:r>
        <w:rPr>
          <w:rFonts w:hint="eastAsia"/>
          <w:color w:val="000000"/>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rPr>
        <w:t xml:space="preserve">。</w:t>
      </w:r>
      <w:r>
        <w:rPr>
          <w:rFonts w:hint="eastAsia"/>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如果在</w:t>
      </w:r>
      <w:r>
        <w:rPr>
          <w:color w:val="000000"/>
          <w:sz w:val="24"/>
        </w:rPr>
        <w:t xml:space="preserve">采购</w:t>
      </w:r>
      <w:r>
        <w:rPr>
          <w:rFonts w:hint="eastAsia"/>
          <w:color w:val="000000"/>
          <w:sz w:val="24"/>
        </w:rPr>
        <w:t xml:space="preserve">活动</w:t>
      </w:r>
      <w:r>
        <w:rPr>
          <w:color w:val="000000"/>
          <w:sz w:val="24"/>
        </w:rPr>
        <w:t xml:space="preserve">过程中出现以下情形，导致</w:t>
      </w:r>
      <w:r>
        <w:rPr>
          <w:rFonts w:hint="eastAsia"/>
          <w:color w:val="000000"/>
          <w:sz w:val="24"/>
        </w:rPr>
        <w:t xml:space="preserve">“苏采云”政府采购一体化平台系统</w:t>
      </w:r>
      <w:r>
        <w:rPr>
          <w:color w:val="000000"/>
          <w:sz w:val="24"/>
        </w:rPr>
        <w:t xml:space="preserve">无法正常运行，或者无法保证</w:t>
      </w:r>
      <w:r>
        <w:rPr>
          <w:rFonts w:hint="eastAsia"/>
          <w:color w:val="000000"/>
          <w:sz w:val="24"/>
        </w:rPr>
        <w:t xml:space="preserve">本项目采购活动</w:t>
      </w:r>
      <w:r>
        <w:rPr>
          <w:color w:val="000000"/>
          <w:sz w:val="24"/>
        </w:rPr>
        <w:t xml:space="preserve">的公平、公正和安全时，</w:t>
      </w:r>
      <w:r>
        <w:rPr>
          <w:rFonts w:hint="eastAsia"/>
          <w:color w:val="000000"/>
          <w:sz w:val="24"/>
        </w:rPr>
        <w:t xml:space="preserve">代理机构</w:t>
      </w:r>
      <w:r>
        <w:rPr>
          <w:color w:val="000000"/>
          <w:sz w:val="24"/>
        </w:rPr>
        <w:t xml:space="preserve">可</w:t>
      </w:r>
      <w:r>
        <w:rPr>
          <w:rFonts w:hint="eastAsia"/>
          <w:color w:val="000000"/>
          <w:sz w:val="24"/>
        </w:rPr>
        <w:t xml:space="preserve">以延缓或者暂停采购活动，情况严重的可以终止采购</w:t>
      </w:r>
      <w:r>
        <w:rPr>
          <w:color w:val="000000"/>
          <w:sz w:val="24"/>
        </w:rPr>
        <w:t xml:space="preserve">活动：</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 1)</w:t>
      </w:r>
      <w:r>
        <w:rPr>
          <w:color w:val="000000"/>
          <w:sz w:val="24"/>
        </w:rPr>
        <w:t xml:space="preserve">平台</w:t>
      </w:r>
      <w:r>
        <w:rPr>
          <w:rFonts w:hint="eastAsia"/>
          <w:color w:val="000000"/>
          <w:sz w:val="24"/>
        </w:rPr>
        <w:t xml:space="preserve">系统</w:t>
      </w:r>
      <w:r>
        <w:rPr>
          <w:color w:val="000000"/>
          <w:sz w:val="24"/>
        </w:rPr>
        <w:t xml:space="preserve">发生故障而无法登录访问的；</w:t>
      </w:r>
      <w:r>
        <w:rPr>
          <w:color w:val="000000"/>
          <w:sz w:val="24"/>
        </w:rPr>
      </w:r>
      <w:r/>
    </w:p>
    <w:p>
      <w:pPr>
        <w:pStyle w:val="1126"/>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2)</w:t>
      </w:r>
      <w:r>
        <w:rPr>
          <w:color w:val="000000"/>
          <w:sz w:val="24"/>
        </w:rPr>
        <w:t xml:space="preserve">平台</w:t>
      </w:r>
      <w:r>
        <w:rPr>
          <w:rFonts w:hint="eastAsia"/>
          <w:color w:val="000000"/>
          <w:sz w:val="24"/>
        </w:rPr>
        <w:t xml:space="preserve">系统</w:t>
      </w:r>
      <w:r>
        <w:rPr>
          <w:color w:val="000000"/>
          <w:sz w:val="24"/>
        </w:rPr>
        <w:t xml:space="preserve">应用或数据库出现错误，不能进行正常操作的；</w:t>
      </w:r>
      <w:r>
        <w:rPr>
          <w:color w:val="000000"/>
          <w:sz w:val="24"/>
        </w:rPr>
      </w:r>
      <w:r/>
    </w:p>
    <w:p>
      <w:pPr>
        <w:pStyle w:val="1126"/>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3)</w:t>
      </w:r>
      <w:r>
        <w:rPr>
          <w:color w:val="000000"/>
          <w:sz w:val="24"/>
        </w:rPr>
        <w:t xml:space="preserve">平台</w:t>
      </w:r>
      <w:r>
        <w:rPr>
          <w:rFonts w:hint="eastAsia"/>
          <w:color w:val="000000"/>
          <w:sz w:val="24"/>
        </w:rPr>
        <w:t xml:space="preserve">系统</w:t>
      </w:r>
      <w:r>
        <w:rPr>
          <w:color w:val="000000"/>
          <w:sz w:val="24"/>
        </w:rPr>
        <w:t xml:space="preserve">发现严重安全漏洞，有潜在泄密危险的；</w:t>
      </w:r>
      <w:r>
        <w:rPr>
          <w:color w:val="000000"/>
          <w:sz w:val="24"/>
        </w:rPr>
      </w:r>
      <w:r/>
    </w:p>
    <w:p>
      <w:pPr>
        <w:pStyle w:val="1126"/>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4)</w:t>
      </w:r>
      <w:r>
        <w:rPr>
          <w:color w:val="000000"/>
          <w:sz w:val="24"/>
        </w:rPr>
        <w:t xml:space="preserve">病毒发作导致平台</w:t>
      </w:r>
      <w:r>
        <w:rPr>
          <w:rFonts w:hint="eastAsia"/>
          <w:color w:val="000000"/>
          <w:sz w:val="24"/>
        </w:rPr>
        <w:t xml:space="preserve">系统</w:t>
      </w:r>
      <w:r>
        <w:rPr>
          <w:color w:val="000000"/>
          <w:sz w:val="24"/>
        </w:rPr>
        <w:t xml:space="preserve">不能进行正常操作的；</w:t>
      </w:r>
      <w:r>
        <w:rPr>
          <w:color w:val="000000"/>
          <w:sz w:val="24"/>
        </w:rPr>
      </w:r>
      <w:r/>
    </w:p>
    <w:p>
      <w:pPr>
        <w:pStyle w:val="1126"/>
        <w:ind w:left="357" w:firstLine="84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5)</w:t>
      </w:r>
      <w:r>
        <w:rPr>
          <w:color w:val="000000"/>
          <w:sz w:val="24"/>
        </w:rPr>
        <w:t xml:space="preserve">其他无法保证</w:t>
      </w:r>
      <w:r>
        <w:rPr>
          <w:rFonts w:hint="eastAsia"/>
          <w:color w:val="000000"/>
          <w:sz w:val="24"/>
        </w:rPr>
        <w:t xml:space="preserve">本次采购活动</w:t>
      </w:r>
      <w:r>
        <w:rPr>
          <w:color w:val="000000"/>
          <w:sz w:val="24"/>
        </w:rPr>
        <w:t xml:space="preserve">的公平、公正和安全的情况。</w:t>
      </w:r>
      <w:r>
        <w:rPr>
          <w:rFonts w:hint="eastAsia"/>
          <w:color w:val="000000"/>
          <w:sz w:val="24"/>
        </w:rPr>
      </w:r>
      <w:r/>
    </w:p>
    <w:p>
      <w:pPr>
        <w:pStyle w:val="1126"/>
        <w:ind w:firstLine="480"/>
        <w:spacing w:line="360" w:lineRule="auto"/>
        <w:tabs>
          <w:tab w:val="left" w:pos="993" w:leader="none"/>
          <w:tab w:val="left" w:pos="1589" w:leader="none"/>
          <w:tab w:val="left" w:pos="2014" w:leader="none"/>
        </w:tabs>
        <w:rPr>
          <w:color w:val="000000"/>
          <w:sz w:val="24"/>
        </w:rPr>
      </w:pPr>
      <w:r>
        <w:rPr>
          <w:color w:val="000000"/>
          <w:sz w:val="24"/>
        </w:rPr>
        <w:t xml:space="preserve">出现</w:t>
      </w:r>
      <w:r>
        <w:rPr>
          <w:rFonts w:hint="eastAsia"/>
          <w:color w:val="000000"/>
          <w:sz w:val="24"/>
        </w:rPr>
        <w:t xml:space="preserve">上述</w:t>
      </w:r>
      <w:r>
        <w:rPr>
          <w:color w:val="000000"/>
          <w:sz w:val="24"/>
        </w:rPr>
        <w:t xml:space="preserve">情形，不影响采购</w:t>
      </w:r>
      <w:r>
        <w:rPr>
          <w:rFonts w:hint="eastAsia"/>
          <w:color w:val="000000"/>
          <w:sz w:val="24"/>
        </w:rPr>
        <w:t xml:space="preserve">活动</w:t>
      </w:r>
      <w:r>
        <w:rPr>
          <w:color w:val="000000"/>
          <w:sz w:val="24"/>
        </w:rPr>
        <w:t xml:space="preserve">公平、公正性的，</w:t>
      </w:r>
      <w:r>
        <w:rPr>
          <w:rFonts w:hint="eastAsia"/>
          <w:color w:val="000000"/>
          <w:sz w:val="24"/>
        </w:rPr>
        <w:t xml:space="preserve">代理机构</w:t>
      </w:r>
      <w:r>
        <w:rPr>
          <w:color w:val="000000"/>
          <w:sz w:val="24"/>
        </w:rPr>
        <w:t xml:space="preserve">可以待上述情形消除后继续组织</w:t>
      </w:r>
      <w:r>
        <w:rPr>
          <w:rFonts w:hint="eastAsia"/>
          <w:color w:val="000000"/>
          <w:sz w:val="24"/>
        </w:rPr>
        <w:t xml:space="preserve">不见面</w:t>
      </w:r>
      <w:r>
        <w:rPr>
          <w:color w:val="000000"/>
          <w:sz w:val="24"/>
        </w:rPr>
        <w:t xml:space="preserve">交易</w:t>
      </w:r>
      <w:r>
        <w:rPr>
          <w:rFonts w:hint="eastAsia"/>
          <w:color w:val="000000"/>
          <w:sz w:val="24"/>
        </w:rPr>
        <w:t xml:space="preserve">采购</w:t>
      </w:r>
      <w:r>
        <w:rPr>
          <w:color w:val="000000"/>
          <w:sz w:val="24"/>
        </w:rPr>
        <w:t xml:space="preserve">活动，也可以决定某些环节以纸质形式进行；影响或可能影响采购</w:t>
      </w:r>
      <w:r>
        <w:rPr>
          <w:rFonts w:hint="eastAsia"/>
          <w:color w:val="000000"/>
          <w:sz w:val="24"/>
        </w:rPr>
        <w:t xml:space="preserve">活动</w:t>
      </w:r>
      <w:r>
        <w:rPr>
          <w:color w:val="000000"/>
          <w:sz w:val="24"/>
        </w:rPr>
        <w:t xml:space="preserve">公平、公正性的，应当</w:t>
      </w:r>
      <w:r>
        <w:rPr>
          <w:rFonts w:hint="eastAsia"/>
          <w:color w:val="000000"/>
          <w:sz w:val="24"/>
        </w:rPr>
        <w:t xml:space="preserve">终止本次项目，</w:t>
      </w:r>
      <w:r>
        <w:rPr>
          <w:color w:val="000000"/>
          <w:sz w:val="24"/>
        </w:rPr>
        <w:t xml:space="preserve">重新</w:t>
      </w:r>
      <w:r>
        <w:rPr>
          <w:rFonts w:hint="eastAsia"/>
          <w:color w:val="000000"/>
          <w:sz w:val="24"/>
        </w:rPr>
        <w:t xml:space="preserve">组织</w:t>
      </w:r>
      <w:r>
        <w:rPr>
          <w:color w:val="000000"/>
          <w:sz w:val="24"/>
        </w:rPr>
        <w:t xml:space="preserve">采购。</w:t>
      </w:r>
      <w:r>
        <w:rPr>
          <w:color w:val="000000"/>
          <w:sz w:val="24"/>
        </w:rPr>
      </w:r>
      <w:r/>
    </w:p>
    <w:p>
      <w:pPr>
        <w:pStyle w:val="1126"/>
        <w:numPr>
          <w:ilvl w:val="0"/>
          <w:numId w:val="8"/>
        </w:numPr>
        <w:ind w:left="357" w:hanging="357"/>
        <w:spacing w:line="360" w:lineRule="auto"/>
        <w:tabs>
          <w:tab w:val="left" w:pos="360" w:leader="none"/>
          <w:tab w:val="left" w:pos="900" w:leader="none"/>
        </w:tabs>
        <w:rPr>
          <w:color w:val="000000"/>
          <w:sz w:val="24"/>
        </w:rPr>
        <w:outlineLvl w:val="1"/>
      </w:pPr>
      <w:r/>
      <w:bookmarkEnd w:id="437"/>
      <w:r>
        <w:rPr>
          <w:color w:val="000000"/>
          <w:sz w:val="24"/>
        </w:rPr>
        <w:t xml:space="preserve">磋商小组</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磋商小组根据政府采购有关规定和本次采购项目的特点进行组建，并负责具体评审事务，独立履行职责。</w:t>
      </w:r>
      <w:bookmarkStart w:id="438" w:name="_Toc520356166"/>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评审专家须符合</w:t>
      </w:r>
      <w:r>
        <w:rPr>
          <w:rFonts w:hint="eastAsia"/>
          <w:color w:val="000000"/>
          <w:sz w:val="24"/>
        </w:rPr>
        <w:t xml:space="preserve">相关</w:t>
      </w:r>
      <w:r>
        <w:rPr>
          <w:color w:val="000000"/>
          <w:sz w:val="24"/>
        </w:rPr>
        <w:t xml:space="preserve">规定。依法自行选定评审专家的，采购人和采购代理机构将查询有关信用记录，对具有行贿、受贿、欺诈等不良信用记录的人员，拒绝其参与政府采购活动。</w:t>
      </w:r>
      <w:bookmarkEnd w:id="438"/>
      <w:r/>
      <w:bookmarkStart w:id="439" w:name="_Toc520356169"/>
      <w:r>
        <w:rPr>
          <w:color w:val="000000"/>
          <w:sz w:val="24"/>
        </w:rPr>
      </w:r>
      <w:r/>
    </w:p>
    <w:p>
      <w:pPr>
        <w:pStyle w:val="1126"/>
        <w:numPr>
          <w:ilvl w:val="0"/>
          <w:numId w:val="8"/>
        </w:numPr>
        <w:spacing w:line="360" w:lineRule="auto"/>
        <w:tabs>
          <w:tab w:val="left" w:pos="360" w:leader="none"/>
          <w:tab w:val="left" w:pos="900" w:leader="none"/>
        </w:tabs>
        <w:rPr>
          <w:color w:val="000000"/>
          <w:sz w:val="24"/>
        </w:rPr>
        <w:outlineLvl w:val="1"/>
      </w:pPr>
      <w:r>
        <w:rPr>
          <w:color w:val="000000"/>
          <w:sz w:val="24"/>
        </w:rPr>
        <w:t xml:space="preserve">评审方法和评审标准</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见第三章《评审方法和评审标准》。</w:t>
      </w:r>
      <w:r>
        <w:rPr>
          <w:color w:val="000000"/>
          <w:sz w:val="24"/>
        </w:rPr>
      </w:r>
      <w:r/>
    </w:p>
    <w:p>
      <w:pPr>
        <w:pStyle w:val="1126"/>
        <w:ind w:left="1080"/>
        <w:spacing w:line="360" w:lineRule="auto"/>
        <w:tabs>
          <w:tab w:val="left" w:pos="360" w:leader="none"/>
          <w:tab w:val="left" w:pos="1080" w:leader="none"/>
        </w:tabs>
        <w:rPr>
          <w:color w:val="000000"/>
          <w:sz w:val="24"/>
        </w:rPr>
      </w:pPr>
      <w:r>
        <w:rPr>
          <w:color w:val="000000"/>
          <w:sz w:val="24"/>
        </w:rPr>
      </w:r>
      <w:r/>
    </w:p>
    <w:p>
      <w:pPr>
        <w:pStyle w:val="1128"/>
        <w:spacing w:before="0" w:line="360" w:lineRule="auto"/>
        <w:rPr>
          <w:rFonts w:ascii="Times New Roman" w:hAnsi="Times New Roman" w:eastAsia="宋体"/>
          <w:color w:val="000000"/>
          <w:sz w:val="28"/>
        </w:rPr>
      </w:pPr>
      <w:r/>
      <w:bookmarkStart w:id="440" w:name="_Toc150509296"/>
      <w:r/>
      <w:bookmarkStart w:id="441" w:name="_Toc264969235"/>
      <w:r/>
      <w:bookmarkStart w:id="442" w:name="_Toc151190172"/>
      <w:r/>
      <w:bookmarkStart w:id="443" w:name="_Toc151193643"/>
      <w:r/>
      <w:bookmarkStart w:id="444" w:name="_Toc265228383"/>
      <w:r/>
      <w:bookmarkStart w:id="445" w:name="_Toc305158813"/>
      <w:r/>
      <w:bookmarkStart w:id="446" w:name="_Toc195842910"/>
      <w:r/>
      <w:bookmarkStart w:id="447" w:name="_Toc151193933"/>
      <w:r/>
      <w:bookmarkStart w:id="448" w:name="_Toc127151545"/>
      <w:r/>
      <w:bookmarkStart w:id="449" w:name="_Toc305158887"/>
      <w:r/>
      <w:bookmarkStart w:id="450" w:name="_Toc150480783"/>
      <w:r/>
      <w:bookmarkStart w:id="451" w:name="_Toc151193715"/>
      <w:r/>
      <w:bookmarkStart w:id="452" w:name="_Toc150774645"/>
      <w:r/>
      <w:bookmarkStart w:id="453" w:name="_Toc151193787"/>
      <w:r/>
      <w:bookmarkStart w:id="454" w:name="_Toc226337241"/>
      <w:r/>
      <w:bookmarkStart w:id="455" w:name="_Toc142311047"/>
      <w:r/>
      <w:bookmarkStart w:id="456" w:name="_Toc226965735"/>
      <w:r/>
      <w:bookmarkStart w:id="457" w:name="_Toc151193859"/>
      <w:r/>
      <w:bookmarkStart w:id="458" w:name="_Toc150774750"/>
      <w:r/>
      <w:bookmarkStart w:id="459" w:name="_Toc226965818"/>
      <w:r/>
      <w:bookmarkStart w:id="460" w:name="_Toc226309789"/>
      <w:r>
        <w:rPr>
          <w:rFonts w:ascii="Times New Roman" w:hAnsi="Times New Roman" w:eastAsia="宋体"/>
          <w:color w:val="000000"/>
          <w:sz w:val="28"/>
        </w:rPr>
        <w:t xml:space="preserve">六   </w:t>
      </w:r>
      <w:bookmarkEnd w:id="439"/>
      <w:r>
        <w:rPr>
          <w:rFonts w:ascii="Times New Roman" w:hAnsi="Times New Roman" w:eastAsia="宋体"/>
          <w:color w:val="000000"/>
          <w:sz w:val="28"/>
        </w:rPr>
        <w:t xml:space="preserve">确定</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ascii="Times New Roman" w:hAnsi="Times New Roman" w:eastAsia="宋体"/>
          <w:color w:val="000000"/>
          <w:sz w:val="28"/>
        </w:rPr>
        <w:t xml:space="preserve">成交</w:t>
      </w:r>
      <w:r>
        <w:rPr>
          <w:rFonts w:ascii="Times New Roman" w:hAnsi="Times New Roman" w:eastAsia="宋体"/>
          <w:color w:val="000000"/>
          <w:sz w:val="28"/>
        </w:rPr>
      </w:r>
      <w:r/>
    </w:p>
    <w:p>
      <w:pPr>
        <w:pStyle w:val="1126"/>
        <w:numPr>
          <w:ilvl w:val="0"/>
          <w:numId w:val="8"/>
        </w:numPr>
        <w:ind w:left="357" w:hanging="357"/>
        <w:spacing w:line="360" w:lineRule="auto"/>
        <w:tabs>
          <w:tab w:val="left" w:pos="360" w:leader="none"/>
          <w:tab w:val="left" w:pos="900" w:leader="none"/>
        </w:tabs>
        <w:rPr>
          <w:color w:val="000000"/>
          <w:sz w:val="24"/>
        </w:rPr>
        <w:outlineLvl w:val="1"/>
      </w:pPr>
      <w:r/>
      <w:bookmarkStart w:id="461" w:name="_Toc195842912"/>
      <w:r/>
      <w:bookmarkStart w:id="462" w:name="_Toc151193717"/>
      <w:r/>
      <w:bookmarkStart w:id="463" w:name="_Toc151193789"/>
      <w:r/>
      <w:bookmarkStart w:id="464" w:name="_Toc164608661"/>
      <w:r/>
      <w:bookmarkStart w:id="465" w:name="_Toc226965820"/>
      <w:r/>
      <w:bookmarkStart w:id="466" w:name="_Toc150509298"/>
      <w:r/>
      <w:bookmarkStart w:id="467" w:name="_Toc149720840"/>
      <w:r/>
      <w:bookmarkStart w:id="468" w:name="_Toc164229388"/>
      <w:r/>
      <w:bookmarkStart w:id="469" w:name="_Toc226965737"/>
      <w:r/>
      <w:bookmarkStart w:id="470" w:name="_Toc127151547"/>
      <w:r/>
      <w:bookmarkStart w:id="471" w:name="_Toc265228385"/>
      <w:r/>
      <w:bookmarkStart w:id="472" w:name="_Toc150774647"/>
      <w:r/>
      <w:bookmarkStart w:id="473" w:name="_Toc164351641"/>
      <w:r/>
      <w:bookmarkStart w:id="474" w:name="_Toc164229242"/>
      <w:r/>
      <w:bookmarkStart w:id="475" w:name="_Toc151190174"/>
      <w:r/>
      <w:bookmarkStart w:id="476" w:name="_Toc305158889"/>
      <w:r/>
      <w:bookmarkStart w:id="477" w:name="_Toc164608816"/>
      <w:r/>
      <w:bookmarkStart w:id="478" w:name="_Toc151193861"/>
      <w:r/>
      <w:bookmarkStart w:id="479" w:name="_Toc226337243"/>
      <w:r/>
      <w:bookmarkStart w:id="480" w:name="_Toc226309791"/>
      <w:r/>
      <w:bookmarkStart w:id="481" w:name="_Toc151193645"/>
      <w:r/>
      <w:bookmarkStart w:id="482" w:name="_Toc305158815"/>
      <w:r/>
      <w:bookmarkStart w:id="483" w:name="_Toc127151748"/>
      <w:r/>
      <w:bookmarkStart w:id="484" w:name="_Toc150480785"/>
      <w:r/>
      <w:bookmarkStart w:id="485" w:name="_Toc142311049"/>
      <w:r/>
      <w:bookmarkStart w:id="486" w:name="_Toc151193935"/>
      <w:r/>
      <w:bookmarkStart w:id="487" w:name="_Toc127161461"/>
      <w:r/>
      <w:bookmarkStart w:id="488" w:name="_Toc150774752"/>
      <w:r/>
      <w:bookmarkStart w:id="489" w:name="_Toc264969237"/>
      <w:r>
        <w:rPr>
          <w:color w:val="000000"/>
          <w:sz w:val="24"/>
        </w:rPr>
        <w:t xml:space="preserve">确定成交供应商</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采购人将在收到评审报告后，从评审报告提出的成交候选供应商中，按照排序由高到低的原则确定成交供应商</w:t>
      </w:r>
      <w:r>
        <w:rPr>
          <w:rFonts w:hint="eastAsia"/>
          <w:color w:val="000000"/>
          <w:sz w:val="24"/>
        </w:rPr>
        <w:t xml:space="preserve">。</w:t>
      </w:r>
      <w:r>
        <w:rPr>
          <w:color w:val="000000"/>
          <w:sz w:val="24"/>
        </w:rPr>
        <w:t xml:space="preserve">成交候选人并列的，由采购人</w:t>
      </w:r>
      <w:r>
        <w:rPr>
          <w:rFonts w:hint="eastAsia"/>
          <w:color w:val="000000"/>
          <w:sz w:val="24"/>
        </w:rPr>
        <w:t xml:space="preserve">依法</w:t>
      </w:r>
      <w:r>
        <w:rPr>
          <w:color w:val="000000"/>
          <w:sz w:val="24"/>
        </w:rPr>
        <w:t xml:space="preserve">确定。</w:t>
      </w:r>
      <w:r>
        <w:rPr>
          <w:color w:val="000000"/>
          <w:sz w:val="24"/>
        </w:rPr>
      </w:r>
      <w:r/>
    </w:p>
    <w:p>
      <w:pPr>
        <w:pStyle w:val="1126"/>
        <w:numPr>
          <w:ilvl w:val="0"/>
          <w:numId w:val="8"/>
        </w:numPr>
        <w:ind w:left="357" w:hanging="357"/>
        <w:spacing w:line="360" w:lineRule="auto"/>
        <w:tabs>
          <w:tab w:val="left" w:pos="360" w:leader="none"/>
          <w:tab w:val="left" w:pos="900" w:leader="none"/>
        </w:tabs>
        <w:rPr>
          <w:color w:val="000000"/>
          <w:sz w:val="24"/>
        </w:rPr>
        <w:outlineLvl w:val="1"/>
      </w:pPr>
      <w:r/>
      <w:bookmarkStart w:id="490" w:name="_Toc150774754"/>
      <w:r/>
      <w:bookmarkStart w:id="491" w:name="_Toc226965822"/>
      <w:r/>
      <w:bookmarkStart w:id="492" w:name="_Toc151193719"/>
      <w:r/>
      <w:bookmarkStart w:id="493" w:name="_Toc149720842"/>
      <w:r/>
      <w:bookmarkStart w:id="494" w:name="_Toc142311051"/>
      <w:r/>
      <w:bookmarkStart w:id="495" w:name="_Toc226309793"/>
      <w:r/>
      <w:bookmarkStart w:id="496" w:name="_Toc151193791"/>
      <w:r/>
      <w:bookmarkStart w:id="497" w:name="_Toc226337245"/>
      <w:r/>
      <w:bookmarkStart w:id="498" w:name="_Toc127151750"/>
      <w:r/>
      <w:bookmarkStart w:id="499" w:name="_Toc150774649"/>
      <w:r/>
      <w:bookmarkStart w:id="500" w:name="_Toc151193863"/>
      <w:r/>
      <w:bookmarkStart w:id="501" w:name="_Toc150509300"/>
      <w:r/>
      <w:bookmarkStart w:id="502" w:name="_Toc151190176"/>
      <w:r/>
      <w:bookmarkStart w:id="503" w:name="_Toc127161463"/>
      <w:r/>
      <w:bookmarkStart w:id="504" w:name="_Toc151193647"/>
      <w:r/>
      <w:bookmarkStart w:id="505" w:name="_Toc164608818"/>
      <w:r/>
      <w:bookmarkStart w:id="506" w:name="_Toc226965739"/>
      <w:r/>
      <w:bookmarkStart w:id="507" w:name="_Toc305158817"/>
      <w:r/>
      <w:bookmarkStart w:id="508" w:name="_Toc305158891"/>
      <w:r/>
      <w:bookmarkStart w:id="509" w:name="_Toc164351643"/>
      <w:r/>
      <w:bookmarkStart w:id="510" w:name="_Toc264969239"/>
      <w:r/>
      <w:bookmarkStart w:id="511" w:name="_Ref467307090"/>
      <w:r/>
      <w:bookmarkStart w:id="512" w:name="_Ref467306425"/>
      <w:r/>
      <w:bookmarkStart w:id="513" w:name="_Toc520356176"/>
      <w:r/>
      <w:bookmarkStart w:id="514" w:name="_Toc164229390"/>
      <w:r/>
      <w:bookmarkStart w:id="515" w:name="_Toc150480787"/>
      <w:r/>
      <w:bookmarkStart w:id="516" w:name="_Toc265228387"/>
      <w:r/>
      <w:bookmarkStart w:id="517" w:name="_Toc127151549"/>
      <w:r/>
      <w:bookmarkStart w:id="518" w:name="_Toc164229244"/>
      <w:r/>
      <w:bookmarkStart w:id="519" w:name="_Toc164608663"/>
      <w:r/>
      <w:bookmarkStart w:id="520" w:name="_Toc151193937"/>
      <w:r/>
      <w:bookmarkStart w:id="521" w:name="_Toc195842914"/>
      <w:r>
        <w:rPr>
          <w:color w:val="000000"/>
          <w:sz w:val="24"/>
        </w:rPr>
        <w:t xml:space="preserve">成交公告与成交通知书</w:t>
      </w:r>
      <w:bookmarkEnd w:id="507"/>
      <w:r/>
      <w:bookmarkEnd w:id="508"/>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w:t>
      </w:r>
      <w:r>
        <w:rPr>
          <w:color w:val="000000"/>
          <w:sz w:val="24"/>
        </w:rPr>
        <w:t xml:space="preserve">在成交供应商确定后2个工作日内，在</w:t>
      </w:r>
      <w:r>
        <w:rPr>
          <w:rFonts w:hint="eastAsia"/>
          <w:color w:val="000000"/>
          <w:sz w:val="24"/>
        </w:rPr>
        <w:t xml:space="preserve">常州市政府采购网</w:t>
      </w:r>
      <w:r>
        <w:rPr>
          <w:color w:val="000000"/>
          <w:sz w:val="24"/>
        </w:rPr>
        <w:t xml:space="preserve">公告成交结果，同时向成交供应商发出成交通知书，</w:t>
      </w:r>
      <w:r>
        <w:rPr>
          <w:color w:val="000000"/>
          <w:sz w:val="24"/>
        </w:rPr>
        <w:t xml:space="preserve">成交公告期限为1个工作日。</w:t>
      </w:r>
      <w:r>
        <w:rPr>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rPr>
        <w:t xml:space="preserve">。</w:t>
      </w:r>
      <w:r>
        <w:rPr>
          <w:color w:val="000000"/>
          <w:sz w:val="24"/>
        </w:rPr>
      </w:r>
      <w:r/>
    </w:p>
    <w:p>
      <w:pPr>
        <w:pStyle w:val="1126"/>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终止</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在采购中，出现下列情形之一的，采购人或采购代理机构将终止竞争性磋商采购活动，发布项目终止公告并说明原因，重新开展采购活动：</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因情况变化，不再符合规定的竞争性磋商采购方式适用情形的；</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出现影响采购公正的违法、违规行为的；</w:t>
      </w:r>
      <w:r>
        <w:rPr>
          <w:color w:val="000000"/>
          <w:sz w:val="24"/>
        </w:rPr>
      </w:r>
      <w:r/>
    </w:p>
    <w:p>
      <w:pPr>
        <w:pStyle w:val="1126"/>
        <w:numPr>
          <w:ilvl w:val="2"/>
          <w:numId w:val="8"/>
        </w:numPr>
        <w:spacing w:line="360" w:lineRule="auto"/>
        <w:tabs>
          <w:tab w:val="left" w:pos="1980" w:leader="none"/>
        </w:tabs>
        <w:rPr>
          <w:rFonts w:hint="eastAsia"/>
          <w:color w:val="000000"/>
          <w:sz w:val="24"/>
        </w:rPr>
      </w:pPr>
      <w:r>
        <w:rPr>
          <w:color w:val="000000"/>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rPr>
      </w:r>
      <w:r/>
    </w:p>
    <w:p>
      <w:pPr>
        <w:pStyle w:val="1126"/>
        <w:numPr>
          <w:ilvl w:val="2"/>
          <w:numId w:val="8"/>
        </w:numPr>
        <w:spacing w:line="360" w:lineRule="auto"/>
        <w:tabs>
          <w:tab w:val="left" w:pos="1980" w:leader="none"/>
        </w:tabs>
        <w:rPr>
          <w:color w:val="000000"/>
          <w:sz w:val="24"/>
        </w:rPr>
      </w:pPr>
      <w:r>
        <w:rPr>
          <w:rFonts w:hint="eastAsia" w:ascii="宋体" w:hAnsi="宋体"/>
          <w:color w:val="000000"/>
          <w:spacing w:val="2"/>
          <w:sz w:val="24"/>
        </w:rPr>
        <w:t xml:space="preserve">平台系统</w:t>
      </w:r>
      <w:r>
        <w:rPr>
          <w:rFonts w:ascii="宋体" w:hAnsi="宋体"/>
          <w:color w:val="000000"/>
          <w:sz w:val="24"/>
        </w:rPr>
        <w:t xml:space="preserve">出现</w:t>
      </w:r>
      <w:r>
        <w:rPr>
          <w:rFonts w:hint="eastAsia" w:ascii="宋体" w:hAnsi="宋体"/>
          <w:color w:val="000000"/>
          <w:sz w:val="24"/>
        </w:rPr>
        <w:t xml:space="preserve">序号17.7的所述</w:t>
      </w:r>
      <w:r>
        <w:rPr>
          <w:rFonts w:ascii="宋体" w:hAnsi="宋体"/>
          <w:color w:val="000000"/>
          <w:sz w:val="24"/>
        </w:rPr>
        <w:t xml:space="preserve">情形，</w:t>
      </w:r>
      <w:r>
        <w:rPr>
          <w:rFonts w:hint="eastAsia" w:ascii="宋体" w:hAnsi="宋体"/>
          <w:color w:val="000000"/>
          <w:sz w:val="24"/>
        </w:rPr>
        <w:t xml:space="preserve">情况严重且</w:t>
      </w:r>
      <w:r>
        <w:rPr>
          <w:rFonts w:ascii="宋体" w:hAnsi="宋体"/>
          <w:color w:val="000000"/>
          <w:sz w:val="24"/>
        </w:rPr>
        <w:t xml:space="preserve">影响采购</w:t>
      </w:r>
      <w:r>
        <w:rPr>
          <w:rFonts w:hint="eastAsia" w:ascii="宋体" w:hAnsi="宋体"/>
          <w:color w:val="000000"/>
          <w:sz w:val="24"/>
        </w:rPr>
        <w:t xml:space="preserve">活动</w:t>
      </w:r>
      <w:r>
        <w:rPr>
          <w:rFonts w:ascii="宋体" w:hAnsi="宋体"/>
          <w:color w:val="000000"/>
          <w:sz w:val="24"/>
        </w:rPr>
        <w:t xml:space="preserve">公平、公正性的</w:t>
      </w:r>
      <w:r>
        <w:rPr>
          <w:rFonts w:hint="eastAsia" w:ascii="宋体" w:hAnsi="宋体"/>
          <w:color w:val="000000"/>
          <w:sz w:val="24"/>
        </w:rPr>
        <w:t xml:space="preserve">。</w:t>
      </w:r>
      <w:r>
        <w:rPr>
          <w:color w:val="000000"/>
          <w:sz w:val="24"/>
        </w:rPr>
      </w:r>
      <w:r/>
    </w:p>
    <w:p>
      <w:pPr>
        <w:pStyle w:val="1126"/>
        <w:numPr>
          <w:ilvl w:val="0"/>
          <w:numId w:val="8"/>
        </w:numPr>
        <w:ind w:left="357" w:hanging="357"/>
        <w:spacing w:line="360" w:lineRule="auto"/>
        <w:tabs>
          <w:tab w:val="left" w:pos="360" w:leader="none"/>
          <w:tab w:val="left" w:pos="900" w:leader="none"/>
        </w:tabs>
        <w:rPr>
          <w:color w:val="000000"/>
          <w:sz w:val="24"/>
        </w:rPr>
        <w:outlineLvl w:val="1"/>
      </w:pPr>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9"/>
      <w:r/>
      <w:bookmarkEnd w:id="510"/>
      <w:r/>
      <w:bookmarkEnd w:id="514"/>
      <w:r/>
      <w:bookmarkEnd w:id="515"/>
      <w:r/>
      <w:bookmarkEnd w:id="516"/>
      <w:r/>
      <w:bookmarkEnd w:id="517"/>
      <w:r/>
      <w:bookmarkEnd w:id="518"/>
      <w:r/>
      <w:bookmarkEnd w:id="519"/>
      <w:r/>
      <w:bookmarkEnd w:id="520"/>
      <w:r/>
      <w:bookmarkEnd w:id="521"/>
      <w:r/>
      <w:bookmarkStart w:id="522" w:name="_Toc127161464"/>
      <w:r/>
      <w:bookmarkStart w:id="523" w:name="_Toc151193720"/>
      <w:r/>
      <w:bookmarkStart w:id="524" w:name="_Toc127151550"/>
      <w:r/>
      <w:bookmarkStart w:id="525" w:name="_Toc127151751"/>
      <w:r/>
      <w:bookmarkStart w:id="526" w:name="_Toc264969240"/>
      <w:r/>
      <w:bookmarkStart w:id="527" w:name="_Toc305158892"/>
      <w:r/>
      <w:bookmarkStart w:id="528" w:name="_Toc265228388"/>
      <w:r/>
      <w:bookmarkStart w:id="529" w:name="_Toc195842915"/>
      <w:r/>
      <w:bookmarkStart w:id="530" w:name="_Toc142311052"/>
      <w:r/>
      <w:bookmarkStart w:id="531" w:name="_Toc149720843"/>
      <w:r/>
      <w:bookmarkStart w:id="532" w:name="_Toc151193648"/>
      <w:r/>
      <w:bookmarkStart w:id="533" w:name="_Toc226337246"/>
      <w:r/>
      <w:bookmarkStart w:id="534" w:name="_Toc226965823"/>
      <w:r/>
      <w:bookmarkStart w:id="535" w:name="_Toc226309794"/>
      <w:r/>
      <w:bookmarkStart w:id="536" w:name="_Toc164229245"/>
      <w:r/>
      <w:bookmarkStart w:id="537" w:name="_Toc151193938"/>
      <w:r/>
      <w:bookmarkStart w:id="538" w:name="_Toc164229391"/>
      <w:r/>
      <w:bookmarkStart w:id="539" w:name="_Toc164608664"/>
      <w:r/>
      <w:bookmarkStart w:id="540" w:name="_Ref467306377"/>
      <w:r/>
      <w:bookmarkStart w:id="541" w:name="_Toc164608819"/>
      <w:r/>
      <w:bookmarkStart w:id="542" w:name="_Ref467306978"/>
      <w:r/>
      <w:bookmarkStart w:id="543" w:name="_Toc305158818"/>
      <w:r/>
      <w:bookmarkStart w:id="544" w:name="_Toc150774650"/>
      <w:r/>
      <w:bookmarkStart w:id="545" w:name="_Ref467307062"/>
      <w:r/>
      <w:bookmarkStart w:id="546" w:name="_Ref467307204"/>
      <w:r/>
      <w:bookmarkStart w:id="547" w:name="_Toc226965740"/>
      <w:r/>
      <w:bookmarkStart w:id="548" w:name="_Toc150509301"/>
      <w:r/>
      <w:bookmarkStart w:id="549" w:name="_Toc151193792"/>
      <w:r/>
      <w:bookmarkStart w:id="550" w:name="_Toc150774755"/>
      <w:r/>
      <w:bookmarkStart w:id="551" w:name="_Toc151190177"/>
      <w:r/>
      <w:bookmarkStart w:id="552" w:name="_Toc164351644"/>
      <w:r/>
      <w:bookmarkStart w:id="553" w:name="_Toc151193864"/>
      <w:r/>
      <w:bookmarkStart w:id="554" w:name="_Toc150480788"/>
      <w:r/>
      <w:bookmarkStart w:id="555" w:name="_Toc520356175"/>
      <w:r>
        <w:rPr>
          <w:color w:val="000000"/>
          <w:sz w:val="24"/>
        </w:rPr>
        <w:t xml:space="preserve">签订合同</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联合体获得成交资格的，联合体各方应当共同与采购人签订合同，就成交项目向采购人承担连带责任。</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政府采购合同不能转包。</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采购人允许采用分包方式履行合同的，成交供应商可以依法采取分包方式履行合同。本项目</w:t>
      </w:r>
      <w:r>
        <w:rPr>
          <w:rFonts w:hint="eastAsia"/>
          <w:color w:val="000000"/>
          <w:sz w:val="24"/>
        </w:rPr>
        <w:t xml:space="preserve">是</w:t>
      </w:r>
      <w:r>
        <w:rPr>
          <w:color w:val="000000"/>
          <w:sz w:val="24"/>
        </w:rPr>
        <w:t xml:space="preserve">否允许分包，见《供应商须知资料表》。政府采购合同分包履行的，应当在响应文件中载明分包承担主体，分包承担主体应当具备相应资质条件且不得再次分包，</w:t>
      </w:r>
      <w:r>
        <w:rPr>
          <w:b/>
          <w:color w:val="000000"/>
          <w:sz w:val="24"/>
        </w:rPr>
        <w:t xml:space="preserve">否则响应无效</w:t>
      </w:r>
      <w:r>
        <w:rPr>
          <w:color w:val="000000"/>
          <w:sz w:val="24"/>
        </w:rPr>
        <w:t xml:space="preserve">。成交供应商就采购项目和分包项目向采购人负责，分包供应商就分包项目承担责任。</w:t>
      </w:r>
      <w:r>
        <w:rPr>
          <w:color w:val="000000"/>
          <w:sz w:val="24"/>
        </w:rPr>
      </w:r>
      <w:r/>
    </w:p>
    <w:p>
      <w:pPr>
        <w:pStyle w:val="1126"/>
        <w:numPr>
          <w:ilvl w:val="0"/>
          <w:numId w:val="8"/>
        </w:numPr>
        <w:ind w:left="357" w:hanging="357"/>
        <w:spacing w:line="360" w:lineRule="auto"/>
        <w:tabs>
          <w:tab w:val="left" w:pos="360" w:leader="none"/>
          <w:tab w:val="left" w:pos="900" w:leader="none"/>
        </w:tabs>
        <w:rPr>
          <w:color w:val="000000"/>
          <w:sz w:val="24"/>
        </w:rPr>
        <w:outlineLvl w:val="1"/>
      </w:pPr>
      <w:r/>
      <w:bookmarkEnd w:id="511"/>
      <w:r/>
      <w:bookmarkEnd w:id="512"/>
      <w:r/>
      <w:bookmarkEnd w:id="513"/>
      <w:r>
        <w:rPr>
          <w:color w:val="000000"/>
          <w:sz w:val="24"/>
        </w:rPr>
        <w:t xml:space="preserve">询问与质疑</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询问</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供应商对政府采购活动事项有疑问的，可依法提出询问，并按《供应商须知资料表》载明的形式送达采购人或采购代理机构。</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采购人或采购代理机构对供应商依法提出的询问，在3个工作日内作出答复，但答复的内容不得涉及商业秘密。</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质疑</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rPr>
      </w:r>
      <w:r/>
    </w:p>
    <w:p>
      <w:pPr>
        <w:pStyle w:val="1126"/>
        <w:numPr>
          <w:ilvl w:val="2"/>
          <w:numId w:val="8"/>
        </w:numPr>
        <w:spacing w:line="360" w:lineRule="auto"/>
        <w:tabs>
          <w:tab w:val="left" w:pos="1980" w:leader="none"/>
        </w:tabs>
        <w:rPr>
          <w:color w:val="000000"/>
          <w:sz w:val="24"/>
        </w:rPr>
      </w:pPr>
      <w:r>
        <w:rPr>
          <w:rFonts w:hint="eastAsia"/>
          <w:b/>
          <w:color w:val="000000"/>
          <w:sz w:val="24"/>
        </w:rPr>
        <w:t xml:space="preserve">磋商文件</w:t>
      </w:r>
      <w:r>
        <w:rPr>
          <w:rFonts w:hint="eastAsia" w:ascii="宋体" w:hAnsi="宋体"/>
          <w:b/>
          <w:color w:val="000000"/>
          <w:sz w:val="24"/>
        </w:rPr>
        <w:t xml:space="preserve">中采购需求以及相关部分（第四章、第五章以及供应商资格要求）由采购人负责制定和管理，对该部分内容有询问或者质疑的，供应商应当向采购人书面一次性提出，由采购人负责接收和回复。</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质疑函须使用财政部制定的范本文件。</w:t>
      </w:r>
      <w:r>
        <w:rPr>
          <w:rFonts w:hint="eastAsia"/>
          <w:color w:val="000000"/>
          <w:sz w:val="24"/>
        </w:rPr>
        <w:t xml:space="preserve">（下载网址：</w:t>
      </w:r>
      <w:r>
        <w:rPr>
          <w:color w:val="000000"/>
        </w:rPr>
        <w:fldChar w:fldCharType="begin"/>
      </w:r>
      <w:r>
        <w:rPr>
          <w:color w:val="000000"/>
        </w:rPr>
        <w:instrText xml:space="preserve"> HYPERLINK "http://gks.mof.gov.cn/ztztz/zhengfucaigouguanli/201802/t20180201_2804589.htm" </w:instrText>
      </w:r>
      <w:r>
        <w:rPr>
          <w:color w:val="000000"/>
        </w:rPr>
        <w:fldChar w:fldCharType="separate"/>
      </w:r>
      <w:r>
        <w:rPr>
          <w:rStyle w:val="1205"/>
          <w:color w:val="000000"/>
        </w:rPr>
        <w:t xml:space="preserve">http://gk</w:t>
      </w:r>
      <w:bookmarkStart w:id="556" w:name="_Hlt100654014"/>
      <w:r>
        <w:rPr>
          <w:rStyle w:val="1205"/>
          <w:color w:val="000000"/>
        </w:rPr>
        <w:t xml:space="preserve">s</w:t>
      </w:r>
      <w:bookmarkEnd w:id="556"/>
      <w:r>
        <w:rPr>
          <w:rStyle w:val="1205"/>
          <w:color w:val="000000"/>
        </w:rPr>
        <w:t xml:space="preserve">.m</w:t>
      </w:r>
      <w:bookmarkStart w:id="557" w:name="_Hlt100653993"/>
      <w:r/>
      <w:bookmarkStart w:id="558" w:name="_Hlt100653994"/>
      <w:r>
        <w:rPr>
          <w:rStyle w:val="1205"/>
          <w:color w:val="000000"/>
        </w:rPr>
        <w:t xml:space="preserve">o</w:t>
      </w:r>
      <w:bookmarkEnd w:id="557"/>
      <w:r/>
      <w:bookmarkEnd w:id="558"/>
      <w:r/>
      <w:bookmarkStart w:id="559" w:name="_Hlt101169156"/>
      <w:r>
        <w:rPr>
          <w:rStyle w:val="1205"/>
          <w:color w:val="000000"/>
        </w:rPr>
        <w:t xml:space="preserve">f</w:t>
      </w:r>
      <w:bookmarkEnd w:id="559"/>
      <w:r>
        <w:rPr>
          <w:rStyle w:val="1205"/>
          <w:color w:val="000000"/>
        </w:rPr>
        <w:t xml:space="preserve">.gov.cn/ztztz/zhengfucaigouguanli/201802/t20180201_2804589.htm</w:t>
      </w:r>
      <w:r>
        <w:rPr>
          <w:color w:val="000000"/>
        </w:rPr>
        <w:fldChar w:fldCharType="end"/>
      </w:r>
      <w:r>
        <w:rPr>
          <w:rFonts w:hint="eastAsia"/>
          <w:color w:val="000000"/>
        </w:rPr>
        <w:t xml:space="preserve">）</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供应商为自然人的，应当由本人签字；供应商为法人或者其他组织的，应当由法定代表人、主要负责人，或者其授权代表签字或者盖章，并加盖公章。</w:t>
      </w:r>
      <w:r>
        <w:rPr>
          <w:color w:val="000000"/>
          <w:sz w:val="24"/>
        </w:rPr>
      </w:r>
      <w:r/>
    </w:p>
    <w:p>
      <w:pPr>
        <w:pStyle w:val="1126"/>
        <w:numPr>
          <w:ilvl w:val="2"/>
          <w:numId w:val="8"/>
        </w:numPr>
        <w:spacing w:line="360" w:lineRule="auto"/>
        <w:tabs>
          <w:tab w:val="left" w:pos="1980" w:leader="none"/>
        </w:tabs>
        <w:rPr>
          <w:color w:val="000000"/>
          <w:sz w:val="24"/>
        </w:rPr>
      </w:pPr>
      <w:r>
        <w:rPr>
          <w:color w:val="000000"/>
          <w:sz w:val="24"/>
        </w:rPr>
        <w:t xml:space="preserve">供应商应在法定质疑期内一次性提出针对同一采购程序环节的质疑，法定质疑期内针对同一采购程序环节再次提出的质疑，采购人、采购代理机构有权不予答复。</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接收询问和质疑的联系部门、联系电话和通讯地址见《供应商须知资料表》</w:t>
      </w:r>
      <w:r>
        <w:rPr>
          <w:rFonts w:hint="eastAsia"/>
          <w:color w:val="000000"/>
          <w:sz w:val="24"/>
        </w:rPr>
        <w:t xml:space="preserve">。</w:t>
      </w:r>
      <w:r>
        <w:rPr>
          <w:color w:val="000000"/>
          <w:sz w:val="24"/>
        </w:rPr>
      </w:r>
      <w:r/>
    </w:p>
    <w:p>
      <w:pPr>
        <w:pStyle w:val="1126"/>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代理费</w:t>
      </w:r>
      <w:r>
        <w:rPr>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b w:val="0"/>
          <w:bCs w:val="0"/>
          <w:color w:val="000000"/>
          <w:sz w:val="24"/>
        </w:rPr>
      </w:pPr>
      <w:r>
        <w:rPr>
          <w:b w:val="0"/>
          <w:bCs w:val="0"/>
          <w:color w:val="000000"/>
          <w:sz w:val="24"/>
        </w:rPr>
        <w:t xml:space="preserve">收费对象、收费标准见《供应商须知资料表》。</w:t>
      </w:r>
      <w:r>
        <w:rPr>
          <w:rFonts w:ascii="Times New Roman" w:hAnsi="Times New Roman" w:eastAsia="宋体" w:cs="Times New Roman"/>
          <w:b w:val="0"/>
          <w:bCs w:val="0"/>
          <w:color w:val="000000"/>
          <w:sz w:val="24"/>
        </w:rPr>
      </w:r>
      <w:r/>
    </w:p>
    <w:p>
      <w:pPr>
        <w:pStyle w:val="1126"/>
        <w:numPr>
          <w:ilvl w:val="0"/>
          <w:numId w:val="0"/>
        </w:numPr>
        <w:ind w:left="357"/>
        <w:spacing w:line="360" w:lineRule="auto"/>
        <w:tabs>
          <w:tab w:val="left" w:pos="1080" w:leader="none"/>
          <w:tab w:val="left" w:pos="2014" w:leader="none"/>
        </w:tabs>
        <w:rPr>
          <w:rFonts w:ascii="Times New Roman" w:hAnsi="Times New Roman" w:eastAsia="宋体" w:cs="Times New Roman"/>
          <w:color w:val="000000"/>
          <w:sz w:val="24"/>
        </w:rPr>
      </w:pPr>
      <w:r/>
      <w:bookmarkStart w:id="560" w:name="_Toc127151554"/>
      <w:r/>
      <w:bookmarkStart w:id="561" w:name="_Toc353873934"/>
      <w:r/>
      <w:bookmarkStart w:id="562" w:name="_Toc305158896"/>
      <w:r/>
      <w:bookmarkStart w:id="563" w:name="_Toc353825544"/>
      <w:r/>
      <w:bookmarkStart w:id="564" w:name="_Toc353873664"/>
      <w:r/>
      <w:bookmarkStart w:id="565" w:name="_Toc265228392"/>
      <w:r/>
      <w:bookmarkStart w:id="566" w:name="_Toc226965827"/>
      <w:r/>
      <w:bookmarkStart w:id="567" w:name="_Toc150774759"/>
      <w:r/>
      <w:bookmarkStart w:id="568" w:name="_Toc150480792"/>
      <w:r/>
      <w:bookmarkStart w:id="569" w:name="_Toc264969244"/>
      <w:r/>
      <w:bookmarkStart w:id="570" w:name="_Toc142311056"/>
      <w:r/>
      <w:bookmarkStart w:id="571" w:name="_Toc226337250"/>
      <w:r/>
      <w:bookmarkStart w:id="572" w:name="_Toc305158822"/>
      <w:r>
        <w:rPr>
          <w:rFonts w:ascii="Times New Roman" w:hAnsi="Times New Roman" w:eastAsia="宋体" w:cs="Times New Roman"/>
          <w:color w:val="000000"/>
          <w:sz w:val="24"/>
        </w:rPr>
      </w:r>
      <w:r/>
    </w:p>
    <w:p>
      <w:pPr>
        <w:pStyle w:val="1126"/>
        <w:numPr>
          <w:ilvl w:val="0"/>
          <w:numId w:val="0"/>
        </w:numPr>
        <w:ind w:left="357"/>
        <w:spacing w:line="360" w:lineRule="auto"/>
        <w:tabs>
          <w:tab w:val="left" w:pos="1080"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26  </w:t>
      </w:r>
      <w:r>
        <w:rPr>
          <w:rFonts w:hint="eastAsia" w:ascii="Times New Roman" w:hAnsi="Times New Roman" w:eastAsia="宋体" w:cs="Times New Roman"/>
          <w:color w:val="000000"/>
          <w:sz w:val="24"/>
        </w:rPr>
        <w:t xml:space="preserve">电子履约保函</w:t>
      </w:r>
      <w:r>
        <w:rPr>
          <w:rFonts w:hint="eastAsia" w:ascii="Times New Roman" w:hAnsi="Times New Roman" w:eastAsia="宋体" w:cs="Times New Roman"/>
          <w:color w:val="000000"/>
          <w:sz w:val="24"/>
        </w:rPr>
      </w:r>
      <w:r/>
    </w:p>
    <w:p>
      <w:pPr>
        <w:pStyle w:val="1126"/>
        <w:numPr>
          <w:ilvl w:val="0"/>
          <w:numId w:val="0"/>
        </w:numPr>
        <w:ind w:firstLine="720"/>
        <w:spacing w:line="360" w:lineRule="auto"/>
        <w:tabs>
          <w:tab w:val="left" w:pos="1080"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rFonts w:hint="eastAsia" w:ascii="Times New Roman" w:hAnsi="Times New Roman" w:eastAsia="宋体" w:cs="Times New Roman"/>
          <w:color w:val="000000"/>
          <w:sz w:val="24"/>
        </w:rPr>
      </w:r>
      <w:r/>
    </w:p>
    <w:p>
      <w:pPr>
        <w:pStyle w:val="1208"/>
        <w:rPr>
          <w:rFonts w:eastAsia="宋体"/>
          <w:color w:val="000000"/>
          <w:lang w:val="en-US" w:eastAsia="zh-CN"/>
        </w:rPr>
        <w:sectPr>
          <w:footerReference w:type="default" r:id="rId20"/>
          <w:footerReference w:type="even" r:id="rId21"/>
          <w:footnotePr/>
          <w:endnotePr/>
          <w:type w:val="nextPage"/>
          <w:pgSz w:w="11907" w:h="16840" w:orient="portrait"/>
          <w:pgMar w:top="1440" w:right="1304" w:bottom="1440" w:left="1304" w:header="851" w:footer="851" w:gutter="0"/>
          <w:pgNumType w:start="1"/>
          <w:cols w:num="1" w:sep="0" w:space="1701" w:equalWidth="1"/>
          <w:docGrid w:linePitch="360"/>
        </w:sectPr>
      </w:pPr>
      <w:r>
        <w:rPr>
          <w:rFonts w:eastAsia="宋体"/>
          <w:color w:val="000000"/>
          <w:lang w:val="en-US" w:eastAsia="zh-CN"/>
        </w:rPr>
      </w:r>
      <w:r/>
    </w:p>
    <w:p>
      <w:pPr>
        <w:pStyle w:val="1126"/>
        <w:jc w:val="center"/>
        <w:spacing w:line="360" w:lineRule="auto"/>
        <w:rPr>
          <w:b/>
          <w:color w:val="000000"/>
          <w:sz w:val="36"/>
          <w:szCs w:val="36"/>
        </w:rPr>
        <w:outlineLvl w:val="0"/>
      </w:pPr>
      <w:r/>
      <w:bookmarkStart w:id="573" w:name="_Toc23924"/>
      <w:r>
        <w:rPr>
          <w:b/>
          <w:color w:val="000000"/>
          <w:sz w:val="36"/>
          <w:szCs w:val="36"/>
        </w:rPr>
        <w:t xml:space="preserve">第三章   </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b/>
          <w:color w:val="000000"/>
          <w:sz w:val="36"/>
          <w:szCs w:val="36"/>
        </w:rPr>
        <w:t xml:space="preserve">评审</w:t>
      </w:r>
      <w:r>
        <w:rPr>
          <w:rFonts w:hint="eastAsia"/>
          <w:b/>
          <w:color w:val="000000"/>
          <w:sz w:val="36"/>
          <w:szCs w:val="36"/>
        </w:rPr>
        <w:t xml:space="preserve">程序、评审</w:t>
      </w:r>
      <w:r>
        <w:rPr>
          <w:b/>
          <w:color w:val="000000"/>
          <w:sz w:val="36"/>
          <w:szCs w:val="36"/>
        </w:rPr>
        <w:t xml:space="preserve">方法和评审标准</w:t>
      </w:r>
      <w:bookmarkEnd w:id="573"/>
      <w:r/>
      <w:bookmarkStart w:id="574" w:name="_Toc487900382"/>
      <w:r>
        <w:rPr>
          <w:b/>
          <w:color w:val="000000"/>
          <w:sz w:val="36"/>
          <w:szCs w:val="36"/>
        </w:rPr>
      </w:r>
      <w:r/>
    </w:p>
    <w:p>
      <w:pPr>
        <w:pStyle w:val="1128"/>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w:t>
      </w:r>
      <w:r>
        <w:rPr>
          <w:rFonts w:hint="eastAsia" w:ascii="Times New Roman" w:hAnsi="Times New Roman" w:eastAsia="宋体"/>
          <w:color w:val="000000"/>
          <w:sz w:val="24"/>
          <w:szCs w:val="24"/>
        </w:rPr>
        <w:t xml:space="preserve">评审</w:t>
      </w:r>
      <w:r>
        <w:rPr>
          <w:rFonts w:ascii="Times New Roman" w:hAnsi="Times New Roman" w:eastAsia="宋体"/>
          <w:color w:val="000000"/>
          <w:sz w:val="24"/>
          <w:szCs w:val="24"/>
        </w:rPr>
        <w:t xml:space="preserve">程序</w:t>
      </w:r>
      <w:r>
        <w:rPr>
          <w:rFonts w:ascii="Times New Roman" w:hAnsi="Times New Roman" w:eastAsia="宋体"/>
          <w:color w:val="000000"/>
          <w:sz w:val="24"/>
          <w:szCs w:val="24"/>
        </w:rPr>
      </w:r>
      <w:r/>
    </w:p>
    <w:p>
      <w:pPr>
        <w:pStyle w:val="1126"/>
        <w:jc w:val="left"/>
        <w:tabs>
          <w:tab w:val="left" w:pos="1080" w:leader="none"/>
        </w:tabs>
        <w:rPr>
          <w:b/>
          <w:color w:val="000000"/>
          <w:sz w:val="24"/>
        </w:rPr>
      </w:pPr>
      <w:r>
        <w:rPr>
          <w:b/>
          <w:color w:val="000000"/>
          <w:sz w:val="24"/>
        </w:rPr>
        <w:tab/>
      </w:r>
      <w:r>
        <w:rPr>
          <w:b/>
          <w:color w:val="000000"/>
          <w:sz w:val="24"/>
        </w:rPr>
      </w:r>
      <w:r/>
    </w:p>
    <w:p>
      <w:pPr>
        <w:pStyle w:val="1126"/>
        <w:numPr>
          <w:ilvl w:val="0"/>
          <w:numId w:val="11"/>
        </w:numPr>
        <w:spacing w:line="360" w:lineRule="auto"/>
        <w:tabs>
          <w:tab w:val="left" w:pos="360" w:leader="none"/>
          <w:tab w:val="left" w:pos="900" w:leader="none"/>
        </w:tabs>
        <w:rPr>
          <w:color w:val="000000"/>
          <w:sz w:val="24"/>
        </w:rPr>
        <w:outlineLvl w:val="1"/>
      </w:pPr>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74"/>
      <w:r/>
      <w:bookmarkStart w:id="575" w:name="_Toc164229236"/>
      <w:r/>
      <w:bookmarkStart w:id="576" w:name="_Toc150509292"/>
      <w:r/>
      <w:bookmarkStart w:id="577" w:name="_Toc164608655"/>
      <w:r/>
      <w:bookmarkStart w:id="578" w:name="_Toc226965814"/>
      <w:r/>
      <w:bookmarkStart w:id="579" w:name="_Toc127151742"/>
      <w:r/>
      <w:bookmarkStart w:id="580" w:name="_Toc226309785"/>
      <w:r/>
      <w:bookmarkStart w:id="581" w:name="_Toc151190168"/>
      <w:r/>
      <w:bookmarkStart w:id="582" w:name="_Toc150774746"/>
      <w:r/>
      <w:bookmarkStart w:id="583" w:name="_Toc127161455"/>
      <w:r/>
      <w:bookmarkStart w:id="584" w:name="_Toc305158883"/>
      <w:r/>
      <w:bookmarkStart w:id="585" w:name="_Toc164229382"/>
      <w:r/>
      <w:bookmarkStart w:id="586" w:name="_Toc151193855"/>
      <w:r/>
      <w:bookmarkStart w:id="587" w:name="_Toc142311043"/>
      <w:r/>
      <w:bookmarkStart w:id="588" w:name="_Toc305158809"/>
      <w:r/>
      <w:bookmarkStart w:id="589" w:name="_Toc264969231"/>
      <w:r/>
      <w:bookmarkStart w:id="590" w:name="_Toc164608810"/>
      <w:r/>
      <w:bookmarkStart w:id="591" w:name="_Toc150774641"/>
      <w:r/>
      <w:bookmarkStart w:id="592" w:name="_Toc151193783"/>
      <w:r/>
      <w:bookmarkStart w:id="593" w:name="_Toc195842906"/>
      <w:r/>
      <w:bookmarkStart w:id="594" w:name="_Toc265228379"/>
      <w:r/>
      <w:bookmarkStart w:id="595" w:name="_Toc226965731"/>
      <w:r/>
      <w:bookmarkStart w:id="596" w:name="_Toc151193929"/>
      <w:r/>
      <w:bookmarkStart w:id="597" w:name="_Toc226337237"/>
      <w:r/>
      <w:bookmarkStart w:id="598" w:name="_Toc150480779"/>
      <w:r/>
      <w:bookmarkStart w:id="599" w:name="_Toc151193639"/>
      <w:r/>
      <w:bookmarkStart w:id="600" w:name="_Toc149720834"/>
      <w:r/>
      <w:bookmarkStart w:id="601" w:name="_Toc127151541"/>
      <w:r/>
      <w:bookmarkStart w:id="602" w:name="_Toc151193711"/>
      <w:r/>
      <w:bookmarkStart w:id="603" w:name="_Toc164351635"/>
      <w:r/>
      <w:bookmarkStart w:id="604" w:name="_Toc353873941"/>
      <w:r/>
      <w:bookmarkStart w:id="605" w:name="_Toc353825551"/>
      <w:r/>
      <w:bookmarkStart w:id="606" w:name="_Toc353825545"/>
      <w:r/>
      <w:bookmarkStart w:id="607" w:name="_Toc305158823"/>
      <w:r/>
      <w:bookmarkStart w:id="608" w:name="_Toc142311057"/>
      <w:r/>
      <w:bookmarkStart w:id="609" w:name="_Toc150480793"/>
      <w:r/>
      <w:bookmarkStart w:id="610" w:name="_Toc150774760"/>
      <w:r/>
      <w:bookmarkStart w:id="611" w:name="_Toc226965828"/>
      <w:r/>
      <w:bookmarkStart w:id="612" w:name="_Toc195842920"/>
      <w:r/>
      <w:bookmarkStart w:id="613" w:name="_Toc127151555"/>
      <w:r/>
      <w:bookmarkStart w:id="614" w:name="_Toc264969245"/>
      <w:r/>
      <w:bookmarkStart w:id="615" w:name="_Toc353873665"/>
      <w:r/>
      <w:bookmarkStart w:id="616" w:name="_Toc353873935"/>
      <w:r/>
      <w:bookmarkStart w:id="617" w:name="_Toc265228393"/>
      <w:r/>
      <w:bookmarkStart w:id="618" w:name="_Toc305158897"/>
      <w:r/>
      <w:bookmarkStart w:id="619" w:name="_Toc226337251"/>
      <w:r>
        <w:rPr>
          <w:color w:val="000000"/>
          <w:sz w:val="24"/>
        </w:rPr>
        <w:t xml:space="preserve">响应文件的</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color w:val="000000"/>
          <w:sz w:val="24"/>
        </w:rPr>
        <w:t xml:space="preserve">资格性检查和符合性审查</w:t>
      </w:r>
      <w:r>
        <w:rPr>
          <w:color w:val="000000"/>
          <w:sz w:val="24"/>
        </w:rPr>
      </w:r>
      <w:r/>
    </w:p>
    <w:p>
      <w:pPr>
        <w:pStyle w:val="1126"/>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rPr>
        <w:t xml:space="preserve">无效响应</w:t>
      </w:r>
      <w:r>
        <w:rPr>
          <w:color w:val="000000"/>
          <w:sz w:val="24"/>
        </w:rPr>
        <w:t xml:space="preserve">处理，磋商小组应当告知提交响应文件的供应商。</w:t>
      </w:r>
      <w:r>
        <w:rPr>
          <w:color w:val="000000"/>
          <w:sz w:val="24"/>
        </w:rPr>
      </w:r>
      <w:r/>
    </w:p>
    <w:p>
      <w:pPr>
        <w:pStyle w:val="1126"/>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《资格性检查要求》中对格式有要求的，除竞争性磋商文件另有规定外，均为“实质性格式”文件。</w:t>
      </w:r>
      <w:r>
        <w:rPr>
          <w:color w:val="000000"/>
          <w:sz w:val="24"/>
        </w:rPr>
      </w:r>
      <w:r/>
    </w:p>
    <w:p>
      <w:pPr>
        <w:pStyle w:val="1126"/>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《资格性检查要求》见下表：</w:t>
      </w:r>
      <w:r>
        <w:rPr>
          <w:color w:val="000000"/>
          <w:sz w:val="24"/>
        </w:rPr>
      </w:r>
      <w:r/>
    </w:p>
    <w:p>
      <w:pPr>
        <w:pStyle w:val="1126"/>
        <w:ind w:left="1077" w:firstLine="2640"/>
        <w:spacing w:line="360" w:lineRule="auto"/>
        <w:tabs>
          <w:tab w:val="left" w:pos="900" w:leader="none"/>
          <w:tab w:val="left" w:pos="1080" w:leader="none"/>
        </w:tabs>
        <w:rPr>
          <w:b/>
          <w:color w:val="000000"/>
          <w:sz w:val="24"/>
        </w:rPr>
      </w:pPr>
      <w:r/>
      <w:bookmarkStart w:id="620" w:name="_Hlt487972895"/>
      <w:r/>
      <w:bookmarkEnd w:id="620"/>
      <w:r>
        <w:rPr>
          <w:b/>
          <w:color w:val="000000"/>
          <w:sz w:val="24"/>
        </w:rPr>
        <w:t xml:space="preserve">资格性检查要求</w:t>
      </w:r>
      <w:r>
        <w:rPr>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7"/>
      </w:tblGrid>
      <w:tr>
        <w:trPr>
          <w:cantSplit/>
          <w:trHeight w:val="1514"/>
        </w:trPr>
        <w:tc>
          <w:tcPr>
            <w:tcW w:w="640" w:type="dxa"/>
            <w:vAlign w:val="center"/>
            <w:textDirection w:val="lrTb"/>
            <w:noWrap w:val="false"/>
          </w:tcPr>
          <w:p>
            <w:pPr>
              <w:pStyle w:val="1126"/>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730" w:type="dxa"/>
            <w:vAlign w:val="center"/>
            <w:textDirection w:val="lrTb"/>
            <w:noWrap w:val="false"/>
          </w:tcPr>
          <w:p>
            <w:pPr>
              <w:pStyle w:val="1126"/>
              <w:jc w:val="left"/>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满足《中华人民共和国政府采购法》第二十二条规定</w:t>
            </w:r>
            <w:r>
              <w:rPr>
                <w:rFonts w:hint="eastAsia" w:ascii="宋体" w:hAnsi="宋体" w:eastAsia="宋体" w:cs="宋体"/>
                <w:color w:val="000000"/>
                <w:sz w:val="24"/>
                <w:szCs w:val="24"/>
              </w:rPr>
            </w:r>
            <w:r/>
          </w:p>
        </w:tc>
        <w:tc>
          <w:tcPr>
            <w:tcW w:w="4494"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具体规定见第一章《竞争性磋商公告》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924"/>
        </w:trPr>
        <w:tc>
          <w:tcPr>
            <w:tcW w:w="640" w:type="dxa"/>
            <w:vAlign w:val="center"/>
            <w:textDirection w:val="lrTb"/>
            <w:noWrap w:val="false"/>
          </w:tcPr>
          <w:p>
            <w:pPr>
              <w:pStyle w:val="1126"/>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1730" w:type="dxa"/>
            <w:vAlign w:val="center"/>
            <w:textDirection w:val="lrTb"/>
            <w:noWrap w:val="false"/>
          </w:tcPr>
          <w:p>
            <w:pPr>
              <w:pStyle w:val="1126"/>
              <w:jc w:val="left"/>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供应商资格声明函</w:t>
            </w:r>
            <w:r>
              <w:rPr>
                <w:rFonts w:hint="eastAsia" w:ascii="宋体" w:hAnsi="宋体" w:eastAsia="宋体" w:cs="宋体"/>
                <w:color w:val="000000"/>
                <w:sz w:val="24"/>
                <w:szCs w:val="24"/>
              </w:rPr>
            </w:r>
            <w:r/>
          </w:p>
        </w:tc>
        <w:tc>
          <w:tcPr>
            <w:tcW w:w="4494"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提供了符合采购文件要求的《供应商资格声明函》。</w:t>
            </w:r>
            <w:r>
              <w:rPr>
                <w:rFonts w:hint="eastAsia" w:ascii="宋体" w:hAnsi="宋体" w:eastAsia="宋体" w:cs="宋体"/>
                <w:color w:val="000000"/>
                <w:sz w:val="24"/>
                <w:szCs w:val="24"/>
              </w:rPr>
            </w:r>
            <w:r/>
          </w:p>
        </w:tc>
        <w:tc>
          <w:tcPr>
            <w:tcW w:w="1658"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格式见《响应文件格式》</w:t>
            </w:r>
            <w:r>
              <w:rPr>
                <w:rFonts w:hint="eastAsia" w:ascii="宋体" w:hAnsi="宋体" w:eastAsia="宋体" w:cs="宋体"/>
                <w:color w:val="000000"/>
                <w:sz w:val="24"/>
                <w:szCs w:val="24"/>
              </w:rPr>
            </w:r>
            <w:r/>
          </w:p>
        </w:tc>
      </w:tr>
      <w:tr>
        <w:trPr>
          <w:cantSplit/>
          <w:trHeight w:val="1666"/>
        </w:trPr>
        <w:tc>
          <w:tcPr>
            <w:tcW w:w="640" w:type="dxa"/>
            <w:vAlign w:val="center"/>
            <w:textDirection w:val="lrTb"/>
            <w:noWrap w:val="false"/>
          </w:tcPr>
          <w:p>
            <w:pPr>
              <w:pStyle w:val="1126"/>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1730"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供应商信用记录</w:t>
            </w:r>
            <w:r>
              <w:rPr>
                <w:rFonts w:hint="eastAsia" w:ascii="宋体" w:hAnsi="宋体" w:eastAsia="宋体" w:cs="宋体"/>
                <w:color w:val="000000"/>
                <w:sz w:val="24"/>
                <w:szCs w:val="24"/>
              </w:rPr>
            </w:r>
            <w:r/>
          </w:p>
        </w:tc>
        <w:tc>
          <w:tcPr>
            <w:tcW w:w="4494"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查询渠道：信用中国网站或中国政府采购网（www.creditchina.gov.cn、www.ccgp.gov.cn）；</w:t>
            </w:r>
            <w:r>
              <w:rPr>
                <w:rFonts w:hint="eastAsia" w:ascii="宋体" w:hAnsi="宋体" w:eastAsia="宋体" w:cs="宋体"/>
                <w:color w:val="000000"/>
                <w:sz w:val="24"/>
                <w:szCs w:val="24"/>
              </w:rPr>
            </w:r>
            <w:r/>
          </w:p>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截止时点：提交响应文件截止时间以后、资格审查阶段采购人或采购代理机构的实际查询时间；</w:t>
            </w:r>
            <w:r>
              <w:rPr>
                <w:rFonts w:hint="eastAsia" w:ascii="宋体" w:hAnsi="宋体" w:eastAsia="宋体" w:cs="宋体"/>
                <w:color w:val="000000"/>
                <w:sz w:val="24"/>
                <w:szCs w:val="24"/>
              </w:rPr>
            </w:r>
            <w:r/>
          </w:p>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信用信息查询记录和证据留存具体方式：查询结果网页打印页作为查询记录和证据，与其他采购文件一并保存；</w:t>
            </w:r>
            <w:r>
              <w:rPr>
                <w:rFonts w:hint="eastAsia" w:ascii="宋体" w:hAnsi="宋体" w:eastAsia="宋体" w:cs="宋体"/>
                <w:color w:val="000000"/>
                <w:sz w:val="24"/>
                <w:szCs w:val="24"/>
              </w:rPr>
            </w:r>
            <w:r/>
          </w:p>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用信息的使用原则：经认定的被列入失信被执行人、重大税收违法失信主体、政府采购严重违法失信行为记录名单的供应商，其响应无效。联合体形式响应的，联合体成员存在不良信用记录，视同联合体存在不良信用记录。</w:t>
            </w:r>
            <w:r>
              <w:rPr>
                <w:rFonts w:hint="eastAsia" w:ascii="宋体" w:hAnsi="宋体" w:eastAsia="宋体" w:cs="宋体"/>
                <w:color w:val="000000"/>
                <w:sz w:val="24"/>
                <w:szCs w:val="24"/>
              </w:rPr>
            </w:r>
            <w:r/>
          </w:p>
        </w:tc>
        <w:tc>
          <w:tcPr>
            <w:tcW w:w="1658"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无须供应商提供，由采购人或采购代理机构查询。</w:t>
            </w:r>
            <w:r>
              <w:rPr>
                <w:rFonts w:hint="eastAsia" w:ascii="宋体" w:hAnsi="宋体" w:eastAsia="宋体" w:cs="宋体"/>
                <w:color w:val="000000"/>
                <w:sz w:val="24"/>
                <w:szCs w:val="24"/>
              </w:rPr>
            </w:r>
            <w:r/>
          </w:p>
        </w:tc>
      </w:tr>
      <w:tr>
        <w:trPr>
          <w:cantSplit/>
          <w:trHeight w:val="1666"/>
        </w:trPr>
        <w:tc>
          <w:tcPr>
            <w:tcW w:w="640" w:type="dxa"/>
            <w:vAlign w:val="center"/>
            <w:textDirection w:val="lrTb"/>
            <w:noWrap w:val="false"/>
          </w:tcPr>
          <w:p>
            <w:pPr>
              <w:pStyle w:val="1126"/>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730"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落实政府采购政策需满足的资格要求</w:t>
            </w:r>
            <w:r>
              <w:rPr>
                <w:rFonts w:hint="eastAsia" w:ascii="宋体" w:hAnsi="宋体" w:eastAsia="宋体" w:cs="宋体"/>
                <w:color w:val="000000"/>
                <w:sz w:val="24"/>
                <w:szCs w:val="24"/>
              </w:rPr>
            </w:r>
            <w:r/>
          </w:p>
        </w:tc>
        <w:tc>
          <w:tcPr>
            <w:tcW w:w="4494"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1126"/>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W w:w="1730"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中小企业声明函</w:t>
            </w:r>
            <w:r>
              <w:rPr>
                <w:rFonts w:hint="eastAsia" w:ascii="宋体" w:hAnsi="宋体" w:eastAsia="宋体" w:cs="宋体"/>
                <w:color w:val="000000"/>
                <w:sz w:val="24"/>
                <w:szCs w:val="24"/>
              </w:rPr>
            </w:r>
            <w:r/>
          </w:p>
        </w:tc>
        <w:tc>
          <w:tcPr>
            <w:tcW w:w="4494" w:type="dxa"/>
            <w:vAlign w:val="center"/>
            <w:textDirection w:val="lrTb"/>
            <w:noWrap w:val="false"/>
          </w:tcPr>
          <w:p>
            <w:pPr>
              <w:pStyle w:val="1126"/>
              <w:jc w:val="both"/>
              <w:tabs>
                <w:tab w:val="left" w:pos="108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lang w:val="en-US" w:eastAsia="zh-CN"/>
              </w:rPr>
            </w:r>
            <w:r/>
          </w:p>
        </w:tc>
        <w:tc>
          <w:tcPr>
            <w:tcW w:w="1658" w:type="dxa"/>
            <w:vAlign w:val="center"/>
            <w:textDirection w:val="lrTb"/>
            <w:noWrap w:val="false"/>
          </w:tcPr>
          <w:p>
            <w:pPr>
              <w:pStyle w:val="112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1730"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拟分包情况说明及分包意向协议（类型一）</w:t>
            </w:r>
            <w:r>
              <w:rPr>
                <w:rFonts w:hint="eastAsia" w:ascii="宋体" w:hAnsi="宋体" w:eastAsia="宋体" w:cs="宋体"/>
                <w:color w:val="000000"/>
                <w:sz w:val="24"/>
                <w:szCs w:val="24"/>
              </w:rPr>
            </w:r>
            <w:r/>
          </w:p>
        </w:tc>
        <w:tc>
          <w:tcPr>
            <w:tcW w:w="4494" w:type="dxa"/>
            <w:vAlign w:val="center"/>
            <w:textDirection w:val="lrTb"/>
            <w:noWrap w:val="false"/>
          </w:tcPr>
          <w:p>
            <w:pPr>
              <w:pStyle w:val="1126"/>
              <w:jc w:val="both"/>
              <w:tabs>
                <w:tab w:val="left" w:pos="1080" w:leader="none"/>
              </w:tabs>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b/>
                <w:color w:val="000000"/>
                <w:sz w:val="24"/>
                <w:szCs w:val="24"/>
              </w:rPr>
            </w:r>
            <w:r/>
          </w:p>
        </w:tc>
        <w:tc>
          <w:tcPr>
            <w:tcW w:w="1658"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tcW w:w="1730"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其它落实政府采购政策的资格要求</w:t>
            </w:r>
            <w:r>
              <w:rPr>
                <w:rFonts w:hint="eastAsia" w:ascii="宋体" w:hAnsi="宋体" w:eastAsia="宋体" w:cs="宋体"/>
                <w:color w:val="000000"/>
                <w:sz w:val="24"/>
                <w:szCs w:val="24"/>
              </w:rPr>
            </w:r>
            <w:r/>
          </w:p>
        </w:tc>
        <w:tc>
          <w:tcPr>
            <w:tcW w:w="4494" w:type="dxa"/>
            <w:vAlign w:val="center"/>
            <w:textDirection w:val="lrTb"/>
            <w:noWrap w:val="false"/>
          </w:tcPr>
          <w:p>
            <w:pPr>
              <w:pStyle w:val="1126"/>
              <w:jc w:val="both"/>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730"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本项目的特定资格要求</w:t>
            </w:r>
            <w:r>
              <w:rPr>
                <w:rFonts w:hint="eastAsia" w:ascii="宋体" w:hAnsi="宋体" w:eastAsia="宋体" w:cs="宋体"/>
                <w:color w:val="000000"/>
                <w:sz w:val="24"/>
                <w:szCs w:val="24"/>
              </w:rPr>
            </w:r>
            <w:r/>
          </w:p>
        </w:tc>
        <w:tc>
          <w:tcPr>
            <w:tcW w:w="4494" w:type="dxa"/>
            <w:vAlign w:val="center"/>
            <w:textDirection w:val="lrTb"/>
            <w:noWrap w:val="false"/>
          </w:tcPr>
          <w:p>
            <w:pPr>
              <w:pStyle w:val="1126"/>
              <w:jc w:val="both"/>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tcW w:w="1730"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是否接受联合体响应</w:t>
            </w:r>
            <w:r>
              <w:rPr>
                <w:rFonts w:hint="eastAsia" w:ascii="宋体" w:hAnsi="宋体" w:eastAsia="宋体" w:cs="宋体"/>
                <w:color w:val="000000"/>
                <w:sz w:val="24"/>
                <w:szCs w:val="24"/>
              </w:rPr>
            </w:r>
            <w:r/>
          </w:p>
        </w:tc>
        <w:tc>
          <w:tcPr>
            <w:tcW w:w="4494" w:type="dxa"/>
            <w:vAlign w:val="center"/>
            <w:textDirection w:val="lrTb"/>
            <w:noWrap w:val="false"/>
          </w:tcPr>
          <w:p>
            <w:pPr>
              <w:pStyle w:val="1126"/>
              <w:jc w:val="left"/>
              <w:tabs>
                <w:tab w:val="left" w:pos="1080" w:leader="none"/>
              </w:tabs>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highlight w:val="yellow"/>
              </w:rPr>
            </w:r>
            <w:r/>
          </w:p>
        </w:tc>
        <w:tc>
          <w:tcPr>
            <w:tcW w:w="1658" w:type="dxa"/>
            <w:vAlign w:val="center"/>
            <w:textDirection w:val="lrTb"/>
            <w:noWrap w:val="false"/>
          </w:tcPr>
          <w:p>
            <w:pPr>
              <w:pStyle w:val="1126"/>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tc>
      </w:tr>
      <w:tr>
        <w:trPr>
          <w:cantSplit/>
          <w:trHeight w:val="632"/>
        </w:trPr>
        <w:tc>
          <w:tcPr>
            <w:tcW w:w="640"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r>
            <w:r/>
          </w:p>
        </w:tc>
        <w:tc>
          <w:tcPr>
            <w:tcW w:w="1730"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其他特定资格要求</w:t>
            </w:r>
            <w:r>
              <w:rPr>
                <w:rFonts w:hint="eastAsia" w:ascii="宋体" w:hAnsi="宋体" w:eastAsia="宋体" w:cs="宋体"/>
                <w:color w:val="000000"/>
                <w:sz w:val="24"/>
                <w:szCs w:val="24"/>
              </w:rPr>
            </w:r>
            <w:r/>
          </w:p>
        </w:tc>
        <w:tc>
          <w:tcPr>
            <w:tcW w:w="4494" w:type="dxa"/>
            <w:vAlign w:val="center"/>
            <w:textDirection w:val="lrTb"/>
            <w:noWrap w:val="false"/>
          </w:tcPr>
          <w:p>
            <w:pPr>
              <w:pStyle w:val="1126"/>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112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126"/>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26"/>
        <w:jc w:val="left"/>
        <w:widowControl/>
        <w:rPr>
          <w:color w:val="000000"/>
          <w:sz w:val="24"/>
        </w:rPr>
      </w:pPr>
      <w:r>
        <w:rPr>
          <w:rFonts w:hint="eastAsia" w:ascii="宋体" w:hAnsi="宋体" w:eastAsia="宋体" w:cs="宋体"/>
          <w:color w:val="000000"/>
          <w:sz w:val="24"/>
          <w:szCs w:val="24"/>
        </w:rPr>
        <w:br w:type="page" w:clear="all"/>
      </w:r>
      <w:r>
        <w:rPr>
          <w:color w:val="000000"/>
          <w:sz w:val="24"/>
        </w:rPr>
      </w:r>
      <w:r/>
    </w:p>
    <w:p>
      <w:pPr>
        <w:pStyle w:val="1126"/>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《符合性审查要求》见下表：</w:t>
      </w:r>
      <w:r>
        <w:rPr>
          <w:color w:val="000000"/>
          <w:sz w:val="24"/>
        </w:rPr>
      </w:r>
      <w:r/>
    </w:p>
    <w:p>
      <w:pPr>
        <w:pStyle w:val="1126"/>
        <w:jc w:val="center"/>
        <w:spacing w:line="360" w:lineRule="auto"/>
        <w:widowControl/>
        <w:rPr>
          <w:b/>
          <w:color w:val="000000"/>
          <w:sz w:val="24"/>
        </w:rPr>
      </w:pPr>
      <w:r>
        <w:rPr>
          <w:b/>
          <w:color w:val="000000"/>
          <w:sz w:val="24"/>
        </w:rPr>
        <w:t xml:space="preserve">符合性审查要求</w:t>
      </w:r>
      <w:r>
        <w:rPr>
          <w:b/>
          <w:color w:val="000000"/>
          <w:sz w:val="24"/>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063"/>
        <w:gridCol w:w="6475"/>
      </w:tblGrid>
      <w:tr>
        <w:trPr>
          <w:trHeight w:val="300"/>
        </w:trPr>
        <w:tc>
          <w:tcPr>
            <w:tcW w:w="750" w:type="dxa"/>
            <w:vAlign w:val="center"/>
            <w:textDirection w:val="lrTb"/>
            <w:noWrap w:val="false"/>
          </w:tcPr>
          <w:p>
            <w:pPr>
              <w:pStyle w:val="1126"/>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2063" w:type="dxa"/>
            <w:vAlign w:val="center"/>
            <w:textDirection w:val="lrTb"/>
            <w:noWrap w:val="false"/>
          </w:tcPr>
          <w:p>
            <w:pPr>
              <w:pStyle w:val="1126"/>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6475" w:type="dxa"/>
            <w:vAlign w:val="center"/>
            <w:textDirection w:val="lrTb"/>
            <w:noWrap w:val="false"/>
          </w:tcPr>
          <w:p>
            <w:pPr>
              <w:pStyle w:val="1126"/>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750" w:type="dxa"/>
            <w:vAlign w:val="center"/>
            <w:textDirection w:val="lrTb"/>
            <w:noWrap w:val="false"/>
          </w:tcPr>
          <w:p>
            <w:pPr>
              <w:pStyle w:val="1126"/>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2063"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r>
            <w:r/>
          </w:p>
        </w:tc>
        <w:tc>
          <w:tcPr>
            <w:tcW w:w="6475"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eastAsia="宋体" w:cs="宋体"/>
                <w:b/>
                <w:bCs/>
                <w:color w:val="000000"/>
                <w:sz w:val="24"/>
              </w:rPr>
              <w:t xml:space="preserve">；(格式见《投标（响应）文件格式》)</w:t>
            </w:r>
            <w:r>
              <w:rPr>
                <w:rFonts w:hint="eastAsia" w:ascii="宋体" w:hAnsi="宋体" w:cs="宋体"/>
                <w:color w:val="000000"/>
                <w:sz w:val="24"/>
              </w:rPr>
            </w:r>
            <w:r/>
          </w:p>
        </w:tc>
      </w:tr>
      <w:tr>
        <w:trPr>
          <w:trHeight w:val="685"/>
        </w:trPr>
        <w:tc>
          <w:tcPr>
            <w:tcW w:w="750" w:type="dxa"/>
            <w:vAlign w:val="center"/>
            <w:textDirection w:val="lrTb"/>
            <w:noWrap w:val="false"/>
          </w:tcPr>
          <w:p>
            <w:pPr>
              <w:pStyle w:val="1126"/>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2063"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6475"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未将一个采购包中的内容拆开响应；</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6"/>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2063"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6475"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6"/>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2063"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6475"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color w:val="000000"/>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57"/>
        </w:trPr>
        <w:tc>
          <w:tcPr>
            <w:tcW w:w="750" w:type="dxa"/>
            <w:vAlign w:val="center"/>
            <w:textDirection w:val="lrTb"/>
            <w:noWrap w:val="false"/>
          </w:tcPr>
          <w:p>
            <w:pPr>
              <w:pStyle w:val="1126"/>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2063"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6475" w:type="dxa"/>
            <w:vAlign w:val="center"/>
            <w:textDirection w:val="lrTb"/>
            <w:noWrap w:val="false"/>
          </w:tcPr>
          <w:p>
            <w:pPr>
              <w:pStyle w:val="1128"/>
              <w:jc w:val="left"/>
              <w:spacing w:before="0" w:line="360" w:lineRule="auto"/>
              <w:tabs>
                <w:tab w:val="center" w:pos="4592" w:leader="none"/>
                <w:tab w:val="left" w:pos="7860" w:leader="none"/>
              </w:tabs>
              <w:rPr>
                <w:rFonts w:hint="eastAsia" w:ascii="宋体" w:hAnsi="宋体" w:eastAsia="宋体" w:cs="宋体"/>
                <w:color w:val="000000"/>
                <w:sz w:val="24"/>
                <w:szCs w:val="24"/>
              </w:rPr>
            </w:pPr>
            <w:r>
              <w:rPr>
                <w:rFonts w:hint="eastAsia" w:ascii="宋体" w:hAnsi="宋体" w:eastAsia="宋体" w:cs="宋体"/>
                <w:b w:val="0"/>
                <w:color w:val="000000"/>
                <w:sz w:val="24"/>
                <w:szCs w:val="24"/>
              </w:rPr>
              <w:t xml:space="preserve">响应文件中承诺的响应有效期满足磋商文件中载明的响应有效期的</w:t>
            </w:r>
            <w:r>
              <w:rPr>
                <w:rFonts w:hint="eastAsia" w:ascii="宋体" w:hAnsi="宋体" w:eastAsia="宋体" w:cs="宋体"/>
                <w:b/>
                <w:bCs/>
                <w:color w:val="000000"/>
                <w:sz w:val="24"/>
                <w:szCs w:val="24"/>
                <w:lang w:val="en-US" w:eastAsia="zh-CN" w:bidi="ar-SA"/>
              </w:rPr>
              <w:t xml:space="preserve">；由评委审查，无需供应商提供材料。</w:t>
            </w:r>
            <w:r>
              <w:rPr>
                <w:rFonts w:hint="eastAsia" w:ascii="宋体" w:hAnsi="宋体" w:eastAsia="宋体" w:cs="宋体"/>
                <w:color w:val="000000"/>
                <w:sz w:val="24"/>
                <w:szCs w:val="24"/>
              </w:rPr>
            </w:r>
            <w:r/>
          </w:p>
        </w:tc>
      </w:tr>
      <w:tr>
        <w:trPr>
          <w:trHeight w:val="685"/>
        </w:trPr>
        <w:tc>
          <w:tcPr>
            <w:tcW w:w="750" w:type="dxa"/>
            <w:vAlign w:val="center"/>
            <w:textDirection w:val="lrTb"/>
            <w:noWrap w:val="false"/>
          </w:tcPr>
          <w:p>
            <w:pPr>
              <w:pStyle w:val="1126"/>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2063"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6475"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6"/>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2063"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6475"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标记为“实质性格式”的文件均按磋商文件要求提供；</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6"/>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2063"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★号条款响应（如有）</w:t>
            </w:r>
            <w:r>
              <w:rPr>
                <w:rFonts w:hint="eastAsia" w:ascii="宋体" w:hAnsi="宋体" w:cs="宋体"/>
                <w:color w:val="000000"/>
                <w:sz w:val="24"/>
              </w:rPr>
            </w:r>
            <w:r/>
          </w:p>
        </w:tc>
        <w:tc>
          <w:tcPr>
            <w:tcW w:w="6475"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color w:val="000000"/>
                <w:sz w:val="24"/>
              </w:rPr>
              <w:t xml:space="preserve">《采购需求》</w:t>
            </w:r>
            <w:r>
              <w:rPr>
                <w:rFonts w:hint="eastAsia" w:ascii="宋体" w:hAnsi="宋体" w:cs="宋体"/>
                <w:color w:val="000000"/>
                <w:sz w:val="24"/>
              </w:rPr>
              <w:t xml:space="preserve">中★号条款要求的；</w:t>
            </w:r>
            <w:r>
              <w:rPr>
                <w:rFonts w:hint="eastAsia" w:ascii="宋体" w:hAnsi="宋体" w:cs="宋体"/>
                <w:b/>
                <w:bCs/>
                <w:color w:val="000000"/>
                <w:sz w:val="24"/>
              </w:rPr>
              <w:t xml:space="preserve">逐项提供相关证明材料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6"/>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2063"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6475"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1126"/>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2063"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126"/>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475"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color w:val="000000"/>
                <w:sz w:val="24"/>
              </w:rPr>
              <w:t xml:space="preserve">（如有）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1126"/>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2063"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6475"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720"/>
        </w:trPr>
        <w:tc>
          <w:tcPr>
            <w:tcW w:w="750" w:type="dxa"/>
            <w:vAlign w:val="center"/>
            <w:textDirection w:val="lrTb"/>
            <w:noWrap w:val="false"/>
          </w:tcPr>
          <w:p>
            <w:pPr>
              <w:pStyle w:val="1126"/>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2063"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126"/>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475"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磋商文件不接受进口产品响应的内容时，供应商所投产品</w:t>
            </w:r>
            <w:r>
              <w:rPr>
                <w:rFonts w:hint="eastAsia" w:ascii="宋体" w:hAnsi="宋体" w:cs="宋体"/>
                <w:color w:val="000000"/>
                <w:sz w:val="24"/>
                <w:lang w:val="en-US" w:eastAsia="zh-CN"/>
              </w:rPr>
              <w:t xml:space="preserve">应为</w:t>
            </w:r>
            <w:r>
              <w:rPr>
                <w:rFonts w:hint="eastAsia" w:ascii="宋体" w:hAnsi="宋体" w:cs="宋体"/>
                <w:color w:val="000000"/>
                <w:sz w:val="24"/>
              </w:rPr>
              <w:t xml:space="preserve">非进口产品的；</w:t>
            </w:r>
            <w:r>
              <w:rPr>
                <w:rFonts w:hint="eastAsia" w:ascii="宋体" w:hAnsi="宋体" w:cs="宋体"/>
                <w:color w:val="000000"/>
                <w:sz w:val="24"/>
              </w:rPr>
            </w:r>
            <w:r/>
          </w:p>
        </w:tc>
      </w:tr>
      <w:tr>
        <w:trPr>
          <w:trHeight w:val="685"/>
        </w:trPr>
        <w:tc>
          <w:tcPr>
            <w:tcW w:w="750" w:type="dxa"/>
            <w:vAlign w:val="center"/>
            <w:textDirection w:val="lrTb"/>
            <w:noWrap w:val="false"/>
          </w:tcPr>
          <w:p>
            <w:pPr>
              <w:pStyle w:val="1126"/>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2063"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6475" w:type="dxa"/>
            <w:vAlign w:val="center"/>
            <w:textDirection w:val="lrTb"/>
            <w:noWrap w:val="false"/>
          </w:tcPr>
          <w:p>
            <w:pPr>
              <w:pStyle w:val="1126"/>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1126"/>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1126"/>
              <w:jc w:val="left"/>
              <w:widowControl/>
              <w:rPr>
                <w:rFonts w:hint="eastAsia" w:ascii="宋体" w:hAnsi="宋体" w:cs="宋体"/>
                <w:color w:val="000000"/>
                <w:sz w:val="24"/>
              </w:rPr>
            </w:pPr>
            <w:r>
              <w:rPr>
                <w:rFonts w:hint="eastAsia"/>
                <w:color w:val="000000"/>
                <w:sz w:val="24"/>
              </w:rPr>
              <w:t xml:space="preserve">2）</w:t>
            </w:r>
            <w:r>
              <w:rPr>
                <w:color w:val="000000"/>
                <w:sz w:val="24"/>
              </w:rPr>
              <w:t xml:space="preserve">国家</w:t>
            </w:r>
            <w:r>
              <w:rPr>
                <w:rFonts w:hint="eastAsia"/>
                <w:color w:val="000000"/>
                <w:sz w:val="24"/>
              </w:rPr>
              <w:t xml:space="preserve">如</w:t>
            </w:r>
            <w:r>
              <w:rPr>
                <w:color w:val="000000"/>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color w:val="000000"/>
                <w:sz w:val="24"/>
              </w:rPr>
              <w:t xml:space="preserve">。</w:t>
            </w:r>
            <w:r>
              <w:rPr>
                <w:rFonts w:hint="eastAsia" w:ascii="宋体" w:hAnsi="宋体" w:cs="宋体"/>
                <w:color w:val="000000"/>
                <w:sz w:val="24"/>
              </w:rPr>
            </w:r>
            <w:r/>
          </w:p>
        </w:tc>
      </w:tr>
      <w:tr>
        <w:trPr>
          <w:trHeight w:val="685"/>
        </w:trPr>
        <w:tc>
          <w:tcPr>
            <w:tcW w:w="750" w:type="dxa"/>
            <w:vAlign w:val="center"/>
            <w:textDirection w:val="lrTb"/>
            <w:noWrap w:val="false"/>
          </w:tcPr>
          <w:p>
            <w:pPr>
              <w:pStyle w:val="1126"/>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r>
            <w:r/>
          </w:p>
        </w:tc>
        <w:tc>
          <w:tcPr>
            <w:tcW w:w="2063"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6475"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6"/>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eastAsia="宋体" w:cs="宋体"/>
                <w:color w:val="000000"/>
                <w:sz w:val="24"/>
                <w:lang w:eastAsia="zh-CN"/>
              </w:rPr>
            </w:r>
            <w:r/>
          </w:p>
        </w:tc>
        <w:tc>
          <w:tcPr>
            <w:tcW w:w="2063"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6475"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6"/>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eastAsia="宋体" w:cs="宋体"/>
                <w:color w:val="000000"/>
                <w:sz w:val="24"/>
                <w:lang w:eastAsia="zh-CN"/>
              </w:rPr>
            </w:r>
            <w:r/>
          </w:p>
        </w:tc>
        <w:tc>
          <w:tcPr>
            <w:tcW w:w="2063"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6475"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6"/>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7</w:t>
            </w:r>
            <w:r>
              <w:rPr>
                <w:rFonts w:hint="eastAsia" w:ascii="宋体" w:hAnsi="宋体" w:eastAsia="宋体" w:cs="宋体"/>
                <w:color w:val="000000"/>
                <w:sz w:val="24"/>
                <w:lang w:eastAsia="zh-CN"/>
              </w:rPr>
            </w:r>
            <w:r/>
          </w:p>
        </w:tc>
        <w:tc>
          <w:tcPr>
            <w:tcW w:w="2063"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6475"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6"/>
              <w:jc w:val="center"/>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18</w:t>
            </w:r>
            <w:r>
              <w:rPr>
                <w:rFonts w:ascii="宋体" w:hAnsi="宋体" w:eastAsia="宋体" w:cs="宋体"/>
                <w:color w:val="000000"/>
                <w:sz w:val="24"/>
                <w:lang w:val="en-US" w:eastAsia="zh-CN"/>
              </w:rPr>
            </w:r>
            <w:r/>
          </w:p>
        </w:tc>
        <w:tc>
          <w:tcPr>
            <w:tcW w:w="2063" w:type="dxa"/>
            <w:vAlign w:val="center"/>
            <w:textDirection w:val="lrTb"/>
            <w:noWrap w:val="false"/>
          </w:tcPr>
          <w:p>
            <w:pPr>
              <w:pStyle w:val="1126"/>
              <w:jc w:val="lef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报价合理性</w:t>
            </w:r>
            <w:r>
              <w:rPr>
                <w:rFonts w:ascii="宋体" w:hAnsi="宋体" w:eastAsia="宋体" w:cs="宋体"/>
                <w:color w:val="000000"/>
                <w:sz w:val="24"/>
                <w:lang w:val="en-US" w:eastAsia="zh-CN"/>
              </w:rPr>
            </w:r>
            <w:r/>
          </w:p>
        </w:tc>
        <w:tc>
          <w:tcPr>
            <w:tcW w:w="6475" w:type="dxa"/>
            <w:vAlign w:val="center"/>
            <w:textDirection w:val="lrTb"/>
            <w:noWrap w:val="false"/>
          </w:tcPr>
          <w:p>
            <w:pPr>
              <w:pStyle w:val="1126"/>
              <w:jc w:val="left"/>
              <w:widowControl/>
              <w:rPr>
                <w:rFonts w:hint="eastAsia" w:ascii="宋体" w:hAnsi="宋体" w:cs="宋体"/>
                <w:color w:val="000000"/>
                <w:sz w:val="24"/>
              </w:rPr>
            </w:pPr>
            <w:r>
              <w:rPr>
                <w:rFonts w:hint="eastAsia" w:ascii="Times New Roman" w:hAnsi="Times New Roman" w:eastAsia="宋体" w:cs="Times New Roman"/>
                <w:b/>
                <w:bCs/>
                <w:color w:val="000000"/>
                <w:sz w:val="24"/>
                <w:szCs w:val="24"/>
                <w:lang w:val="en-US" w:eastAsia="zh-CN" w:bidi="ar-SA"/>
              </w:rPr>
              <w:t xml:space="preserve">本项目执行财库〔2026〕2号《关于推动解决政府采购异常低价问题的通知，</w:t>
            </w:r>
            <w:r>
              <w:rPr>
                <w:rFonts w:hint="eastAsia" w:ascii="宋体" w:hAnsi="宋体"/>
                <w:b/>
                <w:bCs/>
                <w:color w:val="000000"/>
                <w:sz w:val="24"/>
              </w:rPr>
              <w:t xml:space="preserve">实施政府采购异常低价审查。</w:t>
            </w:r>
            <w:r>
              <w:rPr>
                <w:rFonts w:hint="eastAsia" w:ascii="宋体" w:hAnsi="宋体" w:cs="宋体"/>
                <w:color w:val="000000"/>
                <w:sz w:val="24"/>
              </w:rPr>
            </w:r>
            <w:r/>
          </w:p>
        </w:tc>
      </w:tr>
    </w:tbl>
    <w:p>
      <w:pPr>
        <w:pStyle w:val="1126"/>
        <w:numPr>
          <w:ilvl w:val="0"/>
          <w:numId w:val="11"/>
        </w:numPr>
        <w:spacing w:line="360" w:lineRule="auto"/>
        <w:tabs>
          <w:tab w:val="left" w:pos="360" w:leader="none"/>
          <w:tab w:val="left" w:pos="900" w:leader="none"/>
        </w:tabs>
        <w:rPr>
          <w:color w:val="000000"/>
          <w:sz w:val="24"/>
        </w:rPr>
        <w:outlineLvl w:val="1"/>
      </w:pPr>
      <w:r>
        <w:rPr>
          <w:color w:val="000000"/>
          <w:sz w:val="24"/>
        </w:rPr>
        <w:t xml:space="preserve">磋商、响应文件有关事项的澄清、说明或者更正和最终报价</w:t>
      </w:r>
      <w:r>
        <w:rPr>
          <w:color w:val="000000"/>
          <w:sz w:val="24"/>
        </w:rPr>
      </w:r>
      <w:r/>
    </w:p>
    <w:p>
      <w:pPr>
        <w:pStyle w:val="1126"/>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磋商小组所有成员应当集中与单一供应商分别进行磋商，并给予所有参加磋商的供应商平等的磋商机会。</w:t>
      </w:r>
      <w:r>
        <w:rPr>
          <w:color w:val="000000"/>
          <w:sz w:val="24"/>
        </w:rPr>
      </w:r>
      <w:r/>
    </w:p>
    <w:p>
      <w:pPr>
        <w:pStyle w:val="1126"/>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rPr>
      </w:r>
      <w:r/>
    </w:p>
    <w:p>
      <w:pPr>
        <w:pStyle w:val="1126"/>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对磋商文件作出的实质性变动是磋商文件的有效组成部分，磋商小组应当及时</w:t>
      </w:r>
      <w:r>
        <w:rPr>
          <w:rFonts w:hint="eastAsia"/>
          <w:color w:val="000000"/>
          <w:sz w:val="24"/>
        </w:rPr>
        <w:t xml:space="preserve">通过“苏采云”政府采购一体化平台系统</w:t>
      </w:r>
      <w:r>
        <w:rPr>
          <w:color w:val="000000"/>
          <w:sz w:val="24"/>
        </w:rPr>
        <w:t xml:space="preserve">以书面形式同时通知所有参加磋商的供应商。</w:t>
      </w:r>
      <w:r>
        <w:rPr>
          <w:color w:val="000000"/>
          <w:sz w:val="24"/>
        </w:rPr>
      </w:r>
      <w:r/>
    </w:p>
    <w:p>
      <w:pPr>
        <w:pStyle w:val="1126"/>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rPr>
      </w:r>
      <w:r/>
    </w:p>
    <w:p>
      <w:pPr>
        <w:pStyle w:val="1126"/>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响应文件的澄清、说明或者更正</w:t>
      </w:r>
      <w:r>
        <w:rPr>
          <w:rFonts w:hint="eastAsia"/>
          <w:color w:val="000000"/>
          <w:sz w:val="24"/>
        </w:rPr>
        <w:t xml:space="preserve">：</w:t>
      </w:r>
      <w:r>
        <w:rPr>
          <w:color w:val="000000"/>
          <w:sz w:val="24"/>
        </w:rPr>
      </w:r>
      <w:r/>
    </w:p>
    <w:p>
      <w:pPr>
        <w:pStyle w:val="1126"/>
        <w:ind w:left="1080"/>
        <w:spacing w:line="360" w:lineRule="auto"/>
        <w:tabs>
          <w:tab w:val="left" w:pos="1980" w:leader="none"/>
        </w:tabs>
        <w:rPr>
          <w:color w:val="000000"/>
          <w:sz w:val="24"/>
        </w:rPr>
      </w:pPr>
      <w:r>
        <w:rPr>
          <w:rFonts w:hint="eastAsia"/>
          <w:color w:val="000000"/>
          <w:sz w:val="24"/>
        </w:rPr>
        <w:t xml:space="preserve">评审</w:t>
      </w:r>
      <w:r>
        <w:rPr>
          <w:color w:val="000000"/>
          <w:sz w:val="24"/>
        </w:rPr>
        <w:t xml:space="preserve">过程中，</w:t>
      </w:r>
      <w:r>
        <w:rPr>
          <w:rFonts w:hint="eastAsia"/>
          <w:color w:val="000000"/>
          <w:sz w:val="24"/>
        </w:rPr>
        <w:t xml:space="preserve">磋商小组</w:t>
      </w:r>
      <w:r>
        <w:rPr>
          <w:color w:val="000000"/>
          <w:sz w:val="24"/>
        </w:rPr>
        <w:t xml:space="preserve">会将</w:t>
      </w:r>
      <w:r>
        <w:rPr>
          <w:rFonts w:hint="eastAsia"/>
          <w:color w:val="000000"/>
          <w:sz w:val="24"/>
        </w:rPr>
        <w:t xml:space="preserve">通过“苏采云”政府采购一体化平台系统</w:t>
      </w:r>
      <w:r>
        <w:rPr>
          <w:color w:val="000000"/>
          <w:sz w:val="24"/>
        </w:rPr>
        <w:t xml:space="preserve">以书面形式要求</w:t>
      </w:r>
      <w:r>
        <w:rPr>
          <w:rFonts w:hint="eastAsia"/>
          <w:color w:val="000000"/>
          <w:sz w:val="24"/>
        </w:rPr>
        <w:t xml:space="preserve">供应商</w:t>
      </w:r>
      <w:r>
        <w:rPr>
          <w:color w:val="000000"/>
          <w:sz w:val="24"/>
        </w:rPr>
        <w:t xml:space="preserve">对其</w:t>
      </w:r>
      <w:r>
        <w:rPr>
          <w:rFonts w:hint="eastAsia"/>
          <w:color w:val="000000"/>
          <w:sz w:val="24"/>
        </w:rPr>
        <w:t xml:space="preserve">响应</w:t>
      </w:r>
      <w:r>
        <w:rPr>
          <w:color w:val="000000"/>
          <w:sz w:val="24"/>
        </w:rPr>
        <w:t xml:space="preserve">文件中含义不明确、同类问题表述不一致或者有明显文字和计算错误的内容，作出必要的澄清、说明或者补正。</w:t>
      </w:r>
      <w:r>
        <w:rPr>
          <w:rFonts w:hint="eastAsia"/>
          <w:color w:val="000000"/>
          <w:sz w:val="24"/>
        </w:rPr>
        <w:t xml:space="preserve">供应商</w:t>
      </w:r>
      <w:r>
        <w:rPr>
          <w:color w:val="000000"/>
          <w:sz w:val="24"/>
        </w:rPr>
        <w:t xml:space="preserve">的澄清、说明或者补正应当采用书面形式，并加盖</w:t>
      </w:r>
      <w:r>
        <w:rPr>
          <w:rFonts w:hint="eastAsia"/>
          <w:color w:val="000000"/>
          <w:sz w:val="24"/>
        </w:rPr>
        <w:t xml:space="preserve">电子</w:t>
      </w:r>
      <w:r>
        <w:rPr>
          <w:color w:val="000000"/>
          <w:sz w:val="24"/>
        </w:rPr>
        <w:t xml:space="preserve">公章。</w:t>
      </w:r>
      <w:r>
        <w:rPr>
          <w:rFonts w:hint="eastAsia"/>
          <w:color w:val="000000"/>
          <w:sz w:val="24"/>
        </w:rPr>
        <w:t xml:space="preserve">供应商</w:t>
      </w:r>
      <w:r>
        <w:rPr>
          <w:color w:val="000000"/>
          <w:sz w:val="24"/>
        </w:rPr>
        <w:t xml:space="preserve">的澄清、说明或者补正不得超出</w:t>
      </w:r>
      <w:r>
        <w:rPr>
          <w:rFonts w:hint="eastAsia"/>
          <w:color w:val="000000"/>
          <w:sz w:val="24"/>
        </w:rPr>
        <w:t xml:space="preserve">响应</w:t>
      </w:r>
      <w:r>
        <w:rPr>
          <w:color w:val="000000"/>
          <w:sz w:val="24"/>
        </w:rPr>
        <w:t xml:space="preserve">文件的范围或者改变</w:t>
      </w:r>
      <w:r>
        <w:rPr>
          <w:rFonts w:hint="eastAsia"/>
          <w:color w:val="000000"/>
          <w:sz w:val="24"/>
        </w:rPr>
        <w:t xml:space="preserve">响应</w:t>
      </w:r>
      <w:r>
        <w:rPr>
          <w:color w:val="000000"/>
          <w:sz w:val="24"/>
        </w:rPr>
        <w:t xml:space="preserve">文件的实质性内容。澄清文件将作为</w:t>
      </w:r>
      <w:r>
        <w:rPr>
          <w:rFonts w:hint="eastAsia"/>
          <w:color w:val="000000"/>
          <w:sz w:val="24"/>
        </w:rPr>
        <w:t xml:space="preserve">响应</w:t>
      </w:r>
      <w:r>
        <w:rPr>
          <w:color w:val="000000"/>
          <w:sz w:val="24"/>
        </w:rPr>
        <w:t xml:space="preserve">文件内容的一部分。</w:t>
      </w:r>
      <w:r>
        <w:rPr>
          <w:color w:val="000000"/>
          <w:sz w:val="24"/>
        </w:rPr>
      </w:r>
      <w:r/>
    </w:p>
    <w:p>
      <w:pPr>
        <w:pStyle w:val="1126"/>
        <w:numPr>
          <w:ilvl w:val="1"/>
          <w:numId w:val="11"/>
        </w:numPr>
        <w:ind w:left="1350" w:hanging="720"/>
        <w:spacing w:line="360" w:lineRule="auto"/>
        <w:tabs>
          <w:tab w:val="left" w:pos="1080" w:leader="none"/>
          <w:tab w:val="left" w:pos="1589" w:leader="none"/>
          <w:tab w:val="left" w:pos="1872" w:leader="none"/>
        </w:tabs>
        <w:rPr>
          <w:rFonts w:hint="eastAsia" w:ascii="宋体" w:hAnsi="宋体" w:cs="宋体"/>
          <w:b/>
          <w:color w:val="000000"/>
          <w:sz w:val="24"/>
        </w:rPr>
      </w:pPr>
      <w:r>
        <w:rPr>
          <w:rFonts w:hint="eastAsia" w:ascii="宋体" w:hAnsi="宋体" w:cs="宋体"/>
          <w:b/>
          <w:color w:val="000000"/>
          <w:sz w:val="24"/>
        </w:rPr>
        <w:t xml:space="preserve">磋商结束后，磋商小组将要求所有实质性响应的供应商在规定时间内通过“苏采云”政府采购一体化平台系统提交最终报价，未按照磋商小组规定的时间、逾期提交报价的，其响应无效</w:t>
      </w:r>
      <w:r>
        <w:rPr>
          <w:rFonts w:hint="eastAsia" w:ascii="宋体" w:hAnsi="宋体" w:cs="宋体"/>
          <w:color w:val="000000"/>
          <w:sz w:val="24"/>
        </w:rPr>
        <w:t xml:space="preserve">。</w:t>
      </w:r>
      <w:r>
        <w:rPr>
          <w:rFonts w:hint="eastAsia" w:ascii="宋体" w:hAnsi="宋体" w:cs="宋体"/>
          <w:b/>
          <w:color w:val="000000"/>
          <w:sz w:val="24"/>
        </w:rPr>
      </w:r>
      <w:r/>
    </w:p>
    <w:p>
      <w:pPr>
        <w:pStyle w:val="1126"/>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rPr>
      </w:r>
      <w:r/>
    </w:p>
    <w:p>
      <w:pPr>
        <w:pStyle w:val="1126"/>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最终报价是供应商响应文件的有效组成部分。</w:t>
      </w:r>
      <w:r>
        <w:rPr>
          <w:color w:val="000000"/>
          <w:sz w:val="24"/>
        </w:rPr>
      </w:r>
      <w:r/>
    </w:p>
    <w:p>
      <w:pPr>
        <w:pStyle w:val="1126"/>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已提交响应文件的供应商，在提交最终报价之前，可以根据磋商情况退出磋商。</w:t>
      </w:r>
      <w:r>
        <w:rPr>
          <w:color w:val="000000"/>
          <w:sz w:val="24"/>
        </w:rPr>
      </w:r>
      <w:r/>
    </w:p>
    <w:p>
      <w:pPr>
        <w:pStyle w:val="1126"/>
        <w:numPr>
          <w:ilvl w:val="0"/>
          <w:numId w:val="11"/>
        </w:numPr>
        <w:spacing w:line="360" w:lineRule="auto"/>
        <w:tabs>
          <w:tab w:val="left" w:pos="360" w:leader="none"/>
          <w:tab w:val="left" w:pos="900" w:leader="none"/>
        </w:tabs>
        <w:rPr>
          <w:color w:val="000000"/>
          <w:sz w:val="24"/>
        </w:rPr>
        <w:outlineLvl w:val="1"/>
      </w:pPr>
      <w:r>
        <w:rPr>
          <w:color w:val="000000"/>
          <w:sz w:val="24"/>
        </w:rPr>
        <w:t xml:space="preserve">最终报价的算术修正及政策调整</w:t>
      </w:r>
      <w:r>
        <w:rPr>
          <w:color w:val="000000"/>
          <w:sz w:val="24"/>
        </w:rPr>
      </w:r>
      <w:r/>
    </w:p>
    <w:p>
      <w:pPr>
        <w:pStyle w:val="1126"/>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最终报价须包含竞争性磋商文件全部内容，如</w:t>
      </w:r>
      <w:r>
        <w:rPr>
          <w:rFonts w:hint="eastAsia"/>
          <w:color w:val="000000"/>
          <w:sz w:val="24"/>
        </w:rPr>
        <w:t xml:space="preserve">最后</w:t>
      </w:r>
      <w:r>
        <w:rPr>
          <w:color w:val="000000"/>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rPr>
        <w:t xml:space="preserve">响应无效</w:t>
      </w:r>
      <w:r>
        <w:rPr>
          <w:color w:val="000000"/>
          <w:sz w:val="24"/>
        </w:rPr>
        <w:t xml:space="preserve">。</w:t>
      </w:r>
      <w:r>
        <w:rPr>
          <w:color w:val="000000"/>
          <w:sz w:val="24"/>
        </w:rPr>
      </w:r>
      <w:r/>
    </w:p>
    <w:p>
      <w:pPr>
        <w:pStyle w:val="1126"/>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最终报价出现前后不一致的，按照下列规定修正：</w:t>
      </w:r>
      <w:r>
        <w:rPr>
          <w:color w:val="000000"/>
          <w:sz w:val="24"/>
        </w:rPr>
      </w:r>
      <w:r/>
    </w:p>
    <w:p>
      <w:pPr>
        <w:pStyle w:val="1126"/>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竞争性磋商文件对于报价修正是否另有规定：</w:t>
      </w:r>
      <w:r>
        <w:rPr>
          <w:color w:val="000000"/>
          <w:sz w:val="24"/>
        </w:rPr>
      </w:r>
      <w:r/>
    </w:p>
    <w:p>
      <w:pPr>
        <w:pStyle w:val="1126"/>
        <w:ind w:left="2035"/>
        <w:spacing w:line="360" w:lineRule="auto"/>
        <w:tabs>
          <w:tab w:val="left" w:pos="1080" w:leader="none"/>
          <w:tab w:val="left" w:pos="1589" w:leader="none"/>
          <w:tab w:val="left" w:pos="2035" w:leader="none"/>
          <w:tab w:val="left" w:pos="2114" w:leader="none"/>
        </w:tabs>
        <w:rPr>
          <w:color w:val="000000"/>
          <w:sz w:val="24"/>
          <w:u w:val="single"/>
        </w:rPr>
      </w:pPr>
      <w:r>
        <w:rPr>
          <w:color w:val="000000"/>
          <w:sz w:val="24"/>
        </w:rPr>
        <w:t xml:space="preserve">□有，具体规定为：___________</w:t>
      </w:r>
      <w:r>
        <w:rPr>
          <w:color w:val="000000"/>
          <w:sz w:val="24"/>
          <w:u w:val="single"/>
        </w:rPr>
      </w:r>
      <w:r/>
    </w:p>
    <w:p>
      <w:pPr>
        <w:pStyle w:val="1126"/>
        <w:ind w:left="2035"/>
        <w:spacing w:line="360" w:lineRule="auto"/>
        <w:tabs>
          <w:tab w:val="left" w:pos="1080" w:leader="none"/>
          <w:tab w:val="left" w:pos="1589" w:leader="none"/>
          <w:tab w:val="left" w:pos="2035" w:leader="none"/>
          <w:tab w:val="left" w:pos="2114" w:leader="none"/>
        </w:tabs>
        <w:rPr>
          <w:color w:val="000000"/>
          <w:sz w:val="24"/>
        </w:rPr>
      </w:pPr>
      <w:r>
        <w:rPr>
          <w:rFonts w:ascii="Wingdings 2" w:hAnsi="Wingdings 2" w:eastAsia="Wingdings 2" w:cs="Wingdings 2"/>
          <w:color w:val="000000"/>
          <w:sz w:val="24"/>
        </w:rPr>
        <w:t xml:space="preserve">R</w:t>
      </w:r>
      <w:r>
        <w:rPr>
          <w:color w:val="000000"/>
          <w:sz w:val="24"/>
        </w:rPr>
        <w:t xml:space="preserve">无，按下述3.2.2-3.2.5项规定修正。</w:t>
      </w:r>
      <w:r>
        <w:rPr>
          <w:color w:val="000000"/>
          <w:sz w:val="24"/>
        </w:rPr>
      </w:r>
      <w:r/>
    </w:p>
    <w:p>
      <w:pPr>
        <w:pStyle w:val="1126"/>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1126"/>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1126"/>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1126"/>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同时出现两种以上不一致的，按照前款规定的顺序修正。修正后的报价经供应商书面确认后产生约束力，供应商不确认的，</w:t>
      </w:r>
      <w:r>
        <w:rPr>
          <w:b/>
          <w:color w:val="000000"/>
          <w:sz w:val="24"/>
        </w:rPr>
        <w:t xml:space="preserve">其响应无效</w:t>
      </w:r>
      <w:r>
        <w:rPr>
          <w:color w:val="000000"/>
          <w:sz w:val="24"/>
        </w:rPr>
        <w:t xml:space="preserve">。</w:t>
      </w:r>
      <w:r>
        <w:rPr>
          <w:color w:val="000000"/>
          <w:sz w:val="24"/>
        </w:rPr>
      </w:r>
      <w:r/>
    </w:p>
    <w:p>
      <w:pPr>
        <w:pStyle w:val="1126"/>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落实政府采购政策的价格调整：只有符合第二章《供应商须知》4.2条规定情形的，可以享受中小企业扶持政策，用扣除后的价格参加评审；否则，评审时价格不予扣除。</w:t>
      </w:r>
      <w:r>
        <w:rPr>
          <w:color w:val="000000"/>
          <w:sz w:val="24"/>
        </w:rPr>
      </w:r>
      <w:r/>
    </w:p>
    <w:p>
      <w:pPr>
        <w:pStyle w:val="1126"/>
        <w:numPr>
          <w:ilvl w:val="2"/>
          <w:numId w:val="11"/>
        </w:numPr>
        <w:spacing w:line="360" w:lineRule="auto"/>
        <w:tabs>
          <w:tab w:val="left" w:pos="1980" w:leader="none"/>
        </w:tabs>
        <w:rPr>
          <w:color w:val="000000"/>
          <w:sz w:val="24"/>
        </w:rPr>
      </w:pPr>
      <w:r>
        <w:rPr>
          <w:color w:val="000000"/>
          <w:sz w:val="24"/>
        </w:rPr>
        <w:t xml:space="preserve">对于未预留份额专门面向中小企业采购的采购项目，以及预留份额项目中的非预留部分采购包，对</w:t>
      </w:r>
      <w:r>
        <w:rPr>
          <w:b/>
          <w:color w:val="000000"/>
          <w:sz w:val="24"/>
        </w:rPr>
        <w:t xml:space="preserve">小微企业</w:t>
      </w:r>
      <w:r>
        <w:rPr>
          <w:color w:val="000000"/>
          <w:sz w:val="24"/>
        </w:rPr>
        <w:t xml:space="preserve">报价给予</w:t>
      </w:r>
      <w:r>
        <w:rPr>
          <w:rFonts w:hint="eastAsia"/>
          <w:color w:val="000000"/>
          <w:sz w:val="24"/>
        </w:rPr>
        <w:t xml:space="preserve">20</w:t>
      </w:r>
      <w:r>
        <w:rPr>
          <w:color w:val="000000"/>
          <w:sz w:val="24"/>
        </w:rPr>
        <w:t xml:space="preserve">%的扣除，用扣除后的价格参加评审。</w:t>
      </w:r>
      <w:r>
        <w:rPr>
          <w:color w:val="000000"/>
          <w:sz w:val="24"/>
        </w:rPr>
      </w:r>
      <w:r/>
    </w:p>
    <w:p>
      <w:pPr>
        <w:pStyle w:val="1126"/>
        <w:numPr>
          <w:ilvl w:val="2"/>
          <w:numId w:val="11"/>
        </w:numPr>
        <w:spacing w:line="360" w:lineRule="auto"/>
        <w:tabs>
          <w:tab w:val="left" w:pos="1980" w:leader="none"/>
        </w:tabs>
        <w:rPr>
          <w:color w:val="000000"/>
          <w:sz w:val="24"/>
        </w:rPr>
      </w:pPr>
      <w:r>
        <w:rPr>
          <w:color w:val="000000"/>
          <w:sz w:val="24"/>
        </w:rPr>
        <w:t xml:space="preserve">对于未预留份额专门面向中小企业采购的采购项目，以及预留份额项目中的非预留部分采购包，且接受大中型企业与</w:t>
      </w:r>
      <w:r>
        <w:rPr>
          <w:b/>
          <w:color w:val="000000"/>
          <w:sz w:val="24"/>
        </w:rPr>
        <w:t xml:space="preserve">小微企业</w:t>
      </w:r>
      <w:r>
        <w:rPr>
          <w:color w:val="000000"/>
          <w:sz w:val="24"/>
        </w:rPr>
        <w:t xml:space="preserve">组成联合体或者允许大中型企业向一家或者多家</w:t>
      </w:r>
      <w:r>
        <w:rPr>
          <w:b/>
          <w:color w:val="000000"/>
          <w:sz w:val="24"/>
        </w:rPr>
        <w:t xml:space="preserve">小微企业</w:t>
      </w:r>
      <w:r>
        <w:rPr>
          <w:color w:val="000000"/>
          <w:sz w:val="24"/>
        </w:rPr>
        <w:t xml:space="preserve">分包的采购项目，对于联合协议或者分包意向协议约定</w:t>
      </w:r>
      <w:r>
        <w:rPr>
          <w:b/>
          <w:color w:val="000000"/>
          <w:sz w:val="24"/>
        </w:rPr>
        <w:t xml:space="preserve">小微企业</w:t>
      </w:r>
      <w:r>
        <w:rPr>
          <w:color w:val="000000"/>
          <w:sz w:val="24"/>
        </w:rPr>
        <w:t xml:space="preserve">的合同份额占到合同总金额 30%以上的联合体或者大中型企业的报价给予</w:t>
      </w:r>
      <w:r>
        <w:rPr>
          <w:rFonts w:hint="eastAsia"/>
          <w:color w:val="000000"/>
          <w:sz w:val="24"/>
        </w:rPr>
        <w:t xml:space="preserve">6</w:t>
      </w:r>
      <w:r>
        <w:rPr>
          <w:color w:val="000000"/>
          <w:sz w:val="24"/>
        </w:rPr>
        <w:t xml:space="preserve">%的扣除，用扣除后的价格参加评审。</w:t>
      </w:r>
      <w:r>
        <w:rPr>
          <w:color w:val="000000"/>
          <w:sz w:val="24"/>
        </w:rPr>
      </w:r>
      <w:r/>
    </w:p>
    <w:p>
      <w:pPr>
        <w:pStyle w:val="1126"/>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组成联合体或者接受分包的小微企业与联合体内其他企业、分包企业之间存在直接控股、管理关系的，不享受价格扣除优惠政策。</w:t>
      </w:r>
      <w:r>
        <w:rPr>
          <w:color w:val="000000"/>
          <w:sz w:val="24"/>
        </w:rPr>
      </w:r>
      <w:r/>
    </w:p>
    <w:p>
      <w:pPr>
        <w:pStyle w:val="1126"/>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价格扣除比例对小型企业和微型企业同等对待，不作区分。</w:t>
      </w:r>
      <w:r>
        <w:rPr>
          <w:color w:val="000000"/>
          <w:sz w:val="24"/>
        </w:rPr>
      </w:r>
      <w:r/>
    </w:p>
    <w:p>
      <w:pPr>
        <w:pStyle w:val="1126"/>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中小企业参加政府采购活动，应当按照竞争性磋商文件给定的格式出具《中小企业声明函》，否则不得享受相关中小企业扶持政策。</w:t>
      </w:r>
      <w:r>
        <w:rPr>
          <w:color w:val="000000"/>
          <w:sz w:val="24"/>
        </w:rPr>
      </w:r>
      <w:r/>
    </w:p>
    <w:p>
      <w:pPr>
        <w:pStyle w:val="1126"/>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监狱企业提供了由省级以上监狱管理局（常州市含教育矫治局）、戒毒管理局（含新疆生产建设兵团）出具的属于监狱企业的证明文件的，视同小微企业。</w:t>
      </w:r>
      <w:r>
        <w:rPr>
          <w:color w:val="000000"/>
          <w:sz w:val="24"/>
        </w:rPr>
      </w:r>
      <w:r/>
    </w:p>
    <w:p>
      <w:pPr>
        <w:pStyle w:val="1126"/>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残疾人福利性单位按竞争性磋商文件要求提供了《残疾人福利性单位声明函》（见附件）的，视同小微企业。</w:t>
      </w:r>
      <w:r>
        <w:rPr>
          <w:color w:val="000000"/>
          <w:sz w:val="24"/>
        </w:rPr>
      </w:r>
      <w:r/>
    </w:p>
    <w:p>
      <w:pPr>
        <w:pStyle w:val="1126"/>
        <w:numPr>
          <w:ilvl w:val="2"/>
          <w:numId w:val="11"/>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若供应商同时属于小型或微型企业、监狱企业、残疾人福利性单位中的两种及以上，将不重复享受小微企业价格扣减的优惠政策。</w:t>
      </w:r>
      <w:r>
        <w:rPr>
          <w:color w:val="000000"/>
          <w:sz w:val="24"/>
        </w:rPr>
      </w:r>
      <w:r/>
    </w:p>
    <w:p>
      <w:pPr>
        <w:pStyle w:val="1126"/>
        <w:numPr>
          <w:ilvl w:val="2"/>
          <w:numId w:val="11"/>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其他为落实政府采购政策实施的优先采购：______。</w:t>
      </w:r>
      <w:r>
        <w:rPr>
          <w:color w:val="000000"/>
          <w:sz w:val="24"/>
        </w:rPr>
      </w:r>
      <w:r/>
    </w:p>
    <w:p>
      <w:pPr>
        <w:pStyle w:val="1126"/>
        <w:numPr>
          <w:ilvl w:val="2"/>
          <w:numId w:val="0"/>
        </w:numPr>
        <w:ind w:left="2035" w:hanging="900"/>
        <w:spacing w:line="360" w:lineRule="auto"/>
        <w:tabs>
          <w:tab w:val="left" w:pos="1080" w:leader="none"/>
          <w:tab w:val="left" w:pos="1589" w:leader="none"/>
          <w:tab w:val="left" w:pos="2035" w:leader="none"/>
        </w:tabs>
        <w:rPr>
          <w:rFonts w:hint="eastAsia" w:eastAsia="宋体"/>
          <w:color w:val="000000"/>
          <w:sz w:val="24"/>
          <w:highlight w:val="none"/>
          <w:lang w:eastAsia="zh-CN"/>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 采购本国产品的支持政策</w:t>
      </w:r>
      <w:r>
        <w:rPr>
          <w:rFonts w:hint="eastAsia"/>
          <w:color w:val="000000"/>
          <w:sz w:val="24"/>
          <w:highlight w:val="none"/>
          <w:lang w:eastAsia="zh-CN"/>
        </w:rPr>
        <w:t xml:space="preserve">（</w:t>
      </w:r>
      <w:r>
        <w:rPr>
          <w:rFonts w:hint="eastAsia"/>
          <w:color w:val="000000"/>
          <w:sz w:val="24"/>
          <w:highlight w:val="none"/>
          <w:lang w:val="en-US" w:eastAsia="zh-CN"/>
        </w:rPr>
        <w:t xml:space="preserve">本项目不涉及</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1126"/>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.1本项目政府采购活动中既有本国产品又有非本国产品参与竞争的，依法对本国产品给予价格评审优惠，对本国产品的报价给予20%的价格扣除，用扣除后的价格参与评审。</w:t>
      </w:r>
      <w:r>
        <w:rPr>
          <w:color w:val="000000"/>
          <w:sz w:val="24"/>
          <w:highlight w:val="none"/>
        </w:rPr>
      </w:r>
      <w:r/>
    </w:p>
    <w:p>
      <w:pPr>
        <w:pStyle w:val="1126"/>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.2 当采购项目或者采购包中含有多种产品，</w:t>
      </w:r>
      <w:r>
        <w:rPr>
          <w:rFonts w:hint="eastAsia"/>
          <w:color w:val="000000"/>
          <w:sz w:val="24"/>
          <w:highlight w:val="none"/>
          <w:lang w:val="en-US" w:eastAsia="zh-CN"/>
        </w:rPr>
        <w:t xml:space="preserve">供应商</w:t>
      </w:r>
      <w:r>
        <w:rPr>
          <w:rFonts w:hint="eastAsia"/>
          <w:color w:val="000000"/>
          <w:sz w:val="24"/>
          <w:highlight w:val="none"/>
        </w:rPr>
        <w:t xml:space="preserve">为该采购项目或者采购包提供的符合本国产品标准的产品成本之和占该供应商提供的全部产品成本之和的比例达到80%以上时（</w:t>
      </w:r>
      <w:r>
        <w:rPr>
          <w:rFonts w:hint="eastAsia"/>
          <w:b/>
          <w:bCs/>
          <w:color w:val="000000"/>
          <w:sz w:val="24"/>
          <w:highlight w:val="none"/>
          <w:lang w:val="en-US" w:eastAsia="zh-CN"/>
        </w:rPr>
        <w:t xml:space="preserve">供应商</w:t>
      </w:r>
      <w:r>
        <w:rPr>
          <w:rFonts w:hint="eastAsia"/>
          <w:b/>
          <w:bCs/>
          <w:color w:val="000000"/>
          <w:sz w:val="24"/>
          <w:highlight w:val="none"/>
        </w:rPr>
        <w:t xml:space="preserve">需在“</w:t>
      </w:r>
      <w:r>
        <w:rPr>
          <w:rFonts w:hint="eastAsia"/>
          <w:b/>
          <w:bCs/>
          <w:color w:val="000000"/>
          <w:sz w:val="24"/>
          <w:highlight w:val="none"/>
          <w:lang w:val="en-US" w:eastAsia="zh-CN"/>
        </w:rPr>
        <w:t xml:space="preserve">响应</w:t>
      </w:r>
      <w:r>
        <w:rPr>
          <w:rFonts w:hint="eastAsia"/>
          <w:b/>
          <w:bCs/>
          <w:color w:val="000000"/>
          <w:sz w:val="24"/>
          <w:highlight w:val="none"/>
        </w:rPr>
        <w:t xml:space="preserve">文件格式”的“投标分项报价表”中填写比例数值）</w:t>
      </w:r>
      <w:r>
        <w:rPr>
          <w:rFonts w:hint="eastAsia"/>
          <w:color w:val="000000"/>
          <w:sz w:val="24"/>
          <w:highlight w:val="none"/>
        </w:rPr>
        <w:t xml:space="preserve">，依法对该</w:t>
      </w:r>
      <w:r>
        <w:rPr>
          <w:rFonts w:hint="eastAsia"/>
          <w:color w:val="000000"/>
          <w:sz w:val="24"/>
          <w:highlight w:val="none"/>
          <w:lang w:val="en-US" w:eastAsia="zh-CN"/>
        </w:rPr>
        <w:t xml:space="preserve">供应商</w:t>
      </w:r>
      <w:r>
        <w:rPr>
          <w:rFonts w:hint="eastAsia"/>
          <w:color w:val="000000"/>
          <w:sz w:val="24"/>
          <w:highlight w:val="none"/>
        </w:rPr>
        <w:t xml:space="preserve">提供的全部产品给予价格评审优惠，即对该</w:t>
      </w:r>
      <w:r>
        <w:rPr>
          <w:rFonts w:hint="eastAsia"/>
          <w:color w:val="000000"/>
          <w:sz w:val="24"/>
          <w:highlight w:val="none"/>
          <w:lang w:val="en-US" w:eastAsia="zh-CN"/>
        </w:rPr>
        <w:t xml:space="preserve">供应商</w:t>
      </w:r>
      <w:r>
        <w:rPr>
          <w:rFonts w:hint="eastAsia"/>
          <w:color w:val="000000"/>
          <w:sz w:val="24"/>
          <w:highlight w:val="none"/>
        </w:rPr>
        <w:t xml:space="preserve">提供的全部产品的总报价给予20%的价格扣除，用扣除后的价格参与评审。</w:t>
      </w:r>
      <w:r>
        <w:rPr>
          <w:rFonts w:hint="eastAsia"/>
          <w:b/>
          <w:bCs/>
          <w:color w:val="000000"/>
          <w:sz w:val="24"/>
          <w:highlight w:val="none"/>
          <w:lang w:val="en-US" w:eastAsia="zh-CN"/>
        </w:rPr>
        <w:t xml:space="preserve">供应商</w:t>
      </w:r>
      <w:r>
        <w:rPr>
          <w:rFonts w:hint="eastAsia"/>
          <w:b/>
          <w:bCs/>
          <w:color w:val="000000"/>
          <w:sz w:val="24"/>
          <w:highlight w:val="none"/>
        </w:rPr>
        <w:t xml:space="preserve">未填写比例数值，或比例数值未达到80%的，将不享受本国产品价格评审优惠。</w:t>
      </w:r>
      <w:r>
        <w:rPr>
          <w:color w:val="000000"/>
          <w:sz w:val="24"/>
          <w:highlight w:val="none"/>
        </w:rPr>
      </w:r>
      <w:r/>
    </w:p>
    <w:p>
      <w:pPr>
        <w:pStyle w:val="1126"/>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.3 </w:t>
      </w:r>
      <w:r>
        <w:rPr>
          <w:rFonts w:hint="eastAsia"/>
          <w:color w:val="000000"/>
          <w:sz w:val="24"/>
          <w:highlight w:val="none"/>
          <w:lang w:val="en-US" w:eastAsia="zh-CN"/>
        </w:rPr>
        <w:t xml:space="preserve">供应商</w:t>
      </w:r>
      <w:r>
        <w:rPr>
          <w:rFonts w:hint="eastAsia"/>
          <w:color w:val="000000"/>
          <w:sz w:val="24"/>
          <w:highlight w:val="none"/>
        </w:rPr>
        <w:t xml:space="preserve">需按照</w:t>
      </w:r>
      <w:r>
        <w:rPr>
          <w:rFonts w:hint="eastAsia"/>
          <w:color w:val="000000"/>
          <w:sz w:val="24"/>
          <w:highlight w:val="none"/>
          <w:lang w:val="en-US" w:eastAsia="zh-CN"/>
        </w:rPr>
        <w:t xml:space="preserve">采购</w:t>
      </w:r>
      <w:r>
        <w:rPr>
          <w:rFonts w:hint="eastAsia"/>
          <w:color w:val="000000"/>
          <w:sz w:val="24"/>
          <w:highlight w:val="none"/>
        </w:rPr>
        <w:t xml:space="preserve">文件的要求提供《关于符合本国产品标准的声明函》（以下简称《声明函》），如不提供将不享受本国产品价格评审优惠。</w:t>
      </w:r>
      <w:r>
        <w:rPr>
          <w:color w:val="000000"/>
          <w:sz w:val="24"/>
          <w:highlight w:val="none"/>
        </w:rPr>
      </w:r>
      <w:r/>
    </w:p>
    <w:p>
      <w:pPr>
        <w:pStyle w:val="1126"/>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.4 </w:t>
      </w:r>
      <w:r>
        <w:rPr>
          <w:rFonts w:hint="eastAsia"/>
          <w:color w:val="000000"/>
          <w:sz w:val="24"/>
          <w:highlight w:val="none"/>
          <w:lang w:val="en-US" w:eastAsia="zh-CN"/>
        </w:rPr>
        <w:t xml:space="preserve">供应商</w:t>
      </w:r>
      <w:r>
        <w:rPr>
          <w:rFonts w:hint="eastAsia"/>
          <w:color w:val="000000"/>
          <w:sz w:val="24"/>
          <w:highlight w:val="none"/>
        </w:rPr>
        <w:t xml:space="preserve">需在《声明函》中逐一、</w:t>
      </w:r>
      <w:r>
        <w:rPr>
          <w:color w:val="000000"/>
          <w:sz w:val="24"/>
          <w:highlight w:val="none"/>
        </w:rPr>
        <w:t xml:space="preserve">准确</w:t>
      </w:r>
      <w:r>
        <w:rPr>
          <w:rFonts w:hint="eastAsia"/>
          <w:color w:val="000000"/>
          <w:sz w:val="24"/>
          <w:highlight w:val="none"/>
        </w:rPr>
        <w:t xml:space="preserve">填写产品名称、厂名、生产厂址三项信息（《声明函》中用删除线划除的地方无需填写），三</w:t>
      </w:r>
      <w:r>
        <w:rPr>
          <w:color w:val="000000"/>
          <w:sz w:val="24"/>
          <w:highlight w:val="none"/>
        </w:rPr>
        <w:t xml:space="preserve">项信息中</w:t>
      </w:r>
      <w:r>
        <w:rPr>
          <w:rFonts w:hint="eastAsia"/>
          <w:color w:val="000000"/>
          <w:sz w:val="24"/>
          <w:highlight w:val="none"/>
        </w:rPr>
        <w:t xml:space="preserve">任意一项未填写的视为该项产品不符合本国产品标准，不享受本国产品价格评审优惠。</w:t>
      </w:r>
      <w:r>
        <w:rPr>
          <w:color w:val="000000"/>
          <w:sz w:val="24"/>
          <w:highlight w:val="none"/>
        </w:rPr>
      </w:r>
      <w:r/>
    </w:p>
    <w:p>
      <w:pPr>
        <w:pStyle w:val="1126"/>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.5 评标过程中，如发现供应商在《声明函》内容</w:t>
      </w:r>
      <w:r>
        <w:rPr>
          <w:color w:val="000000"/>
          <w:sz w:val="24"/>
          <w:highlight w:val="none"/>
        </w:rPr>
        <w:t xml:space="preserve">含义不明确、同类事项与投</w:t>
      </w:r>
      <w:r>
        <w:rPr>
          <w:rFonts w:hint="eastAsia"/>
          <w:color w:val="000000"/>
          <w:sz w:val="24"/>
          <w:highlight w:val="none"/>
        </w:rPr>
        <w:t xml:space="preserve">标</w:t>
      </w:r>
      <w:r>
        <w:rPr>
          <w:color w:val="000000"/>
          <w:sz w:val="24"/>
          <w:highlight w:val="none"/>
        </w:rPr>
        <w:t xml:space="preserve">（</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文件</w:t>
      </w:r>
      <w:r>
        <w:rPr>
          <w:color w:val="000000"/>
          <w:sz w:val="24"/>
          <w:highlight w:val="none"/>
        </w:rPr>
        <w:t xml:space="preserve">表述不一致或者有</w:t>
      </w:r>
      <w:r>
        <w:rPr>
          <w:rFonts w:hint="eastAsia"/>
          <w:color w:val="000000"/>
          <w:sz w:val="24"/>
          <w:highlight w:val="none"/>
        </w:rPr>
        <w:t xml:space="preserve">明显</w:t>
      </w:r>
      <w:r>
        <w:rPr>
          <w:color w:val="000000"/>
          <w:sz w:val="24"/>
          <w:highlight w:val="none"/>
        </w:rPr>
        <w:t xml:space="preserve">文字错误等情况的</w:t>
      </w:r>
      <w:r>
        <w:rPr>
          <w:rFonts w:hint="eastAsia"/>
          <w:color w:val="000000"/>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color w:val="000000"/>
          <w:sz w:val="24"/>
          <w:highlight w:val="none"/>
          <w:lang w:val="en-US" w:eastAsia="zh-CN"/>
        </w:rPr>
        <w:t xml:space="preserve">采购</w:t>
      </w:r>
      <w:r>
        <w:rPr>
          <w:rFonts w:hint="eastAsia"/>
          <w:color w:val="000000"/>
          <w:sz w:val="24"/>
          <w:highlight w:val="none"/>
        </w:rPr>
        <w:t xml:space="preserve">文件规定的，供应商提供的相关产品视为不符合本国产品标准。</w:t>
      </w:r>
      <w:r>
        <w:rPr>
          <w:color w:val="000000"/>
          <w:sz w:val="24"/>
          <w:highlight w:val="none"/>
        </w:rPr>
      </w:r>
      <w:r/>
    </w:p>
    <w:p>
      <w:pPr>
        <w:pStyle w:val="1126"/>
        <w:numPr>
          <w:ilvl w:val="2"/>
          <w:numId w:val="0"/>
        </w:numPr>
        <w:ind w:firstLine="48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sz w:val="24"/>
          <w:highlight w:val="none"/>
        </w:rPr>
      </w:r>
      <w:r/>
    </w:p>
    <w:p>
      <w:pPr>
        <w:pStyle w:val="1126"/>
        <w:numPr>
          <w:ilvl w:val="2"/>
          <w:numId w:val="0"/>
        </w:numPr>
        <w:ind w:firstLine="480"/>
        <w:spacing w:line="360" w:lineRule="auto"/>
        <w:tabs>
          <w:tab w:val="left" w:pos="1080" w:leader="none"/>
          <w:tab w:val="left" w:pos="1589" w:leader="none"/>
          <w:tab w:val="left" w:pos="2035" w:leader="none"/>
        </w:tabs>
        <w:rPr>
          <w:color w:val="000000"/>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rPr>
      </w:r>
      <w:r/>
    </w:p>
    <w:p>
      <w:pPr>
        <w:pStyle w:val="1126"/>
        <w:numPr>
          <w:ilvl w:val="0"/>
          <w:numId w:val="11"/>
        </w:numPr>
        <w:spacing w:line="360" w:lineRule="auto"/>
        <w:tabs>
          <w:tab w:val="left" w:pos="360" w:leader="none"/>
          <w:tab w:val="left" w:pos="900" w:leader="none"/>
        </w:tabs>
        <w:rPr>
          <w:color w:val="000000"/>
          <w:sz w:val="24"/>
        </w:rPr>
        <w:outlineLvl w:val="1"/>
      </w:pPr>
      <w:r>
        <w:rPr>
          <w:color w:val="000000"/>
          <w:sz w:val="24"/>
        </w:rPr>
        <w:t xml:space="preserve">磋商环节及提交最终报价后如出现以下情况的，供应商的</w:t>
      </w:r>
      <w:r>
        <w:rPr>
          <w:b/>
          <w:color w:val="000000"/>
          <w:sz w:val="24"/>
        </w:rPr>
        <w:t xml:space="preserve">响应文件无效</w:t>
      </w:r>
      <w:r>
        <w:rPr>
          <w:color w:val="000000"/>
          <w:sz w:val="24"/>
        </w:rPr>
        <w:t xml:space="preserve">：</w:t>
      </w:r>
      <w:r>
        <w:rPr>
          <w:color w:val="000000"/>
          <w:sz w:val="24"/>
        </w:rPr>
      </w:r>
      <w:r/>
    </w:p>
    <w:p>
      <w:pPr>
        <w:pStyle w:val="1126"/>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供应商对实质性变动不予确认的；</w:t>
      </w:r>
      <w:r>
        <w:rPr>
          <w:color w:val="000000"/>
          <w:sz w:val="24"/>
        </w:rPr>
      </w:r>
      <w:r/>
    </w:p>
    <w:p>
      <w:pPr>
        <w:pStyle w:val="1126"/>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不满足磋商文件</w:t>
      </w:r>
      <w:r>
        <w:rPr>
          <w:rFonts w:ascii="Segoe UI Symbol" w:hAnsi="Segoe UI Symbol" w:cs="Segoe UI Symbol"/>
          <w:color w:val="000000"/>
          <w:sz w:val="24"/>
        </w:rPr>
        <w:t xml:space="preserve">★</w:t>
      </w:r>
      <w:r>
        <w:rPr>
          <w:color w:val="000000"/>
          <w:sz w:val="24"/>
        </w:rPr>
        <w:t xml:space="preserve">号条款或磋商文件技术指标超出磋商文件</w:t>
      </w:r>
      <w:r>
        <w:rPr>
          <w:rFonts w:hint="eastAsia"/>
          <w:color w:val="000000"/>
          <w:sz w:val="24"/>
        </w:rPr>
        <w:t xml:space="preserve">《</w:t>
      </w:r>
      <w:r>
        <w:rPr>
          <w:color w:val="000000"/>
          <w:sz w:val="24"/>
        </w:rPr>
        <w:t xml:space="preserve">采购需求</w:t>
      </w:r>
      <w:r>
        <w:rPr>
          <w:rFonts w:hint="eastAsia"/>
          <w:color w:val="000000"/>
          <w:sz w:val="24"/>
        </w:rPr>
        <w:t xml:space="preserve">》</w:t>
      </w:r>
      <w:r>
        <w:rPr>
          <w:color w:val="000000"/>
          <w:sz w:val="24"/>
        </w:rPr>
        <w:t xml:space="preserve">中主要技术参数允许偏差的最大范围的（如有）；</w:t>
      </w:r>
      <w:r>
        <w:rPr>
          <w:color w:val="000000"/>
          <w:sz w:val="24"/>
        </w:rPr>
      </w:r>
      <w:r/>
    </w:p>
    <w:p>
      <w:pPr>
        <w:pStyle w:val="1126"/>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未按照磋商小组规定的时间、逾期提交最终报价的；</w:t>
      </w:r>
      <w:r>
        <w:rPr>
          <w:color w:val="000000"/>
          <w:sz w:val="24"/>
        </w:rPr>
      </w:r>
      <w:r/>
    </w:p>
    <w:p>
      <w:pPr>
        <w:pStyle w:val="1126"/>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如供应商的最终报价超过竞争性磋商文件中规定的项目/采购包预算金额或者项目/采购包最高限价的；</w:t>
      </w:r>
      <w:r>
        <w:rPr>
          <w:color w:val="000000"/>
          <w:sz w:val="24"/>
        </w:rPr>
      </w:r>
      <w:r/>
    </w:p>
    <w:p>
      <w:pPr>
        <w:pStyle w:val="1126"/>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响应文件中出现可选择性或可调整的报价的（竞争性磋商文件另有规定的除外）；</w:t>
      </w:r>
      <w:r>
        <w:rPr>
          <w:color w:val="000000"/>
          <w:sz w:val="24"/>
        </w:rPr>
      </w:r>
      <w:r/>
    </w:p>
    <w:p>
      <w:pPr>
        <w:pStyle w:val="1126"/>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最终报价出现前后不一致，供应商对修正后的报价不予确认的；</w:t>
      </w:r>
      <w:r>
        <w:rPr>
          <w:color w:val="000000"/>
          <w:sz w:val="24"/>
        </w:rPr>
      </w:r>
      <w:r/>
    </w:p>
    <w:p>
      <w:pPr>
        <w:pStyle w:val="1126"/>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其他：______。</w:t>
      </w:r>
      <w:r>
        <w:rPr>
          <w:color w:val="000000"/>
          <w:sz w:val="24"/>
        </w:rPr>
      </w:r>
      <w:r/>
    </w:p>
    <w:p>
      <w:pPr>
        <w:pStyle w:val="1126"/>
        <w:numPr>
          <w:ilvl w:val="0"/>
          <w:numId w:val="11"/>
        </w:numPr>
        <w:spacing w:line="360" w:lineRule="auto"/>
        <w:tabs>
          <w:tab w:val="left" w:pos="360" w:leader="none"/>
          <w:tab w:val="left" w:pos="900" w:leader="none"/>
        </w:tabs>
        <w:rPr>
          <w:color w:val="000000"/>
          <w:sz w:val="24"/>
        </w:rPr>
        <w:outlineLvl w:val="1"/>
      </w:pPr>
      <w:r/>
      <w:bookmarkEnd w:id="604"/>
      <w:r/>
      <w:bookmarkEnd w:id="605"/>
      <w:r>
        <w:rPr>
          <w:color w:val="000000"/>
          <w:sz w:val="24"/>
        </w:rPr>
        <w:t xml:space="preserve">评审方法和评审标准</w:t>
      </w:r>
      <w:r>
        <w:rPr>
          <w:color w:val="000000"/>
          <w:sz w:val="24"/>
        </w:rPr>
      </w:r>
      <w:r/>
    </w:p>
    <w:p>
      <w:pPr>
        <w:pStyle w:val="1126"/>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sz w:val="24"/>
        </w:rPr>
      </w:r>
      <w:r/>
    </w:p>
    <w:p>
      <w:pPr>
        <w:pStyle w:val="1126"/>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竞争性磋商文件中没有规定的评审标准不得作为评审依据。</w:t>
      </w:r>
      <w:r>
        <w:rPr>
          <w:color w:val="000000"/>
          <w:sz w:val="24"/>
        </w:rPr>
      </w:r>
      <w:r/>
    </w:p>
    <w:p>
      <w:pPr>
        <w:pStyle w:val="1126"/>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非政府强制采购的节能产品或环境标志产品，依据品目清单和认证证书实施政府优先采购。优先采购的具体规定（如涉及）______。</w:t>
      </w:r>
      <w:r>
        <w:rPr>
          <w:color w:val="000000"/>
          <w:sz w:val="24"/>
        </w:rPr>
      </w:r>
      <w:r/>
    </w:p>
    <w:p>
      <w:pPr>
        <w:pStyle w:val="1126"/>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关于无线局域网认证产品政府采购清单中的产品，优先采购的具体规定（如涉及）______。</w:t>
      </w:r>
      <w:r>
        <w:rPr>
          <w:color w:val="000000"/>
          <w:sz w:val="24"/>
        </w:rPr>
      </w:r>
      <w:r/>
    </w:p>
    <w:p>
      <w:pPr>
        <w:pStyle w:val="1126"/>
        <w:numPr>
          <w:ilvl w:val="0"/>
          <w:numId w:val="11"/>
        </w:numPr>
        <w:spacing w:line="360" w:lineRule="auto"/>
        <w:tabs>
          <w:tab w:val="left" w:pos="360" w:leader="none"/>
          <w:tab w:val="left" w:pos="900" w:leader="none"/>
        </w:tabs>
        <w:rPr>
          <w:color w:val="000000"/>
          <w:sz w:val="24"/>
        </w:rPr>
        <w:outlineLvl w:val="1"/>
      </w:pPr>
      <w:r>
        <w:rPr>
          <w:color w:val="000000"/>
          <w:sz w:val="24"/>
        </w:rPr>
        <w:t xml:space="preserve">确定</w:t>
      </w:r>
      <w:bookmarkStart w:id="621" w:name="_Toc226337242"/>
      <w:r/>
      <w:bookmarkStart w:id="622" w:name="_Toc164229387"/>
      <w:r/>
      <w:bookmarkStart w:id="623" w:name="_Toc151190173"/>
      <w:r/>
      <w:bookmarkStart w:id="624" w:name="_Toc164608660"/>
      <w:r/>
      <w:bookmarkStart w:id="625" w:name="_Ref467307010"/>
      <w:r/>
      <w:bookmarkStart w:id="626" w:name="_Toc150774646"/>
      <w:r/>
      <w:bookmarkStart w:id="627" w:name="_Toc127151747"/>
      <w:r/>
      <w:bookmarkStart w:id="628" w:name="_Toc164351640"/>
      <w:r/>
      <w:bookmarkStart w:id="629" w:name="_Toc265228384"/>
      <w:r/>
      <w:bookmarkStart w:id="630" w:name="_Toc150774751"/>
      <w:r/>
      <w:bookmarkStart w:id="631" w:name="_Toc226965819"/>
      <w:r/>
      <w:bookmarkStart w:id="632" w:name="_Toc127161460"/>
      <w:r/>
      <w:bookmarkStart w:id="633" w:name="_Toc195842911"/>
      <w:r/>
      <w:bookmarkStart w:id="634" w:name="_Toc150509297"/>
      <w:r/>
      <w:bookmarkStart w:id="635" w:name="_Toc127151546"/>
      <w:r/>
      <w:bookmarkStart w:id="636" w:name="_Toc151193716"/>
      <w:r/>
      <w:bookmarkStart w:id="637" w:name="_Toc164229241"/>
      <w:r/>
      <w:bookmarkStart w:id="638" w:name="_Toc151193934"/>
      <w:r/>
      <w:bookmarkStart w:id="639" w:name="_Toc264969236"/>
      <w:r/>
      <w:bookmarkStart w:id="640" w:name="_Toc149720839"/>
      <w:r/>
      <w:bookmarkStart w:id="641" w:name="_Toc151193788"/>
      <w:r/>
      <w:bookmarkStart w:id="642" w:name="_Toc150480784"/>
      <w:r/>
      <w:bookmarkStart w:id="643" w:name="_Toc226965736"/>
      <w:r/>
      <w:bookmarkStart w:id="644" w:name="_Toc151193860"/>
      <w:r/>
      <w:bookmarkStart w:id="645" w:name="_Toc164608815"/>
      <w:r/>
      <w:bookmarkStart w:id="646" w:name="_Toc142311048"/>
      <w:r/>
      <w:bookmarkStart w:id="647" w:name="_Toc305158814"/>
      <w:r/>
      <w:bookmarkStart w:id="648" w:name="_Toc151193644"/>
      <w:r/>
      <w:bookmarkStart w:id="649" w:name="_Toc226309790"/>
      <w:r/>
      <w:bookmarkStart w:id="650" w:name="_Toc305158888"/>
      <w:r/>
      <w:bookmarkStart w:id="651" w:name="_Toc520356170"/>
      <w:r>
        <w:rPr>
          <w:color w:val="000000"/>
          <w:sz w:val="24"/>
        </w:rPr>
        <w:t xml:space="preserve">成交候选人名单</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color w:val="000000"/>
          <w:sz w:val="24"/>
        </w:rPr>
      </w:r>
      <w:r/>
    </w:p>
    <w:p>
      <w:pPr>
        <w:pStyle w:val="1126"/>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sz w:val="24"/>
        </w:rPr>
      </w:r>
      <w:r/>
    </w:p>
    <w:p>
      <w:pPr>
        <w:pStyle w:val="1126"/>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szCs w:val="20"/>
        </w:rPr>
        <w:t xml:space="preserve">磋商小组根据上述供应商排序，依次推荐排序前</w:t>
      </w:r>
      <w:r>
        <w:rPr>
          <w:rFonts w:hint="eastAsia"/>
          <w:color w:val="000000"/>
          <w:sz w:val="24"/>
        </w:rPr>
        <w:t xml:space="preserve">3</w:t>
      </w:r>
      <w:r>
        <w:rPr>
          <w:color w:val="000000"/>
          <w:sz w:val="24"/>
        </w:rPr>
        <w:t xml:space="preserve">名</w:t>
      </w:r>
      <w:r>
        <w:rPr>
          <w:color w:val="000000"/>
          <w:sz w:val="24"/>
          <w:szCs w:val="20"/>
        </w:rPr>
        <w:t xml:space="preserve">的供应商为</w:t>
      </w:r>
      <w:r>
        <w:rPr>
          <w:color w:val="000000"/>
          <w:sz w:val="24"/>
          <w:szCs w:val="21"/>
        </w:rPr>
        <w:t xml:space="preserve">成交候选供应商</w:t>
      </w:r>
      <w:r>
        <w:rPr>
          <w:color w:val="000000"/>
          <w:sz w:val="24"/>
          <w:szCs w:val="20"/>
        </w:rPr>
        <w:t xml:space="preserve">（若在磋商文件允许的情形下提交最终报价的供应商为二家，则依次推荐二名供应商为成交候选供应商），并编写评审报告。</w:t>
      </w:r>
      <w:r>
        <w:rPr>
          <w:color w:val="000000"/>
          <w:sz w:val="24"/>
        </w:rPr>
      </w:r>
      <w:r/>
    </w:p>
    <w:p>
      <w:pPr>
        <w:pStyle w:val="1126"/>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磋商小组要对评分汇总情况进行复核，特别是对排名第一的、报价最低的、响应文件被认定为无效的情形进行重点复核。</w:t>
      </w:r>
      <w:r>
        <w:rPr>
          <w:color w:val="000000"/>
          <w:sz w:val="24"/>
        </w:rPr>
      </w:r>
      <w:r/>
    </w:p>
    <w:p>
      <w:pPr>
        <w:pStyle w:val="1126"/>
        <w:numPr>
          <w:ilvl w:val="0"/>
          <w:numId w:val="11"/>
        </w:numPr>
        <w:spacing w:line="360" w:lineRule="auto"/>
        <w:tabs>
          <w:tab w:val="left" w:pos="360" w:leader="none"/>
          <w:tab w:val="left" w:pos="900" w:leader="none"/>
        </w:tabs>
        <w:rPr>
          <w:color w:val="000000"/>
          <w:sz w:val="24"/>
        </w:rPr>
        <w:outlineLvl w:val="1"/>
      </w:pPr>
      <w:r>
        <w:rPr>
          <w:color w:val="000000"/>
          <w:sz w:val="24"/>
        </w:rPr>
        <w:t xml:space="preserve">报告违法行为</w:t>
      </w:r>
      <w:r>
        <w:rPr>
          <w:color w:val="000000"/>
          <w:sz w:val="24"/>
        </w:rPr>
      </w:r>
      <w:r/>
    </w:p>
    <w:p>
      <w:pPr>
        <w:pStyle w:val="1126"/>
        <w:ind w:left="210" w:right="0" w:firstLine="480"/>
        <w:jc w:val="left"/>
        <w:spacing w:before="0" w:after="0" w:line="360" w:lineRule="auto"/>
        <w:rPr>
          <w:rFonts w:ascii="Times New Roman" w:hAnsi="Times New Roman" w:eastAsia="宋体" w:cs="Times New Roman"/>
          <w:b w:val="0"/>
          <w:color w:val="000000"/>
          <w:sz w:val="24"/>
          <w:szCs w:val="24"/>
          <w:lang w:val="en-US" w:eastAsia="zh-CN" w:bidi="ar-SA"/>
        </w:rPr>
        <w:outlineLvl w:val="9"/>
      </w:pPr>
      <w:r>
        <w:rPr>
          <w:rFonts w:ascii="Times New Roman" w:hAnsi="Times New Roman" w:eastAsia="宋体" w:cs="Times New Roman"/>
          <w:b w:val="0"/>
          <w:color w:val="000000"/>
          <w:sz w:val="24"/>
          <w:szCs w:val="24"/>
          <w:lang w:val="en-US" w:eastAsia="zh-CN" w:bidi="ar-SA"/>
        </w:rPr>
        <w:t xml:space="preserve">磋商小组在评审过程中发现供应商有行贿、提供虚假材料或者串通等违法行为时，有向采购人、采购代理机构或者有关部门报告的职责。</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Start w:id="652" w:name="_Toc104818929"/>
      <w:r>
        <w:rPr>
          <w:rFonts w:ascii="Times New Roman" w:hAnsi="Times New Roman" w:eastAsia="宋体" w:cs="Times New Roman"/>
          <w:b w:val="0"/>
          <w:color w:val="000000"/>
          <w:sz w:val="24"/>
          <w:szCs w:val="24"/>
          <w:lang w:val="en-US" w:eastAsia="zh-CN" w:bidi="ar-SA"/>
        </w:rPr>
      </w:r>
      <w:r/>
    </w:p>
    <w:p>
      <w:pPr>
        <w:pStyle w:val="1159"/>
        <w:tabs>
          <w:tab w:val="left" w:pos="567" w:leader="none"/>
        </w:tabs>
        <w:rPr>
          <w:rFonts w:ascii="Times New Roman" w:hAnsi="Times New Roman" w:eastAsia="宋体" w:cs="Times New Roman"/>
          <w:b w:val="0"/>
          <w:color w:val="000000"/>
          <w:sz w:val="24"/>
          <w:szCs w:val="24"/>
          <w:lang w:val="en-US" w:eastAsia="zh-CN" w:bidi="ar-SA"/>
        </w:rPr>
      </w:pPr>
      <w:r>
        <w:rPr>
          <w:rFonts w:ascii="Times New Roman" w:hAnsi="Times New Roman" w:eastAsia="宋体" w:cs="Times New Roman"/>
          <w:b w:val="0"/>
          <w:color w:val="000000"/>
          <w:sz w:val="24"/>
          <w:szCs w:val="24"/>
          <w:lang w:val="en-US" w:eastAsia="zh-CN" w:bidi="ar-SA"/>
        </w:rPr>
      </w:r>
      <w:r/>
    </w:p>
    <w:p>
      <w:pPr>
        <w:pStyle w:val="1150"/>
        <w:rPr>
          <w:rFonts w:ascii="Times New Roman" w:hAnsi="Times New Roman" w:eastAsia="宋体" w:cs="Times New Roman"/>
          <w:b w:val="0"/>
          <w:color w:val="000000"/>
          <w:sz w:val="24"/>
          <w:szCs w:val="24"/>
          <w:lang w:val="en-US" w:eastAsia="zh-CN" w:bidi="ar-SA"/>
        </w:rPr>
      </w:pPr>
      <w:r>
        <w:rPr>
          <w:rFonts w:ascii="Times New Roman" w:hAnsi="Times New Roman" w:eastAsia="宋体" w:cs="Times New Roman"/>
          <w:b w:val="0"/>
          <w:color w:val="000000"/>
          <w:sz w:val="24"/>
          <w:szCs w:val="24"/>
          <w:lang w:val="en-US" w:eastAsia="zh-CN" w:bidi="ar-SA"/>
        </w:rPr>
      </w:r>
      <w:r/>
    </w:p>
    <w:p>
      <w:pPr>
        <w:pStyle w:val="1126"/>
        <w:rPr>
          <w:rFonts w:ascii="Times New Roman" w:hAnsi="Times New Roman" w:eastAsia="宋体" w:cs="Times New Roman"/>
          <w:b w:val="0"/>
          <w:color w:val="000000"/>
          <w:sz w:val="24"/>
          <w:szCs w:val="24"/>
          <w:lang w:val="en-US" w:eastAsia="zh-CN" w:bidi="ar-SA"/>
        </w:rPr>
      </w:pPr>
      <w:r>
        <w:rPr>
          <w:rFonts w:ascii="Times New Roman" w:hAnsi="Times New Roman" w:eastAsia="宋体" w:cs="Times New Roman"/>
          <w:b w:val="0"/>
          <w:color w:val="000000"/>
          <w:sz w:val="24"/>
          <w:szCs w:val="24"/>
          <w:lang w:val="en-US" w:eastAsia="zh-CN" w:bidi="ar-SA"/>
        </w:rPr>
      </w:r>
      <w:r/>
    </w:p>
    <w:p>
      <w:pPr>
        <w:pStyle w:val="1159"/>
        <w:tabs>
          <w:tab w:val="left" w:pos="567" w:leader="none"/>
        </w:tabs>
        <w:rPr>
          <w:rFonts w:ascii="Times New Roman" w:hAnsi="Times New Roman" w:eastAsia="宋体" w:cs="Times New Roman"/>
          <w:b w:val="0"/>
          <w:color w:val="000000"/>
          <w:sz w:val="24"/>
          <w:szCs w:val="24"/>
          <w:lang w:val="en-US" w:eastAsia="zh-CN" w:bidi="ar-SA"/>
        </w:rPr>
      </w:pPr>
      <w:r>
        <w:rPr>
          <w:rFonts w:ascii="Times New Roman" w:hAnsi="Times New Roman" w:eastAsia="宋体" w:cs="Times New Roman"/>
          <w:b w:val="0"/>
          <w:color w:val="000000"/>
          <w:sz w:val="24"/>
          <w:szCs w:val="24"/>
          <w:lang w:val="en-US" w:eastAsia="zh-CN" w:bidi="ar-SA"/>
        </w:rPr>
      </w:r>
      <w:r/>
    </w:p>
    <w:p>
      <w:pPr>
        <w:pStyle w:val="1150"/>
        <w:rPr>
          <w:rFonts w:ascii="Times New Roman" w:hAnsi="Times New Roman" w:eastAsia="宋体" w:cs="Times New Roman"/>
          <w:b w:val="0"/>
          <w:color w:val="000000"/>
          <w:sz w:val="24"/>
          <w:szCs w:val="24"/>
          <w:lang w:val="en-US" w:eastAsia="zh-CN" w:bidi="ar-SA"/>
        </w:rPr>
      </w:pPr>
      <w:r>
        <w:rPr>
          <w:rFonts w:ascii="Times New Roman" w:hAnsi="Times New Roman" w:eastAsia="宋体" w:cs="Times New Roman"/>
          <w:b w:val="0"/>
          <w:color w:val="000000"/>
          <w:sz w:val="24"/>
          <w:szCs w:val="24"/>
          <w:lang w:val="en-US" w:eastAsia="zh-CN" w:bidi="ar-SA"/>
        </w:rPr>
      </w:r>
      <w:r/>
    </w:p>
    <w:p>
      <w:pPr>
        <w:pStyle w:val="1126"/>
        <w:rPr>
          <w:rFonts w:ascii="Times New Roman" w:hAnsi="Times New Roman" w:eastAsia="宋体" w:cs="Times New Roman"/>
          <w:b w:val="0"/>
          <w:color w:val="000000"/>
          <w:sz w:val="24"/>
          <w:szCs w:val="24"/>
          <w:lang w:val="en-US" w:eastAsia="zh-CN" w:bidi="ar-SA"/>
        </w:rPr>
      </w:pPr>
      <w:r>
        <w:rPr>
          <w:rFonts w:ascii="Times New Roman" w:hAnsi="Times New Roman" w:eastAsia="宋体" w:cs="Times New Roman"/>
          <w:b w:val="0"/>
          <w:color w:val="000000"/>
          <w:sz w:val="24"/>
          <w:szCs w:val="24"/>
          <w:lang w:val="en-US" w:eastAsia="zh-CN" w:bidi="ar-SA"/>
        </w:rPr>
      </w:r>
      <w:r/>
    </w:p>
    <w:p>
      <w:pPr>
        <w:pStyle w:val="1159"/>
        <w:tabs>
          <w:tab w:val="left" w:pos="567" w:leader="none"/>
        </w:tabs>
        <w:rPr>
          <w:rFonts w:ascii="Times New Roman" w:hAnsi="Times New Roman" w:eastAsia="宋体" w:cs="Times New Roman"/>
          <w:b w:val="0"/>
          <w:color w:val="000000"/>
          <w:sz w:val="24"/>
          <w:szCs w:val="24"/>
          <w:lang w:val="en-US" w:eastAsia="zh-CN" w:bidi="ar-SA"/>
        </w:rPr>
      </w:pPr>
      <w:r>
        <w:rPr>
          <w:rFonts w:ascii="Times New Roman" w:hAnsi="Times New Roman" w:eastAsia="宋体" w:cs="Times New Roman"/>
          <w:b w:val="0"/>
          <w:color w:val="000000"/>
          <w:sz w:val="24"/>
          <w:szCs w:val="24"/>
          <w:lang w:val="en-US" w:eastAsia="zh-CN" w:bidi="ar-SA"/>
        </w:rPr>
      </w:r>
      <w:r/>
    </w:p>
    <w:p>
      <w:pPr>
        <w:pStyle w:val="1150"/>
        <w:rPr>
          <w:rFonts w:ascii="Times New Roman" w:hAnsi="Times New Roman" w:eastAsia="宋体" w:cs="Times New Roman"/>
          <w:b w:val="0"/>
          <w:color w:val="000000"/>
          <w:sz w:val="24"/>
          <w:szCs w:val="24"/>
          <w:lang w:val="en-US" w:eastAsia="zh-CN" w:bidi="ar-SA"/>
        </w:rPr>
      </w:pPr>
      <w:r>
        <w:rPr>
          <w:rFonts w:ascii="Times New Roman" w:hAnsi="Times New Roman" w:eastAsia="宋体" w:cs="Times New Roman"/>
          <w:b w:val="0"/>
          <w:color w:val="000000"/>
          <w:sz w:val="24"/>
          <w:szCs w:val="24"/>
          <w:lang w:val="en-US" w:eastAsia="zh-CN" w:bidi="ar-SA"/>
        </w:rPr>
      </w:r>
      <w:r/>
    </w:p>
    <w:p>
      <w:pPr>
        <w:pStyle w:val="1126"/>
        <w:rPr>
          <w:rFonts w:ascii="Times New Roman" w:hAnsi="Times New Roman" w:eastAsia="宋体" w:cs="Times New Roman"/>
          <w:b w:val="0"/>
          <w:color w:val="000000"/>
          <w:sz w:val="24"/>
          <w:szCs w:val="24"/>
          <w:lang w:val="en-US" w:eastAsia="zh-CN" w:bidi="ar-SA"/>
        </w:rPr>
      </w:pPr>
      <w:r>
        <w:rPr>
          <w:rFonts w:ascii="Times New Roman" w:hAnsi="Times New Roman" w:eastAsia="宋体" w:cs="Times New Roman"/>
          <w:b w:val="0"/>
          <w:color w:val="000000"/>
          <w:sz w:val="24"/>
          <w:szCs w:val="24"/>
          <w:lang w:val="en-US" w:eastAsia="zh-CN" w:bidi="ar-SA"/>
        </w:rPr>
      </w:r>
      <w:r/>
    </w:p>
    <w:p>
      <w:pPr>
        <w:pStyle w:val="1159"/>
        <w:tabs>
          <w:tab w:val="left" w:pos="567" w:leader="none"/>
        </w:tabs>
        <w:rPr>
          <w:lang w:val="en-US" w:eastAsia="zh-CN"/>
        </w:rPr>
      </w:pPr>
      <w:r>
        <w:rPr>
          <w:lang w:val="en-US" w:eastAsia="zh-CN"/>
        </w:rPr>
      </w:r>
      <w:r>
        <w:rPr>
          <w:lang w:val="en-US" w:eastAsia="zh-CN"/>
        </w:rPr>
      </w:r>
      <w:r/>
    </w:p>
    <w:p>
      <w:pPr>
        <w:pStyle w:val="1159"/>
        <w:tabs>
          <w:tab w:val="left" w:pos="567" w:leader="none"/>
        </w:tabs>
        <w:rPr>
          <w:lang w:val="en-US" w:eastAsia="zh-CN"/>
        </w:rPr>
      </w:pPr>
      <w:r>
        <w:rPr>
          <w:lang w:val="en-US" w:eastAsia="zh-CN"/>
        </w:rPr>
      </w:r>
      <w:r>
        <w:rPr>
          <w:lang w:val="en-US" w:eastAsia="zh-CN"/>
        </w:rPr>
      </w:r>
      <w:r/>
    </w:p>
    <w:p>
      <w:pPr>
        <w:pStyle w:val="1159"/>
        <w:tabs>
          <w:tab w:val="left" w:pos="567" w:leader="none"/>
        </w:tabs>
        <w:rPr>
          <w:lang w:val="en-US" w:eastAsia="zh-CN"/>
        </w:rPr>
      </w:pPr>
      <w:r>
        <w:rPr>
          <w:lang w:val="en-US" w:eastAsia="zh-CN"/>
        </w:rPr>
      </w:r>
      <w:r>
        <w:rPr>
          <w:lang w:val="en-US" w:eastAsia="zh-CN"/>
        </w:rPr>
      </w:r>
      <w:r/>
    </w:p>
    <w:p>
      <w:pPr>
        <w:pStyle w:val="1159"/>
        <w:tabs>
          <w:tab w:val="left" w:pos="567" w:leader="none"/>
        </w:tabs>
        <w:rPr>
          <w:lang w:val="en-US" w:eastAsia="zh-CN"/>
        </w:rPr>
      </w:pPr>
      <w:r>
        <w:rPr>
          <w:lang w:val="en-US" w:eastAsia="zh-CN"/>
        </w:rPr>
      </w:r>
      <w:r>
        <w:rPr>
          <w:lang w:val="en-US" w:eastAsia="zh-CN"/>
        </w:rPr>
      </w:r>
      <w:r/>
    </w:p>
    <w:p>
      <w:pPr>
        <w:pStyle w:val="1159"/>
        <w:tabs>
          <w:tab w:val="left" w:pos="567" w:leader="none"/>
        </w:tabs>
        <w:rPr>
          <w:lang w:val="en-US" w:eastAsia="zh-CN"/>
        </w:rPr>
      </w:pPr>
      <w:r>
        <w:rPr>
          <w:lang w:val="en-US" w:eastAsia="zh-CN"/>
        </w:rPr>
      </w:r>
      <w:r>
        <w:rPr>
          <w:lang w:val="en-US" w:eastAsia="zh-CN"/>
        </w:rPr>
      </w:r>
      <w:r/>
    </w:p>
    <w:p>
      <w:pPr>
        <w:pStyle w:val="1159"/>
        <w:tabs>
          <w:tab w:val="left" w:pos="567" w:leader="none"/>
        </w:tabs>
        <w:rPr>
          <w:lang w:val="en-US" w:eastAsia="zh-CN"/>
        </w:rPr>
      </w:pPr>
      <w:r>
        <w:rPr>
          <w:lang w:val="en-US" w:eastAsia="zh-CN"/>
        </w:rPr>
      </w:r>
      <w:r/>
    </w:p>
    <w:p>
      <w:pPr>
        <w:pStyle w:val="1128"/>
        <w:ind w:left="210" w:right="0" w:firstLine="0"/>
        <w:jc w:val="center"/>
        <w:spacing w:before="0" w:after="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二、</w:t>
      </w:r>
      <w:r>
        <w:rPr>
          <w:rFonts w:ascii="Times New Roman" w:hAnsi="Times New Roman" w:eastAsia="宋体" w:cs="Times New Roman"/>
          <w:color w:val="000000"/>
          <w:sz w:val="24"/>
          <w:szCs w:val="24"/>
          <w:highlight w:val="none"/>
        </w:rPr>
        <w:t xml:space="preserve">评审标准</w:t>
      </w:r>
      <w:r>
        <w:rPr>
          <w:rFonts w:ascii="Times New Roman" w:hAnsi="Times New Roman" w:eastAsia="宋体" w:cs="Times New Roman"/>
          <w:color w:val="000000"/>
          <w:sz w:val="24"/>
          <w:szCs w:val="24"/>
          <w:highlight w:val="none"/>
        </w:rPr>
      </w:r>
      <w:r/>
    </w:p>
    <w:tbl>
      <w:tblPr>
        <w:tblW w:w="9286"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6"/>
        <w:gridCol w:w="909"/>
        <w:gridCol w:w="7081"/>
      </w:tblGrid>
      <w:tr>
        <w:trPr>
          <w:trHeight w:val="452"/>
          <w:tblHeader/>
        </w:trPr>
        <w:tc>
          <w:tcPr>
            <w:shd w:val="clear" w:color="auto" w:fill="ffffff"/>
            <w:tcW w:w="1296" w:type="dxa"/>
            <w:vAlign w:val="center"/>
            <w:textDirection w:val="lrTb"/>
            <w:noWrap w:val="false"/>
          </w:tcPr>
          <w:p>
            <w:pPr>
              <w:pStyle w:val="1126"/>
              <w:ind w:left="0" w:right="0" w:firstLine="0"/>
              <w:jc w:val="center"/>
              <w:keepLines w:val="0"/>
              <w:keepNext w:val="0"/>
              <w:pageBreakBefore w:val="0"/>
              <w:spacing w:line="240" w:lineRule="auto"/>
              <w:widowControl w:val="off"/>
              <w:rPr>
                <w:b/>
                <w:highlight w:val="none"/>
              </w:rPr>
            </w:pPr>
            <w:r>
              <w:rPr>
                <w:b/>
                <w:highlight w:val="none"/>
              </w:rPr>
              <w:t xml:space="preserve">评审要素</w:t>
            </w:r>
            <w:r>
              <w:rPr>
                <w:b/>
                <w:highlight w:val="none"/>
              </w:rPr>
            </w:r>
            <w:r/>
          </w:p>
        </w:tc>
        <w:tc>
          <w:tcPr>
            <w:shd w:val="clear" w:color="auto" w:fill="ffffff"/>
            <w:tcW w:w="909" w:type="dxa"/>
            <w:vAlign w:val="center"/>
            <w:textDirection w:val="lrTb"/>
            <w:noWrap w:val="false"/>
          </w:tcPr>
          <w:p>
            <w:pPr>
              <w:pStyle w:val="1126"/>
              <w:ind w:left="0" w:right="0" w:firstLine="0"/>
              <w:jc w:val="center"/>
              <w:keepLines w:val="0"/>
              <w:keepNext w:val="0"/>
              <w:pageBreakBefore w:val="0"/>
              <w:spacing w:line="240" w:lineRule="auto"/>
              <w:widowControl w:val="off"/>
              <w:rPr>
                <w:b/>
                <w:highlight w:val="none"/>
              </w:rPr>
            </w:pPr>
            <w:r>
              <w:rPr>
                <w:b/>
                <w:highlight w:val="none"/>
              </w:rPr>
              <w:t xml:space="preserve">分值</w:t>
            </w:r>
            <w:r>
              <w:rPr>
                <w:b/>
                <w:highlight w:val="none"/>
              </w:rPr>
            </w:r>
            <w:r/>
          </w:p>
        </w:tc>
        <w:tc>
          <w:tcPr>
            <w:shd w:val="clear" w:color="auto" w:fill="ffffff"/>
            <w:tcW w:w="7081" w:type="dxa"/>
            <w:vAlign w:val="center"/>
            <w:textDirection w:val="lrTb"/>
            <w:noWrap w:val="false"/>
          </w:tcPr>
          <w:p>
            <w:pPr>
              <w:pStyle w:val="1126"/>
              <w:ind w:left="0" w:right="0" w:firstLine="0"/>
              <w:jc w:val="center"/>
              <w:keepLines w:val="0"/>
              <w:keepNext w:val="0"/>
              <w:pageBreakBefore w:val="0"/>
              <w:spacing w:line="240" w:lineRule="auto"/>
              <w:widowControl w:val="off"/>
              <w:rPr>
                <w:b/>
                <w:highlight w:val="none"/>
              </w:rPr>
            </w:pPr>
            <w:r>
              <w:rPr>
                <w:b/>
                <w:highlight w:val="none"/>
              </w:rPr>
              <w:t xml:space="preserve">评分标准</w:t>
            </w:r>
            <w:r>
              <w:rPr>
                <w:b/>
                <w:highlight w:val="none"/>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rPr>
            </w:pPr>
            <w:r>
              <w:rPr>
                <w:highlight w:val="none"/>
              </w:rPr>
              <w:t xml:space="preserve">价格分</w:t>
            </w:r>
            <w:r>
              <w:rPr>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rPr>
            </w:pPr>
            <w:r>
              <w:rPr>
                <w:highlight w:val="none"/>
              </w:rPr>
              <w:t xml:space="preserve">10分</w:t>
            </w:r>
            <w:r>
              <w:rPr>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pStyle w:val="1126"/>
              <w:ind w:left="0" w:right="0" w:firstLine="0"/>
              <w:jc w:val="left"/>
              <w:keepLines w:val="0"/>
              <w:keepNext w:val="0"/>
              <w:pageBreakBefore w:val="0"/>
              <w:spacing w:line="360" w:lineRule="auto"/>
              <w:widowControl w:val="off"/>
              <w:rPr>
                <w:highlight w:val="none"/>
              </w:rPr>
            </w:pPr>
            <w:r>
              <w:rPr>
                <w:highlight w:val="none"/>
              </w:rPr>
              <w:t xml:space="preserve">满足磋商文件要求且最终报价最低的报价为评标基准价，其价格分为满分。其他供应商的价格分统一按照下列公式计算：价格分得分＝（评标基准价/最终报价）×分值。</w:t>
            </w:r>
            <w:r>
              <w:rPr>
                <w:highlight w:val="none"/>
              </w:rPr>
            </w:r>
            <w:r/>
          </w:p>
          <w:p>
            <w:pPr>
              <w:pStyle w:val="1126"/>
              <w:ind w:left="0" w:right="0" w:firstLine="0"/>
              <w:jc w:val="left"/>
              <w:keepLines w:val="0"/>
              <w:keepNext w:val="0"/>
              <w:pageBreakBefore w:val="0"/>
              <w:spacing w:line="360" w:lineRule="auto"/>
              <w:widowControl w:val="off"/>
              <w:rPr>
                <w:highlight w:val="none"/>
              </w:rPr>
            </w:pPr>
            <w:r>
              <w:rPr>
                <w:highlight w:val="none"/>
              </w:rPr>
              <w:t xml:space="preserve">注：此处最终报价指经过报价修正，及因落实政府采购政策进行价格调整后的报价。</w:t>
            </w:r>
            <w:r>
              <w:rPr>
                <w:highlight w:val="none"/>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lang w:val="en-US" w:eastAsia="zh-CN"/>
              </w:rPr>
            </w:pPr>
            <w:r>
              <w:rPr>
                <w:rFonts w:hint="eastAsia"/>
                <w:highlight w:val="none"/>
                <w:lang w:val="en-US" w:eastAsia="zh-CN"/>
              </w:rPr>
              <w:t xml:space="preserve">相关项目经验</w:t>
            </w:r>
            <w:r>
              <w:rPr>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126"/>
              <w:ind w:left="0" w:right="0" w:firstLine="0"/>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6分</w:t>
            </w:r>
            <w:r>
              <w:rPr>
                <w:rFonts w:hint="eastAsia" w:ascii="Times New Roman" w:hAnsi="Times New Roman" w:eastAsia="宋体" w:cs="Times New Roman"/>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pStyle w:val="1126"/>
              <w:ind w:left="0" w:right="0" w:firstLine="0"/>
              <w:jc w:val="left"/>
              <w:keepLines w:val="0"/>
              <w:keepNext w:val="0"/>
              <w:pageBreakBefore w:val="0"/>
              <w:spacing w:line="360"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近三年（2024年1月1日之后，合同签订时间在本项目响应文件提交截止前，以合同签订时间为准），供应商承接过产业相关的研究咨询项目，每提供1项得3分，最高得6分。</w:t>
            </w:r>
            <w:r>
              <w:rPr>
                <w:rFonts w:hint="eastAsia" w:ascii="Times New Roman" w:hAnsi="Times New Roman" w:eastAsia="宋体" w:cs="Times New Roman"/>
                <w:highlight w:val="none"/>
                <w:lang w:val="en-US" w:eastAsia="zh-CN"/>
              </w:rPr>
            </w:r>
            <w:r/>
          </w:p>
          <w:p>
            <w:pPr>
              <w:pStyle w:val="1126"/>
              <w:ind w:left="0" w:right="0" w:firstLine="0"/>
              <w:jc w:val="left"/>
              <w:keepLines w:val="0"/>
              <w:keepNext w:val="0"/>
              <w:pageBreakBefore w:val="0"/>
              <w:spacing w:line="360"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注：同一合同不重复计分。响应文件中提供以上合同关键页扫描件（签订合同双方的单位名称、合同项目名称、体现服务的内容页、双方签字/盖章页），未提供不得分。</w:t>
            </w:r>
            <w:r>
              <w:rPr>
                <w:rFonts w:hint="eastAsia" w:ascii="Times New Roman" w:hAnsi="Times New Roman" w:eastAsia="宋体" w:cs="Times New Roman"/>
                <w:highlight w:val="none"/>
                <w:lang w:val="en-US" w:eastAsia="zh-CN"/>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lang w:val="en-US" w:eastAsia="zh-CN"/>
              </w:rPr>
            </w:pPr>
            <w:r>
              <w:rPr>
                <w:rFonts w:hint="eastAsia"/>
                <w:highlight w:val="none"/>
                <w:lang w:val="en-US" w:eastAsia="zh-CN"/>
              </w:rPr>
              <w:t xml:space="preserve">相关研究基础</w:t>
            </w:r>
            <w:r>
              <w:rPr>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lang w:val="en-US" w:eastAsia="zh-CN"/>
              </w:rPr>
            </w:pPr>
            <w:r>
              <w:rPr>
                <w:rFonts w:hint="eastAsia"/>
                <w:highlight w:val="none"/>
                <w:lang w:val="en-US" w:eastAsia="zh-CN"/>
              </w:rPr>
              <w:t xml:space="preserve">6分</w:t>
            </w:r>
            <w:r>
              <w:rPr>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pStyle w:val="1126"/>
              <w:ind w:left="0" w:right="0" w:firstLine="0"/>
              <w:jc w:val="left"/>
              <w:keepLines w:val="0"/>
              <w:keepNext w:val="0"/>
              <w:pageBreakBefore w:val="0"/>
              <w:spacing w:line="360" w:lineRule="auto"/>
              <w:widowControl w:val="off"/>
              <w:rPr>
                <w:rFonts w:hint="eastAsia" w:ascii="Times New Roman" w:hAnsi="Times New Roman" w:eastAsia="宋体" w:cs="Times New Roman"/>
                <w:highlight w:val="none"/>
                <w:lang w:val="en-US" w:eastAsia="zh-CN"/>
              </w:rPr>
            </w:pPr>
            <w:r>
              <w:rPr>
                <w:rFonts w:hint="eastAsia"/>
                <w:highlight w:val="none"/>
                <w:lang w:val="en-US" w:eastAsia="zh-CN"/>
              </w:rPr>
              <w:t xml:space="preserve">近三年</w:t>
            </w:r>
            <w:r>
              <w:rPr>
                <w:rFonts w:hint="eastAsia" w:ascii="Times New Roman" w:hAnsi="Times New Roman" w:eastAsia="宋体" w:cs="Times New Roman"/>
                <w:highlight w:val="none"/>
                <w:lang w:val="en-US" w:eastAsia="zh-CN"/>
              </w:rPr>
              <w:t xml:space="preserve">（2024年1月1日之后，合同签订时间在本项目响应文件提交截止前，以合同签订时间为准）</w:t>
            </w:r>
            <w:r>
              <w:rPr>
                <w:rFonts w:hint="eastAsia" w:ascii="Times New Roman" w:hAnsi="Times New Roman" w:eastAsia="宋体" w:cs="Times New Roman"/>
                <w:highlight w:val="none"/>
                <w:lang w:val="en-US" w:eastAsia="zh-CN"/>
              </w:rPr>
              <w:t xml:space="preserve">，供应商完成产业相关研究成果在公开论坛中正式发布或被媒体公开刊发、报道的，每有1个成果得3分，最高得6分。</w:t>
            </w:r>
            <w:r>
              <w:rPr>
                <w:rFonts w:hint="eastAsia" w:ascii="Times New Roman" w:hAnsi="Times New Roman" w:eastAsia="宋体" w:cs="Times New Roman"/>
                <w:highlight w:val="none"/>
                <w:lang w:val="en-US" w:eastAsia="zh-CN"/>
              </w:rPr>
            </w:r>
            <w:r/>
          </w:p>
          <w:p>
            <w:pPr>
              <w:pStyle w:val="1126"/>
              <w:ind w:left="0" w:right="0" w:firstLine="0"/>
              <w:jc w:val="left"/>
              <w:keepLines w:val="0"/>
              <w:keepNext w:val="0"/>
              <w:pageBreakBefore w:val="0"/>
              <w:spacing w:line="360" w:lineRule="auto"/>
              <w:widowControl w:val="off"/>
              <w:rPr>
                <w:highlight w:val="none"/>
                <w:lang w:val="en-US" w:eastAsia="zh-CN"/>
              </w:rPr>
            </w:pPr>
            <w:r>
              <w:rPr>
                <w:rFonts w:hint="eastAsia" w:ascii="Times New Roman" w:hAnsi="Times New Roman" w:eastAsia="宋体" w:cs="Times New Roman"/>
                <w:highlight w:val="none"/>
                <w:lang w:val="en-US" w:eastAsia="zh-CN"/>
              </w:rPr>
              <w:t xml:space="preserve">注：响应文件中提供相关发布资料或媒体发刊、报道等相关证明材料，未提供不得分。</w:t>
            </w:r>
            <w:r>
              <w:rPr>
                <w:highlight w:val="none"/>
                <w:lang w:val="en-US" w:eastAsia="zh-CN"/>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26"/>
              <w:ind w:left="0" w:right="0" w:firstLine="0"/>
              <w:jc w:val="center"/>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研讨组织能力</w:t>
            </w:r>
            <w:r>
              <w:rPr>
                <w:rFonts w:hint="eastAsia"/>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lang w:val="en-US" w:eastAsia="zh-CN"/>
              </w:rPr>
            </w:pPr>
            <w:r>
              <w:rPr>
                <w:rFonts w:hint="eastAsia"/>
                <w:highlight w:val="none"/>
                <w:lang w:val="en-US" w:eastAsia="zh-CN"/>
              </w:rPr>
              <w:t xml:space="preserve">6分</w:t>
            </w:r>
            <w:r>
              <w:rPr>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pStyle w:val="1126"/>
              <w:ind w:left="0" w:right="0" w:firstLine="0"/>
              <w:jc w:val="left"/>
              <w:keepLines w:val="0"/>
              <w:keepNext w:val="0"/>
              <w:pageBreakBefore w:val="0"/>
              <w:spacing w:line="360"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供应商具有产业研究的组织能力，</w:t>
            </w:r>
            <w:r>
              <w:rPr>
                <w:rFonts w:hint="eastAsia"/>
                <w:highlight w:val="none"/>
                <w:lang w:val="en-US" w:eastAsia="zh-CN"/>
              </w:rPr>
              <w:t xml:space="preserve">承办过相关的研讨会或论坛（如新型工业化、双碳转型、新能源产业、人工智能、数字能源等主题），</w:t>
            </w:r>
            <w:r>
              <w:rPr>
                <w:rFonts w:hint="eastAsia" w:ascii="Times New Roman" w:hAnsi="Times New Roman" w:eastAsia="宋体" w:cs="Times New Roman"/>
                <w:highlight w:val="none"/>
                <w:lang w:val="en-US" w:eastAsia="zh-CN"/>
              </w:rPr>
              <w:t xml:space="preserve">每提供1个得3分，最高得6分。</w:t>
            </w:r>
            <w:r>
              <w:rPr>
                <w:rFonts w:hint="eastAsia" w:ascii="Times New Roman" w:hAnsi="Times New Roman" w:eastAsia="宋体" w:cs="Times New Roman"/>
                <w:highlight w:val="none"/>
                <w:lang w:val="en-US" w:eastAsia="zh-CN"/>
              </w:rPr>
            </w:r>
            <w:r/>
          </w:p>
          <w:p>
            <w:pPr>
              <w:pStyle w:val="1126"/>
              <w:ind w:left="0" w:right="0" w:firstLine="0"/>
              <w:jc w:val="left"/>
              <w:keepLines w:val="0"/>
              <w:keepNext w:val="0"/>
              <w:pageBreakBefore w:val="0"/>
              <w:spacing w:line="360" w:lineRule="auto"/>
              <w:widowControl w:val="off"/>
              <w:rPr>
                <w:rFonts w:hint="eastAsia"/>
                <w:highlight w:val="none"/>
                <w:lang w:val="en-US" w:eastAsia="zh-CN"/>
              </w:rPr>
            </w:pPr>
            <w:r>
              <w:rPr>
                <w:rFonts w:hint="eastAsia" w:ascii="Times New Roman" w:hAnsi="Times New Roman" w:eastAsia="宋体" w:cs="Times New Roman"/>
                <w:highlight w:val="none"/>
                <w:lang w:val="en-US" w:eastAsia="zh-CN"/>
              </w:rPr>
              <w:t xml:space="preserve">注：提供相关证明材料（如会议通知、发布会资料、议程、现场资料、新闻专题截图、专题网页截图等），未提供不得分。</w:t>
            </w:r>
            <w:r>
              <w:rPr>
                <w:rFonts w:hint="eastAsia"/>
                <w:highlight w:val="none"/>
                <w:lang w:val="en-US" w:eastAsia="zh-CN"/>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lang w:val="en-US" w:eastAsia="zh-CN"/>
              </w:rPr>
            </w:pPr>
            <w:r>
              <w:rPr>
                <w:rFonts w:hint="eastAsia"/>
                <w:highlight w:val="none"/>
                <w:lang w:val="en-US" w:eastAsia="zh-CN"/>
              </w:rPr>
              <w:t xml:space="preserve">项目团队配置</w:t>
            </w:r>
            <w:r>
              <w:rPr>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lang w:val="en-US" w:eastAsia="zh-CN"/>
              </w:rPr>
            </w:pPr>
            <w:r>
              <w:rPr>
                <w:rFonts w:hint="eastAsia"/>
                <w:highlight w:val="none"/>
                <w:lang w:val="en-US" w:eastAsia="zh-CN"/>
              </w:rPr>
              <w:t xml:space="preserve">8分</w:t>
            </w:r>
            <w:r>
              <w:rPr>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pStyle w:val="1126"/>
              <w:ind w:left="0" w:right="0" w:firstLine="0"/>
              <w:jc w:val="left"/>
              <w:keepLines w:val="0"/>
              <w:keepNext w:val="0"/>
              <w:pageBreakBefore w:val="0"/>
              <w:spacing w:line="360"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1、拟派项目负责人（1人）有副高级及以上专业技术职称的，得2分。</w:t>
            </w:r>
            <w:r>
              <w:rPr>
                <w:rFonts w:hint="eastAsia" w:ascii="Times New Roman" w:hAnsi="Times New Roman" w:eastAsia="宋体" w:cs="Times New Roman"/>
                <w:highlight w:val="none"/>
                <w:lang w:val="en-US" w:eastAsia="zh-CN"/>
              </w:rPr>
            </w:r>
            <w:r/>
          </w:p>
          <w:p>
            <w:pPr>
              <w:pStyle w:val="1126"/>
              <w:ind w:left="0" w:right="0" w:firstLine="0"/>
              <w:jc w:val="left"/>
              <w:keepLines w:val="0"/>
              <w:keepNext w:val="0"/>
              <w:pageBreakBefore w:val="0"/>
              <w:spacing w:line="360"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2、项目成员（项目负责人除外）中，具有博士研究生及以上学历的，每有1名得2分；具有中级及以上职称的，每有1名得2分；本项最高得6分。</w:t>
            </w:r>
            <w:r>
              <w:rPr>
                <w:rFonts w:hint="eastAsia" w:ascii="Times New Roman" w:hAnsi="Times New Roman" w:eastAsia="宋体" w:cs="Times New Roman"/>
                <w:highlight w:val="none"/>
                <w:lang w:val="en-US" w:eastAsia="zh-CN"/>
              </w:rPr>
            </w:r>
            <w:r/>
          </w:p>
          <w:p>
            <w:pPr>
              <w:pStyle w:val="1126"/>
              <w:ind w:left="0" w:right="0" w:firstLine="0"/>
              <w:jc w:val="left"/>
              <w:keepLines w:val="0"/>
              <w:keepNext w:val="0"/>
              <w:pageBreakBefore w:val="0"/>
              <w:spacing w:line="360" w:lineRule="auto"/>
              <w:widowControl w:val="off"/>
              <w:rPr>
                <w:highlight w:val="none"/>
                <w:lang w:val="en-US" w:eastAsia="zh-CN"/>
              </w:rPr>
            </w:pPr>
            <w:r>
              <w:rPr>
                <w:rFonts w:ascii="Times New Roman" w:hAnsi="Times New Roman" w:eastAsia="宋体" w:cs="Times New Roman"/>
                <w:highlight w:val="none"/>
                <w:lang w:val="en-US" w:eastAsia="zh-CN"/>
              </w:rPr>
              <w:t xml:space="preserve">注：</w:t>
            </w:r>
            <w:r>
              <w:rPr>
                <w:rFonts w:hint="eastAsia" w:ascii="Times New Roman" w:hAnsi="Times New Roman" w:eastAsia="宋体" w:cs="Times New Roman"/>
                <w:highlight w:val="none"/>
                <w:lang w:val="en-US" w:eastAsia="zh-CN"/>
              </w:rPr>
              <w:t xml:space="preserve">响应文件中需提供上述人员的</w:t>
            </w:r>
            <w:r>
              <w:rPr>
                <w:rFonts w:hint="eastAsia" w:ascii="Times New Roman" w:hAnsi="Times New Roman" w:eastAsia="宋体" w:cs="Times New Roman"/>
                <w:highlight w:val="none"/>
                <w:lang w:val="en-US" w:eastAsia="zh-CN"/>
              </w:rPr>
              <w:t xml:space="preserve">的学历学位、职称证书扫描件，以及供应商为持证人员近三个月中任意一个月缴纳社保的证明并加盖公章，未提供不得分。</w:t>
            </w:r>
            <w:r>
              <w:rPr>
                <w:highlight w:val="none"/>
                <w:lang w:val="en-US" w:eastAsia="zh-CN"/>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26"/>
              <w:ind w:left="0" w:right="0" w:firstLine="0"/>
              <w:jc w:val="center"/>
              <w:keepLines w:val="0"/>
              <w:keepNext w:val="0"/>
              <w:pageBreakBefore w:val="0"/>
              <w:spacing w:line="360" w:lineRule="auto"/>
              <w:widowControl w:val="off"/>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论证专家资质</w:t>
            </w:r>
            <w:r>
              <w:rPr>
                <w:rFonts w:ascii="Times New Roman" w:hAnsi="Times New Roman" w:eastAsia="宋体" w:cs="Times New Roman"/>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126"/>
              <w:ind w:left="0" w:right="0" w:firstLine="0"/>
              <w:jc w:val="center"/>
              <w:keepLines w:val="0"/>
              <w:keepNext w:val="0"/>
              <w:pageBreakBefore w:val="0"/>
              <w:spacing w:line="360" w:lineRule="auto"/>
              <w:widowControl w:val="off"/>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8分</w:t>
            </w:r>
            <w:r>
              <w:rPr>
                <w:rFonts w:ascii="Times New Roman" w:hAnsi="Times New Roman" w:eastAsia="宋体" w:cs="Times New Roman"/>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pStyle w:val="1126"/>
              <w:ind w:left="0" w:right="0" w:firstLine="0"/>
              <w:jc w:val="left"/>
              <w:keepLines w:val="0"/>
              <w:keepNext w:val="0"/>
              <w:pageBreakBefore w:val="0"/>
              <w:spacing w:line="360" w:lineRule="auto"/>
              <w:widowControl w:val="off"/>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拟为本项目邀请的相关领域专家，具有教授、正高级研究员或工程师以上职称的，每有1人得2分，最高得8分。</w:t>
            </w:r>
            <w:r>
              <w:rPr>
                <w:rFonts w:ascii="Times New Roman" w:hAnsi="Times New Roman" w:eastAsia="宋体" w:cs="Times New Roman"/>
                <w:highlight w:val="none"/>
                <w:lang w:val="en-US" w:eastAsia="zh-CN"/>
              </w:rPr>
            </w:r>
            <w:r/>
          </w:p>
          <w:p>
            <w:pPr>
              <w:pStyle w:val="1126"/>
              <w:ind w:left="0" w:right="0" w:firstLine="0"/>
              <w:jc w:val="left"/>
              <w:keepLines w:val="0"/>
              <w:keepNext w:val="0"/>
              <w:pageBreakBefore w:val="0"/>
              <w:spacing w:line="360" w:lineRule="auto"/>
              <w:widowControl w:val="off"/>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响应文件中需提供供应商拟派专家的聘用证明材料（包括但不限于聘用合同、专家聘书、聘任文件等）。上述材料须能清晰反映专家姓名、聘用单位及所聘专业领域，且处于有效聘用期内。未提供、提供不完整或无法证明有效聘用关系的，本项不得分。</w:t>
            </w:r>
            <w:r>
              <w:rPr>
                <w:rFonts w:ascii="Times New Roman" w:hAnsi="Times New Roman" w:eastAsia="宋体" w:cs="Times New Roman"/>
                <w:highlight w:val="none"/>
                <w:lang w:val="en-US" w:eastAsia="zh-CN"/>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lang w:val="en-US" w:eastAsia="zh-CN"/>
              </w:rPr>
            </w:pPr>
            <w:r>
              <w:rPr>
                <w:rFonts w:hint="eastAsia"/>
                <w:highlight w:val="none"/>
                <w:lang w:val="en-US" w:eastAsia="zh-CN"/>
              </w:rPr>
              <w:t xml:space="preserve">政策梳理和概念解读</w:t>
            </w:r>
            <w:r>
              <w:rPr>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lang w:val="en-US" w:eastAsia="zh-CN"/>
              </w:rPr>
            </w:pPr>
            <w:r>
              <w:rPr>
                <w:rFonts w:hint="eastAsia"/>
                <w:highlight w:val="none"/>
                <w:lang w:val="en-US" w:eastAsia="zh-CN"/>
              </w:rPr>
              <w:t xml:space="preserve">8</w:t>
            </w:r>
            <w:r>
              <w:rPr>
                <w:highlight w:val="none"/>
              </w:rPr>
              <w:t xml:space="preserve">分</w:t>
            </w:r>
            <w:r>
              <w:rPr>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pStyle w:val="1126"/>
              <w:ind w:left="0" w:right="0" w:firstLine="0"/>
              <w:jc w:val="left"/>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根据供应商提供的政策梳理及“全域电动化”概念解读内容，从政策梳理的系统性与准确性、概念界定的准确性、内涵外延阐释的清晰度和逻辑性等方面进行综合评定：</w:t>
            </w:r>
            <w:r>
              <w:rPr>
                <w:rFonts w:hint="eastAsia"/>
                <w:highlight w:val="none"/>
                <w:lang w:val="en-US" w:eastAsia="zh-CN"/>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1、</w:t>
            </w:r>
            <w:r>
              <w:rPr>
                <w:rFonts w:hint="eastAsia"/>
                <w:highlight w:val="none"/>
              </w:rPr>
              <w:t xml:space="preserve">政策</w:t>
            </w:r>
            <w:r>
              <w:rPr>
                <w:rFonts w:hint="eastAsia"/>
                <w:highlight w:val="none"/>
                <w:lang w:val="en-US" w:eastAsia="zh-CN"/>
              </w:rPr>
              <w:t xml:space="preserve">文件</w:t>
            </w:r>
            <w:r>
              <w:rPr>
                <w:rFonts w:hint="eastAsia"/>
                <w:highlight w:val="none"/>
              </w:rPr>
              <w:t xml:space="preserve">梳理</w:t>
            </w:r>
            <w:r>
              <w:rPr>
                <w:rFonts w:hint="eastAsia"/>
                <w:highlight w:val="none"/>
                <w:lang w:val="en-US" w:eastAsia="zh-CN"/>
              </w:rPr>
              <w:t xml:space="preserve">非常</w:t>
            </w:r>
            <w:r>
              <w:rPr>
                <w:rFonts w:hint="eastAsia"/>
                <w:highlight w:val="none"/>
              </w:rPr>
              <w:t xml:space="preserve">系统、准确，概念界定准确，内涵外延阐释清晰、逻辑严密</w:t>
            </w:r>
            <w:r>
              <w:rPr>
                <w:rFonts w:hint="eastAsia"/>
                <w:highlight w:val="none"/>
                <w:lang w:eastAsia="zh-CN"/>
              </w:rPr>
              <w:t xml:space="preserve">，</w:t>
            </w:r>
            <w:r>
              <w:rPr>
                <w:rFonts w:hint="eastAsia"/>
                <w:highlight w:val="none"/>
                <w:lang w:val="en-US" w:eastAsia="zh-CN"/>
              </w:rPr>
              <w:t xml:space="preserve">得8分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2、</w:t>
            </w:r>
            <w:r>
              <w:rPr>
                <w:rFonts w:hint="eastAsia"/>
                <w:highlight w:val="none"/>
              </w:rPr>
              <w:t xml:space="preserve">政策文件梳理</w:t>
            </w:r>
            <w:r>
              <w:rPr>
                <w:rFonts w:hint="eastAsia"/>
                <w:highlight w:val="none"/>
                <w:lang w:val="en-US" w:eastAsia="zh-CN"/>
              </w:rPr>
              <w:t xml:space="preserve">较</w:t>
            </w:r>
            <w:r>
              <w:rPr>
                <w:rFonts w:hint="eastAsia"/>
                <w:highlight w:val="none"/>
              </w:rPr>
              <w:t xml:space="preserve">系统、准确，</w:t>
            </w:r>
            <w:r>
              <w:rPr>
                <w:rFonts w:hint="eastAsia"/>
                <w:highlight w:val="none"/>
                <w:lang w:val="en-US" w:eastAsia="zh-CN"/>
              </w:rPr>
              <w:t xml:space="preserve">有</w:t>
            </w:r>
            <w:r>
              <w:rPr>
                <w:rFonts w:hint="eastAsia"/>
                <w:highlight w:val="none"/>
              </w:rPr>
              <w:t xml:space="preserve">基本</w:t>
            </w:r>
            <w:r>
              <w:rPr>
                <w:rFonts w:hint="eastAsia"/>
                <w:highlight w:val="none"/>
                <w:lang w:eastAsia="zh-CN"/>
              </w:rPr>
              <w:t xml:space="preserve">的</w:t>
            </w:r>
            <w:r>
              <w:rPr>
                <w:rFonts w:hint="eastAsia"/>
                <w:highlight w:val="none"/>
              </w:rPr>
              <w:t xml:space="preserve">概念界定，</w:t>
            </w:r>
            <w:r>
              <w:rPr>
                <w:rFonts w:hint="eastAsia"/>
                <w:highlight w:val="none"/>
                <w:lang w:val="en-US" w:eastAsia="zh-CN"/>
              </w:rPr>
              <w:t xml:space="preserve">但</w:t>
            </w:r>
            <w:r>
              <w:rPr>
                <w:rFonts w:hint="eastAsia"/>
                <w:highlight w:val="none"/>
              </w:rPr>
              <w:t xml:space="preserve">内涵外延阐释</w:t>
            </w:r>
            <w:r>
              <w:rPr>
                <w:rFonts w:hint="eastAsia"/>
                <w:highlight w:val="none"/>
                <w:lang w:val="en-US" w:eastAsia="zh-CN"/>
              </w:rPr>
              <w:t xml:space="preserve">不清晰、不系统</w:t>
            </w:r>
            <w:r>
              <w:rPr>
                <w:rFonts w:hint="eastAsia"/>
                <w:highlight w:val="none"/>
                <w:lang w:eastAsia="zh-CN"/>
              </w:rPr>
              <w:t xml:space="preserve">，</w:t>
            </w:r>
            <w:r>
              <w:rPr>
                <w:rFonts w:hint="eastAsia"/>
                <w:highlight w:val="none"/>
                <w:lang w:val="en-US" w:eastAsia="zh-CN"/>
              </w:rPr>
              <w:t xml:space="preserve">得5分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3、</w:t>
            </w:r>
            <w:r>
              <w:rPr>
                <w:rFonts w:hint="eastAsia"/>
                <w:highlight w:val="none"/>
              </w:rPr>
              <w:t xml:space="preserve">政策文件梳理</w:t>
            </w:r>
            <w:r>
              <w:rPr>
                <w:rFonts w:hint="eastAsia"/>
                <w:highlight w:val="none"/>
                <w:lang w:val="en-US" w:eastAsia="zh-CN"/>
              </w:rPr>
              <w:t xml:space="preserve">零散</w:t>
            </w:r>
            <w:r>
              <w:rPr>
                <w:rFonts w:hint="eastAsia"/>
                <w:highlight w:val="none"/>
              </w:rPr>
              <w:t xml:space="preserve">，概念界定不够准确，内涵外延阐释不清晰、逻辑不明</w:t>
            </w:r>
            <w:r>
              <w:rPr>
                <w:rFonts w:hint="eastAsia"/>
                <w:highlight w:val="none"/>
                <w:lang w:eastAsia="zh-CN"/>
              </w:rPr>
              <w:t xml:space="preserve">，</w:t>
            </w:r>
            <w:r>
              <w:rPr>
                <w:rFonts w:hint="eastAsia"/>
                <w:highlight w:val="none"/>
                <w:lang w:val="en-US" w:eastAsia="zh-CN"/>
              </w:rPr>
              <w:t xml:space="preserve">得2分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highlight w:val="none"/>
                <w:lang w:val="en-US" w:eastAsia="zh-CN"/>
              </w:rPr>
            </w:pPr>
            <w:r>
              <w:rPr>
                <w:rFonts w:hint="eastAsia"/>
                <w:highlight w:val="none"/>
                <w:lang w:val="en-US" w:eastAsia="zh-CN"/>
              </w:rPr>
              <w:t xml:space="preserve">4、</w:t>
            </w:r>
            <w:r>
              <w:rPr>
                <w:rFonts w:hint="eastAsia"/>
                <w:highlight w:val="none"/>
              </w:rPr>
              <w:t xml:space="preserve">未提供相关内容，或对</w:t>
            </w:r>
            <w:r>
              <w:rPr>
                <w:rFonts w:hint="eastAsia"/>
                <w:highlight w:val="none"/>
                <w:lang w:val="en-US" w:eastAsia="zh-CN"/>
              </w:rPr>
              <w:t xml:space="preserve">政策和</w:t>
            </w:r>
            <w:r>
              <w:rPr>
                <w:rFonts w:hint="eastAsia"/>
                <w:highlight w:val="none"/>
              </w:rPr>
              <w:t xml:space="preserve">“全域电动化”的理解存在明显错误</w:t>
            </w:r>
            <w:r>
              <w:rPr>
                <w:rFonts w:hint="eastAsia"/>
                <w:highlight w:val="none"/>
                <w:lang w:eastAsia="zh-CN"/>
              </w:rPr>
              <w:t xml:space="preserve">，</w:t>
            </w:r>
            <w:r>
              <w:rPr>
                <w:rFonts w:hint="eastAsia"/>
                <w:highlight w:val="none"/>
                <w:lang w:val="en-US" w:eastAsia="zh-CN"/>
              </w:rPr>
              <w:t xml:space="preserve">不得分</w:t>
            </w:r>
            <w:r>
              <w:rPr>
                <w:rFonts w:hint="eastAsia"/>
                <w:highlight w:val="none"/>
              </w:rPr>
              <w:t xml:space="preserve">。</w:t>
            </w:r>
            <w:r>
              <w:rPr>
                <w:highlight w:val="none"/>
                <w:lang w:val="en-US" w:eastAsia="zh-CN"/>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lang w:val="en-US" w:eastAsia="zh-CN"/>
              </w:rPr>
            </w:pPr>
            <w:r>
              <w:rPr>
                <w:rFonts w:hint="eastAsia"/>
                <w:highlight w:val="none"/>
                <w:lang w:val="en-US" w:eastAsia="zh-CN"/>
              </w:rPr>
              <w:t xml:space="preserve">需求理解和项目定位</w:t>
            </w:r>
            <w:r>
              <w:rPr>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lang w:val="en-US" w:eastAsia="zh-CN"/>
              </w:rPr>
            </w:pPr>
            <w:r>
              <w:rPr>
                <w:rFonts w:hint="eastAsia"/>
                <w:highlight w:val="none"/>
                <w:lang w:val="en-US" w:eastAsia="zh-CN"/>
              </w:rPr>
              <w:t xml:space="preserve">8</w:t>
            </w:r>
            <w:r>
              <w:rPr>
                <w:highlight w:val="none"/>
              </w:rPr>
              <w:t xml:space="preserve">分</w:t>
            </w:r>
            <w:r>
              <w:rPr>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pStyle w:val="1126"/>
              <w:ind w:left="0" w:right="0" w:firstLine="0"/>
              <w:jc w:val="left"/>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根据供应商提供的项目需求理解和定位内容，从对常州产业基础及现实需求的把握程度、研究必要性论证的充分性、研究目标定位的清晰度和针对性等方面进行综合评定：</w:t>
            </w:r>
            <w:r>
              <w:rPr>
                <w:rFonts w:hint="eastAsia"/>
                <w:highlight w:val="none"/>
                <w:lang w:val="en-US" w:eastAsia="zh-CN"/>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1、</w:t>
            </w:r>
            <w:r>
              <w:rPr>
                <w:rFonts w:hint="eastAsia"/>
                <w:highlight w:val="none"/>
              </w:rPr>
              <w:t xml:space="preserve">准确把握常州产业基础和</w:t>
            </w:r>
            <w:r>
              <w:rPr>
                <w:rFonts w:hint="eastAsia"/>
                <w:highlight w:val="none"/>
                <w:lang w:val="en-US" w:eastAsia="zh-CN"/>
              </w:rPr>
              <w:t xml:space="preserve">全部</w:t>
            </w:r>
            <w:r>
              <w:rPr>
                <w:rFonts w:hint="eastAsia"/>
                <w:highlight w:val="none"/>
              </w:rPr>
              <w:t xml:space="preserve">现实需求，必要性论证透彻、论据充分，研究目标定位清晰、针对性强</w:t>
            </w:r>
            <w:r>
              <w:rPr>
                <w:rFonts w:hint="eastAsia"/>
                <w:highlight w:val="none"/>
                <w:lang w:eastAsia="zh-CN"/>
              </w:rPr>
              <w:t xml:space="preserve">，</w:t>
            </w:r>
            <w:r>
              <w:rPr>
                <w:rFonts w:hint="eastAsia"/>
                <w:highlight w:val="none"/>
                <w:lang w:val="en-US" w:eastAsia="zh-CN"/>
              </w:rPr>
              <w:t xml:space="preserve">得8分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2、能够</w:t>
            </w:r>
            <w:r>
              <w:rPr>
                <w:rFonts w:hint="eastAsia"/>
                <w:highlight w:val="none"/>
              </w:rPr>
              <w:t xml:space="preserve">把握常州产业基础和</w:t>
            </w:r>
            <w:r>
              <w:rPr>
                <w:rFonts w:hint="eastAsia"/>
                <w:highlight w:val="none"/>
                <w:lang w:val="en-US" w:eastAsia="zh-CN"/>
              </w:rPr>
              <w:t xml:space="preserve">部分</w:t>
            </w:r>
            <w:r>
              <w:rPr>
                <w:rFonts w:hint="eastAsia"/>
                <w:highlight w:val="none"/>
              </w:rPr>
              <w:t xml:space="preserve">现实需求，必要性论证较为充分，研究目标定位基本清晰</w:t>
            </w:r>
            <w:r>
              <w:rPr>
                <w:rFonts w:hint="eastAsia"/>
                <w:highlight w:val="none"/>
                <w:lang w:eastAsia="zh-CN"/>
              </w:rPr>
              <w:t xml:space="preserve">，</w:t>
            </w:r>
            <w:r>
              <w:rPr>
                <w:rFonts w:hint="eastAsia"/>
                <w:highlight w:val="none"/>
                <w:lang w:val="en-US" w:eastAsia="zh-CN"/>
              </w:rPr>
              <w:t xml:space="preserve">但针对性一般</w:t>
            </w:r>
            <w:r>
              <w:rPr>
                <w:rFonts w:hint="eastAsia"/>
                <w:highlight w:val="none"/>
                <w:lang w:eastAsia="zh-CN"/>
              </w:rPr>
              <w:t xml:space="preserve">，</w:t>
            </w:r>
            <w:r>
              <w:rPr>
                <w:rFonts w:hint="eastAsia"/>
                <w:highlight w:val="none"/>
                <w:lang w:val="en-US" w:eastAsia="zh-CN"/>
              </w:rPr>
              <w:t xml:space="preserve">得5分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3、</w:t>
            </w:r>
            <w:r>
              <w:rPr>
                <w:rFonts w:hint="eastAsia"/>
                <w:highlight w:val="none"/>
              </w:rPr>
              <w:t xml:space="preserve">对常州产业基础和现实需求把握笼统或存在偏差，必要性论证不充分，研究目标定位不清晰</w:t>
            </w:r>
            <w:r>
              <w:rPr>
                <w:rFonts w:hint="eastAsia"/>
                <w:highlight w:val="none"/>
                <w:lang w:eastAsia="zh-CN"/>
              </w:rPr>
              <w:t xml:space="preserve">，</w:t>
            </w:r>
            <w:r>
              <w:rPr>
                <w:rFonts w:hint="eastAsia"/>
                <w:highlight w:val="none"/>
                <w:lang w:val="en-US" w:eastAsia="zh-CN"/>
              </w:rPr>
              <w:t xml:space="preserve">没有针对性</w:t>
            </w:r>
            <w:r>
              <w:rPr>
                <w:rFonts w:hint="eastAsia"/>
                <w:highlight w:val="none"/>
                <w:lang w:eastAsia="zh-CN"/>
              </w:rPr>
              <w:t xml:space="preserve">，</w:t>
            </w:r>
            <w:r>
              <w:rPr>
                <w:rFonts w:hint="eastAsia"/>
                <w:highlight w:val="none"/>
                <w:lang w:val="en-US" w:eastAsia="zh-CN"/>
              </w:rPr>
              <w:t xml:space="preserve">得2分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4、</w:t>
            </w:r>
            <w:r>
              <w:rPr>
                <w:rFonts w:hint="eastAsia"/>
                <w:highlight w:val="none"/>
              </w:rPr>
              <w:t xml:space="preserve">未作出回应，或内容与本项目实际需求明显不符</w:t>
            </w:r>
            <w:r>
              <w:rPr>
                <w:rFonts w:hint="eastAsia"/>
                <w:highlight w:val="none"/>
                <w:lang w:eastAsia="zh-CN"/>
              </w:rPr>
              <w:t xml:space="preserve">，</w:t>
            </w:r>
            <w:r>
              <w:rPr>
                <w:rFonts w:hint="eastAsia"/>
                <w:highlight w:val="none"/>
                <w:lang w:val="en-US" w:eastAsia="zh-CN"/>
              </w:rPr>
              <w:t xml:space="preserve">不得分</w:t>
            </w:r>
            <w:r>
              <w:rPr>
                <w:rFonts w:hint="eastAsia"/>
                <w:highlight w:val="none"/>
              </w:rPr>
              <w:t xml:space="preserve">。</w:t>
            </w:r>
            <w:r>
              <w:rPr>
                <w:rFonts w:hint="eastAsia"/>
                <w:highlight w:val="none"/>
                <w:lang w:val="en-US" w:eastAsia="zh-CN"/>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lang w:val="en-US" w:eastAsia="zh-CN"/>
              </w:rPr>
            </w:pPr>
            <w:r>
              <w:rPr>
                <w:rFonts w:hint="eastAsia"/>
                <w:highlight w:val="none"/>
                <w:lang w:val="en-US" w:eastAsia="zh-CN"/>
              </w:rPr>
              <w:t xml:space="preserve">研究方法和</w:t>
            </w:r>
            <w:r>
              <w:rPr>
                <w:highlight w:val="none"/>
              </w:rPr>
              <w:t xml:space="preserve">技术路线</w:t>
            </w:r>
            <w:r>
              <w:rPr>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lang w:val="en-US" w:eastAsia="zh-CN"/>
              </w:rPr>
            </w:pPr>
            <w:r>
              <w:rPr>
                <w:rFonts w:hint="eastAsia"/>
                <w:highlight w:val="none"/>
                <w:lang w:val="en-US" w:eastAsia="zh-CN"/>
              </w:rPr>
              <w:t xml:space="preserve">8</w:t>
            </w:r>
            <w:r>
              <w:rPr>
                <w:highlight w:val="none"/>
              </w:rPr>
              <w:t xml:space="preserve">分</w:t>
            </w:r>
            <w:r>
              <w:rPr>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pStyle w:val="1126"/>
              <w:ind w:left="0" w:right="0" w:firstLine="0"/>
              <w:jc w:val="left"/>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根据供应商提供的研究方法和技术路线内容，从研究方法的完整性、指数构建科学性、各方法之间的衔接与相互支撑关系、技术路线的逻辑性和可操作性等方面进行综合评定：</w:t>
            </w:r>
            <w:r>
              <w:rPr>
                <w:rFonts w:hint="eastAsia"/>
                <w:highlight w:val="none"/>
                <w:lang w:val="en-US" w:eastAsia="zh-CN"/>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1、</w:t>
            </w:r>
            <w:r>
              <w:rPr>
                <w:rFonts w:hint="eastAsia"/>
                <w:highlight w:val="none"/>
              </w:rPr>
              <w:t xml:space="preserve">研究方法</w:t>
            </w:r>
            <w:r>
              <w:rPr>
                <w:rFonts w:hint="eastAsia"/>
                <w:highlight w:val="none"/>
                <w:lang w:val="en-US" w:eastAsia="zh-CN"/>
              </w:rPr>
              <w:t xml:space="preserve">系统</w:t>
            </w:r>
            <w:r>
              <w:rPr>
                <w:rFonts w:hint="eastAsia"/>
                <w:highlight w:val="none"/>
              </w:rPr>
              <w:t xml:space="preserve">完整，</w:t>
            </w:r>
            <w:r>
              <w:rPr>
                <w:rFonts w:hint="eastAsia"/>
                <w:highlight w:val="none"/>
                <w:lang w:val="en-US" w:eastAsia="zh-CN"/>
              </w:rPr>
              <w:t xml:space="preserve">指数构建科学有效，</w:t>
            </w:r>
            <w:r>
              <w:rPr>
                <w:rFonts w:hint="eastAsia"/>
                <w:highlight w:val="none"/>
              </w:rPr>
              <w:t xml:space="preserve">各方法衔接紧密、相互支撑，技术路线逻辑严密、可操作性强</w:t>
            </w:r>
            <w:r>
              <w:rPr>
                <w:rFonts w:hint="eastAsia"/>
                <w:highlight w:val="none"/>
                <w:lang w:eastAsia="zh-CN"/>
              </w:rPr>
              <w:t xml:space="preserve">，</w:t>
            </w:r>
            <w:r>
              <w:rPr>
                <w:rFonts w:hint="eastAsia"/>
                <w:highlight w:val="none"/>
                <w:lang w:val="en-US" w:eastAsia="zh-CN"/>
              </w:rPr>
              <w:t xml:space="preserve">得8分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2、</w:t>
            </w:r>
            <w:r>
              <w:rPr>
                <w:rFonts w:hint="eastAsia"/>
                <w:highlight w:val="none"/>
              </w:rPr>
              <w:t xml:space="preserve">研究方法较为完整，</w:t>
            </w:r>
            <w:r>
              <w:rPr>
                <w:rFonts w:hint="eastAsia"/>
                <w:highlight w:val="none"/>
                <w:lang w:val="en-US" w:eastAsia="zh-CN"/>
              </w:rPr>
              <w:t xml:space="preserve">指数构建较为合理，</w:t>
            </w:r>
            <w:r>
              <w:rPr>
                <w:rFonts w:hint="eastAsia"/>
                <w:highlight w:val="none"/>
              </w:rPr>
              <w:t xml:space="preserve">方法之间衔接</w:t>
            </w:r>
            <w:r>
              <w:rPr>
                <w:rFonts w:hint="eastAsia"/>
                <w:highlight w:val="none"/>
                <w:lang w:val="en-US" w:eastAsia="zh-CN"/>
              </w:rPr>
              <w:t xml:space="preserve">和支撑较合理</w:t>
            </w:r>
            <w:r>
              <w:rPr>
                <w:rFonts w:hint="eastAsia"/>
                <w:highlight w:val="none"/>
              </w:rPr>
              <w:t xml:space="preserve">，技术路线基本清晰、可操作</w:t>
            </w:r>
            <w:r>
              <w:rPr>
                <w:rFonts w:hint="eastAsia"/>
                <w:highlight w:val="none"/>
                <w:lang w:eastAsia="zh-CN"/>
              </w:rPr>
              <w:t xml:space="preserve">，</w:t>
            </w:r>
            <w:r>
              <w:rPr>
                <w:rFonts w:hint="eastAsia"/>
                <w:highlight w:val="none"/>
                <w:lang w:val="en-US" w:eastAsia="zh-CN"/>
              </w:rPr>
              <w:t xml:space="preserve">得5分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3、</w:t>
            </w:r>
            <w:r>
              <w:rPr>
                <w:rFonts w:hint="eastAsia"/>
                <w:highlight w:val="none"/>
              </w:rPr>
              <w:t xml:space="preserve">研究方法单一，</w:t>
            </w:r>
            <w:r>
              <w:rPr>
                <w:rFonts w:hint="eastAsia"/>
                <w:highlight w:val="none"/>
                <w:lang w:val="en-US" w:eastAsia="zh-CN"/>
              </w:rPr>
              <w:t xml:space="preserve">指数构建思路粗略，</w:t>
            </w:r>
            <w:r>
              <w:rPr>
                <w:rFonts w:hint="eastAsia"/>
                <w:highlight w:val="none"/>
              </w:rPr>
              <w:t xml:space="preserve">方法之间衔接不足，技术路线阐述简单、可操作性较差</w:t>
            </w:r>
            <w:r>
              <w:rPr>
                <w:rFonts w:hint="eastAsia"/>
                <w:highlight w:val="none"/>
                <w:lang w:eastAsia="zh-CN"/>
              </w:rPr>
              <w:t xml:space="preserve">，</w:t>
            </w:r>
            <w:r>
              <w:rPr>
                <w:rFonts w:hint="eastAsia"/>
                <w:highlight w:val="none"/>
                <w:lang w:val="en-US" w:eastAsia="zh-CN"/>
              </w:rPr>
              <w:t xml:space="preserve">得2分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highlight w:val="none"/>
                <w:lang w:val="en-US" w:eastAsia="zh-CN"/>
              </w:rPr>
            </w:pPr>
            <w:r>
              <w:rPr>
                <w:rFonts w:hint="eastAsia"/>
                <w:highlight w:val="none"/>
                <w:lang w:val="en-US" w:eastAsia="zh-CN"/>
              </w:rPr>
              <w:t xml:space="preserve">4、</w:t>
            </w:r>
            <w:r>
              <w:rPr>
                <w:rFonts w:hint="eastAsia"/>
                <w:highlight w:val="none"/>
              </w:rPr>
              <w:t xml:space="preserve">未提供相关内容，或内容明显不符合本项目要求</w:t>
            </w:r>
            <w:r>
              <w:rPr>
                <w:rFonts w:hint="eastAsia"/>
                <w:highlight w:val="none"/>
                <w:lang w:eastAsia="zh-CN"/>
              </w:rPr>
              <w:t xml:space="preserve">，</w:t>
            </w:r>
            <w:r>
              <w:rPr>
                <w:rFonts w:hint="eastAsia"/>
                <w:highlight w:val="none"/>
                <w:lang w:val="en-US" w:eastAsia="zh-CN"/>
              </w:rPr>
              <w:t xml:space="preserve">不得分</w:t>
            </w:r>
            <w:r>
              <w:rPr>
                <w:rFonts w:hint="eastAsia"/>
                <w:highlight w:val="none"/>
              </w:rPr>
              <w:t xml:space="preserve">。</w:t>
            </w:r>
            <w:r>
              <w:rPr>
                <w:highlight w:val="none"/>
                <w:lang w:val="en-US" w:eastAsia="zh-CN"/>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lang w:val="en-US" w:eastAsia="zh-CN"/>
              </w:rPr>
            </w:pPr>
            <w:r>
              <w:rPr>
                <w:rFonts w:hint="eastAsia"/>
                <w:highlight w:val="none"/>
                <w:lang w:val="en-US" w:eastAsia="zh-CN"/>
              </w:rPr>
              <w:t xml:space="preserve">项目周期安排和沟通机制</w:t>
            </w:r>
            <w:r>
              <w:rPr>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lang w:val="en-US" w:eastAsia="zh-CN"/>
              </w:rPr>
            </w:pPr>
            <w:r>
              <w:rPr>
                <w:rFonts w:hint="eastAsia"/>
                <w:highlight w:val="none"/>
                <w:lang w:val="en-US" w:eastAsia="zh-CN"/>
              </w:rPr>
              <w:t xml:space="preserve">8</w:t>
            </w:r>
            <w:r>
              <w:rPr>
                <w:highlight w:val="none"/>
              </w:rPr>
              <w:t xml:space="preserve">分</w:t>
            </w:r>
            <w:r>
              <w:rPr>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pStyle w:val="1126"/>
              <w:ind w:left="0" w:right="0" w:firstLine="0"/>
              <w:jc w:val="left"/>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根据供应商提供的项目周期安排内容，从阶段划分和里程碑节点的清晰度、进度安排与研究内容的匹配度、沟通响应机制的具体性等方面进行综合评定：</w:t>
            </w:r>
            <w:r>
              <w:rPr>
                <w:rFonts w:hint="eastAsia"/>
                <w:highlight w:val="none"/>
                <w:lang w:val="en-US" w:eastAsia="zh-CN"/>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1、</w:t>
            </w:r>
            <w:r>
              <w:rPr>
                <w:rFonts w:hint="eastAsia"/>
                <w:highlight w:val="none"/>
              </w:rPr>
              <w:t xml:space="preserve">阶段划分清晰、里程碑节点明确，进度安排与研究内容高度匹配，沟通响应机制具体可行</w:t>
            </w:r>
            <w:r>
              <w:rPr>
                <w:rFonts w:hint="eastAsia"/>
                <w:highlight w:val="none"/>
                <w:lang w:eastAsia="zh-CN"/>
              </w:rPr>
              <w:t xml:space="preserve">，</w:t>
            </w:r>
            <w:r>
              <w:rPr>
                <w:rFonts w:hint="eastAsia"/>
                <w:highlight w:val="none"/>
                <w:lang w:val="en-US" w:eastAsia="zh-CN"/>
              </w:rPr>
              <w:t xml:space="preserve">得8分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2、</w:t>
            </w:r>
            <w:r>
              <w:rPr>
                <w:rFonts w:hint="eastAsia"/>
                <w:highlight w:val="none"/>
              </w:rPr>
              <w:t xml:space="preserve">阶段和里程碑较为明确，进度安排与研究内容基本匹配，</w:t>
            </w:r>
            <w:r>
              <w:rPr>
                <w:rFonts w:hint="eastAsia"/>
                <w:highlight w:val="none"/>
                <w:lang w:val="en-US" w:eastAsia="zh-CN"/>
              </w:rPr>
              <w:t xml:space="preserve">有一定的</w:t>
            </w:r>
            <w:r>
              <w:rPr>
                <w:rFonts w:hint="eastAsia"/>
                <w:highlight w:val="none"/>
              </w:rPr>
              <w:t xml:space="preserve">沟通响应机制</w:t>
            </w:r>
            <w:r>
              <w:rPr>
                <w:rFonts w:hint="eastAsia"/>
                <w:highlight w:val="none"/>
                <w:lang w:eastAsia="zh-CN"/>
              </w:rPr>
              <w:t xml:space="preserve">，</w:t>
            </w:r>
            <w:r>
              <w:rPr>
                <w:rFonts w:hint="eastAsia"/>
                <w:highlight w:val="none"/>
                <w:lang w:val="en-US" w:eastAsia="zh-CN"/>
              </w:rPr>
              <w:t xml:space="preserve">得5分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3、</w:t>
            </w:r>
            <w:r>
              <w:rPr>
                <w:rFonts w:hint="eastAsia"/>
                <w:highlight w:val="none"/>
              </w:rPr>
              <w:t xml:space="preserve">阶段划分不够清晰，进度安排与研究内容匹配度低，沟通响应机制不</w:t>
            </w:r>
            <w:r>
              <w:rPr>
                <w:rFonts w:hint="eastAsia"/>
                <w:highlight w:val="none"/>
                <w:lang w:val="en-US" w:eastAsia="zh-CN"/>
              </w:rPr>
              <w:t xml:space="preserve">完备</w:t>
            </w:r>
            <w:r>
              <w:rPr>
                <w:rFonts w:hint="eastAsia"/>
                <w:highlight w:val="none"/>
                <w:lang w:eastAsia="zh-CN"/>
              </w:rPr>
              <w:t xml:space="preserve">，</w:t>
            </w:r>
            <w:r>
              <w:rPr>
                <w:rFonts w:hint="eastAsia"/>
                <w:highlight w:val="none"/>
                <w:lang w:val="en-US" w:eastAsia="zh-CN"/>
              </w:rPr>
              <w:t xml:space="preserve">得2分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4、</w:t>
            </w:r>
            <w:r>
              <w:rPr>
                <w:rFonts w:hint="eastAsia"/>
                <w:highlight w:val="none"/>
              </w:rPr>
              <w:t xml:space="preserve">未提供相关内容，或明显不满足采购文件时限要求</w:t>
            </w:r>
            <w:r>
              <w:rPr>
                <w:rFonts w:hint="eastAsia"/>
                <w:highlight w:val="none"/>
                <w:lang w:eastAsia="zh-CN"/>
              </w:rPr>
              <w:t xml:space="preserve">，</w:t>
            </w:r>
            <w:r>
              <w:rPr>
                <w:rFonts w:hint="eastAsia"/>
                <w:highlight w:val="none"/>
                <w:lang w:val="en-US" w:eastAsia="zh-CN"/>
              </w:rPr>
              <w:t xml:space="preserve">不得分</w:t>
            </w:r>
            <w:r>
              <w:rPr>
                <w:rFonts w:hint="eastAsia"/>
                <w:highlight w:val="none"/>
              </w:rPr>
              <w:t xml:space="preserve">。</w:t>
            </w:r>
            <w:r>
              <w:rPr>
                <w:rFonts w:hint="eastAsia"/>
                <w:highlight w:val="none"/>
                <w:lang w:val="en-US" w:eastAsia="zh-CN"/>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lang w:val="en-US" w:eastAsia="zh-CN"/>
              </w:rPr>
            </w:pPr>
            <w:r>
              <w:rPr>
                <w:rFonts w:hint="eastAsia"/>
                <w:highlight w:val="none"/>
                <w:lang w:val="en-US" w:eastAsia="zh-CN"/>
              </w:rPr>
              <w:t xml:space="preserve">项目分析框架和对策</w:t>
            </w:r>
            <w:r>
              <w:rPr>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lang w:val="en-US" w:eastAsia="zh-CN"/>
              </w:rPr>
            </w:pPr>
            <w:r>
              <w:rPr>
                <w:rFonts w:hint="eastAsia"/>
                <w:highlight w:val="none"/>
                <w:lang w:val="en-US" w:eastAsia="zh-CN"/>
              </w:rPr>
              <w:t xml:space="preserve">8</w:t>
            </w:r>
            <w:r>
              <w:rPr>
                <w:highlight w:val="none"/>
              </w:rPr>
              <w:t xml:space="preserve">分</w:t>
            </w:r>
            <w:r>
              <w:rPr>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pStyle w:val="1126"/>
              <w:ind w:left="0" w:right="0" w:firstLine="0"/>
              <w:jc w:val="left"/>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根据供应商提供的项目分析框架和对策内容，从分析框架的完整性和层次性、重点难点问题识别的准确性、对策措施的可行性和针对性等方面进行综合评定：</w:t>
            </w:r>
            <w:r>
              <w:rPr>
                <w:rFonts w:hint="eastAsia"/>
                <w:highlight w:val="none"/>
                <w:lang w:val="en-US" w:eastAsia="zh-CN"/>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1、</w:t>
            </w:r>
            <w:r>
              <w:rPr>
                <w:rFonts w:hint="eastAsia"/>
                <w:highlight w:val="none"/>
              </w:rPr>
              <w:t xml:space="preserve">分析框架完整、层次分明，重点难点问题识别准确，对策措施具体可行、针对性强</w:t>
            </w:r>
            <w:r>
              <w:rPr>
                <w:rFonts w:hint="eastAsia"/>
                <w:highlight w:val="none"/>
                <w:lang w:eastAsia="zh-CN"/>
              </w:rPr>
              <w:t xml:space="preserve">，</w:t>
            </w:r>
            <w:r>
              <w:rPr>
                <w:rFonts w:hint="eastAsia"/>
                <w:highlight w:val="none"/>
                <w:lang w:val="en-US" w:eastAsia="zh-CN"/>
              </w:rPr>
              <w:t xml:space="preserve">得8分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2、</w:t>
            </w:r>
            <w:r>
              <w:rPr>
                <w:rFonts w:hint="eastAsia"/>
                <w:highlight w:val="none"/>
              </w:rPr>
              <w:t xml:space="preserve">分析框架基本完整，重点难点问题识别较为准确，对策建议基本可行</w:t>
            </w:r>
            <w:r>
              <w:rPr>
                <w:rFonts w:hint="eastAsia"/>
                <w:highlight w:val="none"/>
                <w:lang w:eastAsia="zh-CN"/>
              </w:rPr>
              <w:t xml:space="preserve">，</w:t>
            </w:r>
            <w:r>
              <w:rPr>
                <w:rFonts w:hint="eastAsia"/>
                <w:highlight w:val="none"/>
                <w:lang w:val="en-US" w:eastAsia="zh-CN"/>
              </w:rPr>
              <w:t xml:space="preserve">得5分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3、</w:t>
            </w:r>
            <w:r>
              <w:rPr>
                <w:rFonts w:hint="eastAsia"/>
                <w:highlight w:val="none"/>
              </w:rPr>
              <w:t xml:space="preserve">分析框架简单，重点难点问题识别不准确，对策措施缺乏针对性</w:t>
            </w:r>
            <w:r>
              <w:rPr>
                <w:rFonts w:hint="eastAsia"/>
                <w:highlight w:val="none"/>
                <w:lang w:eastAsia="zh-CN"/>
              </w:rPr>
              <w:t xml:space="preserve">，</w:t>
            </w:r>
            <w:r>
              <w:rPr>
                <w:rFonts w:hint="eastAsia"/>
                <w:highlight w:val="none"/>
                <w:lang w:val="en-US" w:eastAsia="zh-CN"/>
              </w:rPr>
              <w:t xml:space="preserve">得2分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highlight w:val="none"/>
                <w:lang w:val="en-US" w:eastAsia="zh-CN"/>
              </w:rPr>
            </w:pPr>
            <w:r>
              <w:rPr>
                <w:rFonts w:hint="eastAsia"/>
                <w:highlight w:val="none"/>
                <w:lang w:val="en-US" w:eastAsia="zh-CN"/>
              </w:rPr>
              <w:t xml:space="preserve">4、</w:t>
            </w:r>
            <w:r>
              <w:rPr>
                <w:rFonts w:hint="eastAsia"/>
                <w:highlight w:val="none"/>
              </w:rPr>
              <w:t xml:space="preserve">未提供相关内容，或内容与本项目实际需求明显不符</w:t>
            </w:r>
            <w:r>
              <w:rPr>
                <w:rFonts w:hint="eastAsia"/>
                <w:highlight w:val="none"/>
                <w:lang w:eastAsia="zh-CN"/>
              </w:rPr>
              <w:t xml:space="preserve">，</w:t>
            </w:r>
            <w:r>
              <w:rPr>
                <w:rFonts w:hint="eastAsia"/>
                <w:highlight w:val="none"/>
                <w:lang w:val="en-US" w:eastAsia="zh-CN"/>
              </w:rPr>
              <w:t xml:space="preserve">不得分</w:t>
            </w:r>
            <w:r>
              <w:rPr>
                <w:rFonts w:hint="eastAsia"/>
                <w:highlight w:val="none"/>
              </w:rPr>
              <w:t xml:space="preserve">。</w:t>
            </w:r>
            <w:r>
              <w:rPr>
                <w:highlight w:val="none"/>
                <w:lang w:val="en-US" w:eastAsia="zh-CN"/>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lang w:val="en-US" w:eastAsia="zh-CN"/>
              </w:rPr>
            </w:pPr>
            <w:r>
              <w:rPr>
                <w:rFonts w:hint="eastAsia"/>
                <w:highlight w:val="none"/>
                <w:lang w:val="en-US" w:eastAsia="zh-CN"/>
              </w:rPr>
              <w:t xml:space="preserve">研究团队组织保障</w:t>
            </w:r>
            <w:r>
              <w:rPr>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lang w:val="en-US" w:eastAsia="zh-CN"/>
              </w:rPr>
            </w:pPr>
            <w:r>
              <w:rPr>
                <w:rFonts w:hint="eastAsia"/>
                <w:highlight w:val="none"/>
                <w:lang w:val="en-US" w:eastAsia="zh-CN"/>
              </w:rPr>
              <w:t xml:space="preserve">8分</w:t>
            </w:r>
            <w:r>
              <w:rPr>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pStyle w:val="1126"/>
              <w:ind w:left="0" w:right="0" w:firstLine="0"/>
              <w:jc w:val="left"/>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根据供应商提供的研究团队组成及组织保障内容，从团队组织架构的完整性、分工合理性、人员专业背景与项目的匹配度、沟通协调机制的具体有效性等方面进行综合评定：</w:t>
            </w:r>
            <w:r>
              <w:rPr>
                <w:rFonts w:hint="eastAsia"/>
                <w:highlight w:val="none"/>
                <w:lang w:val="en-US" w:eastAsia="zh-CN"/>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1、</w:t>
            </w:r>
            <w:r>
              <w:rPr>
                <w:rFonts w:hint="eastAsia"/>
                <w:highlight w:val="none"/>
              </w:rPr>
              <w:t xml:space="preserve">团队组织架构完整</w:t>
            </w:r>
            <w:r>
              <w:rPr>
                <w:rFonts w:hint="eastAsia"/>
                <w:highlight w:val="none"/>
                <w:lang w:eastAsia="zh-CN"/>
              </w:rPr>
              <w:t xml:space="preserve">，</w:t>
            </w:r>
            <w:r>
              <w:rPr>
                <w:rFonts w:hint="eastAsia"/>
                <w:highlight w:val="none"/>
              </w:rPr>
              <w:t xml:space="preserve">分工合理，</w:t>
            </w:r>
            <w:r>
              <w:rPr>
                <w:rFonts w:hint="eastAsia"/>
                <w:highlight w:val="none"/>
                <w:lang w:val="en-US" w:eastAsia="zh-CN"/>
              </w:rPr>
              <w:t xml:space="preserve">内外部专家顾问团实力强，</w:t>
            </w:r>
            <w:r>
              <w:rPr>
                <w:rFonts w:hint="eastAsia"/>
                <w:highlight w:val="none"/>
              </w:rPr>
              <w:t xml:space="preserve">人员专业背景与项目高度匹配，沟通协调机制</w:t>
            </w:r>
            <w:r>
              <w:rPr>
                <w:rFonts w:hint="eastAsia"/>
                <w:highlight w:val="none"/>
                <w:lang w:val="en-US" w:eastAsia="zh-CN"/>
              </w:rPr>
              <w:t xml:space="preserve">高效</w:t>
            </w:r>
            <w:r>
              <w:rPr>
                <w:rFonts w:hint="eastAsia"/>
                <w:highlight w:val="none"/>
                <w:lang w:eastAsia="zh-CN"/>
              </w:rPr>
              <w:t xml:space="preserve">，</w:t>
            </w:r>
            <w:r>
              <w:rPr>
                <w:rFonts w:hint="eastAsia"/>
                <w:highlight w:val="none"/>
                <w:lang w:val="en-US" w:eastAsia="zh-CN"/>
              </w:rPr>
              <w:t xml:space="preserve">得8分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2、</w:t>
            </w:r>
            <w:r>
              <w:rPr>
                <w:rFonts w:hint="eastAsia"/>
                <w:highlight w:val="none"/>
              </w:rPr>
              <w:t xml:space="preserve">团队组织架构基本完整，</w:t>
            </w:r>
            <w:r>
              <w:rPr>
                <w:rFonts w:hint="eastAsia"/>
                <w:highlight w:val="none"/>
                <w:lang w:val="en-US" w:eastAsia="zh-CN"/>
              </w:rPr>
              <w:t xml:space="preserve">分工较合理，有专家参与，</w:t>
            </w:r>
            <w:r>
              <w:rPr>
                <w:rFonts w:hint="eastAsia"/>
                <w:highlight w:val="none"/>
              </w:rPr>
              <w:t xml:space="preserve">人员专业背景基本满足项目需要，沟通协调机制基本明确</w:t>
            </w:r>
            <w:r>
              <w:rPr>
                <w:rFonts w:hint="eastAsia"/>
                <w:highlight w:val="none"/>
                <w:lang w:eastAsia="zh-CN"/>
              </w:rPr>
              <w:t xml:space="preserve">，</w:t>
            </w:r>
            <w:r>
              <w:rPr>
                <w:rFonts w:hint="eastAsia"/>
                <w:highlight w:val="none"/>
                <w:lang w:val="en-US" w:eastAsia="zh-CN"/>
              </w:rPr>
              <w:t xml:space="preserve">得5分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3、</w:t>
            </w:r>
            <w:r>
              <w:rPr>
                <w:rFonts w:hint="eastAsia"/>
                <w:highlight w:val="none"/>
              </w:rPr>
              <w:t xml:space="preserve">团队组织架构简单，</w:t>
            </w:r>
            <w:r>
              <w:rPr>
                <w:rFonts w:hint="eastAsia"/>
                <w:highlight w:val="none"/>
                <w:lang w:val="en-US" w:eastAsia="zh-CN"/>
              </w:rPr>
              <w:t xml:space="preserve">分工混乱，</w:t>
            </w:r>
            <w:r>
              <w:rPr>
                <w:rFonts w:hint="eastAsia"/>
                <w:highlight w:val="none"/>
              </w:rPr>
              <w:t xml:space="preserve">人员专业背景与项目匹配度低，沟通协调机制不具体</w:t>
            </w:r>
            <w:r>
              <w:rPr>
                <w:rFonts w:hint="eastAsia"/>
                <w:highlight w:val="none"/>
                <w:lang w:eastAsia="zh-CN"/>
              </w:rPr>
              <w:t xml:space="preserve">，</w:t>
            </w:r>
            <w:r>
              <w:rPr>
                <w:rFonts w:hint="eastAsia"/>
                <w:highlight w:val="none"/>
                <w:lang w:val="en-US" w:eastAsia="zh-CN"/>
              </w:rPr>
              <w:t xml:space="preserve">得2分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highlight w:val="none"/>
                <w:lang w:val="en-US" w:eastAsia="zh-CN"/>
              </w:rPr>
            </w:pPr>
            <w:r>
              <w:rPr>
                <w:rFonts w:hint="eastAsia"/>
                <w:highlight w:val="none"/>
                <w:lang w:val="en-US" w:eastAsia="zh-CN"/>
              </w:rPr>
              <w:t xml:space="preserve">4、</w:t>
            </w:r>
            <w:r>
              <w:rPr>
                <w:rFonts w:hint="eastAsia"/>
                <w:highlight w:val="none"/>
              </w:rPr>
              <w:t xml:space="preserve">未提供相关内容，或团队构成明显不符合本项目要求</w:t>
            </w:r>
            <w:r>
              <w:rPr>
                <w:rFonts w:hint="eastAsia"/>
                <w:highlight w:val="none"/>
                <w:lang w:eastAsia="zh-CN"/>
              </w:rPr>
              <w:t xml:space="preserve">，</w:t>
            </w:r>
            <w:r>
              <w:rPr>
                <w:rFonts w:hint="eastAsia"/>
                <w:highlight w:val="none"/>
                <w:lang w:val="en-US" w:eastAsia="zh-CN"/>
              </w:rPr>
              <w:t xml:space="preserve">不得分</w:t>
            </w:r>
            <w:r>
              <w:rPr>
                <w:rFonts w:hint="eastAsia"/>
                <w:highlight w:val="none"/>
              </w:rPr>
              <w:t xml:space="preserve">。</w:t>
            </w:r>
            <w:r>
              <w:rPr>
                <w:highlight w:val="none"/>
                <w:lang w:val="en-US" w:eastAsia="zh-CN"/>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lang w:val="en-US" w:eastAsia="zh-CN"/>
              </w:rPr>
            </w:pPr>
            <w:r>
              <w:rPr>
                <w:rFonts w:hint="eastAsia"/>
                <w:highlight w:val="none"/>
                <w:lang w:val="en-US" w:eastAsia="zh-CN"/>
              </w:rPr>
              <w:t xml:space="preserve">质量和后续服务保障</w:t>
            </w:r>
            <w:r>
              <w:rPr>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126"/>
              <w:ind w:left="0" w:right="0" w:firstLine="0"/>
              <w:jc w:val="center"/>
              <w:keepLines w:val="0"/>
              <w:keepNext w:val="0"/>
              <w:pageBreakBefore w:val="0"/>
              <w:spacing w:line="360" w:lineRule="auto"/>
              <w:widowControl w:val="off"/>
              <w:rPr>
                <w:highlight w:val="none"/>
                <w:lang w:val="en-US" w:eastAsia="zh-CN"/>
              </w:rPr>
            </w:pPr>
            <w:r>
              <w:rPr>
                <w:rFonts w:hint="eastAsia"/>
                <w:highlight w:val="none"/>
                <w:lang w:val="en-US" w:eastAsia="zh-CN"/>
              </w:rPr>
              <w:t xml:space="preserve">8</w:t>
            </w:r>
            <w:r>
              <w:rPr>
                <w:highlight w:val="none"/>
              </w:rPr>
              <w:t xml:space="preserve">分</w:t>
            </w:r>
            <w:r>
              <w:rPr>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pStyle w:val="1126"/>
              <w:ind w:left="0" w:right="0" w:firstLine="0"/>
              <w:jc w:val="left"/>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根据供应商提供的质量控制和后续服务保障内容，从质量控制机制的健全性、后续服务保障措施的具体性、服务承诺的可持续性和可执行性等方面进行综合评定：</w:t>
            </w:r>
            <w:r>
              <w:rPr>
                <w:rFonts w:hint="eastAsia"/>
                <w:highlight w:val="none"/>
                <w:lang w:val="en-US" w:eastAsia="zh-CN"/>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1、</w:t>
            </w:r>
            <w:r>
              <w:rPr>
                <w:rFonts w:hint="eastAsia"/>
                <w:highlight w:val="none"/>
              </w:rPr>
              <w:t xml:space="preserve">质量控制机制健全，后续服务保障措施具体，服务承诺可信</w:t>
            </w:r>
            <w:r>
              <w:rPr>
                <w:rFonts w:hint="eastAsia"/>
                <w:highlight w:val="none"/>
                <w:lang w:eastAsia="zh-CN"/>
              </w:rPr>
              <w:t xml:space="preserve">，</w:t>
            </w:r>
            <w:r>
              <w:rPr>
                <w:rFonts w:hint="eastAsia"/>
                <w:highlight w:val="none"/>
              </w:rPr>
              <w:t xml:space="preserve">可执行</w:t>
            </w:r>
            <w:r>
              <w:rPr>
                <w:rFonts w:hint="eastAsia"/>
                <w:highlight w:val="none"/>
                <w:lang w:val="en-US" w:eastAsia="zh-CN"/>
              </w:rPr>
              <w:t xml:space="preserve">性强</w:t>
            </w:r>
            <w:r>
              <w:rPr>
                <w:rFonts w:hint="eastAsia"/>
                <w:highlight w:val="none"/>
                <w:lang w:eastAsia="zh-CN"/>
              </w:rPr>
              <w:t xml:space="preserve">，</w:t>
            </w:r>
            <w:r>
              <w:rPr>
                <w:rFonts w:hint="eastAsia"/>
                <w:highlight w:val="none"/>
                <w:lang w:val="en-US" w:eastAsia="zh-CN"/>
              </w:rPr>
              <w:t xml:space="preserve">得8分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2、</w:t>
            </w:r>
            <w:r>
              <w:rPr>
                <w:rFonts w:hint="eastAsia"/>
                <w:highlight w:val="none"/>
              </w:rPr>
              <w:t xml:space="preserve">质量控制机制基本健全，</w:t>
            </w:r>
            <w:r>
              <w:rPr>
                <w:rFonts w:hint="eastAsia"/>
                <w:highlight w:val="none"/>
                <w:lang w:val="en-US" w:eastAsia="zh-CN"/>
              </w:rPr>
              <w:t xml:space="preserve">有一定</w:t>
            </w:r>
            <w:r>
              <w:rPr>
                <w:rFonts w:hint="eastAsia"/>
                <w:highlight w:val="none"/>
              </w:rPr>
              <w:t xml:space="preserve">后续服务保障，</w:t>
            </w:r>
            <w:r>
              <w:rPr>
                <w:rFonts w:hint="eastAsia"/>
                <w:highlight w:val="none"/>
                <w:lang w:val="en-US" w:eastAsia="zh-CN"/>
              </w:rPr>
              <w:t xml:space="preserve">后续服务承诺部分可执行，得5分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rFonts w:hint="eastAsia"/>
                <w:highlight w:val="none"/>
              </w:rPr>
            </w:pPr>
            <w:r>
              <w:rPr>
                <w:rFonts w:hint="eastAsia"/>
                <w:highlight w:val="none"/>
                <w:lang w:val="en-US" w:eastAsia="zh-CN"/>
              </w:rPr>
              <w:t xml:space="preserve">3、</w:t>
            </w:r>
            <w:r>
              <w:rPr>
                <w:rFonts w:hint="eastAsia"/>
                <w:highlight w:val="none"/>
              </w:rPr>
              <w:t xml:space="preserve">质量控制措施简单，后续服务保障内容笼统，缺乏可执行安排</w:t>
            </w:r>
            <w:r>
              <w:rPr>
                <w:rFonts w:hint="eastAsia"/>
                <w:highlight w:val="none"/>
                <w:lang w:eastAsia="zh-CN"/>
              </w:rPr>
              <w:t xml:space="preserve">，</w:t>
            </w:r>
            <w:r>
              <w:rPr>
                <w:rFonts w:hint="eastAsia"/>
                <w:highlight w:val="none"/>
                <w:lang w:val="en-US" w:eastAsia="zh-CN"/>
              </w:rPr>
              <w:t xml:space="preserve">得2分</w:t>
            </w:r>
            <w:r>
              <w:rPr>
                <w:rFonts w:hint="eastAsia"/>
                <w:highlight w:val="none"/>
              </w:rPr>
              <w:t xml:space="preserve">。</w:t>
            </w:r>
            <w:r>
              <w:rPr>
                <w:rFonts w:hint="eastAsia"/>
                <w:highlight w:val="none"/>
              </w:rPr>
            </w:r>
            <w:r/>
          </w:p>
          <w:p>
            <w:pPr>
              <w:pStyle w:val="1126"/>
              <w:ind w:left="0" w:right="0" w:firstLine="0"/>
              <w:jc w:val="left"/>
              <w:keepLines w:val="0"/>
              <w:keepNext w:val="0"/>
              <w:pageBreakBefore w:val="0"/>
              <w:spacing w:line="360" w:lineRule="auto"/>
              <w:widowControl w:val="off"/>
              <w:rPr>
                <w:highlight w:val="none"/>
                <w:lang w:val="en-US" w:eastAsia="zh-CN"/>
              </w:rPr>
            </w:pPr>
            <w:r>
              <w:rPr>
                <w:rFonts w:hint="eastAsia"/>
                <w:highlight w:val="none"/>
                <w:lang w:val="en-US" w:eastAsia="zh-CN"/>
              </w:rPr>
              <w:t xml:space="preserve">4、</w:t>
            </w:r>
            <w:r>
              <w:rPr>
                <w:rFonts w:hint="eastAsia"/>
                <w:highlight w:val="none"/>
              </w:rPr>
              <w:t xml:space="preserve">未提供相关内容，或承诺明显不具可行性</w:t>
            </w:r>
            <w:r>
              <w:rPr>
                <w:rFonts w:hint="eastAsia"/>
                <w:highlight w:val="none"/>
                <w:lang w:eastAsia="zh-CN"/>
              </w:rPr>
              <w:t xml:space="preserve">，</w:t>
            </w:r>
            <w:r>
              <w:rPr>
                <w:rFonts w:hint="eastAsia"/>
                <w:highlight w:val="none"/>
                <w:lang w:val="en-US" w:eastAsia="zh-CN"/>
              </w:rPr>
              <w:t xml:space="preserve">不得分</w:t>
            </w:r>
            <w:r>
              <w:rPr>
                <w:rFonts w:hint="eastAsia"/>
                <w:highlight w:val="none"/>
              </w:rPr>
              <w:t xml:space="preserve">。</w:t>
            </w:r>
            <w:r>
              <w:rPr>
                <w:highlight w:val="none"/>
                <w:lang w:val="en-US" w:eastAsia="zh-CN"/>
              </w:rPr>
            </w:r>
            <w:r/>
          </w:p>
        </w:tc>
      </w:tr>
    </w:tbl>
    <w:p>
      <w:pPr>
        <w:pStyle w:val="1126"/>
        <w:ind w:left="0" w:right="0" w:firstLine="640"/>
        <w:jc w:val="both"/>
        <w:keepLines w:val="0"/>
        <w:keepNext w:val="0"/>
        <w:spacing w:before="0" w:beforeAutospacing="0" w:after="0" w:afterAutospacing="0" w:line="570" w:lineRule="exact"/>
        <w:widowControl w:val="off"/>
        <w:rPr>
          <w:rFonts w:ascii="Times New Roman" w:hAnsi="Times New Roman" w:eastAsia="仿宋_GB2312" w:cs="Times New Roman"/>
          <w:color w:val="000000"/>
          <w:sz w:val="32"/>
          <w:szCs w:val="32"/>
        </w:rPr>
        <w:suppressLineNumbers w:val="0"/>
      </w:pPr>
      <w:r>
        <w:rPr>
          <w:rFonts w:ascii="Times New Roman" w:hAnsi="Times New Roman" w:eastAsia="仿宋_GB2312" w:cs="Times New Roman"/>
          <w:color w:val="000000"/>
          <w:sz w:val="32"/>
          <w:szCs w:val="32"/>
        </w:rPr>
      </w:r>
      <w:r/>
    </w:p>
    <w:p>
      <w:pPr>
        <w:pStyle w:val="1126"/>
        <w:jc w:val="center"/>
        <w:spacing w:line="360" w:lineRule="auto"/>
        <w:rPr>
          <w:rFonts w:hint="eastAsia"/>
          <w:b/>
          <w:color w:val="000000"/>
          <w:sz w:val="36"/>
          <w:szCs w:val="36"/>
        </w:rPr>
        <w:outlineLvl w:val="0"/>
      </w:pPr>
      <w:r/>
      <w:bookmarkStart w:id="653" w:name="_Toc17524"/>
      <w:r>
        <w:rPr>
          <w:rFonts w:hint="eastAsia"/>
          <w:b/>
          <w:color w:val="000000"/>
          <w:sz w:val="36"/>
          <w:szCs w:val="36"/>
        </w:rPr>
        <w:br w:type="page" w:clear="all"/>
      </w:r>
      <w:r>
        <w:rPr>
          <w:rFonts w:hint="eastAsia"/>
          <w:b/>
          <w:color w:val="000000"/>
          <w:sz w:val="36"/>
          <w:szCs w:val="36"/>
        </w:rPr>
        <w:t xml:space="preserve">第四章 </w:t>
      </w:r>
      <w:r>
        <w:rPr>
          <w:b/>
          <w:color w:val="000000"/>
          <w:sz w:val="36"/>
          <w:szCs w:val="36"/>
        </w:rPr>
        <w:t xml:space="preserve">  采购需求</w:t>
      </w:r>
      <w:bookmarkEnd w:id="653"/>
      <w:r>
        <w:rPr>
          <w:rFonts w:hint="eastAsia"/>
          <w:b/>
          <w:color w:val="000000"/>
          <w:sz w:val="36"/>
          <w:szCs w:val="36"/>
        </w:rPr>
      </w:r>
      <w:r/>
    </w:p>
    <w:p>
      <w:pPr>
        <w:pStyle w:val="1126"/>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b/>
          <w:bCs/>
          <w:sz w:val="24"/>
          <w:highlight w:val="yellow"/>
        </w:rPr>
      </w:pPr>
      <w:r>
        <w:rPr>
          <w:rFonts w:hint="eastAsia" w:ascii="Times New Roman" w:hAnsi="Times New Roman" w:eastAsia="宋体" w:cs="Times New Roman"/>
          <w:b/>
          <w:bCs/>
          <w:sz w:val="24"/>
          <w:highlight w:val="yellow"/>
        </w:rPr>
      </w:r>
      <w:r/>
    </w:p>
    <w:p>
      <w:pPr>
        <w:pStyle w:val="1126"/>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en-US" w:eastAsia="zh-CN"/>
        </w:rPr>
        <w:t xml:space="preserve">一、项目研究</w:t>
      </w:r>
      <w:r>
        <w:rPr>
          <w:rFonts w:hint="eastAsia" w:ascii="Times New Roman" w:hAnsi="Times New Roman" w:eastAsia="宋体" w:cs="Times New Roman"/>
          <w:b/>
          <w:bCs/>
          <w:sz w:val="24"/>
          <w:highlight w:val="none"/>
        </w:rPr>
        <w:t xml:space="preserve">背景</w:t>
      </w:r>
      <w:r>
        <w:rPr>
          <w:rFonts w:hint="eastAsia" w:ascii="Times New Roman" w:hAnsi="Times New Roman" w:eastAsia="宋体" w:cs="Times New Roman"/>
          <w:b/>
          <w:bCs/>
          <w:sz w:val="24"/>
          <w:highlight w:val="none"/>
        </w:rPr>
      </w:r>
      <w:r/>
    </w:p>
    <w:p>
      <w:pPr>
        <w:pStyle w:val="1126"/>
        <w:numPr>
          <w:ilvl w:val="0"/>
          <w:numId w:val="0"/>
        </w:numPr>
        <w:ind w:firstLine="480"/>
        <w:keepLines w:val="0"/>
        <w:keepNext w:val="0"/>
        <w:pageBreakBefore w:val="0"/>
        <w:spacing w:line="360" w:lineRule="auto"/>
        <w:widowControl w:val="off"/>
        <w:tabs>
          <w:tab w:val="left" w:pos="1080" w:leader="none"/>
        </w:tabs>
        <w:rPr>
          <w:rFonts w:hint="eastAsia"/>
        </w:rPr>
      </w:pPr>
      <w:r>
        <w:rPr>
          <w:rFonts w:hint="eastAsia" w:ascii="Times New Roman" w:hAnsi="Times New Roman" w:eastAsia="宋体" w:cs="Times New Roman"/>
          <w:sz w:val="24"/>
          <w:highlight w:val="none"/>
        </w:rPr>
        <w:t xml:space="preserve">常州新能源产</w:t>
      </w:r>
      <w:r>
        <w:rPr>
          <w:rFonts w:hint="eastAsia" w:ascii="Times New Roman" w:hAnsi="Times New Roman" w:eastAsia="宋体" w:cs="Times New Roman"/>
          <w:sz w:val="24"/>
          <w:highlight w:val="none"/>
        </w:rPr>
        <w:t xml:space="preserve">业规模已突破万亿，新能源整车年产量位居全省前列；同时常州是全国同时拥有碳达峰、新型电力系统、车网互动、零碳园区等多项国家试点的城市，具备开展全域电动化标杆实践评估的产业基础和试点条件。随着碳达峰碳中和综合评价考核工作深入推进，碳排放双控要求正从柔性引导转向刚性约束，常州新能源产业在保持规模优势的同时，也面临本地绿电自给能力不足、区域同质化竞争加剧、转型升级压力增大等挑战。为进一步摸清产业发展现状、构建科学评估体系、明确产业升级路径，推动常州从新能源产业大市向全域电动化标杆实践城市迈进，特启动本项目采购工作。</w:t>
      </w:r>
      <w:r>
        <w:rPr>
          <w:rFonts w:hint="eastAsia"/>
        </w:rPr>
      </w:r>
      <w:r/>
    </w:p>
    <w:p>
      <w:pPr>
        <w:pStyle w:val="1126"/>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en-US" w:eastAsia="zh-CN"/>
        </w:rPr>
        <w:t xml:space="preserve">二、项目</w:t>
      </w:r>
      <w:r>
        <w:rPr>
          <w:rFonts w:hint="eastAsia" w:ascii="Times New Roman" w:hAnsi="Times New Roman" w:eastAsia="宋体" w:cs="Times New Roman"/>
          <w:b/>
          <w:bCs/>
          <w:sz w:val="24"/>
          <w:highlight w:val="none"/>
        </w:rPr>
        <w:t xml:space="preserve">研究范围</w:t>
      </w:r>
      <w:r>
        <w:rPr>
          <w:rFonts w:hint="eastAsia" w:ascii="Times New Roman" w:hAnsi="Times New Roman" w:eastAsia="宋体" w:cs="Times New Roman"/>
          <w:b/>
          <w:bCs/>
          <w:sz w:val="24"/>
          <w:highlight w:val="none"/>
        </w:rPr>
      </w:r>
      <w:r/>
    </w:p>
    <w:p>
      <w:pPr>
        <w:pStyle w:val="1126"/>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评估聚焦常州市全域电动化发展，围绕常州新能源全产业链及应用场景展开。从宏观层面看，涵盖常州在国家</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双碳</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战略及新型电力系统建设中的定位；从中观层面，涉及电力装备、储能装备、充电设施、动力电池、新能源汽车制造等重点产业环节；从微观层面，以“全域电动化”为主线，系统开展常州市全域电动化产业生态摸底与城市发展指数构建评估、碳排放双控约束下的产业升级路径评估，以及全域电动化标杆实践城市建设和推广评估。</w:t>
      </w:r>
      <w:r>
        <w:rPr>
          <w:rFonts w:hint="eastAsia" w:ascii="Times New Roman" w:hAnsi="Times New Roman" w:eastAsia="宋体" w:cs="Times New Roman"/>
          <w:sz w:val="24"/>
          <w:highlight w:val="none"/>
        </w:rPr>
      </w:r>
      <w:r/>
    </w:p>
    <w:p>
      <w:pPr>
        <w:pStyle w:val="1126"/>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en-US" w:eastAsia="zh-CN"/>
        </w:rPr>
        <w:t xml:space="preserve">三、项目</w:t>
      </w:r>
      <w:r>
        <w:rPr>
          <w:rFonts w:hint="eastAsia" w:ascii="Times New Roman" w:hAnsi="Times New Roman" w:eastAsia="宋体" w:cs="Times New Roman"/>
          <w:b/>
          <w:bCs/>
          <w:sz w:val="24"/>
          <w:highlight w:val="none"/>
        </w:rPr>
        <w:t xml:space="preserve">研究内容</w:t>
      </w:r>
      <w:r>
        <w:rPr>
          <w:rFonts w:hint="eastAsia" w:ascii="Times New Roman" w:hAnsi="Times New Roman" w:eastAsia="宋体" w:cs="Times New Roman"/>
          <w:b/>
          <w:bCs/>
          <w:sz w:val="24"/>
          <w:highlight w:val="none"/>
        </w:rPr>
      </w:r>
      <w:r/>
    </w:p>
    <w:p>
      <w:pPr>
        <w:pStyle w:val="1126"/>
        <w:numPr>
          <w:ilvl w:val="0"/>
          <w:numId w:val="12"/>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产业生态摸底与城市发展指数构建评估：系统梳理常州新能源全产业链现状，摸清产业规模、结构特征及区域分布，构建可量化、可持续跟踪的产业发展评价指标体系，形成常州全域电动化产业发展基准数据。</w:t>
      </w:r>
      <w:r>
        <w:rPr>
          <w:rFonts w:hint="eastAsia" w:ascii="Times New Roman" w:hAnsi="Times New Roman" w:eastAsia="宋体" w:cs="Times New Roman"/>
          <w:sz w:val="24"/>
          <w:highlight w:val="none"/>
        </w:rPr>
      </w:r>
      <w:r/>
    </w:p>
    <w:p>
      <w:pPr>
        <w:pStyle w:val="1126"/>
        <w:numPr>
          <w:ilvl w:val="0"/>
          <w:numId w:val="12"/>
        </w:numPr>
        <w:ind w:left="0"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碳排放双控约束下的产业升级路径评估：基于现有试点规划及公开数据，评估碳排放双控要求对常州产业转型的影响，预判碳达峰时序；识别面临转型压力的传统产业及具备发展潜力的新兴赛道，提出分阶段产业升级路径与政策建议。</w:t>
      </w:r>
      <w:r>
        <w:rPr>
          <w:rFonts w:hint="eastAsia" w:ascii="Times New Roman" w:hAnsi="Times New Roman" w:eastAsia="宋体" w:cs="Times New Roman"/>
          <w:sz w:val="24"/>
          <w:highlight w:val="none"/>
        </w:rPr>
      </w:r>
      <w:r/>
    </w:p>
    <w:p>
      <w:pPr>
        <w:pStyle w:val="1126"/>
        <w:numPr>
          <w:ilvl w:val="0"/>
          <w:numId w:val="12"/>
        </w:numPr>
        <w:ind w:left="0"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全域电动化标杆实践城市建设和推广评估：梳理常州新能源产业典型应用场景，开展可行性与经济性评估；研究常州在全域电动化领域的城市定位，提出标杆实践模式总结及对外推广建议。</w:t>
      </w:r>
      <w:r>
        <w:rPr>
          <w:rFonts w:hint="eastAsia" w:ascii="Times New Roman" w:hAnsi="Times New Roman" w:eastAsia="宋体" w:cs="Times New Roman"/>
          <w:sz w:val="24"/>
          <w:highlight w:val="none"/>
        </w:rPr>
      </w:r>
      <w:r/>
    </w:p>
    <w:p>
      <w:pPr>
        <w:pStyle w:val="1126"/>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en-US" w:eastAsia="zh-CN"/>
        </w:rPr>
        <w:t xml:space="preserve">四、</w:t>
      </w:r>
      <w:r>
        <w:rPr>
          <w:rFonts w:hint="eastAsia" w:ascii="Times New Roman" w:hAnsi="Times New Roman" w:eastAsia="宋体" w:cs="Times New Roman"/>
          <w:b/>
          <w:bCs/>
          <w:sz w:val="24"/>
          <w:highlight w:val="none"/>
        </w:rPr>
        <w:t xml:space="preserve">项目执行周期要求</w:t>
      </w:r>
      <w:r>
        <w:rPr>
          <w:rFonts w:hint="eastAsia" w:ascii="Times New Roman" w:hAnsi="Times New Roman" w:eastAsia="宋体" w:cs="Times New Roman"/>
          <w:b/>
          <w:bCs/>
          <w:sz w:val="24"/>
          <w:highlight w:val="none"/>
        </w:rPr>
      </w:r>
      <w:r/>
    </w:p>
    <w:p>
      <w:pPr>
        <w:pStyle w:val="1126"/>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项</w:t>
      </w:r>
      <w:r>
        <w:rPr>
          <w:rFonts w:hint="eastAsia" w:ascii="Times New Roman" w:hAnsi="Times New Roman" w:eastAsia="宋体" w:cs="Times New Roman"/>
          <w:sz w:val="24"/>
          <w:highlight w:val="none"/>
        </w:rPr>
        <w:t xml:space="preserve">目执行的全部工作要求在合同签订之日起4个月（16周）内完成，</w:t>
      </w:r>
      <w:r>
        <w:rPr>
          <w:rFonts w:hint="eastAsia" w:ascii="Times New Roman" w:hAnsi="Times New Roman" w:eastAsia="宋体" w:cs="Times New Roman"/>
          <w:sz w:val="24"/>
          <w:highlight w:val="none"/>
          <w:lang w:val="en-US" w:eastAsia="zh-CN"/>
        </w:rPr>
        <w:t xml:space="preserve">并于中期</w:t>
      </w:r>
      <w:r>
        <w:rPr>
          <w:rFonts w:hint="eastAsia" w:ascii="Times New Roman" w:hAnsi="Times New Roman" w:eastAsia="宋体" w:cs="Times New Roman"/>
          <w:sz w:val="24"/>
          <w:highlight w:val="none"/>
        </w:rPr>
        <w:t xml:space="preserve">向采购人汇报</w:t>
      </w:r>
      <w:r>
        <w:rPr>
          <w:rFonts w:hint="eastAsia" w:ascii="Times New Roman" w:hAnsi="Times New Roman" w:eastAsia="宋体" w:cs="Times New Roman"/>
          <w:sz w:val="24"/>
          <w:highlight w:val="none"/>
          <w:lang w:val="en-US" w:eastAsia="zh-CN"/>
        </w:rPr>
        <w:t xml:space="preserve">阶段研究</w:t>
      </w:r>
      <w:r>
        <w:rPr>
          <w:rFonts w:hint="eastAsia" w:ascii="Times New Roman" w:hAnsi="Times New Roman" w:eastAsia="宋体" w:cs="Times New Roman"/>
          <w:sz w:val="24"/>
          <w:highlight w:val="none"/>
        </w:rPr>
        <w:t xml:space="preserve">成果</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eastAsia="zh-CN"/>
        </w:rPr>
      </w:r>
      <w:r/>
    </w:p>
    <w:p>
      <w:pPr>
        <w:pStyle w:val="1126"/>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en-US" w:eastAsia="zh-CN"/>
        </w:rPr>
        <w:t xml:space="preserve">五、</w:t>
      </w:r>
      <w:r>
        <w:rPr>
          <w:rFonts w:hint="eastAsia" w:ascii="Times New Roman" w:hAnsi="Times New Roman" w:eastAsia="宋体" w:cs="Times New Roman"/>
          <w:b/>
          <w:bCs/>
          <w:sz w:val="24"/>
          <w:highlight w:val="none"/>
        </w:rPr>
        <w:t xml:space="preserve">成果形式</w:t>
      </w:r>
      <w:r>
        <w:rPr>
          <w:rFonts w:hint="eastAsia" w:ascii="Times New Roman" w:hAnsi="Times New Roman" w:eastAsia="宋体" w:cs="Times New Roman"/>
          <w:b/>
          <w:bCs/>
          <w:sz w:val="24"/>
          <w:highlight w:val="none"/>
        </w:rPr>
      </w:r>
      <w:r/>
    </w:p>
    <w:p>
      <w:pPr>
        <w:pStyle w:val="1126"/>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工作成果须符合</w:t>
      </w:r>
      <w:r>
        <w:rPr>
          <w:rFonts w:hint="eastAsia" w:ascii="Times New Roman" w:hAnsi="Times New Roman" w:eastAsia="宋体" w:cs="Times New Roman"/>
          <w:sz w:val="24"/>
          <w:highlight w:val="none"/>
          <w:lang w:val="en-US" w:eastAsia="zh-CN"/>
        </w:rPr>
        <w:t xml:space="preserve">常州</w:t>
      </w:r>
      <w:r>
        <w:rPr>
          <w:rFonts w:hint="eastAsia" w:ascii="Times New Roman" w:hAnsi="Times New Roman" w:eastAsia="宋体" w:cs="Times New Roman"/>
          <w:sz w:val="24"/>
          <w:highlight w:val="none"/>
        </w:rPr>
        <w:t xml:space="preserve">相关政策要求，成果包括评估报告及配套支撑材料：</w:t>
      </w:r>
      <w:r>
        <w:rPr>
          <w:rFonts w:hint="eastAsia" w:ascii="Times New Roman" w:hAnsi="Times New Roman" w:eastAsia="宋体" w:cs="Times New Roman"/>
          <w:sz w:val="24"/>
          <w:highlight w:val="none"/>
        </w:rPr>
      </w:r>
      <w:r/>
    </w:p>
    <w:p>
      <w:pPr>
        <w:pStyle w:val="1126"/>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1、评估总报告：提交《常州市全域电动化标杆实践评估报告》纸质版（附图表）、电子版（含Word、PDF及可编辑源文件）各1套；</w:t>
      </w:r>
      <w:r>
        <w:rPr>
          <w:rFonts w:hint="eastAsia" w:ascii="Times New Roman" w:hAnsi="Times New Roman" w:eastAsia="宋体" w:cs="Times New Roman"/>
          <w:sz w:val="24"/>
          <w:highlight w:val="none"/>
        </w:rPr>
      </w:r>
      <w:r/>
    </w:p>
    <w:p>
      <w:pPr>
        <w:pStyle w:val="1126"/>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2、配套材料：包含指标测算模型、数据底稿、分析支撑材料等电子版全套</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以及专家论证意见材料。</w:t>
      </w:r>
      <w:r>
        <w:rPr>
          <w:rFonts w:hint="eastAsia" w:ascii="Times New Roman" w:hAnsi="Times New Roman" w:eastAsia="宋体" w:cs="Times New Roman"/>
          <w:sz w:val="24"/>
          <w:highlight w:val="none"/>
          <w:lang w:val="en-US" w:eastAsia="zh-CN"/>
        </w:rPr>
      </w:r>
      <w:r/>
    </w:p>
    <w:p>
      <w:pPr>
        <w:pStyle w:val="1159"/>
        <w:ind w:firstLine="480"/>
        <w:keepLines w:val="0"/>
        <w:keepNext w:val="0"/>
        <w:pageBreakBefore w:val="0"/>
        <w:spacing w:before="0" w:line="360" w:lineRule="auto"/>
        <w:widowControl w:val="off"/>
        <w:tabs>
          <w:tab w:val="left" w:pos="567" w:leader="none"/>
        </w:tabs>
        <w:rPr>
          <w:rFonts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六、项目验收标准</w:t>
      </w:r>
      <w:r>
        <w:rPr>
          <w:rFonts w:ascii="Times New Roman" w:hAnsi="Times New Roman" w:eastAsia="宋体" w:cs="Times New Roman"/>
          <w:b/>
          <w:bCs/>
          <w:sz w:val="24"/>
          <w:szCs w:val="24"/>
          <w:highlight w:val="none"/>
          <w:lang w:val="en-US" w:eastAsia="zh-CN" w:bidi="ar-SA"/>
        </w:rPr>
      </w:r>
      <w:r/>
    </w:p>
    <w:p>
      <w:pPr>
        <w:pStyle w:val="1150"/>
        <w:ind w:left="0" w:firstLine="480"/>
        <w:keepLines w:val="0"/>
        <w:keepNext w:val="0"/>
        <w:pageBreakBefore w:val="0"/>
        <w:spacing w:line="360" w:lineRule="auto"/>
        <w:widowControl w:val="off"/>
        <w:rPr>
          <w:rFonts w:ascii="Times New Roman" w:hAnsi="Times New Roman" w:eastAsia="宋体" w:cs="Times New Roman"/>
          <w:sz w:val="24"/>
          <w:szCs w:val="24"/>
          <w:highlight w:val="none"/>
          <w:lang w:val="en-US" w:eastAsia="zh-CN" w:bidi="ar-SA"/>
        </w:rPr>
      </w:pPr>
      <w:r>
        <w:rPr>
          <w:rFonts w:ascii="宋体" w:hAnsi="宋体" w:eastAsia="宋体" w:cs="宋体"/>
          <w:sz w:val="24"/>
          <w:szCs w:val="24"/>
          <w:highlight w:val="none"/>
        </w:rPr>
        <w:t xml:space="preserve">本项目验收以合同约定的研究内容、成果形式及响应文件承诺内容为依据，采购人可自行组织或委托第三方对供应商提交的成果进行验收。验收内容如下：</w:t>
      </w:r>
      <w:r>
        <w:rPr>
          <w:rFonts w:ascii="Times New Roman" w:hAnsi="Times New Roman" w:eastAsia="宋体" w:cs="Times New Roman"/>
          <w:sz w:val="24"/>
          <w:szCs w:val="24"/>
          <w:highlight w:val="none"/>
          <w:lang w:val="en-US" w:eastAsia="zh-CN" w:bidi="ar-SA"/>
        </w:rPr>
      </w:r>
      <w:r/>
    </w:p>
    <w:tbl>
      <w:tblPr>
        <w:tblW w:w="928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86"/>
        <w:gridCol w:w="4365"/>
        <w:gridCol w:w="3235"/>
      </w:tblGrid>
      <w:tr>
        <w:trPr>
          <w:trHeight w:val="425"/>
          <w:tblHeader/>
        </w:trPr>
        <w:tc>
          <w:tcPr>
            <w:shd w:val="clear" w:color="auto" w:fill="ffffff"/>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1126"/>
              <w:ind w:left="0" w:right="0" w:firstLine="0"/>
              <w:jc w:val="center"/>
              <w:keepLines w:val="0"/>
              <w:keepNext/>
              <w:spacing w:line="240" w:lineRule="auto"/>
              <w:widowControl/>
              <w:rPr>
                <w:rFonts w:hint="eastAsia" w:ascii="宋体" w:hAnsi="宋体" w:eastAsia="宋体" w:cs="宋体"/>
                <w:b/>
                <w:bCs w:val="0"/>
                <w:i w:val="0"/>
                <w:iCs w:val="0"/>
                <w:color w:val="000000"/>
                <w:sz w:val="22"/>
                <w:szCs w:val="22"/>
                <w:highlight w:val="none"/>
                <w:u w:val="none"/>
              </w:rPr>
              <w:suppressLineNumbers w:val="0"/>
            </w:pPr>
            <w:r>
              <w:rPr>
                <w:rFonts w:hint="eastAsia" w:ascii="宋体" w:hAnsi="宋体" w:eastAsia="宋体" w:cs="宋体"/>
                <w:b/>
                <w:bCs w:val="0"/>
                <w:i w:val="0"/>
                <w:iCs w:val="0"/>
                <w:color w:val="000000"/>
                <w:sz w:val="22"/>
                <w:szCs w:val="22"/>
                <w:highlight w:val="none"/>
                <w:u w:val="none"/>
                <w:lang w:val="en-US" w:eastAsia="zh-CN" w:bidi="ar"/>
              </w:rPr>
              <w:t xml:space="preserve">验收类别</w:t>
            </w:r>
            <w:r>
              <w:rPr>
                <w:rFonts w:hint="eastAsia" w:ascii="宋体" w:hAnsi="宋体" w:eastAsia="宋体" w:cs="宋体"/>
                <w:b/>
                <w:bCs w:val="0"/>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pStyle w:val="1126"/>
              <w:ind w:left="0" w:right="0" w:firstLine="0"/>
              <w:jc w:val="center"/>
              <w:keepLines w:val="0"/>
              <w:keepNext/>
              <w:spacing w:line="240" w:lineRule="auto"/>
              <w:widowControl/>
              <w:rPr>
                <w:rFonts w:hint="eastAsia" w:ascii="宋体" w:hAnsi="宋体" w:eastAsia="宋体" w:cs="宋体"/>
                <w:b/>
                <w:bCs w:val="0"/>
                <w:i w:val="0"/>
                <w:iCs w:val="0"/>
                <w:color w:val="000000"/>
                <w:sz w:val="22"/>
                <w:szCs w:val="22"/>
                <w:highlight w:val="none"/>
                <w:u w:val="none"/>
              </w:rPr>
              <w:suppressLineNumbers w:val="0"/>
            </w:pPr>
            <w:r>
              <w:rPr>
                <w:rFonts w:hint="eastAsia" w:ascii="宋体" w:hAnsi="宋体" w:eastAsia="宋体" w:cs="宋体"/>
                <w:b/>
                <w:bCs w:val="0"/>
                <w:i w:val="0"/>
                <w:iCs w:val="0"/>
                <w:color w:val="000000"/>
                <w:sz w:val="22"/>
                <w:szCs w:val="22"/>
                <w:highlight w:val="none"/>
                <w:u w:val="none"/>
                <w:lang w:val="en-US" w:eastAsia="zh-CN" w:bidi="ar"/>
              </w:rPr>
              <w:t xml:space="preserve">验收内容</w:t>
            </w:r>
            <w:r>
              <w:rPr>
                <w:rFonts w:hint="eastAsia" w:ascii="宋体" w:hAnsi="宋体" w:eastAsia="宋体" w:cs="宋体"/>
                <w:b/>
                <w:bCs w:val="0"/>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1126"/>
              <w:ind w:left="0" w:right="0" w:firstLine="0"/>
              <w:jc w:val="center"/>
              <w:keepLines w:val="0"/>
              <w:keepNext/>
              <w:spacing w:line="240" w:lineRule="auto"/>
              <w:widowControl/>
              <w:rPr>
                <w:rFonts w:hint="eastAsia" w:ascii="宋体" w:hAnsi="宋体" w:eastAsia="宋体" w:cs="宋体"/>
                <w:b/>
                <w:bCs w:val="0"/>
                <w:i w:val="0"/>
                <w:iCs w:val="0"/>
                <w:color w:val="000000"/>
                <w:sz w:val="22"/>
                <w:szCs w:val="22"/>
                <w:highlight w:val="none"/>
                <w:u w:val="none"/>
              </w:rPr>
              <w:suppressLineNumbers w:val="0"/>
            </w:pPr>
            <w:r>
              <w:rPr>
                <w:rFonts w:hint="eastAsia" w:ascii="宋体" w:hAnsi="宋体" w:eastAsia="宋体" w:cs="宋体"/>
                <w:b/>
                <w:bCs w:val="0"/>
                <w:i w:val="0"/>
                <w:iCs w:val="0"/>
                <w:color w:val="000000"/>
                <w:sz w:val="22"/>
                <w:szCs w:val="22"/>
                <w:highlight w:val="none"/>
                <w:u w:val="none"/>
                <w:lang w:val="en-US" w:eastAsia="zh-CN" w:bidi="ar"/>
              </w:rPr>
              <w:t xml:space="preserve">验收标准</w:t>
            </w:r>
            <w:r>
              <w:rPr>
                <w:rFonts w:hint="eastAsia" w:ascii="宋体" w:hAnsi="宋体" w:eastAsia="宋体" w:cs="宋体"/>
                <w:b/>
                <w:bCs w:val="0"/>
                <w:i w:val="0"/>
                <w:iCs w:val="0"/>
                <w:color w:val="000000"/>
                <w:sz w:val="22"/>
                <w:szCs w:val="22"/>
                <w:highlight w:val="none"/>
                <w:u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1126"/>
              <w:ind w:left="0" w:right="0" w:firstLine="0"/>
              <w:jc w:val="center"/>
              <w:keepLines w:val="0"/>
              <w:keepNext/>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成果完整性</w:t>
            </w:r>
            <w:r>
              <w:rPr>
                <w:rFonts w:hint="eastAsia" w:ascii="宋体" w:hAnsi="宋体" w:eastAsia="宋体" w:cs="宋体"/>
                <w:b/>
                <w:bCs/>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pStyle w:val="1126"/>
              <w:ind w:left="0" w:right="0" w:firstLine="0"/>
              <w:jc w:val="left"/>
              <w:keepLines w:val="0"/>
              <w:keepNext/>
              <w:spacing w:line="360" w:lineRule="auto"/>
              <w:widowControl/>
              <w:rPr>
                <w:rFonts w:hint="eastAsia" w:ascii="宋体" w:hAnsi="宋体" w:eastAsia="宋体" w:cs="宋体"/>
                <w:b w:val="0"/>
                <w:i w:val="0"/>
                <w:iCs w:val="0"/>
                <w:color w:val="000000"/>
                <w:sz w:val="22"/>
                <w:szCs w:val="22"/>
                <w:highlight w:val="none"/>
                <w:u w:val="none"/>
              </w:rPr>
              <w:suppressLineNumbers w:val="0"/>
            </w:pPr>
            <w:r>
              <w:rPr>
                <w:rFonts w:hint="eastAsia" w:ascii="宋体" w:hAnsi="宋体" w:eastAsia="宋体" w:cs="宋体"/>
                <w:b w:val="0"/>
                <w:i w:val="0"/>
                <w:iCs w:val="0"/>
                <w:color w:val="000000"/>
                <w:sz w:val="22"/>
                <w:szCs w:val="22"/>
                <w:highlight w:val="none"/>
                <w:u w:val="none"/>
                <w:lang w:val="en-US" w:eastAsia="zh-CN" w:bidi="ar"/>
              </w:rPr>
              <w:t xml:space="preserve">评估总报告、指标体系及附件、论证材料等成果是否齐全</w:t>
            </w:r>
            <w:r>
              <w:rPr>
                <w:rFonts w:hint="eastAsia" w:ascii="宋体" w:hAnsi="宋体" w:eastAsia="宋体" w:cs="宋体"/>
                <w:b w:val="0"/>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1126"/>
              <w:ind w:left="0" w:right="0" w:firstLine="0"/>
              <w:jc w:val="left"/>
              <w:keepLines w:val="0"/>
              <w:keepNext/>
              <w:spacing w:line="360" w:lineRule="auto"/>
              <w:widowControl/>
              <w:rPr>
                <w:rFonts w:hint="eastAsia" w:ascii="宋体" w:hAnsi="宋体" w:eastAsia="宋体" w:cs="宋体"/>
                <w:b w:val="0"/>
                <w:i w:val="0"/>
                <w:iCs w:val="0"/>
                <w:color w:val="000000"/>
                <w:sz w:val="22"/>
                <w:szCs w:val="22"/>
                <w:highlight w:val="none"/>
                <w:u w:val="none"/>
              </w:rPr>
              <w:suppressLineNumbers w:val="0"/>
            </w:pPr>
            <w:r>
              <w:rPr>
                <w:rFonts w:hint="eastAsia" w:ascii="宋体" w:hAnsi="宋体" w:eastAsia="宋体" w:cs="宋体"/>
                <w:b w:val="0"/>
                <w:i w:val="0"/>
                <w:iCs w:val="0"/>
                <w:color w:val="000000"/>
                <w:sz w:val="22"/>
                <w:szCs w:val="22"/>
                <w:highlight w:val="none"/>
                <w:u w:val="none"/>
                <w:lang w:val="en-US" w:eastAsia="zh-CN" w:bidi="ar"/>
              </w:rPr>
              <w:t xml:space="preserve">各项成果均按合同约定形式（纸质版、电子版Word/PDF/可编辑源文件）足额提交，无缺项</w:t>
            </w:r>
            <w:r>
              <w:rPr>
                <w:rFonts w:hint="eastAsia" w:ascii="宋体" w:hAnsi="宋体" w:eastAsia="宋体" w:cs="宋体"/>
                <w:b w:val="0"/>
                <w:i w:val="0"/>
                <w:iCs w:val="0"/>
                <w:color w:val="000000"/>
                <w:sz w:val="22"/>
                <w:szCs w:val="22"/>
                <w:highlight w:val="none"/>
                <w:u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1126"/>
              <w:ind w:left="0" w:right="0" w:firstLine="0"/>
              <w:jc w:val="center"/>
              <w:keepLines w:val="0"/>
              <w:keepNext/>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内容符合性</w:t>
            </w:r>
            <w:r>
              <w:rPr>
                <w:rFonts w:hint="eastAsia" w:ascii="宋体" w:hAnsi="宋体" w:eastAsia="宋体" w:cs="宋体"/>
                <w:b/>
                <w:bCs/>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pStyle w:val="1126"/>
              <w:ind w:left="0" w:right="0" w:firstLine="0"/>
              <w:jc w:val="left"/>
              <w:keepLines w:val="0"/>
              <w:keepNext/>
              <w:spacing w:line="360" w:lineRule="auto"/>
              <w:widowControl/>
              <w:rPr>
                <w:rFonts w:hint="eastAsia" w:ascii="宋体" w:hAnsi="宋体" w:eastAsia="宋体" w:cs="宋体"/>
                <w:b w:val="0"/>
                <w:i w:val="0"/>
                <w:iCs w:val="0"/>
                <w:color w:val="000000"/>
                <w:sz w:val="22"/>
                <w:szCs w:val="22"/>
                <w:highlight w:val="none"/>
                <w:u w:val="none"/>
              </w:rPr>
              <w:suppressLineNumbers w:val="0"/>
            </w:pPr>
            <w:r>
              <w:rPr>
                <w:rFonts w:hint="eastAsia" w:ascii="宋体" w:hAnsi="宋体" w:eastAsia="宋体" w:cs="宋体"/>
                <w:b w:val="0"/>
                <w:i w:val="0"/>
                <w:iCs w:val="0"/>
                <w:color w:val="000000"/>
                <w:sz w:val="22"/>
                <w:szCs w:val="22"/>
                <w:highlight w:val="none"/>
                <w:u w:val="none"/>
                <w:lang w:val="en-US" w:eastAsia="zh-CN" w:bidi="ar"/>
              </w:rPr>
              <w:t xml:space="preserve">研究内容是否覆盖</w:t>
            </w:r>
            <w:r>
              <w:rPr>
                <w:rFonts w:hint="eastAsia" w:ascii="Times New Roman" w:hAnsi="Times New Roman" w:eastAsia="宋体" w:cs="Times New Roman"/>
                <w:sz w:val="22"/>
                <w:szCs w:val="22"/>
                <w:highlight w:val="none"/>
              </w:rPr>
              <w:t xml:space="preserve">产业生态摸底与城市发展指数构建评估</w:t>
            </w:r>
            <w:r>
              <w:rPr>
                <w:rFonts w:hint="eastAsia" w:ascii="宋体" w:hAnsi="宋体" w:eastAsia="宋体" w:cs="宋体"/>
                <w:b w:val="0"/>
                <w:i w:val="0"/>
                <w:iCs w:val="0"/>
                <w:color w:val="000000"/>
                <w:sz w:val="22"/>
                <w:szCs w:val="22"/>
                <w:highlight w:val="none"/>
                <w:u w:val="none"/>
                <w:lang w:val="en-US" w:eastAsia="zh-CN" w:bidi="ar"/>
              </w:rPr>
              <w:t xml:space="preserve">、碳排放双控约束下的产业升级路径评估、</w:t>
            </w:r>
            <w:r>
              <w:rPr>
                <w:rFonts w:hint="eastAsia" w:ascii="Times New Roman" w:hAnsi="Times New Roman" w:eastAsia="宋体" w:cs="Times New Roman"/>
                <w:sz w:val="22"/>
                <w:szCs w:val="22"/>
                <w:highlight w:val="none"/>
              </w:rPr>
              <w:t xml:space="preserve">全域电动化标杆实践城市建设和推广评估</w:t>
            </w:r>
            <w:r>
              <w:rPr>
                <w:rFonts w:hint="eastAsia" w:ascii="宋体" w:hAnsi="宋体" w:eastAsia="宋体" w:cs="宋体"/>
                <w:b w:val="0"/>
                <w:i w:val="0"/>
                <w:iCs w:val="0"/>
                <w:color w:val="000000"/>
                <w:sz w:val="22"/>
                <w:szCs w:val="22"/>
                <w:highlight w:val="none"/>
                <w:u w:val="none"/>
                <w:lang w:val="en-US" w:eastAsia="zh-CN" w:bidi="ar"/>
              </w:rPr>
              <w:t xml:space="preserve">三部分</w:t>
            </w:r>
            <w:r>
              <w:rPr>
                <w:rFonts w:hint="eastAsia" w:ascii="宋体" w:hAnsi="宋体" w:eastAsia="宋体" w:cs="宋体"/>
                <w:b w:val="0"/>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1126"/>
              <w:ind w:left="0" w:right="0" w:firstLine="0"/>
              <w:jc w:val="left"/>
              <w:keepLines w:val="0"/>
              <w:keepNext/>
              <w:spacing w:line="360" w:lineRule="auto"/>
              <w:widowControl/>
              <w:rPr>
                <w:rFonts w:hint="eastAsia" w:ascii="宋体" w:hAnsi="宋体" w:eastAsia="宋体" w:cs="宋体"/>
                <w:b w:val="0"/>
                <w:i w:val="0"/>
                <w:iCs w:val="0"/>
                <w:color w:val="000000"/>
                <w:sz w:val="22"/>
                <w:szCs w:val="22"/>
                <w:highlight w:val="none"/>
                <w:u w:val="none"/>
              </w:rPr>
              <w:suppressLineNumbers w:val="0"/>
            </w:pPr>
            <w:r>
              <w:rPr>
                <w:rFonts w:hint="eastAsia" w:ascii="宋体" w:hAnsi="宋体" w:eastAsia="宋体" w:cs="宋体"/>
                <w:b w:val="0"/>
                <w:i w:val="0"/>
                <w:iCs w:val="0"/>
                <w:color w:val="000000"/>
                <w:sz w:val="22"/>
                <w:szCs w:val="22"/>
                <w:highlight w:val="none"/>
                <w:u w:val="none"/>
                <w:lang w:val="en-US" w:eastAsia="zh-CN" w:bidi="ar"/>
              </w:rPr>
              <w:t xml:space="preserve">报告章节结构与采购需求约定的研究内容一一对应，无遗漏</w:t>
            </w:r>
            <w:r>
              <w:rPr>
                <w:rFonts w:hint="eastAsia" w:ascii="宋体" w:hAnsi="宋体" w:eastAsia="宋体" w:cs="宋体"/>
                <w:b w:val="0"/>
                <w:i w:val="0"/>
                <w:iCs w:val="0"/>
                <w:color w:val="000000"/>
                <w:sz w:val="22"/>
                <w:szCs w:val="22"/>
                <w:highlight w:val="none"/>
                <w:u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1126"/>
              <w:ind w:left="0" w:right="0" w:firstLine="0"/>
              <w:jc w:val="center"/>
              <w:keepLines w:val="0"/>
              <w:keepNext/>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数据与结论可靠性</w:t>
            </w:r>
            <w:r>
              <w:rPr>
                <w:rFonts w:hint="eastAsia" w:ascii="宋体" w:hAnsi="宋体" w:eastAsia="宋体" w:cs="宋体"/>
                <w:b/>
                <w:bCs/>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pStyle w:val="1126"/>
              <w:ind w:left="0" w:right="0" w:firstLine="0"/>
              <w:jc w:val="left"/>
              <w:keepLines w:val="0"/>
              <w:keepNext/>
              <w:spacing w:line="360" w:lineRule="auto"/>
              <w:widowControl/>
              <w:rPr>
                <w:rFonts w:hint="eastAsia" w:ascii="宋体" w:hAnsi="宋体" w:eastAsia="宋体" w:cs="宋体"/>
                <w:b w:val="0"/>
                <w:i w:val="0"/>
                <w:iCs w:val="0"/>
                <w:color w:val="000000"/>
                <w:sz w:val="22"/>
                <w:szCs w:val="22"/>
                <w:highlight w:val="none"/>
                <w:u w:val="none"/>
              </w:rPr>
              <w:suppressLineNumbers w:val="0"/>
            </w:pPr>
            <w:r>
              <w:rPr>
                <w:rFonts w:hint="eastAsia" w:ascii="宋体" w:hAnsi="宋体" w:eastAsia="宋体" w:cs="宋体"/>
                <w:b w:val="0"/>
                <w:i w:val="0"/>
                <w:iCs w:val="0"/>
                <w:color w:val="000000"/>
                <w:sz w:val="22"/>
                <w:szCs w:val="22"/>
                <w:highlight w:val="none"/>
                <w:u w:val="none"/>
                <w:lang w:val="en-US" w:eastAsia="zh-CN" w:bidi="ar"/>
              </w:rPr>
              <w:t xml:space="preserve">产业数据、指标测算是否有据可查，政策依据是否准确</w:t>
            </w:r>
            <w:r>
              <w:rPr>
                <w:rFonts w:hint="eastAsia" w:ascii="宋体" w:hAnsi="宋体" w:eastAsia="宋体" w:cs="宋体"/>
                <w:b w:val="0"/>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1126"/>
              <w:ind w:left="0" w:right="0" w:firstLine="0"/>
              <w:jc w:val="left"/>
              <w:keepLines w:val="0"/>
              <w:keepNext/>
              <w:spacing w:line="360" w:lineRule="auto"/>
              <w:widowControl/>
              <w:rPr>
                <w:rFonts w:hint="eastAsia" w:ascii="宋体" w:hAnsi="宋体" w:eastAsia="宋体" w:cs="宋体"/>
                <w:b w:val="0"/>
                <w:i w:val="0"/>
                <w:iCs w:val="0"/>
                <w:color w:val="000000"/>
                <w:sz w:val="22"/>
                <w:szCs w:val="22"/>
                <w:highlight w:val="none"/>
                <w:u w:val="none"/>
              </w:rPr>
              <w:suppressLineNumbers w:val="0"/>
            </w:pPr>
            <w:r>
              <w:rPr>
                <w:rFonts w:hint="eastAsia" w:ascii="宋体" w:hAnsi="宋体" w:eastAsia="宋体" w:cs="宋体"/>
                <w:b w:val="0"/>
                <w:i w:val="0"/>
                <w:iCs w:val="0"/>
                <w:color w:val="000000"/>
                <w:sz w:val="22"/>
                <w:szCs w:val="22"/>
                <w:highlight w:val="none"/>
                <w:u w:val="none"/>
                <w:lang w:val="en-US" w:eastAsia="zh-CN" w:bidi="ar"/>
              </w:rPr>
              <w:t xml:space="preserve">关键数据注明来源，测算方法和口径清晰，无明显数据错误或结论与常州实际严重不符的情形</w:t>
            </w:r>
            <w:r>
              <w:rPr>
                <w:rFonts w:hint="eastAsia" w:ascii="宋体" w:hAnsi="宋体" w:eastAsia="宋体" w:cs="宋体"/>
                <w:b w:val="0"/>
                <w:i w:val="0"/>
                <w:iCs w:val="0"/>
                <w:color w:val="000000"/>
                <w:sz w:val="22"/>
                <w:szCs w:val="22"/>
                <w:highlight w:val="none"/>
                <w:u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1126"/>
              <w:ind w:left="0" w:right="0" w:firstLine="0"/>
              <w:jc w:val="center"/>
              <w:keepLines w:val="0"/>
              <w:keepNext/>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论证程序完备性</w:t>
            </w:r>
            <w:r>
              <w:rPr>
                <w:rFonts w:hint="eastAsia" w:ascii="宋体" w:hAnsi="宋体" w:eastAsia="宋体" w:cs="宋体"/>
                <w:b/>
                <w:bCs/>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pStyle w:val="1126"/>
              <w:ind w:left="0" w:right="0" w:firstLine="0"/>
              <w:jc w:val="left"/>
              <w:keepLines w:val="0"/>
              <w:keepNext/>
              <w:spacing w:line="360" w:lineRule="auto"/>
              <w:widowControl/>
              <w:rPr>
                <w:rFonts w:hint="eastAsia" w:ascii="宋体" w:hAnsi="宋体" w:eastAsia="宋体" w:cs="宋体"/>
                <w:b w:val="0"/>
                <w:i w:val="0"/>
                <w:iCs w:val="0"/>
                <w:color w:val="000000"/>
                <w:sz w:val="22"/>
                <w:szCs w:val="22"/>
                <w:highlight w:val="none"/>
                <w:u w:val="none"/>
              </w:rPr>
              <w:suppressLineNumbers w:val="0"/>
            </w:pPr>
            <w:r>
              <w:rPr>
                <w:rFonts w:hint="eastAsia" w:ascii="宋体" w:hAnsi="宋体" w:eastAsia="宋体" w:cs="宋体"/>
                <w:b w:val="0"/>
                <w:i w:val="0"/>
                <w:iCs w:val="0"/>
                <w:color w:val="000000"/>
                <w:sz w:val="22"/>
                <w:szCs w:val="22"/>
                <w:highlight w:val="none"/>
                <w:u w:val="none"/>
                <w:lang w:val="en-US" w:eastAsia="zh-CN" w:bidi="ar"/>
              </w:rPr>
              <w:t xml:space="preserve">指标体系、重大结论是否经过专家论证</w:t>
            </w:r>
            <w:r>
              <w:rPr>
                <w:rFonts w:hint="eastAsia" w:ascii="宋体" w:hAnsi="宋体" w:eastAsia="宋体" w:cs="宋体"/>
                <w:b w:val="0"/>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1126"/>
              <w:ind w:left="0" w:right="0" w:firstLine="0"/>
              <w:jc w:val="left"/>
              <w:keepLines w:val="0"/>
              <w:keepNext/>
              <w:spacing w:line="360" w:lineRule="auto"/>
              <w:widowControl/>
              <w:rPr>
                <w:rFonts w:hint="eastAsia" w:ascii="宋体" w:hAnsi="宋体" w:eastAsia="宋体" w:cs="宋体"/>
                <w:b w:val="0"/>
                <w:i w:val="0"/>
                <w:iCs w:val="0"/>
                <w:color w:val="000000"/>
                <w:sz w:val="22"/>
                <w:szCs w:val="22"/>
                <w:highlight w:val="none"/>
                <w:u w:val="none"/>
              </w:rPr>
              <w:suppressLineNumbers w:val="0"/>
            </w:pPr>
            <w:r>
              <w:rPr>
                <w:rFonts w:hint="eastAsia" w:ascii="宋体" w:hAnsi="宋体" w:eastAsia="宋体" w:cs="宋体"/>
                <w:b w:val="0"/>
                <w:i w:val="0"/>
                <w:iCs w:val="0"/>
                <w:color w:val="000000"/>
                <w:sz w:val="22"/>
                <w:szCs w:val="22"/>
                <w:highlight w:val="none"/>
                <w:u w:val="none"/>
                <w:lang w:val="en-US" w:eastAsia="zh-CN" w:bidi="ar"/>
              </w:rPr>
              <w:t xml:space="preserve">提供专家论证意见或咨询记录等佐证材料</w:t>
            </w:r>
            <w:r>
              <w:rPr>
                <w:rFonts w:hint="eastAsia" w:ascii="宋体" w:hAnsi="宋体" w:eastAsia="宋体" w:cs="宋体"/>
                <w:b w:val="0"/>
                <w:i w:val="0"/>
                <w:iCs w:val="0"/>
                <w:color w:val="000000"/>
                <w:sz w:val="22"/>
                <w:szCs w:val="22"/>
                <w:highlight w:val="none"/>
                <w:u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1126"/>
              <w:ind w:left="0" w:right="0" w:firstLine="0"/>
              <w:jc w:val="center"/>
              <w:keepLines w:val="0"/>
              <w:keepNext/>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时限符合性</w:t>
            </w:r>
            <w:r>
              <w:rPr>
                <w:rFonts w:hint="eastAsia" w:ascii="宋体" w:hAnsi="宋体" w:eastAsia="宋体" w:cs="宋体"/>
                <w:b/>
                <w:bCs/>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pStyle w:val="1126"/>
              <w:ind w:left="0" w:right="0" w:firstLine="0"/>
              <w:jc w:val="left"/>
              <w:keepLines w:val="0"/>
              <w:keepNext/>
              <w:spacing w:line="360" w:lineRule="auto"/>
              <w:widowControl/>
              <w:rPr>
                <w:rFonts w:hint="eastAsia" w:ascii="宋体" w:hAnsi="宋体" w:eastAsia="宋体" w:cs="宋体"/>
                <w:b w:val="0"/>
                <w:i w:val="0"/>
                <w:iCs w:val="0"/>
                <w:color w:val="000000"/>
                <w:sz w:val="22"/>
                <w:szCs w:val="22"/>
                <w:highlight w:val="none"/>
                <w:u w:val="none"/>
              </w:rPr>
              <w:suppressLineNumbers w:val="0"/>
            </w:pPr>
            <w:r>
              <w:rPr>
                <w:rFonts w:hint="eastAsia" w:ascii="宋体" w:hAnsi="宋体" w:eastAsia="宋体" w:cs="宋体"/>
                <w:b w:val="0"/>
                <w:i w:val="0"/>
                <w:iCs w:val="0"/>
                <w:color w:val="000000"/>
                <w:sz w:val="22"/>
                <w:szCs w:val="22"/>
                <w:highlight w:val="none"/>
                <w:u w:val="none"/>
                <w:lang w:val="en-US" w:eastAsia="zh-CN" w:bidi="ar"/>
              </w:rPr>
              <w:t xml:space="preserve">是否按约定周期完成中期汇报及最终交付</w:t>
            </w:r>
            <w:r>
              <w:rPr>
                <w:rFonts w:hint="eastAsia" w:ascii="宋体" w:hAnsi="宋体" w:eastAsia="宋体" w:cs="宋体"/>
                <w:b w:val="0"/>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1126"/>
              <w:ind w:left="0" w:right="0" w:firstLine="0"/>
              <w:jc w:val="left"/>
              <w:keepLines w:val="0"/>
              <w:keepNext/>
              <w:spacing w:line="360" w:lineRule="auto"/>
              <w:widowControl/>
              <w:rPr>
                <w:rFonts w:hint="eastAsia" w:ascii="宋体" w:hAnsi="宋体" w:eastAsia="宋体" w:cs="宋体"/>
                <w:b w:val="0"/>
                <w:i w:val="0"/>
                <w:iCs w:val="0"/>
                <w:color w:val="000000"/>
                <w:sz w:val="22"/>
                <w:szCs w:val="22"/>
                <w:highlight w:val="none"/>
                <w:u w:val="none"/>
              </w:rPr>
              <w:suppressLineNumbers w:val="0"/>
            </w:pPr>
            <w:r>
              <w:rPr>
                <w:rFonts w:hint="eastAsia" w:ascii="宋体" w:hAnsi="宋体" w:eastAsia="宋体" w:cs="宋体"/>
                <w:b w:val="0"/>
                <w:i w:val="0"/>
                <w:iCs w:val="0"/>
                <w:color w:val="000000"/>
                <w:sz w:val="22"/>
                <w:szCs w:val="22"/>
                <w:highlight w:val="none"/>
                <w:u w:val="none"/>
                <w:lang w:val="en-US" w:eastAsia="zh-CN" w:bidi="ar"/>
              </w:rPr>
              <w:t xml:space="preserve">中期成果汇报、最终成果交付均在合同约定时限内完成，如有延期需经采购人书面同意</w:t>
            </w:r>
            <w:r>
              <w:rPr>
                <w:rFonts w:hint="eastAsia" w:ascii="宋体" w:hAnsi="宋体" w:eastAsia="宋体" w:cs="宋体"/>
                <w:b w:val="0"/>
                <w:i w:val="0"/>
                <w:iCs w:val="0"/>
                <w:color w:val="000000"/>
                <w:sz w:val="22"/>
                <w:szCs w:val="22"/>
                <w:highlight w:val="none"/>
                <w:u w:val="none"/>
              </w:rPr>
            </w:r>
            <w:r/>
          </w:p>
        </w:tc>
      </w:tr>
    </w:tbl>
    <w:p>
      <w:pPr>
        <w:pStyle w:val="1126"/>
        <w:rPr>
          <w:highlight w:val="none"/>
          <w:lang w:val="en-US" w:eastAsia="zh-CN"/>
        </w:rPr>
      </w:pPr>
      <w:r>
        <w:rPr>
          <w:highlight w:val="none"/>
          <w:lang w:val="en-US" w:eastAsia="zh-CN"/>
        </w:rPr>
      </w:r>
      <w:r/>
    </w:p>
    <w:p>
      <w:pPr>
        <w:pStyle w:val="1150"/>
        <w:ind w:left="0" w:firstLine="480"/>
        <w:keepLines w:val="0"/>
        <w:keepNext w:val="0"/>
        <w:pageBreakBefore w:val="0"/>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验收结论分为</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验收合格</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和</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验收不合格</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两种。经核查符合上述标准的，出具验收合格意见</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如存在不影响成果整体质量</w:t>
      </w:r>
      <w:r>
        <w:rPr>
          <w:rFonts w:hint="eastAsia" w:ascii="宋体" w:hAnsi="宋体" w:eastAsia="宋体" w:cs="宋体"/>
          <w:sz w:val="24"/>
          <w:szCs w:val="24"/>
          <w:highlight w:val="none"/>
          <w:lang w:val="en-US" w:eastAsia="zh-CN"/>
        </w:rPr>
        <w:t xml:space="preserve">的</w:t>
      </w:r>
      <w:r>
        <w:rPr>
          <w:rFonts w:ascii="宋体" w:hAnsi="宋体" w:eastAsia="宋体" w:cs="宋体"/>
          <w:sz w:val="24"/>
          <w:szCs w:val="24"/>
          <w:highlight w:val="none"/>
          <w:lang w:val="en-US" w:eastAsia="zh-CN"/>
        </w:rPr>
        <w:t xml:space="preserve">瑕疵（如个别数据口径需进一步核实、格式细节需调整等），供应商应在采购人指定的合理期限内修改完善后重新提交，</w:t>
      </w:r>
      <w:r>
        <w:rPr>
          <w:rFonts w:hint="eastAsia" w:ascii="宋体" w:hAnsi="宋体" w:eastAsia="宋体" w:cs="宋体"/>
          <w:sz w:val="24"/>
          <w:szCs w:val="24"/>
          <w:highlight w:val="none"/>
          <w:lang w:val="en-US" w:eastAsia="zh-CN"/>
        </w:rPr>
        <w:t xml:space="preserve">提交复合上述标准的，同样可出具验收合格意见</w:t>
      </w:r>
      <w:r>
        <w:rPr>
          <w:rFonts w:ascii="宋体" w:hAnsi="宋体" w:eastAsia="宋体" w:cs="宋体"/>
          <w:sz w:val="24"/>
          <w:szCs w:val="24"/>
          <w:highlight w:val="none"/>
          <w:lang w:val="en-US" w:eastAsia="zh-CN"/>
        </w:rPr>
        <w:t xml:space="preserve">；仅在成果存在重大遗漏、数据严重失实或研究内容与采购需求严重不符等实质性问题时，方可判定为验收不合格。</w:t>
      </w:r>
      <w:r>
        <w:rPr>
          <w:rFonts w:ascii="宋体" w:hAnsi="宋体" w:eastAsia="宋体" w:cs="宋体"/>
          <w:sz w:val="24"/>
          <w:szCs w:val="24"/>
          <w:highlight w:val="none"/>
          <w:lang w:val="en-US" w:eastAsia="zh-CN"/>
        </w:rPr>
      </w:r>
      <w:r/>
    </w:p>
    <w:p>
      <w:pPr>
        <w:pStyle w:val="1126"/>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en-US" w:eastAsia="zh-CN"/>
        </w:rPr>
        <w:t xml:space="preserve">六、</w:t>
      </w:r>
      <w:r>
        <w:rPr>
          <w:rFonts w:hint="eastAsia" w:ascii="Times New Roman" w:hAnsi="Times New Roman" w:eastAsia="宋体" w:cs="Times New Roman"/>
          <w:b/>
          <w:bCs/>
          <w:sz w:val="24"/>
          <w:highlight w:val="none"/>
        </w:rPr>
        <w:t xml:space="preserve">结算及支付方式</w:t>
      </w:r>
      <w:r>
        <w:rPr>
          <w:rFonts w:hint="eastAsia" w:ascii="Times New Roman" w:hAnsi="Times New Roman" w:eastAsia="宋体" w:cs="Times New Roman"/>
          <w:b/>
          <w:bCs/>
          <w:sz w:val="24"/>
          <w:highlight w:val="none"/>
        </w:rPr>
      </w:r>
      <w:r/>
    </w:p>
    <w:p>
      <w:pPr>
        <w:pStyle w:val="1126"/>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 xml:space="preserve">1.本项目采用固定总价报价模式，结算总金额以成交价格为准</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但不超过最高限价</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eastAsia="zh-CN"/>
        </w:rPr>
      </w:r>
      <w:r/>
    </w:p>
    <w:p>
      <w:pPr>
        <w:pStyle w:val="1126"/>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2.服务费用按项目</w:t>
      </w:r>
      <w:r>
        <w:rPr>
          <w:rFonts w:hint="eastAsia" w:ascii="Times New Roman" w:hAnsi="Times New Roman" w:eastAsia="宋体" w:cs="Times New Roman"/>
          <w:sz w:val="24"/>
          <w:highlight w:val="none"/>
          <w:lang w:val="en-US" w:eastAsia="zh-CN"/>
        </w:rPr>
        <w:t xml:space="preserve">阶段</w:t>
      </w:r>
      <w:r>
        <w:rPr>
          <w:rFonts w:hint="eastAsia" w:ascii="Times New Roman" w:hAnsi="Times New Roman" w:eastAsia="宋体" w:cs="Times New Roman"/>
          <w:sz w:val="24"/>
          <w:highlight w:val="none"/>
        </w:rPr>
        <w:t xml:space="preserve">进度分期支付，具体支付节点如下：</w:t>
      </w:r>
      <w:r>
        <w:rPr>
          <w:rFonts w:hint="eastAsia" w:ascii="Times New Roman" w:hAnsi="Times New Roman" w:eastAsia="宋体" w:cs="Times New Roman"/>
          <w:sz w:val="24"/>
          <w:highlight w:val="none"/>
        </w:rPr>
      </w:r>
      <w:r/>
    </w:p>
    <w:p>
      <w:pPr>
        <w:pStyle w:val="1126"/>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（1）合同签订后</w:t>
      </w:r>
      <w:r>
        <w:rPr>
          <w:rFonts w:hint="eastAsia" w:ascii="Times New Roman" w:hAnsi="Times New Roman" w:eastAsia="宋体" w:cs="Times New Roman"/>
          <w:sz w:val="24"/>
          <w:highlight w:val="none"/>
          <w:lang w:val="en-US" w:eastAsia="zh-CN"/>
        </w:rPr>
        <w:t xml:space="preserve">5个工作日内</w:t>
      </w:r>
      <w:r>
        <w:rPr>
          <w:rFonts w:hint="eastAsia" w:ascii="Times New Roman" w:hAnsi="Times New Roman" w:eastAsia="宋体" w:cs="Times New Roman"/>
          <w:sz w:val="24"/>
          <w:highlight w:val="none"/>
        </w:rPr>
        <w:t xml:space="preserve">，采购人支付合同总金额的</w:t>
      </w: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0%作为预付款；</w:t>
      </w:r>
      <w:r>
        <w:rPr>
          <w:rFonts w:hint="eastAsia" w:ascii="Times New Roman" w:hAnsi="Times New Roman" w:eastAsia="宋体" w:cs="Times New Roman"/>
          <w:sz w:val="24"/>
          <w:highlight w:val="none"/>
        </w:rPr>
      </w:r>
      <w:r/>
    </w:p>
    <w:p>
      <w:pPr>
        <w:pStyle w:val="1126"/>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（2）项目中期</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合同签订后第10周</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成果通过采购人审核后</w:t>
      </w:r>
      <w:r>
        <w:rPr>
          <w:rFonts w:hint="eastAsia" w:ascii="Times New Roman" w:hAnsi="Times New Roman" w:eastAsia="宋体" w:cs="Times New Roman"/>
          <w:sz w:val="24"/>
          <w:highlight w:val="none"/>
          <w:lang w:val="en-US" w:eastAsia="zh-CN"/>
        </w:rPr>
        <w:t xml:space="preserve">5个工作日内</w:t>
      </w:r>
      <w:r>
        <w:rPr>
          <w:rFonts w:hint="eastAsia" w:ascii="Times New Roman" w:hAnsi="Times New Roman" w:eastAsia="宋体" w:cs="Times New Roman"/>
          <w:sz w:val="24"/>
          <w:highlight w:val="none"/>
        </w:rPr>
        <w:t xml:space="preserve">，支付合同总金额的30%；</w:t>
      </w:r>
      <w:r>
        <w:rPr>
          <w:rFonts w:hint="eastAsia" w:ascii="Times New Roman" w:hAnsi="Times New Roman" w:eastAsia="宋体" w:cs="Times New Roman"/>
          <w:sz w:val="24"/>
          <w:highlight w:val="none"/>
        </w:rPr>
      </w:r>
      <w:r/>
    </w:p>
    <w:p>
      <w:pPr>
        <w:pStyle w:val="1126"/>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（3）项目最终成果通过专家论证及采购人验收后</w:t>
      </w:r>
      <w:r>
        <w:rPr>
          <w:rFonts w:hint="eastAsia" w:ascii="Times New Roman" w:hAnsi="Times New Roman" w:eastAsia="宋体" w:cs="Times New Roman"/>
          <w:sz w:val="24"/>
          <w:highlight w:val="none"/>
          <w:lang w:val="en-US" w:eastAsia="zh-CN"/>
        </w:rPr>
        <w:t xml:space="preserve">5个工作日内</w:t>
      </w:r>
      <w:r>
        <w:rPr>
          <w:rFonts w:hint="eastAsia" w:ascii="Times New Roman" w:hAnsi="Times New Roman" w:eastAsia="宋体" w:cs="Times New Roman"/>
          <w:sz w:val="24"/>
          <w:highlight w:val="none"/>
        </w:rPr>
        <w:t xml:space="preserve">，支付合同总金额的</w:t>
      </w:r>
      <w:r>
        <w:rPr>
          <w:rFonts w:hint="eastAsia" w:ascii="Times New Roman" w:hAnsi="Times New Roman" w:eastAsia="宋体" w:cs="Times New Roman"/>
          <w:sz w:val="24"/>
          <w:highlight w:val="none"/>
          <w:lang w:val="en-US" w:eastAsia="zh-CN"/>
        </w:rPr>
        <w:t xml:space="preserve">20</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p>
      <w:pPr>
        <w:pStyle w:val="1126"/>
        <w:numPr>
          <w:ilvl w:val="0"/>
          <w:numId w:val="0"/>
        </w:numPr>
        <w:ind w:firstLine="480"/>
        <w:keepLines w:val="0"/>
        <w:keepNext w:val="0"/>
        <w:pageBreakBefore w:val="0"/>
        <w:spacing w:line="360" w:lineRule="auto"/>
        <w:widowControl w:val="off"/>
        <w:tabs>
          <w:tab w:val="left" w:pos="10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每次支付前，供应商需向采购人提交对应金额的增值税发票及相关结算资料，采购人审核通过后按财政审批流程支付，具体支付时间以财政实际付款时间为准。</w:t>
      </w:r>
      <w:r>
        <w:rPr>
          <w:rFonts w:hint="eastAsia" w:ascii="Times New Roman" w:hAnsi="Times New Roman" w:eastAsia="宋体" w:cs="Times New Roman"/>
          <w:sz w:val="24"/>
          <w:highlight w:val="none"/>
          <w:lang w:val="en-US" w:eastAsia="zh-CN"/>
        </w:rPr>
        <w:t xml:space="preserve">采购人付款前供应商应向采购人开具符合采购人要求的增值税发票，否则采购人有权延时付款并不必缴纳违约金。</w:t>
      </w:r>
      <w:r>
        <w:rPr>
          <w:rFonts w:hint="eastAsia" w:ascii="Times New Roman" w:hAnsi="Times New Roman" w:eastAsia="宋体" w:cs="Times New Roman"/>
          <w:sz w:val="24"/>
          <w:highlight w:val="none"/>
          <w:lang w:val="en-US" w:eastAsia="zh-CN"/>
        </w:rPr>
      </w:r>
      <w:r/>
    </w:p>
    <w:p>
      <w:pPr>
        <w:pStyle w:val="1126"/>
        <w:jc w:val="center"/>
        <w:spacing w:line="360" w:lineRule="auto"/>
        <w:rPr>
          <w:b/>
          <w:color w:val="000000"/>
          <w:sz w:val="36"/>
          <w:szCs w:val="36"/>
        </w:rPr>
        <w:outlineLvl w:val="0"/>
      </w:pPr>
      <w:r>
        <w:rPr>
          <w:b/>
          <w:color w:val="000000"/>
          <w:sz w:val="36"/>
          <w:szCs w:val="36"/>
        </w:rPr>
        <w:br w:type="page" w:clear="all"/>
      </w:r>
      <w:bookmarkStart w:id="654" w:name="_Toc8742"/>
      <w:r>
        <w:rPr>
          <w:rFonts w:ascii="Times New Roman" w:hAnsi="Times New Roman" w:eastAsia="宋体" w:cs="Times New Roman"/>
          <w:b/>
          <w:color w:val="000000"/>
          <w:sz w:val="36"/>
          <w:szCs w:val="36"/>
        </w:rPr>
        <w:t xml:space="preserve">第五章   合同</w:t>
      </w:r>
      <w:r>
        <w:rPr>
          <w:rFonts w:hint="eastAsia" w:ascii="Times New Roman" w:hAnsi="Times New Roman" w:eastAsia="宋体" w:cs="Times New Roman"/>
          <w:b/>
          <w:color w:val="000000"/>
          <w:sz w:val="36"/>
          <w:szCs w:val="36"/>
        </w:rPr>
        <w:t xml:space="preserve">主要</w:t>
      </w:r>
      <w:r>
        <w:rPr>
          <w:rFonts w:ascii="Times New Roman" w:hAnsi="Times New Roman" w:eastAsia="宋体" w:cs="Times New Roman"/>
          <w:b/>
          <w:color w:val="000000"/>
          <w:sz w:val="36"/>
          <w:szCs w:val="36"/>
        </w:rPr>
        <w:t xml:space="preserve">条款</w:t>
      </w:r>
      <w:bookmarkEnd w:id="652"/>
      <w:r/>
      <w:bookmarkEnd w:id="654"/>
      <w:r>
        <w:rPr>
          <w:b/>
          <w:color w:val="000000"/>
          <w:sz w:val="36"/>
          <w:szCs w:val="36"/>
        </w:rPr>
      </w:r>
      <w:r/>
    </w:p>
    <w:p>
      <w:pPr>
        <w:pStyle w:val="1227"/>
        <w:contextualSpacing/>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26"/>
        <w:spacing w:line="360" w:lineRule="auto"/>
        <w:tabs>
          <w:tab w:val="left" w:pos="900" w:leader="none"/>
          <w:tab w:val="left" w:pos="1080" w:leader="none"/>
        </w:tabs>
        <w:rPr>
          <w:sz w:val="18"/>
          <w:szCs w:val="18"/>
          <w:highlight w:val="none"/>
        </w:rPr>
      </w:pPr>
      <w:r/>
      <w:bookmarkStart w:id="655" w:name="_Toc104818930"/>
      <w:r>
        <w:rPr>
          <w:sz w:val="18"/>
          <w:szCs w:val="18"/>
          <w:highlight w:val="none"/>
        </w:rPr>
      </w:r>
      <w:r/>
    </w:p>
    <w:p>
      <w:pPr>
        <w:pStyle w:val="1126"/>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合同编号：</w:t>
      </w:r>
      <w:r>
        <w:rPr>
          <w:rFonts w:hint="eastAsia" w:ascii="宋体" w:hAnsi="宋体" w:eastAsia="宋体" w:cs="宋体"/>
          <w:sz w:val="24"/>
          <w:szCs w:val="24"/>
          <w:highlight w:val="none"/>
        </w:rPr>
      </w:r>
      <w:r/>
    </w:p>
    <w:p>
      <w:pPr>
        <w:pStyle w:val="11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26"/>
        <w:jc w:val="center"/>
        <w:rPr>
          <w:rFonts w:ascii="宋体" w:hAnsi="宋体" w:eastAsia="宋体" w:cs="宋体"/>
          <w:sz w:val="24"/>
          <w:szCs w:val="24"/>
          <w:highlight w:val="none"/>
        </w:rPr>
      </w:pPr>
      <w:r>
        <w:rPr>
          <w:rFonts w:hint="eastAsia" w:ascii="宋体" w:hAnsi="宋体" w:cs="宋体"/>
          <w:sz w:val="24"/>
          <w:szCs w:val="24"/>
          <w:highlight w:val="none"/>
        </w:rPr>
        <w:t xml:space="preserve">常州市全域电动化标杆实践评估服务</w:t>
      </w:r>
      <w:r>
        <w:rPr>
          <w:rFonts w:ascii="宋体" w:hAnsi="宋体" w:cs="宋体"/>
          <w:sz w:val="24"/>
          <w:szCs w:val="24"/>
          <w:highlight w:val="none"/>
        </w:rPr>
        <w:t xml:space="preserve">采购</w:t>
      </w:r>
      <w:r>
        <w:rPr>
          <w:rFonts w:hint="eastAsia" w:ascii="宋体" w:hAnsi="宋体" w:cs="宋体"/>
          <w:sz w:val="24"/>
          <w:szCs w:val="24"/>
          <w:highlight w:val="none"/>
        </w:rPr>
        <w:t xml:space="preserve">项目</w:t>
      </w:r>
      <w:r>
        <w:rPr>
          <w:rFonts w:ascii="宋体" w:hAnsi="宋体" w:cs="宋体"/>
          <w:sz w:val="24"/>
          <w:szCs w:val="24"/>
          <w:highlight w:val="none"/>
        </w:rPr>
        <w:t xml:space="preserve">合同</w:t>
      </w:r>
      <w:r>
        <w:rPr>
          <w:rFonts w:ascii="宋体" w:hAnsi="宋体" w:eastAsia="宋体" w:cs="宋体"/>
          <w:sz w:val="24"/>
          <w:szCs w:val="24"/>
          <w:highlight w:val="none"/>
        </w:rPr>
      </w:r>
      <w:r/>
    </w:p>
    <w:p>
      <w:pPr>
        <w:pStyle w:val="112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2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26"/>
        <w:ind w:firstLine="432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12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2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26"/>
        <w:ind w:left="958" w:hanging="480"/>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rPr>
        <w:t xml:space="preserve">项目名称：</w:t>
      </w:r>
      <w:r>
        <w:rPr>
          <w:rFonts w:hint="eastAsia" w:ascii="宋体" w:hAnsi="宋体" w:cs="宋体"/>
          <w:sz w:val="24"/>
          <w:szCs w:val="24"/>
          <w:highlight w:val="none"/>
        </w:rPr>
        <w:t xml:space="preserve">常州市全域电动化标杆实践评估服务</w:t>
      </w:r>
      <w:r>
        <w:rPr>
          <w:rFonts w:ascii="宋体" w:hAnsi="宋体" w:cs="宋体"/>
          <w:sz w:val="24"/>
          <w:szCs w:val="24"/>
          <w:highlight w:val="none"/>
        </w:rPr>
        <w:t xml:space="preserve">采购</w:t>
      </w:r>
      <w:r>
        <w:rPr>
          <w:rFonts w:hint="eastAsia" w:ascii="宋体" w:hAnsi="宋体" w:cs="宋体"/>
          <w:sz w:val="24"/>
          <w:szCs w:val="24"/>
          <w:highlight w:val="none"/>
        </w:rPr>
        <w:t xml:space="preserve">项目</w:t>
      </w:r>
      <w:r>
        <w:rPr>
          <w:rFonts w:hint="eastAsia" w:ascii="宋体" w:hAnsi="宋体" w:eastAsia="宋体" w:cs="宋体"/>
          <w:sz w:val="24"/>
          <w:szCs w:val="24"/>
          <w:highlight w:val="none"/>
          <w:u w:val="single"/>
        </w:rPr>
      </w:r>
      <w:r/>
    </w:p>
    <w:p>
      <w:pPr>
        <w:pStyle w:val="1126"/>
        <w:ind w:left="1200" w:hanging="9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26"/>
        <w:ind w:left="958" w:hanging="480"/>
        <w:jc w:val="left"/>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委托方（甲方）：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none"/>
        </w:rPr>
      </w:r>
      <w:r/>
    </w:p>
    <w:p>
      <w:pPr>
        <w:pStyle w:val="1126"/>
        <w:ind w:left="958" w:hanging="480"/>
        <w:jc w:val="left"/>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pStyle w:val="1126"/>
        <w:ind w:left="958" w:hanging="480"/>
        <w:jc w:val="left"/>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受托方（乙方）：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none"/>
        </w:rPr>
      </w:r>
      <w:r/>
    </w:p>
    <w:p>
      <w:pPr>
        <w:pStyle w:val="1126"/>
        <w:ind w:left="958" w:hanging="480"/>
        <w:jc w:val="left"/>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pStyle w:val="1126"/>
        <w:ind w:left="958" w:hanging="480"/>
        <w:jc w:val="left"/>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签订时间：</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rPr>
        <w:t xml:space="preserve">年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rPr>
        <w:t xml:space="preserve">月                          </w:t>
      </w:r>
      <w:r>
        <w:rPr>
          <w:rFonts w:hint="eastAsia" w:ascii="宋体" w:hAnsi="宋体" w:eastAsia="宋体" w:cs="宋体"/>
          <w:sz w:val="24"/>
          <w:szCs w:val="24"/>
          <w:highlight w:val="none"/>
          <w:u w:val="none"/>
        </w:rPr>
      </w:r>
      <w:r/>
    </w:p>
    <w:p>
      <w:pPr>
        <w:pStyle w:val="1126"/>
        <w:ind w:left="958" w:hanging="480"/>
        <w:jc w:val="left"/>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pStyle w:val="1126"/>
        <w:ind w:left="958" w:hanging="480"/>
        <w:jc w:val="left"/>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签订地点：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none"/>
        </w:rPr>
      </w:r>
      <w:r/>
    </w:p>
    <w:p>
      <w:pPr>
        <w:pStyle w:val="1126"/>
        <w:ind w:left="958" w:hanging="480"/>
        <w:jc w:val="left"/>
        <w:rPr>
          <w:rFonts w:hint="eastAsia" w:ascii="宋体" w:hAnsi="宋体" w:eastAsia="宋体" w:cs="宋体"/>
          <w:sz w:val="24"/>
          <w:szCs w:val="24"/>
          <w:highlight w:val="none"/>
          <w:u w:val="none"/>
        </w:rPr>
        <w:sectPr>
          <w:headerReference w:type="default" r:id="rId12"/>
          <w:footnotePr/>
          <w:endnotePr/>
          <w:type w:val="nextPage"/>
          <w:pgSz w:w="11906" w:h="16838" w:orient="portrait"/>
          <w:pgMar w:top="1418" w:right="1418" w:bottom="1418" w:left="1418" w:header="851" w:footer="992" w:gutter="0"/>
          <w:pgNumType w:start="1"/>
          <w:cols w:num="1" w:sep="0" w:space="1701" w:equalWidth="1"/>
          <w:docGrid w:linePitch="360"/>
        </w:sectPr>
      </w:pPr>
      <w:r>
        <w:rPr>
          <w:rFonts w:hint="eastAsia" w:ascii="宋体" w:hAnsi="宋体" w:eastAsia="宋体" w:cs="宋体"/>
          <w:sz w:val="24"/>
          <w:szCs w:val="24"/>
          <w:highlight w:val="none"/>
          <w:u w:val="none"/>
        </w:rPr>
      </w:r>
      <w:r/>
    </w:p>
    <w:p>
      <w:pPr>
        <w:pStyle w:val="112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根据《中华人民共和国民法典》《中华人民共和国政府采购法》，甲方委托乙方根据国家、地区及行业的有关政策、法规及规范要求，按时向甲方提交服务成果，甲乙双方经协商一致，签订如下合同：</w:t>
      </w:r>
      <w:r>
        <w:rPr>
          <w:rFonts w:hint="eastAsia" w:ascii="宋体" w:hAnsi="宋体" w:eastAsia="宋体" w:cs="宋体"/>
          <w:sz w:val="24"/>
          <w:szCs w:val="24"/>
          <w:highlight w:val="none"/>
        </w:rPr>
      </w:r>
      <w:r/>
    </w:p>
    <w:p>
      <w:pPr>
        <w:pStyle w:val="1126"/>
        <w:ind w:firstLine="560"/>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b/>
          <w:bCs/>
          <w:sz w:val="24"/>
          <w:szCs w:val="24"/>
          <w:highlight w:val="none"/>
        </w:rPr>
        <w:t xml:space="preserve">一、服务内容</w:t>
      </w:r>
      <w:r>
        <w:rPr>
          <w:rFonts w:hint="eastAsia" w:ascii="宋体" w:hAnsi="宋体" w:eastAsia="宋体" w:cs="宋体"/>
          <w:sz w:val="24"/>
          <w:szCs w:val="24"/>
          <w:highlight w:val="none"/>
        </w:rPr>
      </w:r>
      <w:r/>
    </w:p>
    <w:p>
      <w:pPr>
        <w:pStyle w:val="1126"/>
        <w:ind w:firstLine="480"/>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乙方为甲方提供如下服务：</w:t>
      </w:r>
      <w:r>
        <w:rPr>
          <w:rFonts w:hint="eastAsia" w:ascii="宋体" w:hAnsi="宋体" w:eastAsia="宋体" w:cs="宋体"/>
          <w:sz w:val="24"/>
          <w:szCs w:val="24"/>
          <w:highlight w:val="none"/>
        </w:rPr>
      </w:r>
      <w:r/>
    </w:p>
    <w:p>
      <w:pPr>
        <w:pStyle w:val="1126"/>
        <w:ind w:right="0" w:firstLine="480"/>
        <w:keepLines w:val="0"/>
        <w:keepNext w:val="0"/>
        <w:pageBreakBefore w:val="0"/>
        <w:spacing w:line="360" w:lineRule="auto"/>
        <w:widowControl w:val="off"/>
        <w:rPr>
          <w:rFonts w:ascii="宋体" w:hAnsi="宋体" w:cs="宋体"/>
          <w:spacing w:val="4"/>
          <w:sz w:val="24"/>
          <w:szCs w:val="24"/>
          <w:highlight w:val="none"/>
        </w:rPr>
        <w:outlineLvl w:val="1"/>
      </w:pPr>
      <w:r>
        <w:rPr>
          <w:rFonts w:ascii="宋体" w:hAnsi="宋体" w:eastAsia="宋体" w:cs="宋体"/>
          <w:sz w:val="24"/>
          <w:szCs w:val="24"/>
          <w:highlight w:val="none"/>
        </w:rPr>
        <w:t xml:space="preserve">在合同约定服务期限内，按照采购文件及甲方要求完成常州市全域电动化标杆实践评估全流程工作，</w:t>
      </w:r>
      <w:r>
        <w:rPr>
          <w:rFonts w:hint="eastAsia" w:ascii="Times New Roman" w:hAnsi="Times New Roman" w:eastAsia="宋体" w:cs="Times New Roman"/>
          <w:sz w:val="24"/>
          <w:highlight w:val="none"/>
        </w:rPr>
        <w:t xml:space="preserve">以“全域电动化”为主线，系统开展常州市全域电动化产业生态摸底与城市发展指数构建评估、碳排放双控约束下的产业升级路径评估，以及全域电动化标杆实践城市建设和推广评估</w:t>
      </w:r>
      <w:r>
        <w:rPr>
          <w:rFonts w:ascii="宋体" w:hAnsi="宋体" w:eastAsia="宋体" w:cs="宋体"/>
          <w:sz w:val="24"/>
          <w:szCs w:val="24"/>
          <w:highlight w:val="none"/>
        </w:rPr>
        <w:t xml:space="preserve">及配套支撑服务，交付完整全套评估成果，并对报告全部数据、分析结论、对策建议的科学性、真实性、合规性全权负责。</w:t>
      </w:r>
      <w:r>
        <w:rPr>
          <w:rFonts w:ascii="宋体" w:hAnsi="宋体" w:cs="宋体"/>
          <w:spacing w:val="4"/>
          <w:sz w:val="24"/>
          <w:szCs w:val="24"/>
          <w:highlight w:val="none"/>
        </w:rPr>
      </w:r>
      <w:r/>
    </w:p>
    <w:p>
      <w:pPr>
        <w:pStyle w:val="1126"/>
        <w:ind w:firstLine="560"/>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b/>
          <w:bCs/>
          <w:sz w:val="24"/>
          <w:szCs w:val="24"/>
          <w:highlight w:val="none"/>
        </w:rPr>
        <w:t xml:space="preserve">二、服务期限</w:t>
      </w:r>
      <w:r>
        <w:rPr>
          <w:rFonts w:hint="eastAsia" w:ascii="宋体" w:hAnsi="宋体" w:eastAsia="宋体" w:cs="宋体"/>
          <w:sz w:val="24"/>
          <w:szCs w:val="24"/>
          <w:highlight w:val="none"/>
        </w:rPr>
      </w:r>
      <w:r/>
    </w:p>
    <w:p>
      <w:pPr>
        <w:pStyle w:val="1126"/>
        <w:ind w:firstLine="560"/>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日，服务期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126"/>
        <w:ind w:firstLine="560"/>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b/>
          <w:bCs/>
          <w:sz w:val="24"/>
          <w:szCs w:val="24"/>
          <w:highlight w:val="none"/>
        </w:rPr>
        <w:t xml:space="preserve">三、服务方式</w:t>
      </w:r>
      <w:r>
        <w:rPr>
          <w:rFonts w:hint="eastAsia" w:ascii="宋体" w:hAnsi="宋体" w:eastAsia="宋体" w:cs="宋体"/>
          <w:sz w:val="24"/>
          <w:szCs w:val="24"/>
          <w:highlight w:val="none"/>
        </w:rPr>
      </w:r>
      <w:r/>
    </w:p>
    <w:p>
      <w:pPr>
        <w:pStyle w:val="1126"/>
        <w:numPr>
          <w:ilvl w:val="0"/>
          <w:numId w:val="0"/>
        </w:numPr>
        <w:ind w:right="0" w:firstLine="560"/>
        <w:keepLines w:val="0"/>
        <w:keepNext w:val="0"/>
        <w:pageBreakBefore w:val="0"/>
        <w:spacing w:line="360" w:lineRule="auto"/>
        <w:widowControl w:val="off"/>
        <w:rPr>
          <w:rFonts w:ascii="宋体" w:hAnsi="宋体" w:eastAsia="宋体" w:cs="宋体"/>
          <w:sz w:val="24"/>
          <w:szCs w:val="24"/>
          <w:highlight w:val="none"/>
        </w:rPr>
        <w:outlineLvl w:val="1"/>
      </w:pPr>
      <w:r>
        <w:rPr>
          <w:rFonts w:ascii="宋体" w:hAnsi="宋体" w:cs="宋体"/>
          <w:sz w:val="24"/>
          <w:szCs w:val="24"/>
          <w:highlight w:val="none"/>
        </w:rPr>
        <w:t xml:space="preserve">甲乙双方就</w:t>
      </w:r>
      <w:r>
        <w:rPr>
          <w:rFonts w:hint="eastAsia" w:ascii="宋体" w:hAnsi="宋体" w:cs="宋体"/>
          <w:sz w:val="24"/>
          <w:szCs w:val="24"/>
          <w:highlight w:val="none"/>
          <w:lang w:val="en-US" w:eastAsia="zh-CN"/>
        </w:rPr>
        <w:t xml:space="preserve">评估</w:t>
      </w:r>
      <w:r>
        <w:rPr>
          <w:rFonts w:ascii="宋体" w:hAnsi="宋体" w:cs="宋体"/>
          <w:sz w:val="24"/>
          <w:szCs w:val="24"/>
          <w:highlight w:val="none"/>
        </w:rPr>
        <w:t xml:space="preserve">服务约定如下：</w:t>
      </w:r>
      <w:r>
        <w:rPr>
          <w:rFonts w:ascii="宋体" w:hAnsi="宋体" w:eastAsia="宋体" w:cs="宋体"/>
          <w:sz w:val="24"/>
          <w:szCs w:val="24"/>
          <w:highlight w:val="none"/>
        </w:rPr>
      </w:r>
      <w:r/>
    </w:p>
    <w:p>
      <w:pPr>
        <w:pStyle w:val="1126"/>
        <w:numPr>
          <w:ilvl w:val="0"/>
          <w:numId w:val="13"/>
        </w:numPr>
        <w:ind w:right="0" w:firstLine="560"/>
        <w:keepLines w:val="0"/>
        <w:keepNext w:val="0"/>
        <w:pageBreakBefore w:val="0"/>
        <w:spacing w:line="360" w:lineRule="auto"/>
        <w:widowControl w:val="off"/>
        <w:rPr>
          <w:rFonts w:ascii="宋体" w:hAnsi="宋体" w:cs="宋体"/>
          <w:sz w:val="24"/>
          <w:szCs w:val="24"/>
          <w:highlight w:val="none"/>
        </w:rPr>
        <w:outlineLvl w:val="1"/>
      </w:pPr>
      <w:r>
        <w:rPr>
          <w:rFonts w:ascii="宋体" w:hAnsi="宋体" w:eastAsia="宋体" w:cs="宋体"/>
          <w:sz w:val="24"/>
          <w:szCs w:val="24"/>
          <w:highlight w:val="none"/>
        </w:rPr>
        <w:t xml:space="preserve">甲方统筹协调全市各部门、园区、企业配合乙方调研，提供现有产业、能源、碳达峰、新型电力系统相关政策、统计、试点资料；乙方严格按照国家“双碳”政策、新型电力系统建设相关文件、江苏省及常州市新能源产业发展规划要求，组建专业研究团队、组织多轮实地调研与专家论证，按期完成全部评估工作并交付标准化全套成果。</w:t>
      </w:r>
      <w:r>
        <w:rPr>
          <w:rFonts w:ascii="宋体" w:hAnsi="宋体" w:cs="宋体"/>
          <w:sz w:val="24"/>
          <w:szCs w:val="24"/>
          <w:highlight w:val="none"/>
        </w:rPr>
      </w:r>
      <w:r/>
    </w:p>
    <w:p>
      <w:pPr>
        <w:pStyle w:val="1126"/>
        <w:numPr>
          <w:ilvl w:val="0"/>
          <w:numId w:val="13"/>
        </w:numPr>
        <w:ind w:right="0" w:firstLine="560"/>
        <w:keepLines w:val="0"/>
        <w:keepNext w:val="0"/>
        <w:pageBreakBefore w:val="0"/>
        <w:spacing w:line="360" w:lineRule="auto"/>
        <w:widowControl w:val="off"/>
        <w:rPr>
          <w:rFonts w:ascii="宋体" w:hAnsi="宋体" w:cs="宋体"/>
          <w:sz w:val="24"/>
          <w:szCs w:val="24"/>
          <w:highlight w:val="none"/>
        </w:rPr>
        <w:outlineLvl w:val="1"/>
      </w:pPr>
      <w:r>
        <w:rPr>
          <w:rFonts w:hint="eastAsia" w:ascii="宋体" w:hAnsi="宋体" w:cs="宋体"/>
          <w:sz w:val="24"/>
          <w:szCs w:val="24"/>
          <w:highlight w:val="none"/>
          <w:lang w:val="en-US" w:eastAsia="zh-CN"/>
        </w:rPr>
        <w:t xml:space="preserve">乙方提供常州市</w:t>
      </w:r>
      <w:r>
        <w:rPr>
          <w:rFonts w:hint="eastAsia" w:ascii="宋体" w:hAnsi="宋体" w:cs="宋体"/>
          <w:sz w:val="24"/>
          <w:szCs w:val="24"/>
          <w:highlight w:val="none"/>
          <w:u w:val="none"/>
        </w:rPr>
        <w:t xml:space="preserve">全域电动化标杆实践评估服务</w:t>
      </w:r>
      <w:r>
        <w:rPr>
          <w:rFonts w:hint="eastAsia" w:ascii="宋体" w:hAnsi="宋体" w:cs="宋体"/>
          <w:sz w:val="24"/>
          <w:szCs w:val="24"/>
          <w:highlight w:val="none"/>
          <w:u w:val="none"/>
          <w:lang w:eastAsia="zh-CN"/>
        </w:rPr>
        <w:t xml:space="preserve">，甲方按合同总价人民币________元整（¥________元，含</w:t>
      </w:r>
      <w:r>
        <w:rPr>
          <w:rFonts w:hint="eastAsia" w:ascii="宋体" w:hAnsi="宋体" w:cs="宋体"/>
          <w:sz w:val="24"/>
          <w:szCs w:val="24"/>
          <w:highlight w:val="none"/>
          <w:u w:val="none"/>
          <w:lang w:val="en-US" w:eastAsia="zh-CN"/>
        </w:rPr>
        <w:t xml:space="preserve">税率</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w:t>
      </w:r>
      <w:r>
        <w:rPr>
          <w:rFonts w:hint="eastAsia" w:ascii="宋体" w:hAnsi="宋体" w:cs="宋体"/>
          <w:sz w:val="24"/>
          <w:szCs w:val="24"/>
          <w:highlight w:val="none"/>
          <w:u w:val="none"/>
          <w:lang w:eastAsia="zh-CN"/>
        </w:rPr>
        <w:t xml:space="preserve">）支付服务费用</w:t>
      </w:r>
      <w:r>
        <w:rPr>
          <w:rFonts w:hint="eastAsia" w:ascii="宋体" w:hAnsi="宋体" w:cs="宋体"/>
          <w:sz w:val="24"/>
          <w:szCs w:val="24"/>
          <w:highlight w:val="none"/>
        </w:rPr>
        <w:t xml:space="preserve">。</w:t>
      </w:r>
      <w:r>
        <w:rPr>
          <w:rFonts w:ascii="宋体" w:hAnsi="宋体" w:cs="宋体"/>
          <w:sz w:val="24"/>
          <w:szCs w:val="24"/>
          <w:highlight w:val="none"/>
        </w:rPr>
      </w:r>
      <w:r/>
    </w:p>
    <w:p>
      <w:pPr>
        <w:pStyle w:val="1126"/>
        <w:ind w:firstLine="560"/>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评估</w:t>
      </w:r>
      <w:r>
        <w:rPr>
          <w:rFonts w:hint="eastAsia" w:ascii="宋体" w:hAnsi="宋体" w:eastAsia="宋体" w:cs="宋体"/>
          <w:sz w:val="24"/>
          <w:szCs w:val="24"/>
          <w:highlight w:val="none"/>
        </w:rPr>
        <w:t xml:space="preserve">工作质量要求按照国家规范及质量控制要求执行。</w:t>
      </w:r>
      <w:r>
        <w:rPr>
          <w:rFonts w:hint="eastAsia" w:ascii="宋体" w:hAnsi="宋体" w:eastAsia="宋体" w:cs="宋体"/>
          <w:sz w:val="24"/>
          <w:szCs w:val="24"/>
          <w:highlight w:val="none"/>
        </w:rPr>
      </w:r>
      <w:r/>
    </w:p>
    <w:p>
      <w:pPr>
        <w:pStyle w:val="1126"/>
        <w:ind w:firstLine="560"/>
        <w:keepLines w:val="0"/>
        <w:keepNext w:val="0"/>
        <w:pageBreakBefore w:val="0"/>
        <w:spacing w:line="360" w:lineRule="auto"/>
        <w:widowControl w:val="off"/>
        <w:rPr>
          <w:rFonts w:ascii="宋体" w:hAnsi="宋体" w:eastAsia="宋体" w:cs="宋体"/>
          <w:sz w:val="24"/>
          <w:szCs w:val="24"/>
          <w:highlight w:val="none"/>
          <w:lang w:val="en-US" w:eastAsia="zh-CN"/>
        </w:rPr>
        <w:outlineLvl w:val="1"/>
      </w:pPr>
      <w:r>
        <w:rPr>
          <w:rFonts w:hint="eastAsia" w:ascii="宋体" w:hAnsi="宋体" w:eastAsia="宋体" w:cs="宋体"/>
          <w:b/>
          <w:bCs/>
          <w:sz w:val="24"/>
          <w:szCs w:val="24"/>
          <w:highlight w:val="none"/>
        </w:rPr>
        <w:t xml:space="preserve">四、</w:t>
      </w:r>
      <w:r>
        <w:rPr>
          <w:rFonts w:hint="eastAsia" w:ascii="宋体" w:hAnsi="宋体" w:eastAsia="宋体" w:cs="宋体"/>
          <w:b/>
          <w:bCs/>
          <w:sz w:val="24"/>
          <w:szCs w:val="24"/>
          <w:highlight w:val="none"/>
          <w:lang w:val="en-US" w:eastAsia="zh-CN"/>
        </w:rPr>
        <w:t xml:space="preserve">结算和</w:t>
      </w:r>
      <w:r>
        <w:rPr>
          <w:rFonts w:hint="eastAsia" w:ascii="宋体" w:hAnsi="宋体" w:eastAsia="宋体" w:cs="宋体"/>
          <w:b/>
          <w:bCs/>
          <w:sz w:val="24"/>
          <w:szCs w:val="24"/>
          <w:highlight w:val="none"/>
        </w:rPr>
        <w:t xml:space="preserve">付款方式</w:t>
      </w:r>
      <w:r>
        <w:rPr>
          <w:rFonts w:hint="eastAsia" w:ascii="宋体" w:hAnsi="宋体" w:eastAsia="宋体" w:cs="宋体"/>
          <w:b/>
          <w:bCs/>
          <w:sz w:val="24"/>
          <w:szCs w:val="24"/>
          <w:highlight w:val="none"/>
          <w:lang w:val="en-US" w:eastAsia="zh-CN"/>
        </w:rPr>
        <w:t xml:space="preserve">   </w:t>
      </w:r>
      <w:r>
        <w:rPr>
          <w:rFonts w:ascii="宋体" w:hAnsi="宋体" w:eastAsia="宋体" w:cs="宋体"/>
          <w:sz w:val="24"/>
          <w:szCs w:val="24"/>
          <w:highlight w:val="none"/>
          <w:lang w:val="en-US" w:eastAsia="zh-CN"/>
        </w:rPr>
      </w:r>
      <w:r/>
    </w:p>
    <w:p>
      <w:pPr>
        <w:pStyle w:val="1126"/>
        <w:numPr>
          <w:ilvl w:val="0"/>
          <w:numId w:val="0"/>
        </w:numPr>
        <w:ind w:right="0" w:firstLine="560"/>
        <w:keepLines w:val="0"/>
        <w:keepNext w:val="0"/>
        <w:pageBreakBefore w:val="0"/>
        <w:spacing w:line="360" w:lineRule="auto"/>
        <w:widowControl w:val="off"/>
        <w:rPr>
          <w:rFonts w:ascii="宋体" w:hAnsi="宋体" w:eastAsia="宋体" w:cs="宋体"/>
          <w:sz w:val="24"/>
          <w:szCs w:val="24"/>
          <w:highlight w:val="none"/>
          <w:lang w:val="en-US" w:eastAsia="zh-CN"/>
        </w:rPr>
        <w:outlineLvl w:val="1"/>
      </w:pPr>
      <w:r>
        <w:rPr>
          <w:rFonts w:ascii="宋体" w:hAnsi="宋体" w:eastAsia="宋体" w:cs="宋体"/>
          <w:sz w:val="24"/>
          <w:szCs w:val="24"/>
          <w:highlight w:val="none"/>
          <w:lang w:val="en-US" w:eastAsia="zh-CN"/>
        </w:rPr>
        <w:t xml:space="preserve">1</w:t>
      </w:r>
      <w:r>
        <w:rPr>
          <w:rFonts w:ascii="宋体" w:hAnsi="宋体" w:cs="宋体"/>
          <w:sz w:val="24"/>
          <w:szCs w:val="24"/>
          <w:highlight w:val="none"/>
          <w:lang w:val="en-US" w:eastAsia="zh-CN"/>
        </w:rPr>
        <w:t xml:space="preserve">、结算方式</w:t>
      </w:r>
      <w:r>
        <w:rPr>
          <w:rFonts w:ascii="宋体" w:hAnsi="宋体" w:eastAsia="宋体" w:cs="宋体"/>
          <w:sz w:val="24"/>
          <w:szCs w:val="24"/>
          <w:highlight w:val="none"/>
          <w:lang w:val="en-US" w:eastAsia="zh-CN"/>
        </w:rPr>
      </w:r>
      <w:r/>
    </w:p>
    <w:p>
      <w:pPr>
        <w:pStyle w:val="1126"/>
        <w:numPr>
          <w:ilvl w:val="0"/>
          <w:numId w:val="0"/>
        </w:numPr>
        <w:ind w:right="0" w:firstLine="560"/>
        <w:keepLines w:val="0"/>
        <w:keepNext w:val="0"/>
        <w:pageBreakBefore w:val="0"/>
        <w:spacing w:line="360" w:lineRule="auto"/>
        <w:widowControl w:val="off"/>
        <w:rPr>
          <w:rFonts w:hint="eastAsia" w:ascii="Times New Roman" w:hAnsi="Times New Roman" w:eastAsia="宋体" w:cs="Times New Roman"/>
          <w:b w:val="0"/>
          <w:bCs w:val="0"/>
          <w:sz w:val="24"/>
          <w:highlight w:val="none"/>
          <w:lang w:val="en-US" w:eastAsia="zh-CN"/>
        </w:rPr>
        <w:outlineLvl w:val="1"/>
      </w:pPr>
      <w:r>
        <w:rPr>
          <w:rFonts w:hint="eastAsia" w:ascii="Times New Roman" w:hAnsi="Times New Roman" w:eastAsia="宋体" w:cs="Times New Roman"/>
          <w:b w:val="0"/>
          <w:bCs w:val="0"/>
          <w:sz w:val="24"/>
          <w:highlight w:val="none"/>
          <w:lang w:val="en-US" w:eastAsia="zh-CN"/>
        </w:rPr>
        <w:t xml:space="preserve">本项目采用固定总价结算，合同总价</w:t>
      </w:r>
      <w:r>
        <w:rPr>
          <w:rFonts w:hint="eastAsia" w:cs="Times New Roman"/>
          <w:b w:val="0"/>
          <w:bCs w:val="0"/>
          <w:sz w:val="24"/>
          <w:highlight w:val="none"/>
          <w:lang w:val="en-US" w:eastAsia="zh-CN"/>
        </w:rPr>
        <w:t xml:space="preserve">包含调研、专家费、差旅费、税费等成本费用</w:t>
      </w:r>
      <w:r>
        <w:rPr>
          <w:rFonts w:hint="eastAsia" w:ascii="Times New Roman" w:hAnsi="Times New Roman" w:eastAsia="宋体" w:cs="Times New Roman"/>
          <w:b w:val="0"/>
          <w:bCs w:val="0"/>
          <w:sz w:val="24"/>
          <w:highlight w:val="none"/>
          <w:lang w:val="en-US" w:eastAsia="zh-CN"/>
        </w:rPr>
        <w:t xml:space="preserve">。</w:t>
      </w:r>
      <w:r>
        <w:rPr>
          <w:rFonts w:hint="eastAsia" w:ascii="Times New Roman" w:hAnsi="Times New Roman" w:eastAsia="宋体" w:cs="Times New Roman"/>
          <w:b w:val="0"/>
          <w:bCs w:val="0"/>
          <w:sz w:val="24"/>
          <w:highlight w:val="none"/>
          <w:lang w:val="en-US" w:eastAsia="zh-CN"/>
        </w:rPr>
      </w:r>
      <w:r/>
    </w:p>
    <w:p>
      <w:pPr>
        <w:pStyle w:val="1126"/>
        <w:numPr>
          <w:ilvl w:val="0"/>
          <w:numId w:val="0"/>
        </w:numPr>
        <w:ind w:right="0" w:firstLine="560"/>
        <w:keepLines w:val="0"/>
        <w:keepNext w:val="0"/>
        <w:pageBreakBefore w:val="0"/>
        <w:spacing w:line="360" w:lineRule="auto"/>
        <w:widowControl w:val="off"/>
        <w:rPr>
          <w:rFonts w:hint="eastAsia" w:ascii="Times New Roman" w:hAnsi="Times New Roman" w:eastAsia="宋体" w:cs="Times New Roman"/>
          <w:b w:val="0"/>
          <w:bCs w:val="0"/>
          <w:sz w:val="24"/>
          <w:highlight w:val="none"/>
          <w:lang w:val="en-US" w:eastAsia="zh-CN"/>
        </w:rPr>
        <w:outlineLvl w:val="1"/>
      </w:pPr>
      <w:r>
        <w:rPr>
          <w:rFonts w:hint="eastAsia" w:cs="Times New Roman"/>
          <w:b w:val="0"/>
          <w:bCs w:val="0"/>
          <w:sz w:val="24"/>
          <w:highlight w:val="none"/>
          <w:lang w:val="en-US" w:eastAsia="zh-CN"/>
        </w:rPr>
        <w:t xml:space="preserve">2、</w:t>
      </w:r>
      <w:r>
        <w:rPr>
          <w:rFonts w:hint="eastAsia" w:ascii="Times New Roman" w:hAnsi="Times New Roman" w:eastAsia="宋体" w:cs="Times New Roman"/>
          <w:b w:val="0"/>
          <w:bCs w:val="0"/>
          <w:sz w:val="24"/>
          <w:highlight w:val="none"/>
          <w:lang w:val="en-US" w:eastAsia="zh-CN"/>
        </w:rPr>
        <w:t xml:space="preserve">服务费分阶段支付</w:t>
      </w:r>
      <w:r>
        <w:rPr>
          <w:rFonts w:hint="eastAsia" w:ascii="Times New Roman" w:hAnsi="Times New Roman" w:eastAsia="宋体" w:cs="Times New Roman"/>
          <w:b w:val="0"/>
          <w:bCs w:val="0"/>
          <w:sz w:val="24"/>
          <w:highlight w:val="none"/>
          <w:lang w:val="en-US" w:eastAsia="zh-CN"/>
        </w:rPr>
      </w:r>
      <w:r/>
    </w:p>
    <w:p>
      <w:pPr>
        <w:pStyle w:val="1126"/>
        <w:numPr>
          <w:ilvl w:val="0"/>
          <w:numId w:val="0"/>
        </w:numPr>
        <w:ind w:right="0" w:firstLine="560"/>
        <w:keepLines w:val="0"/>
        <w:keepNext w:val="0"/>
        <w:pageBreakBefore w:val="0"/>
        <w:spacing w:line="360" w:lineRule="auto"/>
        <w:widowControl w:val="off"/>
        <w:rPr>
          <w:rFonts w:hint="eastAsia" w:ascii="Times New Roman" w:hAnsi="Times New Roman" w:eastAsia="宋体" w:cs="Times New Roman"/>
          <w:b w:val="0"/>
          <w:bCs w:val="0"/>
          <w:sz w:val="24"/>
          <w:highlight w:val="none"/>
          <w:lang w:val="en-US" w:eastAsia="zh-CN"/>
        </w:rPr>
        <w:outlineLvl w:val="1"/>
      </w:pPr>
      <w:r>
        <w:rPr>
          <w:rFonts w:hint="eastAsia" w:ascii="Times New Roman" w:hAnsi="Times New Roman" w:eastAsia="宋体" w:cs="Times New Roman"/>
          <w:b w:val="0"/>
          <w:bCs w:val="0"/>
          <w:sz w:val="24"/>
          <w:highlight w:val="none"/>
          <w:lang w:val="en-US" w:eastAsia="zh-CN"/>
        </w:rPr>
        <w:t xml:space="preserve">（1）合同签订后5个工作日内，采购人支付合同总金额的50%作为预付款；</w:t>
      </w:r>
      <w:r>
        <w:rPr>
          <w:rFonts w:hint="eastAsia" w:ascii="Times New Roman" w:hAnsi="Times New Roman" w:eastAsia="宋体" w:cs="Times New Roman"/>
          <w:b w:val="0"/>
          <w:bCs w:val="0"/>
          <w:sz w:val="24"/>
          <w:highlight w:val="none"/>
          <w:lang w:val="en-US" w:eastAsia="zh-CN"/>
        </w:rPr>
      </w:r>
      <w:r/>
    </w:p>
    <w:p>
      <w:pPr>
        <w:pStyle w:val="1126"/>
        <w:numPr>
          <w:ilvl w:val="0"/>
          <w:numId w:val="0"/>
        </w:numPr>
        <w:ind w:right="0" w:firstLine="560"/>
        <w:keepLines w:val="0"/>
        <w:keepNext w:val="0"/>
        <w:pageBreakBefore w:val="0"/>
        <w:spacing w:line="360" w:lineRule="auto"/>
        <w:widowControl w:val="off"/>
        <w:rPr>
          <w:rFonts w:hint="eastAsia" w:ascii="Times New Roman" w:hAnsi="Times New Roman" w:eastAsia="宋体" w:cs="Times New Roman"/>
          <w:b w:val="0"/>
          <w:bCs w:val="0"/>
          <w:sz w:val="24"/>
          <w:highlight w:val="none"/>
          <w:lang w:val="en-US" w:eastAsia="zh-CN"/>
        </w:rPr>
        <w:outlineLvl w:val="1"/>
      </w:pPr>
      <w:r>
        <w:rPr>
          <w:rFonts w:hint="eastAsia" w:ascii="Times New Roman" w:hAnsi="Times New Roman" w:eastAsia="宋体" w:cs="Times New Roman"/>
          <w:b w:val="0"/>
          <w:bCs w:val="0"/>
          <w:sz w:val="24"/>
          <w:highlight w:val="none"/>
          <w:lang w:val="en-US" w:eastAsia="zh-CN"/>
        </w:rPr>
        <w:t xml:space="preserve">（2）项目中期成果（合同刚签订日后第10周）通过采购人审核后</w:t>
      </w:r>
      <w:r>
        <w:rPr>
          <w:rFonts w:hint="eastAsia" w:ascii="Times New Roman" w:hAnsi="Times New Roman" w:eastAsia="宋体" w:cs="Times New Roman"/>
          <w:b w:val="0"/>
          <w:bCs w:val="0"/>
          <w:sz w:val="24"/>
          <w:highlight w:val="none"/>
          <w:lang w:val="en-US" w:eastAsia="zh-CN"/>
        </w:rPr>
        <w:t xml:space="preserve">5个工作日内</w:t>
      </w:r>
      <w:r>
        <w:rPr>
          <w:rFonts w:hint="eastAsia" w:ascii="Times New Roman" w:hAnsi="Times New Roman" w:eastAsia="宋体" w:cs="Times New Roman"/>
          <w:b w:val="0"/>
          <w:bCs w:val="0"/>
          <w:sz w:val="24"/>
          <w:highlight w:val="none"/>
          <w:lang w:val="en-US" w:eastAsia="zh-CN"/>
        </w:rPr>
        <w:t xml:space="preserve">，支付合同总金额的30%；</w:t>
      </w:r>
      <w:r>
        <w:rPr>
          <w:rFonts w:hint="eastAsia" w:ascii="Times New Roman" w:hAnsi="Times New Roman" w:eastAsia="宋体" w:cs="Times New Roman"/>
          <w:b w:val="0"/>
          <w:bCs w:val="0"/>
          <w:sz w:val="24"/>
          <w:highlight w:val="none"/>
          <w:lang w:val="en-US" w:eastAsia="zh-CN"/>
        </w:rPr>
      </w:r>
      <w:r/>
    </w:p>
    <w:p>
      <w:pPr>
        <w:pStyle w:val="1126"/>
        <w:numPr>
          <w:ilvl w:val="0"/>
          <w:numId w:val="0"/>
        </w:numPr>
        <w:ind w:right="0" w:firstLine="560"/>
        <w:keepLines w:val="0"/>
        <w:keepNext w:val="0"/>
        <w:pageBreakBefore w:val="0"/>
        <w:spacing w:line="360" w:lineRule="auto"/>
        <w:widowControl w:val="off"/>
        <w:rPr>
          <w:rFonts w:hint="eastAsia" w:ascii="Times New Roman" w:hAnsi="Times New Roman" w:eastAsia="宋体" w:cs="Times New Roman"/>
          <w:b w:val="0"/>
          <w:bCs w:val="0"/>
          <w:sz w:val="24"/>
          <w:highlight w:val="none"/>
          <w:lang w:val="en-US" w:eastAsia="zh-CN"/>
        </w:rPr>
        <w:outlineLvl w:val="1"/>
      </w:pPr>
      <w:r>
        <w:rPr>
          <w:rFonts w:hint="eastAsia" w:ascii="Times New Roman" w:hAnsi="Times New Roman" w:eastAsia="宋体" w:cs="Times New Roman"/>
          <w:b w:val="0"/>
          <w:bCs w:val="0"/>
          <w:sz w:val="24"/>
          <w:highlight w:val="none"/>
          <w:lang w:val="en-US" w:eastAsia="zh-CN"/>
        </w:rPr>
        <w:t xml:space="preserve">（3）项目最终成果通过专家论证及采购人验收后</w:t>
      </w:r>
      <w:r>
        <w:rPr>
          <w:rFonts w:hint="eastAsia" w:ascii="Times New Roman" w:hAnsi="Times New Roman" w:eastAsia="宋体" w:cs="Times New Roman"/>
          <w:b w:val="0"/>
          <w:bCs w:val="0"/>
          <w:sz w:val="24"/>
          <w:highlight w:val="none"/>
          <w:lang w:val="en-US" w:eastAsia="zh-CN"/>
        </w:rPr>
        <w:t xml:space="preserve">5个工作日内</w:t>
      </w:r>
      <w:r>
        <w:rPr>
          <w:rFonts w:hint="eastAsia" w:ascii="Times New Roman" w:hAnsi="Times New Roman" w:eastAsia="宋体" w:cs="Times New Roman"/>
          <w:b w:val="0"/>
          <w:bCs w:val="0"/>
          <w:sz w:val="24"/>
          <w:highlight w:val="none"/>
          <w:lang w:val="en-US" w:eastAsia="zh-CN"/>
        </w:rPr>
        <w:t xml:space="preserve">，支付合同总金额的20%；</w:t>
      </w:r>
      <w:r>
        <w:rPr>
          <w:rFonts w:hint="eastAsia" w:ascii="Times New Roman" w:hAnsi="Times New Roman" w:eastAsia="宋体" w:cs="Times New Roman"/>
          <w:b w:val="0"/>
          <w:bCs w:val="0"/>
          <w:sz w:val="24"/>
          <w:highlight w:val="none"/>
          <w:lang w:val="en-US" w:eastAsia="zh-CN"/>
        </w:rPr>
      </w:r>
      <w:r/>
    </w:p>
    <w:p>
      <w:pPr>
        <w:pStyle w:val="1126"/>
        <w:numPr>
          <w:ilvl w:val="0"/>
          <w:numId w:val="0"/>
        </w:numPr>
        <w:ind w:right="0" w:firstLine="560"/>
        <w:keepLines w:val="0"/>
        <w:keepNext w:val="0"/>
        <w:pageBreakBefore w:val="0"/>
        <w:spacing w:line="360" w:lineRule="auto"/>
        <w:widowControl w:val="off"/>
        <w:rPr>
          <w:rFonts w:ascii="Times New Roman" w:hAnsi="Times New Roman" w:eastAsia="宋体" w:cs="Times New Roman"/>
          <w:b w:val="0"/>
          <w:bCs w:val="0"/>
          <w:sz w:val="24"/>
          <w:highlight w:val="none"/>
          <w:lang w:val="en-US" w:eastAsia="zh-CN"/>
        </w:rPr>
        <w:outlineLvl w:val="1"/>
      </w:pPr>
      <w:r>
        <w:rPr>
          <w:rFonts w:hint="eastAsia" w:cs="Times New Roman"/>
          <w:b w:val="0"/>
          <w:bCs w:val="0"/>
          <w:sz w:val="24"/>
          <w:highlight w:val="none"/>
          <w:lang w:val="en-US" w:eastAsia="zh-CN"/>
        </w:rPr>
        <w:t xml:space="preserve">3、</w:t>
      </w:r>
      <w:r>
        <w:rPr>
          <w:rFonts w:hint="eastAsia" w:ascii="Times New Roman" w:hAnsi="Times New Roman" w:eastAsia="宋体" w:cs="Times New Roman"/>
          <w:b w:val="0"/>
          <w:bCs w:val="0"/>
          <w:sz w:val="24"/>
          <w:highlight w:val="none"/>
          <w:lang w:val="en-US" w:eastAsia="zh-CN"/>
        </w:rPr>
        <w:t xml:space="preserve">每期申请付款时，乙方须向甲方提交书面结算申请，同步提供电子版结算明细资料，甲方审核通过后启动财政付款流程，实际付款时间以财政审批拨付时限为准。甲方付款前乙方须开具符合甲方财务规范的等额增值税专用发票，未按要求提供合规发票的，甲方有权顺延付款且不承担逾期付款相关责任。</w:t>
      </w:r>
      <w:r>
        <w:rPr>
          <w:rFonts w:ascii="Times New Roman" w:hAnsi="Times New Roman" w:eastAsia="宋体" w:cs="Times New Roman"/>
          <w:b w:val="0"/>
          <w:bCs w:val="0"/>
          <w:sz w:val="24"/>
          <w:highlight w:val="none"/>
          <w:lang w:val="en-US" w:eastAsia="zh-CN"/>
        </w:rPr>
      </w:r>
      <w:r/>
    </w:p>
    <w:p>
      <w:pPr>
        <w:pStyle w:val="1126"/>
        <w:ind w:firstLine="560"/>
        <w:keepLines w:val="0"/>
        <w:keepNext w:val="0"/>
        <w:pageBreakBefore w:val="0"/>
        <w:spacing w:line="360" w:lineRule="auto"/>
        <w:widowControl w:val="off"/>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五、双方权利和义务</w:t>
      </w:r>
      <w:r>
        <w:rPr>
          <w:rFonts w:hint="eastAsia" w:ascii="宋体" w:hAnsi="宋体" w:eastAsia="宋体" w:cs="宋体"/>
          <w:b/>
          <w:bCs/>
          <w:sz w:val="24"/>
          <w:szCs w:val="24"/>
          <w:highlight w:val="none"/>
        </w:rPr>
      </w:r>
      <w:r/>
    </w:p>
    <w:p>
      <w:pPr>
        <w:pStyle w:val="1126"/>
        <w:ind w:firstLine="560"/>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甲方权利义务</w:t>
      </w:r>
      <w:r>
        <w:rPr>
          <w:rFonts w:hint="eastAsia" w:ascii="宋体" w:hAnsi="宋体" w:eastAsia="宋体" w:cs="宋体"/>
          <w:sz w:val="24"/>
          <w:szCs w:val="24"/>
          <w:highlight w:val="none"/>
        </w:rPr>
      </w:r>
      <w:r/>
    </w:p>
    <w:p>
      <w:pPr>
        <w:pStyle w:val="1126"/>
        <w:ind w:firstLine="560"/>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1、甲方有权监督核查乙方全域电动化评估工作的进度、调研程序、报告质量和其他相关实施情况。</w:t>
      </w:r>
      <w:r>
        <w:rPr>
          <w:rFonts w:hint="eastAsia" w:ascii="宋体" w:hAnsi="宋体" w:eastAsia="宋体" w:cs="宋体"/>
          <w:sz w:val="24"/>
          <w:szCs w:val="24"/>
          <w:highlight w:val="none"/>
        </w:rPr>
      </w:r>
      <w:r/>
    </w:p>
    <w:p>
      <w:pPr>
        <w:pStyle w:val="1126"/>
        <w:ind w:firstLine="560"/>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2、乙方</w:t>
      </w:r>
      <w:r>
        <w:rPr>
          <w:rFonts w:hint="eastAsia" w:ascii="宋体" w:hAnsi="宋体" w:eastAsia="宋体" w:cs="宋体"/>
          <w:sz w:val="24"/>
          <w:szCs w:val="24"/>
          <w:highlight w:val="none"/>
          <w:lang w:val="en-US" w:eastAsia="zh-CN"/>
        </w:rPr>
        <w:t xml:space="preserve">无正当理由</w:t>
      </w:r>
      <w:r>
        <w:rPr>
          <w:rFonts w:hint="eastAsia" w:ascii="宋体" w:hAnsi="宋体" w:eastAsia="宋体" w:cs="宋体"/>
          <w:sz w:val="24"/>
          <w:szCs w:val="24"/>
          <w:highlight w:val="none"/>
        </w:rPr>
        <w:t xml:space="preserve">不按相关文件和要求履行义务时，甲方有权终止合同。</w:t>
      </w:r>
      <w:r>
        <w:rPr>
          <w:rFonts w:hint="eastAsia" w:ascii="宋体" w:hAnsi="宋体" w:eastAsia="宋体" w:cs="宋体"/>
          <w:sz w:val="24"/>
          <w:szCs w:val="24"/>
          <w:highlight w:val="none"/>
        </w:rPr>
      </w:r>
      <w:r/>
    </w:p>
    <w:p>
      <w:pPr>
        <w:pStyle w:val="1126"/>
        <w:ind w:firstLine="560"/>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3、甲方协调市内各部门、园区、企业配合乙方实地调研、访谈、资料调取等工作。</w:t>
      </w:r>
      <w:r>
        <w:rPr>
          <w:rFonts w:hint="eastAsia" w:ascii="宋体" w:hAnsi="宋体" w:eastAsia="宋体" w:cs="宋体"/>
          <w:sz w:val="24"/>
          <w:szCs w:val="24"/>
          <w:highlight w:val="none"/>
        </w:rPr>
      </w:r>
      <w:r/>
    </w:p>
    <w:p>
      <w:pPr>
        <w:pStyle w:val="1126"/>
        <w:ind w:firstLine="560"/>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4、甲方不得向乙方提出违反法律法规政策的要求。</w:t>
      </w:r>
      <w:r>
        <w:rPr>
          <w:rFonts w:hint="eastAsia" w:ascii="宋体" w:hAnsi="宋体" w:eastAsia="宋体" w:cs="宋体"/>
          <w:sz w:val="24"/>
          <w:szCs w:val="24"/>
          <w:highlight w:val="none"/>
        </w:rPr>
      </w:r>
      <w:r/>
    </w:p>
    <w:p>
      <w:pPr>
        <w:pStyle w:val="1126"/>
        <w:ind w:firstLine="560"/>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5、甲方应在双方商定的时间内支付</w:t>
      </w:r>
      <w:r>
        <w:rPr>
          <w:rFonts w:hint="eastAsia" w:ascii="宋体" w:hAnsi="宋体" w:eastAsia="宋体" w:cs="宋体"/>
          <w:sz w:val="24"/>
          <w:szCs w:val="24"/>
          <w:highlight w:val="none"/>
          <w:lang w:val="en-US" w:eastAsia="zh-CN"/>
        </w:rPr>
        <w:t xml:space="preserve">评估项目费用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126"/>
        <w:ind w:firstLine="560"/>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乙方权利义务</w:t>
      </w:r>
      <w:r>
        <w:rPr>
          <w:rFonts w:hint="eastAsia" w:ascii="宋体" w:hAnsi="宋体" w:eastAsia="宋体" w:cs="宋体"/>
          <w:sz w:val="24"/>
          <w:szCs w:val="24"/>
          <w:highlight w:val="none"/>
        </w:rPr>
      </w:r>
      <w:r/>
    </w:p>
    <w:p>
      <w:pPr>
        <w:pStyle w:val="1126"/>
        <w:ind w:firstLine="560"/>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1、乙方有权按合同约定各阶段节点申请对应服务款项。</w:t>
      </w:r>
      <w:r>
        <w:rPr>
          <w:rFonts w:hint="eastAsia" w:ascii="宋体" w:hAnsi="宋体" w:eastAsia="宋体" w:cs="宋体"/>
          <w:sz w:val="24"/>
          <w:szCs w:val="24"/>
          <w:highlight w:val="none"/>
        </w:rPr>
      </w:r>
      <w:r/>
    </w:p>
    <w:p>
      <w:pPr>
        <w:pStyle w:val="1126"/>
        <w:ind w:firstLine="560"/>
        <w:keepLines w:val="0"/>
        <w:keepNext w:val="0"/>
        <w:pageBreakBefore w:val="0"/>
        <w:spacing w:line="360" w:lineRule="auto"/>
        <w:widowControl w:val="off"/>
        <w:rPr>
          <w:rFonts w:ascii="宋体" w:hAnsi="宋体" w:eastAsia="宋体" w:cs="宋体"/>
          <w:sz w:val="24"/>
          <w:szCs w:val="24"/>
          <w:highlight w:val="none"/>
          <w:lang w:val="en-US" w:eastAsia="zh-CN"/>
        </w:rPr>
        <w:outlineLvl w:val="1"/>
      </w:pPr>
      <w:r>
        <w:rPr>
          <w:rFonts w:hint="eastAsia" w:ascii="宋体" w:hAnsi="宋体" w:eastAsia="宋体" w:cs="宋体"/>
          <w:sz w:val="24"/>
          <w:szCs w:val="24"/>
          <w:highlight w:val="none"/>
          <w:lang w:val="en-US" w:eastAsia="zh-CN"/>
        </w:rPr>
        <w:t xml:space="preserve">2、乙方有权拒绝甲方不合规不合理要求。</w:t>
      </w:r>
      <w:r>
        <w:rPr>
          <w:rFonts w:ascii="宋体" w:hAnsi="宋体" w:eastAsia="宋体" w:cs="宋体"/>
          <w:sz w:val="24"/>
          <w:szCs w:val="24"/>
          <w:highlight w:val="none"/>
          <w:lang w:val="en-US" w:eastAsia="zh-CN"/>
        </w:rPr>
      </w:r>
      <w:r/>
    </w:p>
    <w:p>
      <w:pPr>
        <w:pStyle w:val="1126"/>
        <w:ind w:firstLine="560"/>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val="en-US" w:eastAsia="zh-CN"/>
        </w:rPr>
        <w:t xml:space="preserve">须按计划多轮</w:t>
      </w:r>
      <w:r>
        <w:rPr>
          <w:rFonts w:hint="eastAsia" w:ascii="宋体" w:hAnsi="宋体" w:eastAsia="宋体" w:cs="宋体"/>
          <w:sz w:val="24"/>
          <w:szCs w:val="24"/>
          <w:highlight w:val="none"/>
        </w:rPr>
        <w:t xml:space="preserve">实地深度调研</w:t>
      </w:r>
      <w:r>
        <w:rPr>
          <w:rFonts w:hint="eastAsia" w:ascii="宋体" w:hAnsi="宋体" w:eastAsia="宋体" w:cs="宋体"/>
          <w:sz w:val="24"/>
          <w:szCs w:val="24"/>
          <w:highlight w:val="none"/>
          <w:lang w:val="en-US" w:eastAsia="zh-CN"/>
        </w:rPr>
        <w:t xml:space="preserve">和</w:t>
      </w:r>
      <w:r>
        <w:rPr>
          <w:rFonts w:hint="eastAsia" w:ascii="宋体" w:hAnsi="宋体" w:eastAsia="宋体" w:cs="宋体"/>
          <w:sz w:val="24"/>
          <w:szCs w:val="24"/>
          <w:highlight w:val="none"/>
        </w:rPr>
        <w:t xml:space="preserve">专家论证，完整留存全部调研底稿、测算原始数据、专家意见等过程资料，验收后统一移交甲方归档。</w:t>
      </w:r>
      <w:r>
        <w:rPr>
          <w:rFonts w:hint="eastAsia" w:ascii="宋体" w:hAnsi="宋体" w:eastAsia="宋体" w:cs="宋体"/>
          <w:sz w:val="24"/>
          <w:szCs w:val="24"/>
          <w:highlight w:val="none"/>
        </w:rPr>
      </w:r>
      <w:r/>
    </w:p>
    <w:p>
      <w:pPr>
        <w:pStyle w:val="1126"/>
        <w:ind w:firstLine="560"/>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、乙方对调研获取的政府内部未公开资料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企业经营数据</w:t>
      </w:r>
      <w:r>
        <w:rPr>
          <w:rFonts w:hint="eastAsia" w:ascii="宋体" w:hAnsi="宋体" w:eastAsia="宋体" w:cs="宋体"/>
          <w:sz w:val="24"/>
          <w:szCs w:val="24"/>
          <w:highlight w:val="none"/>
        </w:rPr>
        <w:t xml:space="preserve">严格保密，未经甲方书面许可不得对外泄露、传播。</w:t>
      </w:r>
      <w:r>
        <w:rPr>
          <w:rFonts w:hint="eastAsia" w:ascii="宋体" w:hAnsi="宋体" w:eastAsia="宋体" w:cs="宋体"/>
          <w:sz w:val="24"/>
          <w:szCs w:val="24"/>
          <w:highlight w:val="none"/>
        </w:rPr>
      </w:r>
      <w:r/>
    </w:p>
    <w:p>
      <w:pPr>
        <w:pStyle w:val="1126"/>
        <w:ind w:firstLine="560"/>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、因乙方调研疏漏、测算错误、研判失真造成成果存在重大缺陷的，乙方需无偿整改，并承担由此带来的全部相关损失。</w:t>
      </w:r>
      <w:r>
        <w:rPr>
          <w:rFonts w:hint="eastAsia" w:ascii="宋体" w:hAnsi="宋体" w:eastAsia="宋体" w:cs="宋体"/>
          <w:sz w:val="24"/>
          <w:szCs w:val="24"/>
          <w:highlight w:val="none"/>
        </w:rPr>
      </w:r>
      <w:r/>
    </w:p>
    <w:p>
      <w:pPr>
        <w:pStyle w:val="1126"/>
        <w:ind w:firstLine="560"/>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b/>
          <w:bCs/>
          <w:sz w:val="24"/>
          <w:szCs w:val="24"/>
          <w:highlight w:val="none"/>
          <w:lang w:val="en-US"/>
        </w:rPr>
        <w:t xml:space="preserve">六</w:t>
      </w:r>
      <w:r>
        <w:rPr>
          <w:rFonts w:hint="eastAsia" w:ascii="宋体" w:hAnsi="宋体" w:eastAsia="宋体" w:cs="宋体"/>
          <w:b/>
          <w:bCs/>
          <w:sz w:val="24"/>
          <w:szCs w:val="24"/>
          <w:highlight w:val="none"/>
        </w:rPr>
        <w:t xml:space="preserve">、其它约定</w:t>
      </w:r>
      <w:r>
        <w:rPr>
          <w:rFonts w:hint="eastAsia" w:ascii="宋体" w:hAnsi="宋体" w:eastAsia="宋体" w:cs="宋体"/>
          <w:sz w:val="24"/>
          <w:szCs w:val="24"/>
          <w:highlight w:val="none"/>
        </w:rPr>
      </w:r>
      <w:r/>
    </w:p>
    <w:p>
      <w:pPr>
        <w:pStyle w:val="1126"/>
        <w:ind w:firstLine="480"/>
        <w:keepLines w:val="0"/>
        <w:keepNext w:val="0"/>
        <w:pageBreakBefore w:val="0"/>
        <w:spacing w:line="360" w:lineRule="auto"/>
        <w:widowControl w:val="off"/>
        <w:rPr>
          <w:rFonts w:ascii="宋体" w:hAnsi="宋体" w:eastAsia="宋体" w:cs="宋体"/>
          <w:sz w:val="24"/>
          <w:szCs w:val="24"/>
          <w:lang w:val="en-US" w:eastAsia="zh-CN"/>
        </w:rPr>
        <w:outlineLvl w:val="1"/>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乙方违反本合同约定或甲方要求的，甲方</w:t>
      </w:r>
      <w:r>
        <w:rPr>
          <w:rFonts w:hint="eastAsia" w:ascii="宋体" w:hAnsi="宋体" w:eastAsia="宋体" w:cs="宋体"/>
          <w:sz w:val="24"/>
          <w:szCs w:val="24"/>
          <w:lang w:val="en-US" w:eastAsia="zh-CN"/>
        </w:rPr>
        <w:t xml:space="preserve">有权要求乙方采取补救措施并承担合同金额10%-30%的违约金，同时甲方有权要求单方书面通知乙方解除合同，乙方应返还甲方已支付的全部费用。</w:t>
      </w:r>
      <w:r>
        <w:rPr>
          <w:rFonts w:ascii="宋体" w:hAnsi="宋体" w:eastAsia="宋体" w:cs="宋体"/>
          <w:sz w:val="24"/>
          <w:szCs w:val="24"/>
          <w:lang w:val="en-US" w:eastAsia="zh-CN"/>
        </w:rPr>
      </w:r>
      <w:r/>
    </w:p>
    <w:p>
      <w:pPr>
        <w:pStyle w:val="1126"/>
        <w:ind w:firstLine="480"/>
        <w:keepLines w:val="0"/>
        <w:keepNext w:val="0"/>
        <w:pageBreakBefore w:val="0"/>
        <w:spacing w:line="360" w:lineRule="auto"/>
        <w:widowControl w:val="off"/>
        <w:rPr>
          <w:rFonts w:hint="eastAsia" w:ascii="宋体" w:hAnsi="宋体" w:eastAsia="宋体" w:cs="宋体"/>
          <w:sz w:val="24"/>
          <w:szCs w:val="24"/>
        </w:rPr>
        <w:outlineLvl w:val="1"/>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本合同未尽事宜，双方应及时友好协商，形成补充合同文本，</w:t>
      </w:r>
      <w:r>
        <w:rPr>
          <w:rFonts w:hint="eastAsia" w:ascii="宋体" w:hAnsi="宋体" w:eastAsia="宋体" w:cs="宋体"/>
          <w:sz w:val="24"/>
          <w:szCs w:val="24"/>
          <w:lang w:val="en-US" w:eastAsia="zh-CN"/>
        </w:rPr>
        <w:t xml:space="preserve">补充合同文本与本合同具有同等法律效力。</w:t>
      </w:r>
      <w:r>
        <w:rPr>
          <w:rFonts w:hint="eastAsia" w:ascii="宋体" w:hAnsi="宋体" w:eastAsia="宋体" w:cs="宋体"/>
          <w:sz w:val="24"/>
          <w:szCs w:val="24"/>
        </w:rPr>
        <w:t xml:space="preserve">协商解决未果，任何一方均</w:t>
      </w:r>
      <w:r>
        <w:rPr>
          <w:rFonts w:hint="eastAsia" w:ascii="宋体" w:hAnsi="宋体" w:eastAsia="宋体" w:cs="宋体"/>
          <w:sz w:val="24"/>
          <w:szCs w:val="24"/>
          <w:lang w:val="en-US" w:eastAsia="zh-CN"/>
        </w:rPr>
        <w:t xml:space="preserve">有权</w:t>
      </w:r>
      <w:r>
        <w:rPr>
          <w:rFonts w:hint="eastAsia" w:ascii="宋体" w:hAnsi="宋体" w:eastAsia="宋体" w:cs="宋体"/>
          <w:sz w:val="24"/>
          <w:szCs w:val="24"/>
        </w:rPr>
        <w:t xml:space="preserve">向</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所在地法院提出诉讼。因本合同产生纠纷，由此发生的律师费、保全担保费、调查费、差旅费等合理费用均由违约方承担。</w:t>
      </w:r>
      <w:r>
        <w:rPr>
          <w:rFonts w:hint="eastAsia" w:ascii="宋体" w:hAnsi="宋体" w:eastAsia="宋体" w:cs="宋体"/>
          <w:sz w:val="24"/>
          <w:szCs w:val="24"/>
        </w:rPr>
      </w:r>
      <w:r/>
    </w:p>
    <w:p>
      <w:pPr>
        <w:pStyle w:val="1126"/>
        <w:ind w:firstLine="480"/>
        <w:keepLines w:val="0"/>
        <w:keepNext w:val="0"/>
        <w:pageBreakBefore w:val="0"/>
        <w:spacing w:line="360" w:lineRule="auto"/>
        <w:widowControl w:val="off"/>
        <w:rPr>
          <w:rFonts w:hint="eastAsia" w:ascii="宋体" w:hAnsi="宋体" w:eastAsia="宋体" w:cs="宋体"/>
          <w:sz w:val="24"/>
          <w:szCs w:val="24"/>
        </w:rPr>
        <w:outlineLvl w:val="1"/>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、合同经双方审阅，确认无异议签字或盖章后生效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合同一式肆份，双方各执</w:t>
      </w:r>
      <w:r>
        <w:rPr>
          <w:rFonts w:hint="eastAsia" w:ascii="宋体" w:hAnsi="宋体" w:eastAsia="宋体" w:cs="宋体"/>
          <w:sz w:val="24"/>
          <w:szCs w:val="24"/>
          <w:lang w:val="en-US" w:eastAsia="zh-CN"/>
        </w:rPr>
        <w:t xml:space="preserve">贰</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每份具有同等效力</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126"/>
        <w:ind w:firstLine="480"/>
        <w:keepLines w:val="0"/>
        <w:keepNext w:val="0"/>
        <w:pageBreakBefore w:val="0"/>
        <w:spacing w:line="360" w:lineRule="auto"/>
        <w:widowControl w:val="off"/>
        <w:rPr>
          <w:rFonts w:hint="eastAsia" w:ascii="宋体" w:hAnsi="宋体" w:eastAsia="宋体" w:cs="宋体"/>
          <w:sz w:val="24"/>
          <w:szCs w:val="24"/>
          <w:lang w:eastAsia="zh-CN"/>
        </w:rPr>
        <w:outlineLvl w:val="1"/>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以下无正文</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26"/>
        <w:jc w:val="left"/>
        <w:widowControl/>
        <w:rPr>
          <w:rFonts w:hint="eastAsia" w:ascii="宋体" w:hAnsi="宋体" w:eastAsia="宋体" w:cs="宋体"/>
          <w:sz w:val="24"/>
          <w:szCs w:val="24"/>
        </w:rPr>
        <w:outlineLvl w:val="1"/>
      </w:pPr>
      <w:r>
        <w:rPr>
          <w:rFonts w:hint="eastAsia" w:ascii="宋体" w:hAnsi="宋体" w:eastAsia="宋体" w:cs="宋体"/>
          <w:sz w:val="24"/>
          <w:szCs w:val="24"/>
        </w:rPr>
        <w:br w:type="page" w:clear="all"/>
      </w:r>
      <w:r>
        <w:rPr>
          <w:rFonts w:hint="eastAsia" w:ascii="宋体" w:hAnsi="宋体" w:eastAsia="宋体" w:cs="宋体"/>
          <w:sz w:val="24"/>
          <w:szCs w:val="24"/>
        </w:rPr>
      </w:r>
      <w:r/>
    </w:p>
    <w:p>
      <w:pPr>
        <w:pStyle w:val="1126"/>
        <w:jc w:val="center"/>
        <w:rPr>
          <w:rFonts w:hint="eastAsia" w:ascii="宋体" w:hAnsi="宋体" w:eastAsia="宋体" w:cs="宋体"/>
          <w:sz w:val="24"/>
          <w:szCs w:val="24"/>
        </w:rPr>
        <w:outlineLvl w:val="1"/>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本页</w:t>
      </w:r>
      <w:r>
        <w:rPr>
          <w:rFonts w:hint="eastAsia" w:ascii="宋体" w:hAnsi="宋体" w:eastAsia="宋体" w:cs="宋体"/>
          <w:sz w:val="24"/>
          <w:szCs w:val="24"/>
          <w:highlight w:val="none"/>
        </w:rPr>
        <w:t xml:space="preserve">为</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rPr>
        <w:t xml:space="preserve">常州市全域电动化标杆实践评估服务</w:t>
      </w:r>
      <w:r>
        <w:rPr>
          <w:rFonts w:ascii="宋体" w:hAnsi="宋体" w:cs="宋体"/>
          <w:sz w:val="24"/>
          <w:szCs w:val="24"/>
          <w:highlight w:val="none"/>
        </w:rPr>
        <w:t xml:space="preserve">采购</w:t>
      </w:r>
      <w:r>
        <w:rPr>
          <w:rFonts w:hint="eastAsia" w:ascii="宋体" w:hAnsi="宋体" w:cs="宋体"/>
          <w:sz w:val="24"/>
          <w:szCs w:val="24"/>
          <w:highlight w:val="none"/>
        </w:rPr>
        <w:t xml:space="preserve">项目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签字</w:t>
      </w:r>
      <w:r>
        <w:rPr>
          <w:rFonts w:hint="eastAsia" w:ascii="宋体" w:hAnsi="宋体" w:eastAsia="宋体" w:cs="宋体"/>
          <w:sz w:val="24"/>
          <w:szCs w:val="24"/>
          <w:highlight w:val="none"/>
          <w:lang w:val="en-US" w:eastAsia="zh-CN"/>
        </w:rPr>
        <w:t xml:space="preserve">盖章</w:t>
      </w:r>
      <w:r>
        <w:rPr>
          <w:rFonts w:hint="eastAsia" w:ascii="宋体" w:hAnsi="宋体" w:eastAsia="宋体" w:cs="宋体"/>
          <w:sz w:val="24"/>
          <w:szCs w:val="24"/>
        </w:rPr>
        <w:t xml:space="preserve">页）</w:t>
      </w:r>
      <w:r>
        <w:rPr>
          <w:rFonts w:hint="eastAsia" w:ascii="宋体" w:hAnsi="宋体" w:eastAsia="宋体" w:cs="宋体"/>
          <w:sz w:val="24"/>
          <w:szCs w:val="24"/>
        </w:rPr>
      </w:r>
      <w:r/>
    </w:p>
    <w:tbl>
      <w:tblPr>
        <w:tblpPr w:horzAnchor="page" w:tblpX="1484" w:vertAnchor="text" w:tblpY="101" w:leftFromText="180" w:topFromText="0" w:rightFromText="180" w:bottomFromText="0"/>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720"/>
        <w:gridCol w:w="7812"/>
      </w:tblGrid>
      <w:tr>
        <w:trPr>
          <w:cantSplit/>
          <w:trHeight w:val="619"/>
        </w:trPr>
        <w:tc>
          <w:tcPr>
            <w:tcW w:w="648" w:type="dxa"/>
            <w:vAlign w:val="center"/>
            <w:vMerge w:val="restart"/>
            <w:textDirection w:val="tbRlV"/>
            <w:noWrap w:val="false"/>
          </w:tcPr>
          <w:p>
            <w:pPr>
              <w:pStyle w:val="1126"/>
              <w:ind w:left="113" w:right="113"/>
              <w:jc w:val="center"/>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t xml:space="preserve">甲      方</w:t>
            </w:r>
            <w:r>
              <w:rPr>
                <w:rFonts w:hint="eastAsia" w:ascii="宋体" w:hAnsi="宋体" w:eastAsia="宋体" w:cs="宋体"/>
                <w:sz w:val="24"/>
                <w:szCs w:val="24"/>
              </w:rPr>
            </w:r>
            <w:r/>
          </w:p>
        </w:tc>
        <w:tc>
          <w:tcPr>
            <w:tcW w:w="720" w:type="dxa"/>
            <w:vAlign w:val="center"/>
            <w:vMerge w:val="restart"/>
            <w:textDirection w:val="tbRlV"/>
            <w:noWrap w:val="false"/>
          </w:tcPr>
          <w:p>
            <w:pPr>
              <w:pStyle w:val="1126"/>
              <w:ind w:left="113" w:right="113"/>
              <w:jc w:val="center"/>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t xml:space="preserve">委  托  方</w:t>
            </w:r>
            <w:r>
              <w:rPr>
                <w:rFonts w:hint="eastAsia" w:ascii="宋体" w:hAnsi="宋体" w:eastAsia="宋体" w:cs="宋体"/>
                <w:sz w:val="24"/>
                <w:szCs w:val="24"/>
              </w:rPr>
            </w:r>
            <w:r/>
          </w:p>
        </w:tc>
        <w:tc>
          <w:tcPr>
            <w:tcW w:w="7812" w:type="dxa"/>
            <w:vAlign w:val="center"/>
            <w:textDirection w:val="lrTb"/>
            <w:noWrap w:val="false"/>
          </w:tcPr>
          <w:p>
            <w:pPr>
              <w:pStyle w:val="1126"/>
              <w:tabs>
                <w:tab w:val="left" w:pos="5832" w:leader="none"/>
              </w:tabs>
              <w:rPr>
                <w:rFonts w:hint="eastAsia" w:ascii="宋体" w:hAnsi="宋体" w:eastAsia="宋体" w:cs="宋体"/>
                <w:sz w:val="24"/>
                <w:szCs w:val="24"/>
                <w:lang w:eastAsia="zh-CN"/>
              </w:rPr>
              <w:framePr w:vAnchor="text" w:hAnchor="page" w:x="1484" w:y="101"/>
              <w:outlineLvl w:val="1"/>
            </w:pPr>
            <w:r>
              <w:rPr>
                <w:rFonts w:hint="eastAsia" w:ascii="宋体" w:hAnsi="宋体" w:eastAsia="宋体" w:cs="宋体"/>
                <w:sz w:val="24"/>
                <w:szCs w:val="24"/>
              </w:rPr>
              <w:t xml:space="preserve">单位名称：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盖章</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r>
      <w:tr>
        <w:trPr>
          <w:cantSplit/>
          <w:trHeight w:val="611"/>
        </w:trPr>
        <w:tc>
          <w:tcPr>
            <w:tcW w:w="648"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20"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812" w:type="dxa"/>
            <w:vAlign w:val="center"/>
            <w:textDirection w:val="lrTb"/>
            <w:noWrap w:val="false"/>
          </w:tcPr>
          <w:p>
            <w:pPr>
              <w:pStyle w:val="1126"/>
              <w:ind w:left="1500" w:hanging="1200"/>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t xml:space="preserve">单位地址：</w:t>
            </w:r>
            <w:r>
              <w:rPr>
                <w:rFonts w:hint="eastAsia" w:ascii="宋体" w:hAnsi="宋体" w:eastAsia="宋体" w:cs="宋体"/>
                <w:sz w:val="24"/>
                <w:szCs w:val="24"/>
              </w:rPr>
            </w:r>
            <w:r/>
          </w:p>
        </w:tc>
      </w:tr>
      <w:tr>
        <w:trPr>
          <w:cantSplit/>
          <w:trHeight w:val="611"/>
        </w:trPr>
        <w:tc>
          <w:tcPr>
            <w:tcW w:w="648"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20"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812" w:type="dxa"/>
            <w:vAlign w:val="center"/>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t xml:space="preserve">邮政编码：</w:t>
            </w:r>
            <w:r>
              <w:rPr>
                <w:rFonts w:hint="eastAsia" w:ascii="宋体" w:hAnsi="宋体" w:eastAsia="宋体" w:cs="宋体"/>
                <w:sz w:val="24"/>
                <w:szCs w:val="24"/>
              </w:rPr>
            </w:r>
            <w:r/>
          </w:p>
        </w:tc>
      </w:tr>
      <w:tr>
        <w:trPr>
          <w:cantSplit/>
          <w:trHeight w:val="570"/>
        </w:trPr>
        <w:tc>
          <w:tcPr>
            <w:tcW w:w="648"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20"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812" w:type="dxa"/>
            <w:vAlign w:val="center"/>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r>
      <w:tr>
        <w:trPr>
          <w:cantSplit/>
          <w:trHeight w:val="611"/>
        </w:trPr>
        <w:tc>
          <w:tcPr>
            <w:tcW w:w="648"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20"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812" w:type="dxa"/>
            <w:vAlign w:val="center"/>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r>
      <w:tr>
        <w:trPr>
          <w:cantSplit/>
          <w:trHeight w:val="528"/>
        </w:trPr>
        <w:tc>
          <w:tcPr>
            <w:tcW w:w="648"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20"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812" w:type="dxa"/>
            <w:vAlign w:val="center"/>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t xml:space="preserve">账    号：</w:t>
            </w:r>
            <w:r>
              <w:rPr>
                <w:rFonts w:hint="eastAsia" w:ascii="宋体" w:hAnsi="宋体" w:eastAsia="宋体" w:cs="宋体"/>
                <w:sz w:val="24"/>
                <w:szCs w:val="24"/>
              </w:rPr>
            </w:r>
            <w:r/>
          </w:p>
        </w:tc>
      </w:tr>
      <w:tr>
        <w:trPr>
          <w:cantSplit/>
          <w:trHeight w:val="545"/>
        </w:trPr>
        <w:tc>
          <w:tcPr>
            <w:tcW w:w="648"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20"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812" w:type="dxa"/>
            <w:vAlign w:val="center"/>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t xml:space="preserve">代 表 人：</w:t>
            </w:r>
            <w:r>
              <w:rPr>
                <w:rFonts w:hint="eastAsia" w:ascii="宋体" w:hAnsi="宋体" w:eastAsia="宋体" w:cs="宋体"/>
                <w:sz w:val="24"/>
                <w:szCs w:val="24"/>
              </w:rPr>
            </w:r>
            <w:r/>
          </w:p>
        </w:tc>
      </w:tr>
      <w:tr>
        <w:trPr>
          <w:cantSplit/>
          <w:trHeight w:val="794"/>
        </w:trPr>
        <w:tc>
          <w:tcPr>
            <w:tcW w:w="648"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20"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812" w:type="dxa"/>
            <w:vAlign w:val="center"/>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t xml:space="preserve">日    期：        年    月    日</w:t>
            </w:r>
            <w:r>
              <w:rPr>
                <w:rFonts w:hint="eastAsia" w:ascii="宋体" w:hAnsi="宋体" w:eastAsia="宋体" w:cs="宋体"/>
                <w:sz w:val="24"/>
                <w:szCs w:val="24"/>
              </w:rPr>
            </w:r>
            <w:r/>
          </w:p>
        </w:tc>
      </w:tr>
      <w:tr>
        <w:trPr>
          <w:cantSplit/>
          <w:trHeight w:val="661"/>
        </w:trPr>
        <w:tc>
          <w:tcPr>
            <w:tcW w:w="648" w:type="dxa"/>
            <w:vAlign w:val="center"/>
            <w:vMerge w:val="restart"/>
            <w:textDirection w:val="tbRlV"/>
            <w:noWrap w:val="false"/>
          </w:tcPr>
          <w:p>
            <w:pPr>
              <w:pStyle w:val="1126"/>
              <w:ind w:left="113" w:right="113"/>
              <w:jc w:val="center"/>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t xml:space="preserve">乙       方</w:t>
            </w:r>
            <w:r>
              <w:rPr>
                <w:rFonts w:hint="eastAsia" w:ascii="宋体" w:hAnsi="宋体" w:eastAsia="宋体" w:cs="宋体"/>
                <w:sz w:val="24"/>
                <w:szCs w:val="24"/>
              </w:rPr>
            </w:r>
            <w:r/>
          </w:p>
        </w:tc>
        <w:tc>
          <w:tcPr>
            <w:tcW w:w="720" w:type="dxa"/>
            <w:vAlign w:val="center"/>
            <w:vMerge w:val="restart"/>
            <w:textDirection w:val="tbRlV"/>
            <w:noWrap w:val="false"/>
          </w:tcPr>
          <w:p>
            <w:pPr>
              <w:pStyle w:val="1126"/>
              <w:ind w:left="113" w:right="113"/>
              <w:jc w:val="center"/>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t xml:space="preserve">受  托  方</w:t>
            </w:r>
            <w:r>
              <w:rPr>
                <w:rFonts w:hint="eastAsia" w:ascii="宋体" w:hAnsi="宋体" w:eastAsia="宋体" w:cs="宋体"/>
                <w:sz w:val="24"/>
                <w:szCs w:val="24"/>
              </w:rPr>
            </w:r>
            <w:r/>
          </w:p>
        </w:tc>
        <w:tc>
          <w:tcPr>
            <w:tcW w:w="7812" w:type="dxa"/>
            <w:vAlign w:val="center"/>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t xml:space="preserve">单位名称：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盖章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11"/>
        </w:trPr>
        <w:tc>
          <w:tcPr>
            <w:tcW w:w="648"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20"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812" w:type="dxa"/>
            <w:vAlign w:val="center"/>
            <w:textDirection w:val="lrTb"/>
            <w:noWrap w:val="false"/>
          </w:tcPr>
          <w:p>
            <w:pPr>
              <w:pStyle w:val="1126"/>
              <w:ind w:left="1500" w:hanging="1200"/>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t xml:space="preserve">单位地址： </w:t>
            </w:r>
            <w:r>
              <w:rPr>
                <w:rFonts w:hint="eastAsia" w:ascii="宋体" w:hAnsi="宋体" w:eastAsia="宋体" w:cs="宋体"/>
                <w:sz w:val="24"/>
                <w:szCs w:val="24"/>
              </w:rPr>
            </w:r>
            <w:r/>
          </w:p>
        </w:tc>
      </w:tr>
      <w:tr>
        <w:trPr>
          <w:cantSplit/>
          <w:trHeight w:val="594"/>
        </w:trPr>
        <w:tc>
          <w:tcPr>
            <w:tcW w:w="648"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20"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812" w:type="dxa"/>
            <w:vAlign w:val="center"/>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t xml:space="preserve">邮政编码：</w:t>
            </w:r>
            <w:r>
              <w:rPr>
                <w:rFonts w:hint="eastAsia" w:ascii="宋体" w:hAnsi="宋体" w:eastAsia="宋体" w:cs="宋体"/>
                <w:sz w:val="24"/>
                <w:szCs w:val="24"/>
              </w:rPr>
            </w:r>
            <w:r/>
          </w:p>
        </w:tc>
      </w:tr>
      <w:tr>
        <w:trPr>
          <w:cantSplit/>
          <w:trHeight w:val="586"/>
        </w:trPr>
        <w:tc>
          <w:tcPr>
            <w:tcW w:w="648"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20"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812" w:type="dxa"/>
            <w:vAlign w:val="center"/>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r>
      <w:tr>
        <w:trPr>
          <w:cantSplit/>
          <w:trHeight w:val="595"/>
        </w:trPr>
        <w:tc>
          <w:tcPr>
            <w:tcW w:w="648"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20"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812" w:type="dxa"/>
            <w:vAlign w:val="center"/>
            <w:textDirection w:val="lrTb"/>
            <w:noWrap w:val="false"/>
          </w:tcPr>
          <w:p>
            <w:pPr>
              <w:pStyle w:val="1126"/>
              <w:spacing w:line="480" w:lineRule="auto"/>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t xml:space="preserve">开户银行： </w:t>
            </w:r>
            <w:r>
              <w:rPr>
                <w:rFonts w:hint="eastAsia" w:ascii="宋体" w:hAnsi="宋体" w:eastAsia="宋体" w:cs="宋体"/>
                <w:sz w:val="24"/>
                <w:szCs w:val="24"/>
              </w:rPr>
            </w:r>
            <w:r/>
          </w:p>
        </w:tc>
      </w:tr>
      <w:tr>
        <w:trPr>
          <w:cantSplit/>
          <w:trHeight w:val="619"/>
        </w:trPr>
        <w:tc>
          <w:tcPr>
            <w:tcW w:w="648"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20"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812" w:type="dxa"/>
            <w:vAlign w:val="center"/>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t xml:space="preserve">账    号：</w:t>
            </w:r>
            <w:r>
              <w:rPr>
                <w:rFonts w:hint="eastAsia" w:ascii="宋体" w:hAnsi="宋体" w:eastAsia="宋体" w:cs="宋体"/>
                <w:sz w:val="24"/>
                <w:szCs w:val="24"/>
              </w:rPr>
            </w:r>
            <w:r/>
          </w:p>
        </w:tc>
      </w:tr>
      <w:tr>
        <w:trPr>
          <w:cantSplit/>
          <w:trHeight w:val="636"/>
        </w:trPr>
        <w:tc>
          <w:tcPr>
            <w:tcW w:w="648"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20"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812" w:type="dxa"/>
            <w:vAlign w:val="center"/>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t xml:space="preserve">代 表 人：</w:t>
            </w:r>
            <w:r>
              <w:rPr>
                <w:rFonts w:hint="eastAsia" w:ascii="宋体" w:hAnsi="宋体" w:eastAsia="宋体" w:cs="宋体"/>
                <w:sz w:val="24"/>
                <w:szCs w:val="24"/>
              </w:rPr>
            </w:r>
            <w:r/>
          </w:p>
        </w:tc>
      </w:tr>
      <w:tr>
        <w:trPr>
          <w:cantSplit/>
          <w:trHeight w:val="629"/>
        </w:trPr>
        <w:tc>
          <w:tcPr>
            <w:tcW w:w="648"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20" w:type="dxa"/>
            <w:vAlign w:val="top"/>
            <w:vMerge w:val="continue"/>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r>
            <w:r/>
          </w:p>
        </w:tc>
        <w:tc>
          <w:tcPr>
            <w:tcW w:w="7812" w:type="dxa"/>
            <w:vAlign w:val="center"/>
            <w:textDirection w:val="lrTb"/>
            <w:noWrap w:val="false"/>
          </w:tcPr>
          <w:p>
            <w:pPr>
              <w:pStyle w:val="1126"/>
              <w:rPr>
                <w:rFonts w:hint="eastAsia" w:ascii="宋体" w:hAnsi="宋体" w:eastAsia="宋体" w:cs="宋体"/>
                <w:sz w:val="24"/>
                <w:szCs w:val="24"/>
              </w:rPr>
              <w:framePr w:vAnchor="text" w:hAnchor="page" w:x="1484" w:y="101"/>
              <w:outlineLvl w:val="1"/>
            </w:pPr>
            <w:r>
              <w:rPr>
                <w:rFonts w:hint="eastAsia" w:ascii="宋体" w:hAnsi="宋体" w:eastAsia="宋体" w:cs="宋体"/>
                <w:sz w:val="24"/>
                <w:szCs w:val="24"/>
              </w:rPr>
              <w:t xml:space="preserve">日    期：        年    月    日</w:t>
            </w:r>
            <w:r>
              <w:rPr>
                <w:rFonts w:hint="eastAsia" w:ascii="宋体" w:hAnsi="宋体" w:eastAsia="宋体" w:cs="宋体"/>
                <w:sz w:val="24"/>
                <w:szCs w:val="24"/>
              </w:rPr>
            </w:r>
            <w:r/>
          </w:p>
        </w:tc>
      </w:tr>
    </w:tbl>
    <w:p>
      <w:pPr>
        <w:pStyle w:val="1126"/>
        <w:rPr>
          <w:rFonts w:hint="eastAsia" w:ascii="宋体" w:hAnsi="宋体" w:eastAsia="宋体" w:cs="宋体"/>
          <w:sz w:val="24"/>
          <w:szCs w:val="24"/>
        </w:rPr>
        <w:outlineLvl w:val="1"/>
      </w:pPr>
      <w:r>
        <w:rPr>
          <w:rFonts w:hint="eastAsia" w:ascii="宋体" w:hAnsi="宋体" w:eastAsia="宋体" w:cs="宋体"/>
          <w:sz w:val="24"/>
          <w:szCs w:val="24"/>
        </w:rPr>
      </w:r>
      <w:r/>
    </w:p>
    <w:p>
      <w:pPr>
        <w:pStyle w:val="1126"/>
        <w:jc w:val="center"/>
        <w:spacing w:line="360" w:lineRule="auto"/>
        <w:rPr>
          <w:b/>
          <w:color w:val="000000"/>
          <w:sz w:val="36"/>
          <w:szCs w:val="36"/>
        </w:rPr>
        <w:outlineLvl w:val="9"/>
      </w:pPr>
      <w:r>
        <w:rPr>
          <w:b/>
          <w:sz w:val="36"/>
          <w:szCs w:val="36"/>
        </w:rPr>
        <w:br w:type="page" w:clear="all"/>
      </w:r>
      <w:r>
        <w:rPr>
          <w:b/>
          <w:color w:val="000000"/>
          <w:sz w:val="36"/>
          <w:szCs w:val="36"/>
        </w:rPr>
      </w:r>
      <w:r/>
    </w:p>
    <w:p>
      <w:pPr>
        <w:pStyle w:val="1126"/>
        <w:jc w:val="center"/>
        <w:spacing w:line="360" w:lineRule="auto"/>
        <w:rPr>
          <w:b/>
          <w:color w:val="000000"/>
          <w:sz w:val="36"/>
          <w:szCs w:val="36"/>
        </w:rPr>
        <w:outlineLvl w:val="0"/>
      </w:pPr>
      <w:r/>
      <w:bookmarkStart w:id="656" w:name="_Toc24431"/>
      <w:r>
        <w:rPr>
          <w:b/>
          <w:color w:val="000000"/>
          <w:sz w:val="36"/>
          <w:szCs w:val="36"/>
        </w:rPr>
        <w:t xml:space="preserve">第六章   响应文件格式</w:t>
      </w:r>
      <w:bookmarkEnd w:id="655"/>
      <w:r/>
      <w:bookmarkEnd w:id="656"/>
      <w:r>
        <w:rPr>
          <w:b/>
          <w:color w:val="000000"/>
          <w:sz w:val="36"/>
          <w:szCs w:val="36"/>
        </w:rPr>
      </w:r>
      <w:r/>
    </w:p>
    <w:p>
      <w:pPr>
        <w:pStyle w:val="1126"/>
        <w:jc w:val="left"/>
        <w:spacing w:line="360" w:lineRule="auto"/>
        <w:widowControl/>
        <w:rPr>
          <w:b/>
          <w:color w:val="000000"/>
          <w:sz w:val="24"/>
        </w:rPr>
      </w:pPr>
      <w:r>
        <w:rPr>
          <w:b/>
          <w:color w:val="000000"/>
          <w:sz w:val="24"/>
        </w:rPr>
      </w:r>
      <w:r/>
    </w:p>
    <w:p>
      <w:pPr>
        <w:pStyle w:val="1126"/>
        <w:jc w:val="left"/>
        <w:spacing w:line="360" w:lineRule="auto"/>
        <w:widowControl/>
        <w:rPr>
          <w:b/>
          <w:color w:val="000000"/>
          <w:sz w:val="24"/>
        </w:rPr>
      </w:pPr>
      <w:r>
        <w:rPr>
          <w:b/>
          <w:color w:val="000000"/>
          <w:sz w:val="24"/>
        </w:rPr>
      </w:r>
      <w:r/>
    </w:p>
    <w:p>
      <w:pPr>
        <w:pStyle w:val="1126"/>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1126"/>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rPr>
          <w:color w:val="000000"/>
          <w:sz w:val="24"/>
        </w:rPr>
      </w:r>
      <w:r/>
    </w:p>
    <w:p>
      <w:pPr>
        <w:pStyle w:val="1126"/>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1126"/>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rPr>
          <w:color w:val="000000"/>
          <w:sz w:val="24"/>
        </w:rPr>
      </w:r>
      <w:r/>
    </w:p>
    <w:p>
      <w:pPr>
        <w:pStyle w:val="1126"/>
        <w:ind w:left="142"/>
        <w:spacing w:line="360" w:lineRule="auto"/>
        <w:tabs>
          <w:tab w:val="left" w:pos="900" w:leader="none"/>
          <w:tab w:val="left" w:pos="1980" w:leader="none"/>
        </w:tabs>
        <w:rPr>
          <w:color w:val="000000"/>
          <w:sz w:val="24"/>
        </w:rPr>
      </w:pPr>
      <w:r>
        <w:rPr>
          <w:rFonts w:hint="eastAsia"/>
          <w:color w:val="000000"/>
          <w:sz w:val="24"/>
        </w:rPr>
        <w:t xml:space="preserve">4、按照磋商文件要求，加盖公章、签名。</w:t>
      </w:r>
      <w:r>
        <w:rPr>
          <w:color w:val="000000"/>
          <w:sz w:val="24"/>
        </w:rPr>
      </w:r>
      <w:r/>
    </w:p>
    <w:p>
      <w:pPr>
        <w:pStyle w:val="1126"/>
        <w:jc w:val="left"/>
        <w:widowControl/>
        <w:rPr>
          <w:color w:val="000000"/>
          <w:sz w:val="24"/>
        </w:rPr>
      </w:pPr>
      <w:r>
        <w:rPr>
          <w:color w:val="000000"/>
          <w:sz w:val="24"/>
        </w:rPr>
        <w:br w:type="page" w:clear="all"/>
      </w:r>
      <w:r>
        <w:rPr>
          <w:color w:val="000000"/>
          <w:sz w:val="24"/>
        </w:rPr>
      </w:r>
      <w:r/>
    </w:p>
    <w:p>
      <w:pPr>
        <w:pStyle w:val="1126"/>
        <w:rPr>
          <w:b/>
          <w:color w:val="000000"/>
          <w:spacing w:val="20"/>
          <w:szCs w:val="21"/>
        </w:rPr>
      </w:pPr>
      <w:r>
        <w:rPr>
          <w:b/>
          <w:color w:val="000000"/>
          <w:spacing w:val="20"/>
          <w:szCs w:val="21"/>
        </w:rPr>
      </w:r>
      <w:r/>
    </w:p>
    <w:p>
      <w:pPr>
        <w:pStyle w:val="1126"/>
        <w:rPr>
          <w:b/>
          <w:color w:val="000000"/>
          <w:sz w:val="24"/>
        </w:rPr>
      </w:pPr>
      <w:r>
        <w:rPr>
          <w:b/>
          <w:color w:val="000000"/>
          <w:spacing w:val="20"/>
          <w:sz w:val="24"/>
        </w:rPr>
        <w:t xml:space="preserve">响应文件</w:t>
      </w:r>
      <w:r>
        <w:rPr>
          <w:b/>
          <w:color w:val="000000"/>
          <w:sz w:val="24"/>
        </w:rPr>
        <w:t xml:space="preserve">封面（非实质性格式）</w:t>
      </w:r>
      <w:r>
        <w:rPr>
          <w:b/>
          <w:color w:val="000000"/>
          <w:sz w:val="24"/>
        </w:rPr>
      </w:r>
      <w:r/>
    </w:p>
    <w:p>
      <w:pPr>
        <w:pStyle w:val="1126"/>
        <w:jc w:val="center"/>
        <w:rPr>
          <w:color w:val="000000"/>
          <w:szCs w:val="21"/>
        </w:rPr>
      </w:pPr>
      <w:r>
        <w:rPr>
          <w:color w:val="000000"/>
          <w:szCs w:val="21"/>
        </w:rPr>
      </w:r>
      <w:r/>
    </w:p>
    <w:p>
      <w:pPr>
        <w:pStyle w:val="1126"/>
        <w:jc w:val="center"/>
        <w:rPr>
          <w:b/>
          <w:color w:val="000000"/>
          <w:spacing w:val="60"/>
          <w:sz w:val="84"/>
          <w:szCs w:val="84"/>
        </w:rPr>
      </w:pPr>
      <w:r>
        <w:rPr>
          <w:b/>
          <w:color w:val="000000"/>
          <w:spacing w:val="60"/>
          <w:sz w:val="84"/>
          <w:szCs w:val="84"/>
        </w:rPr>
        <w:t xml:space="preserve">响 应 文 件</w:t>
      </w:r>
      <w:r>
        <w:rPr>
          <w:b/>
          <w:color w:val="000000"/>
          <w:spacing w:val="60"/>
          <w:sz w:val="84"/>
          <w:szCs w:val="84"/>
        </w:rPr>
      </w:r>
      <w:r/>
    </w:p>
    <w:p>
      <w:pPr>
        <w:pStyle w:val="1126"/>
        <w:jc w:val="center"/>
        <w:rPr>
          <w:b/>
          <w:color w:val="000000"/>
          <w:spacing w:val="60"/>
          <w:sz w:val="52"/>
          <w:szCs w:val="52"/>
        </w:rPr>
      </w:pPr>
      <w:r>
        <w:rPr>
          <w:b/>
          <w:color w:val="000000"/>
          <w:spacing w:val="60"/>
          <w:sz w:val="52"/>
          <w:szCs w:val="52"/>
        </w:rPr>
      </w:r>
      <w:r/>
    </w:p>
    <w:p>
      <w:pPr>
        <w:pStyle w:val="1126"/>
        <w:ind w:firstLine="542"/>
        <w:rPr>
          <w:b/>
          <w:color w:val="000000"/>
          <w:spacing w:val="20"/>
          <w:sz w:val="32"/>
          <w:szCs w:val="32"/>
        </w:rPr>
      </w:pPr>
      <w:r>
        <w:rPr>
          <w:b/>
          <w:color w:val="000000"/>
          <w:spacing w:val="20"/>
          <w:sz w:val="32"/>
          <w:szCs w:val="32"/>
        </w:rPr>
      </w:r>
      <w:r/>
    </w:p>
    <w:p>
      <w:pPr>
        <w:pStyle w:val="1126"/>
        <w:ind w:firstLine="542"/>
        <w:rPr>
          <w:b/>
          <w:color w:val="000000"/>
          <w:spacing w:val="20"/>
          <w:sz w:val="32"/>
          <w:szCs w:val="32"/>
        </w:rPr>
      </w:pPr>
      <w:r>
        <w:rPr>
          <w:b/>
          <w:color w:val="000000"/>
          <w:spacing w:val="20"/>
          <w:sz w:val="32"/>
          <w:szCs w:val="32"/>
        </w:rPr>
      </w:r>
      <w:r/>
    </w:p>
    <w:p>
      <w:pPr>
        <w:pStyle w:val="1126"/>
        <w:ind w:firstLine="1084"/>
        <w:rPr>
          <w:rFonts w:ascii="宋体" w:hAnsi="宋体"/>
          <w:b/>
          <w:color w:val="000000"/>
          <w:sz w:val="36"/>
        </w:rPr>
      </w:pPr>
      <w:r>
        <w:rPr>
          <w:rFonts w:hint="eastAsia" w:ascii="宋体" w:hAnsi="宋体"/>
          <w:b/>
          <w:color w:val="000000"/>
          <w:sz w:val="36"/>
        </w:rPr>
        <w:t xml:space="preserve">项 目 名 称：</w:t>
      </w:r>
      <w:r>
        <w:rPr>
          <w:rFonts w:ascii="宋体" w:hAnsi="宋体"/>
          <w:b/>
          <w:color w:val="000000"/>
          <w:sz w:val="36"/>
        </w:rPr>
      </w:r>
      <w:r/>
    </w:p>
    <w:p>
      <w:pPr>
        <w:pStyle w:val="1126"/>
        <w:ind w:firstLine="1084"/>
        <w:rPr>
          <w:rFonts w:ascii="宋体" w:hAnsi="宋体"/>
          <w:b/>
          <w:color w:val="000000"/>
          <w:sz w:val="36"/>
          <w:u w:val="single"/>
        </w:rPr>
      </w:pPr>
      <w:r>
        <w:rPr>
          <w:rFonts w:hint="eastAsia" w:ascii="宋体" w:hAnsi="宋体"/>
          <w:b/>
          <w:color w:val="000000"/>
          <w:sz w:val="36"/>
        </w:rPr>
        <w:t xml:space="preserve">项 目 编 号：</w:t>
      </w:r>
      <w:r>
        <w:rPr>
          <w:rFonts w:ascii="宋体" w:hAnsi="宋体"/>
          <w:b/>
          <w:color w:val="000000"/>
          <w:sz w:val="36"/>
          <w:u w:val="single"/>
        </w:rPr>
      </w:r>
      <w:r/>
    </w:p>
    <w:p>
      <w:pPr>
        <w:pStyle w:val="1126"/>
        <w:rPr>
          <w:rFonts w:ascii="宋体" w:hAnsi="宋体"/>
          <w:b/>
          <w:color w:val="000000"/>
          <w:sz w:val="36"/>
          <w:u w:val="single"/>
        </w:rPr>
      </w:pPr>
      <w:r>
        <w:rPr>
          <w:rFonts w:hint="eastAsia" w:ascii="宋体" w:hAnsi="宋体"/>
          <w:b/>
          <w:color w:val="000000"/>
          <w:sz w:val="36"/>
        </w:rPr>
        <w:t xml:space="preserve">      供应商名称 ：</w:t>
      </w:r>
      <w:r>
        <w:rPr>
          <w:rFonts w:ascii="宋体" w:hAnsi="宋体"/>
          <w:b/>
          <w:color w:val="000000"/>
          <w:sz w:val="36"/>
          <w:u w:val="single"/>
        </w:rPr>
      </w:r>
      <w:r/>
    </w:p>
    <w:p>
      <w:pPr>
        <w:pStyle w:val="1126"/>
        <w:rPr>
          <w:rFonts w:ascii="宋体" w:hAnsi="宋体"/>
          <w:b/>
          <w:color w:val="000000"/>
          <w:sz w:val="36"/>
        </w:rPr>
      </w:pPr>
      <w:r>
        <w:rPr>
          <w:rFonts w:hint="eastAsia" w:ascii="宋体" w:hAnsi="宋体"/>
          <w:b/>
          <w:color w:val="000000"/>
          <w:sz w:val="36"/>
        </w:rPr>
        <w:t xml:space="preserve">      日      期 ：</w:t>
      </w:r>
      <w:r>
        <w:rPr>
          <w:rFonts w:ascii="宋体" w:hAnsi="宋体"/>
          <w:b/>
          <w:color w:val="000000"/>
          <w:sz w:val="36"/>
        </w:rPr>
      </w:r>
      <w:r/>
    </w:p>
    <w:p>
      <w:pPr>
        <w:pStyle w:val="1126"/>
        <w:jc w:val="center"/>
        <w:rPr>
          <w:b/>
          <w:color w:val="000000"/>
          <w:sz w:val="32"/>
          <w:szCs w:val="32"/>
        </w:rPr>
      </w:pPr>
      <w:r>
        <w:rPr>
          <w:b/>
          <w:color w:val="000000"/>
          <w:sz w:val="32"/>
          <w:szCs w:val="32"/>
        </w:rPr>
      </w:r>
      <w:r/>
    </w:p>
    <w:p>
      <w:pPr>
        <w:pStyle w:val="1126"/>
        <w:rPr>
          <w:b/>
          <w:color w:val="000000"/>
        </w:rPr>
      </w:pPr>
      <w:r>
        <w:rPr>
          <w:b/>
          <w:color w:val="000000"/>
          <w:spacing w:val="20"/>
          <w:sz w:val="32"/>
          <w:szCs w:val="32"/>
        </w:rPr>
        <w:br w:type="page" w:clear="all"/>
      </w:r>
      <w:r>
        <w:rPr>
          <w:b/>
          <w:color w:val="000000"/>
        </w:rPr>
      </w:r>
      <w:r/>
    </w:p>
    <w:p>
      <w:pPr>
        <w:pStyle w:val="1126"/>
        <w:rPr>
          <w:b/>
          <w:color w:val="000000"/>
        </w:rPr>
      </w:pPr>
      <w:r>
        <w:rPr>
          <w:b/>
          <w:color w:val="000000"/>
        </w:rPr>
      </w:r>
      <w:r/>
    </w:p>
    <w:p>
      <w:pPr>
        <w:pStyle w:val="1126"/>
        <w:spacing w:line="360" w:lineRule="auto"/>
        <w:rPr>
          <w:color w:val="000000"/>
          <w:sz w:val="24"/>
          <w:szCs w:val="20"/>
        </w:rPr>
        <w:outlineLvl w:val="2"/>
      </w:pPr>
      <w:r>
        <w:rPr>
          <w:color w:val="000000"/>
          <w:sz w:val="24"/>
          <w:szCs w:val="20"/>
        </w:rPr>
        <w:t xml:space="preserve">1 </w:t>
      </w:r>
      <w:r>
        <w:rPr>
          <w:color w:val="000000"/>
          <w:sz w:val="24"/>
        </w:rPr>
        <w:t xml:space="preserve">满足《中华人民共和国政府采购法》第二十二条规定及法律法规的其他规定</w:t>
      </w:r>
      <w:r>
        <w:rPr>
          <w:color w:val="000000"/>
          <w:sz w:val="24"/>
          <w:szCs w:val="20"/>
        </w:rPr>
      </w:r>
      <w:r/>
    </w:p>
    <w:p>
      <w:pPr>
        <w:pStyle w:val="1129"/>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1126"/>
        <w:jc w:val="center"/>
        <w:spacing w:before="120" w:line="360" w:lineRule="auto"/>
        <w:widowControl/>
        <w:rPr>
          <w:rFonts w:ascii="宋体" w:hAnsi="宋体" w:cs="宋体"/>
          <w:b/>
          <w:color w:val="000000"/>
          <w:sz w:val="28"/>
          <w:szCs w:val="28"/>
        </w:rPr>
      </w:pPr>
      <w:r>
        <w:rPr>
          <w:rFonts w:ascii="宋体" w:hAnsi="宋体" w:cs="宋体"/>
          <w:b/>
          <w:color w:val="000000"/>
          <w:sz w:val="28"/>
          <w:szCs w:val="28"/>
        </w:rPr>
      </w:r>
      <w:r/>
    </w:p>
    <w:p>
      <w:pPr>
        <w:pStyle w:val="1126"/>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供应商资格声明函</w:t>
      </w:r>
      <w:r>
        <w:rPr>
          <w:rFonts w:ascii="宋体" w:hAnsi="宋体" w:cs="宋体"/>
          <w:color w:val="000000"/>
          <w:szCs w:val="21"/>
        </w:rPr>
      </w:r>
      <w:r/>
    </w:p>
    <w:p>
      <w:pPr>
        <w:pStyle w:val="1141"/>
        <w:ind w:firstLine="480"/>
        <w:spacing w:line="460" w:lineRule="exact"/>
        <w:rPr>
          <w:color w:val="000000"/>
        </w:rPr>
      </w:pPr>
      <w:r>
        <w:rPr>
          <w:color w:val="000000"/>
        </w:rPr>
      </w:r>
      <w:r/>
    </w:p>
    <w:p>
      <w:pPr>
        <w:pStyle w:val="1141"/>
        <w:ind w:firstLine="480"/>
        <w:spacing w:line="460" w:lineRule="exact"/>
        <w:rPr>
          <w:color w:val="000000"/>
          <w:highlight w:val="none"/>
        </w:rPr>
      </w:pPr>
      <w:r>
        <w:rPr>
          <w:rFonts w:hint="eastAsia"/>
          <w:color w:val="000000"/>
          <w:highlight w:val="none"/>
        </w:rPr>
        <w:t xml:space="preserve">致：常州正衡招投标有限公司</w:t>
      </w:r>
      <w:r>
        <w:rPr>
          <w:color w:val="000000"/>
          <w:highlight w:val="none"/>
        </w:rPr>
      </w:r>
      <w:r/>
    </w:p>
    <w:p>
      <w:pPr>
        <w:pStyle w:val="1141"/>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141"/>
        <w:ind w:firstLine="480"/>
        <w:spacing w:line="460" w:lineRule="exact"/>
        <w:rPr>
          <w:color w:val="000000"/>
          <w:highlight w:val="none"/>
        </w:rPr>
      </w:pPr>
      <w:r>
        <w:rPr>
          <w:color w:val="000000"/>
          <w:highlight w:val="none"/>
        </w:rPr>
      </w:r>
      <w:r/>
    </w:p>
    <w:p>
      <w:pPr>
        <w:pStyle w:val="1141"/>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1141"/>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141"/>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1141"/>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1141"/>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1141"/>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141"/>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141"/>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141"/>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141"/>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1141"/>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1141"/>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41"/>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41"/>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41"/>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w:t>
      </w:r>
      <w:r>
        <w:rPr>
          <w:rFonts w:hint="eastAsia"/>
          <w:color w:val="000000"/>
          <w:highlight w:val="none"/>
        </w:rPr>
        <w:t xml:space="preserve">（或参与设计）</w:t>
      </w:r>
      <w:r>
        <w:rPr>
          <w:color w:val="000000"/>
          <w:highlight w:val="none"/>
        </w:rPr>
        <w:t xml:space="preserve">、规范编制或者项目管理、监理、检测等服务的供应商。</w:t>
      </w:r>
      <w:r>
        <w:rPr>
          <w:color w:val="000000"/>
          <w:highlight w:val="none"/>
        </w:rPr>
      </w:r>
      <w:r/>
    </w:p>
    <w:p>
      <w:pPr>
        <w:pStyle w:val="1141"/>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1141"/>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141"/>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141"/>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141"/>
        <w:ind w:firstLine="480"/>
        <w:spacing w:line="460" w:lineRule="exact"/>
        <w:rPr>
          <w:color w:val="000000"/>
          <w:highlight w:val="none"/>
        </w:rPr>
      </w:pPr>
      <w:r>
        <w:rPr>
          <w:color w:val="000000"/>
          <w:highlight w:val="none"/>
        </w:rPr>
      </w:r>
      <w:r/>
    </w:p>
    <w:p>
      <w:pPr>
        <w:pStyle w:val="1141"/>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141"/>
        <w:ind w:firstLine="480"/>
        <w:spacing w:line="460" w:lineRule="exact"/>
        <w:rPr>
          <w:color w:val="000000"/>
          <w:highlight w:val="none"/>
        </w:rPr>
      </w:pPr>
      <w:r>
        <w:rPr>
          <w:color w:val="000000"/>
          <w:highlight w:val="none"/>
        </w:rPr>
      </w:r>
      <w:r/>
    </w:p>
    <w:p>
      <w:pPr>
        <w:pStyle w:val="1141"/>
        <w:ind w:firstLine="480"/>
        <w:spacing w:line="460" w:lineRule="exact"/>
        <w:rPr>
          <w:color w:val="000000"/>
          <w:highlight w:val="none"/>
        </w:rPr>
      </w:pPr>
      <w:r>
        <w:rPr>
          <w:color w:val="000000"/>
          <w:highlight w:val="none"/>
        </w:rPr>
      </w:r>
      <w:r/>
    </w:p>
    <w:p>
      <w:pPr>
        <w:pStyle w:val="1141"/>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1141"/>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141"/>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126"/>
        <w:spacing w:line="360" w:lineRule="auto"/>
        <w:rPr>
          <w:rFonts w:hint="eastAsia"/>
          <w:color w:val="000000"/>
          <w:sz w:val="24"/>
          <w:highlight w:val="none"/>
        </w:rPr>
      </w:pPr>
      <w:r>
        <w:rPr>
          <w:rFonts w:hint="eastAsia"/>
          <w:color w:val="000000"/>
          <w:sz w:val="24"/>
          <w:highlight w:val="none"/>
        </w:rPr>
      </w:r>
      <w:r/>
    </w:p>
    <w:p>
      <w:pPr>
        <w:pStyle w:val="1126"/>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126"/>
        <w:spacing w:line="360" w:lineRule="auto"/>
        <w:rPr>
          <w:rFonts w:hint="eastAsia" w:eastAsia="宋体"/>
          <w:color w:val="000000"/>
          <w:sz w:val="24"/>
          <w:lang w:val="en-US" w:eastAsia="zh-CN"/>
        </w:rPr>
        <w:outlineLvl w:val="2"/>
      </w:pPr>
      <w:r>
        <w:rPr>
          <w:color w:val="000000"/>
        </w:rPr>
        <w:br w:type="page" w:clear="all"/>
      </w:r>
      <w:r>
        <w:rPr>
          <w:rFonts w:hint="eastAsia"/>
          <w:color w:val="000000"/>
          <w:sz w:val="24"/>
        </w:rPr>
        <w:t xml:space="preserve">1-2营业执照</w:t>
      </w:r>
      <w:r>
        <w:rPr>
          <w:rFonts w:hint="eastAsia"/>
          <w:color w:val="000000"/>
          <w:sz w:val="24"/>
          <w:lang w:val="en-US" w:eastAsia="zh-CN"/>
        </w:rPr>
        <w:t xml:space="preserve">副本</w:t>
      </w:r>
      <w:r>
        <w:rPr>
          <w:color w:val="000000"/>
          <w:sz w:val="24"/>
          <w:szCs w:val="20"/>
        </w:rPr>
        <w:t xml:space="preserve">（实质性格式）</w:t>
      </w:r>
      <w:r>
        <w:rPr>
          <w:rFonts w:hint="eastAsia" w:eastAsia="宋体"/>
          <w:color w:val="000000"/>
          <w:sz w:val="24"/>
          <w:lang w:val="en-US" w:eastAsia="zh-CN"/>
        </w:rPr>
      </w:r>
      <w:r/>
    </w:p>
    <w:p>
      <w:pPr>
        <w:pStyle w:val="1126"/>
        <w:spacing w:line="360" w:lineRule="auto"/>
        <w:rPr>
          <w:rFonts w:hint="eastAsia" w:ascii="宋体" w:hAnsi="宋体" w:cs="宋体"/>
          <w:i/>
          <w:iCs/>
          <w:color w:val="000000"/>
          <w:sz w:val="24"/>
          <w:highlight w:val="none"/>
          <w:u w:val="single"/>
        </w:rPr>
      </w:pPr>
      <w:r>
        <w:rPr>
          <w:rFonts w:hint="eastAsia" w:ascii="宋体" w:hAnsi="宋体" w:cs="宋体"/>
          <w:i/>
          <w:iCs/>
          <w:color w:val="000000"/>
          <w:sz w:val="24"/>
          <w:highlight w:val="none"/>
          <w:u w:val="single"/>
        </w:rPr>
      </w:r>
      <w:r/>
    </w:p>
    <w:p>
      <w:pPr>
        <w:pStyle w:val="1126"/>
        <w:ind w:right="1560"/>
        <w:jc w:val="both"/>
        <w:spacing w:line="588" w:lineRule="exact"/>
        <w:tabs>
          <w:tab w:val="left" w:pos="4860" w:leader="none"/>
        </w:tabs>
        <w:rPr>
          <w:rFonts w:hint="eastAsia" w:ascii="宋体" w:hAnsi="宋体" w:cs="宋体"/>
          <w:color w:val="000000"/>
          <w:sz w:val="24"/>
          <w:lang w:eastAsia="zh-CN"/>
        </w:rPr>
      </w:pPr>
      <w:r>
        <w:rPr>
          <w:rFonts w:hint="eastAsia" w:ascii="宋体" w:hAnsi="宋体" w:cs="宋体"/>
          <w:color w:val="000000"/>
          <w:sz w:val="24"/>
          <w:lang w:val="en-US" w:eastAsia="zh-CN"/>
        </w:rPr>
        <w:t xml:space="preserve">如是事业单位则提供</w:t>
      </w:r>
      <w:r>
        <w:rPr>
          <w:rFonts w:hint="eastAsia" w:ascii="宋体" w:hAnsi="宋体" w:cs="宋体"/>
          <w:color w:val="000000"/>
          <w:sz w:val="24"/>
          <w:lang w:eastAsia="zh-CN"/>
        </w:rPr>
        <w:t xml:space="preserve">《</w:t>
      </w:r>
      <w:r>
        <w:rPr>
          <w:rFonts w:hint="eastAsia" w:ascii="宋体" w:hAnsi="宋体" w:cs="宋体"/>
          <w:color w:val="000000"/>
          <w:sz w:val="24"/>
        </w:rPr>
        <w:t xml:space="preserve">事业单位法人证书</w:t>
      </w:r>
      <w:r>
        <w:rPr>
          <w:rFonts w:hint="eastAsia" w:ascii="宋体" w:hAnsi="宋体" w:cs="宋体"/>
          <w:color w:val="000000"/>
          <w:sz w:val="24"/>
          <w:lang w:eastAsia="zh-CN"/>
        </w:rPr>
        <w:t xml:space="preserve">》</w:t>
      </w:r>
      <w:r>
        <w:rPr>
          <w:rFonts w:hint="eastAsia" w:ascii="宋体" w:hAnsi="宋体" w:cs="宋体"/>
          <w:color w:val="000000"/>
          <w:sz w:val="24"/>
          <w:lang w:eastAsia="zh-CN"/>
        </w:rPr>
      </w:r>
      <w:r/>
    </w:p>
    <w:p>
      <w:pPr>
        <w:pStyle w:val="1126"/>
        <w:jc w:val="left"/>
        <w:widowControl/>
        <w:rPr>
          <w:color w:val="000000"/>
          <w:sz w:val="24"/>
          <w:szCs w:val="20"/>
        </w:rPr>
      </w:pPr>
      <w:r>
        <w:rPr>
          <w:rFonts w:hint="eastAsia" w:ascii="宋体" w:hAnsi="宋体" w:cs="宋体"/>
          <w:color w:val="000000"/>
          <w:sz w:val="24"/>
          <w:lang w:eastAsia="zh-CN"/>
        </w:rPr>
        <w:br w:type="page" w:clear="all"/>
      </w:r>
      <w:r>
        <w:rPr>
          <w:rFonts w:hint="eastAsia" w:ascii="Times New Roman" w:hAnsi="Times New Roman" w:eastAsia="宋体" w:cs="Times New Roman"/>
          <w:color w:val="000000"/>
          <w:sz w:val="24"/>
          <w:lang w:val="en-US" w:eastAsia="zh-CN"/>
        </w:rPr>
        <w:t xml:space="preserve">1-3  </w:t>
      </w:r>
      <w:r>
        <w:rPr>
          <w:rFonts w:ascii="Times New Roman" w:hAnsi="Times New Roman" w:eastAsia="宋体" w:cs="Times New Roman"/>
          <w:color w:val="000000"/>
          <w:sz w:val="24"/>
        </w:rPr>
        <w:t xml:space="preserve">本项目</w:t>
      </w:r>
      <w:r>
        <w:rPr>
          <w:color w:val="000000"/>
          <w:sz w:val="24"/>
        </w:rPr>
        <w:t xml:space="preserve">的特定资格要求</w:t>
      </w:r>
      <w:r>
        <w:rPr>
          <w:color w:val="000000"/>
          <w:sz w:val="24"/>
          <w:szCs w:val="20"/>
        </w:rPr>
        <w:t xml:space="preserve">（如有）</w:t>
      </w:r>
      <w:r>
        <w:rPr>
          <w:color w:val="000000"/>
          <w:sz w:val="24"/>
          <w:szCs w:val="20"/>
        </w:rPr>
      </w:r>
      <w:r/>
    </w:p>
    <w:p>
      <w:pPr>
        <w:pStyle w:val="1126"/>
        <w:spacing w:line="360" w:lineRule="auto"/>
      </w:pPr>
      <w:r>
        <w:rPr>
          <w:sz w:val="24"/>
        </w:rPr>
        <w:br w:type="page" w:clear="all"/>
      </w:r>
      <w:r/>
    </w:p>
    <w:p>
      <w:pPr>
        <w:pStyle w:val="1126"/>
        <w:jc w:val="left"/>
        <w:widowControl/>
        <w:rPr>
          <w:color w:val="000000"/>
          <w:sz w:val="24"/>
        </w:rPr>
      </w:pPr>
      <w:r>
        <w:rPr>
          <w:color w:val="000000"/>
          <w:sz w:val="24"/>
        </w:rPr>
      </w:r>
      <w:r/>
    </w:p>
    <w:p>
      <w:pPr>
        <w:pStyle w:val="1126"/>
        <w:spacing w:line="360" w:lineRule="auto"/>
        <w:rPr>
          <w:color w:val="000000"/>
          <w:sz w:val="24"/>
          <w:szCs w:val="20"/>
        </w:rPr>
        <w:outlineLvl w:val="2"/>
      </w:pPr>
      <w:r/>
      <w:bookmarkStart w:id="657" w:name="_Toc305158825"/>
      <w:r/>
      <w:bookmarkStart w:id="658" w:name="_Toc127151557"/>
      <w:r/>
      <w:bookmarkStart w:id="659" w:name="_Toc480942350"/>
      <w:r/>
      <w:bookmarkStart w:id="660" w:name="_Toc520356218"/>
      <w:r/>
      <w:bookmarkStart w:id="661" w:name="_Toc305158899"/>
      <w:r/>
      <w:bookmarkStart w:id="662" w:name="_Toc142311059"/>
      <w:r/>
      <w:bookmarkStart w:id="663" w:name="_Toc150480795"/>
      <w:r/>
      <w:bookmarkStart w:id="664" w:name="_Toc226337253"/>
      <w:r/>
      <w:bookmarkStart w:id="665" w:name="_Toc265228395"/>
      <w:r/>
      <w:bookmarkStart w:id="666" w:name="_Toc226965830"/>
      <w:r/>
      <w:bookmarkStart w:id="667" w:name="_Ref467988705"/>
      <w:r/>
      <w:bookmarkStart w:id="668" w:name="_Toc226965747"/>
      <w:r/>
      <w:bookmarkStart w:id="669" w:name="_Toc195842922"/>
      <w:r/>
      <w:bookmarkStart w:id="670" w:name="_Toc264969247"/>
      <w:r/>
      <w:bookmarkStart w:id="671" w:name="_Toc150774762"/>
      <w:r/>
      <w:bookmarkStart w:id="672" w:name="_Toc226309801"/>
      <w:r>
        <w:rPr>
          <w:rFonts w:hint="eastAsia"/>
          <w:color w:val="000000"/>
          <w:sz w:val="24"/>
          <w:lang w:val="en-US" w:eastAsia="zh-CN"/>
        </w:rPr>
        <w:t xml:space="preserve">2</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1126"/>
        <w:spacing w:line="360" w:lineRule="auto"/>
        <w:tabs>
          <w:tab w:val="left" w:pos="5580" w:leader="none"/>
        </w:tabs>
        <w:rPr>
          <w:color w:val="000000"/>
          <w:sz w:val="24"/>
        </w:rPr>
      </w:pPr>
      <w:r>
        <w:rPr>
          <w:color w:val="000000"/>
          <w:sz w:val="24"/>
        </w:rPr>
      </w:r>
      <w:r/>
    </w:p>
    <w:p>
      <w:pPr>
        <w:pStyle w:val="1126"/>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126"/>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126"/>
        <w:spacing w:line="360" w:lineRule="auto"/>
        <w:tabs>
          <w:tab w:val="left" w:pos="5580" w:leader="none"/>
        </w:tabs>
        <w:rPr>
          <w:color w:val="000000"/>
          <w:sz w:val="24"/>
          <w:szCs w:val="20"/>
        </w:rPr>
      </w:pPr>
      <w:r>
        <w:rPr>
          <w:color w:val="000000"/>
          <w:sz w:val="24"/>
          <w:szCs w:val="20"/>
        </w:rPr>
      </w:r>
      <w:r/>
    </w:p>
    <w:p>
      <w:pPr>
        <w:pStyle w:val="1126"/>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126"/>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126"/>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color w:val="000000"/>
          <w:sz w:val="24"/>
        </w:rPr>
        <w:t xml:space="preserve">60</w:t>
      </w:r>
      <w:r>
        <w:rPr>
          <w:color w:val="000000"/>
          <w:sz w:val="24"/>
          <w:szCs w:val="20"/>
        </w:rPr>
        <w:t xml:space="preserve">个日历日。</w:t>
      </w:r>
      <w:r>
        <w:rPr>
          <w:color w:val="000000"/>
          <w:sz w:val="24"/>
          <w:szCs w:val="20"/>
        </w:rPr>
      </w:r>
      <w:r/>
    </w:p>
    <w:p>
      <w:pPr>
        <w:pStyle w:val="1126"/>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126"/>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126"/>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126"/>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126"/>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126"/>
        <w:ind w:left="420"/>
        <w:spacing w:line="360" w:lineRule="auto"/>
        <w:tabs>
          <w:tab w:val="left" w:pos="5580" w:leader="none"/>
        </w:tabs>
        <w:rPr>
          <w:color w:val="000000"/>
          <w:sz w:val="24"/>
          <w:szCs w:val="20"/>
        </w:rPr>
      </w:pPr>
      <w:r>
        <w:rPr>
          <w:color w:val="000000"/>
          <w:sz w:val="24"/>
          <w:szCs w:val="20"/>
        </w:rPr>
      </w:r>
      <w:r/>
    </w:p>
    <w:p>
      <w:pPr>
        <w:pStyle w:val="1126"/>
        <w:ind w:left="420"/>
        <w:spacing w:line="360" w:lineRule="auto"/>
        <w:tabs>
          <w:tab w:val="left" w:pos="5580" w:leader="none"/>
        </w:tabs>
        <w:rPr>
          <w:color w:val="000000"/>
          <w:sz w:val="24"/>
          <w:szCs w:val="20"/>
        </w:rPr>
      </w:pPr>
      <w:r>
        <w:rPr>
          <w:color w:val="000000"/>
          <w:sz w:val="24"/>
          <w:szCs w:val="20"/>
        </w:rPr>
        <w:t xml:space="preserve">地址_________________________     </w:t>
      </w:r>
      <w:r>
        <w:rPr>
          <w:color w:val="000000"/>
          <w:sz w:val="24"/>
          <w:szCs w:val="20"/>
        </w:rPr>
      </w:r>
      <w:r/>
    </w:p>
    <w:p>
      <w:pPr>
        <w:pStyle w:val="1126"/>
        <w:ind w:left="420"/>
        <w:spacing w:line="360" w:lineRule="auto"/>
        <w:tabs>
          <w:tab w:val="left" w:pos="5580" w:leader="none"/>
        </w:tabs>
        <w:rPr>
          <w:color w:val="000000"/>
          <w:sz w:val="24"/>
          <w:szCs w:val="20"/>
        </w:rPr>
      </w:pPr>
      <w:r>
        <w:rPr>
          <w:color w:val="000000"/>
          <w:sz w:val="24"/>
          <w:szCs w:val="20"/>
        </w:rPr>
        <w:t xml:space="preserve">传真____________________________</w:t>
      </w:r>
      <w:r>
        <w:rPr>
          <w:color w:val="000000"/>
          <w:sz w:val="24"/>
          <w:szCs w:val="20"/>
        </w:rPr>
      </w:r>
      <w:r/>
    </w:p>
    <w:p>
      <w:pPr>
        <w:pStyle w:val="1126"/>
        <w:ind w:left="420"/>
        <w:spacing w:line="360" w:lineRule="auto"/>
        <w:tabs>
          <w:tab w:val="left" w:pos="5580" w:leader="none"/>
        </w:tabs>
        <w:rPr>
          <w:color w:val="000000"/>
          <w:sz w:val="24"/>
          <w:szCs w:val="20"/>
        </w:rPr>
      </w:pPr>
      <w:r>
        <w:rPr>
          <w:color w:val="000000"/>
          <w:sz w:val="24"/>
          <w:szCs w:val="20"/>
        </w:rPr>
        <w:t xml:space="preserve">电话_________________________     </w:t>
      </w:r>
      <w:r>
        <w:rPr>
          <w:color w:val="000000"/>
          <w:sz w:val="24"/>
          <w:szCs w:val="20"/>
        </w:rPr>
      </w:r>
      <w:r/>
    </w:p>
    <w:p>
      <w:pPr>
        <w:pStyle w:val="1126"/>
        <w:ind w:left="420"/>
        <w:spacing w:line="360" w:lineRule="auto"/>
        <w:tabs>
          <w:tab w:val="left" w:pos="5580" w:leader="none"/>
        </w:tabs>
        <w:rPr>
          <w:color w:val="000000"/>
          <w:sz w:val="24"/>
          <w:szCs w:val="20"/>
        </w:rPr>
      </w:pPr>
      <w:r>
        <w:rPr>
          <w:color w:val="000000"/>
          <w:sz w:val="24"/>
          <w:szCs w:val="20"/>
        </w:rPr>
        <w:t xml:space="preserve">电子函件________________________</w:t>
      </w:r>
      <w:r>
        <w:rPr>
          <w:color w:val="000000"/>
          <w:sz w:val="24"/>
          <w:szCs w:val="20"/>
        </w:rPr>
      </w:r>
      <w:r/>
    </w:p>
    <w:p>
      <w:pPr>
        <w:pStyle w:val="1126"/>
        <w:ind w:left="420"/>
        <w:spacing w:line="360" w:lineRule="auto"/>
        <w:tabs>
          <w:tab w:val="left" w:pos="5580" w:leader="none"/>
        </w:tabs>
        <w:rPr>
          <w:color w:val="000000"/>
          <w:sz w:val="24"/>
          <w:szCs w:val="20"/>
        </w:rPr>
      </w:pPr>
      <w:r>
        <w:rPr>
          <w:color w:val="000000"/>
          <w:sz w:val="24"/>
          <w:szCs w:val="20"/>
        </w:rPr>
      </w:r>
      <w:r/>
    </w:p>
    <w:p>
      <w:pPr>
        <w:pStyle w:val="1126"/>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126"/>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126"/>
        <w:ind w:left="420"/>
        <w:spacing w:line="360" w:lineRule="auto"/>
        <w:tabs>
          <w:tab w:val="left" w:pos="5580" w:leader="none"/>
        </w:tabs>
        <w:rPr>
          <w:color w:val="000000"/>
          <w:sz w:val="24"/>
          <w:szCs w:val="20"/>
          <w:u w:val="single"/>
        </w:rPr>
      </w:pPr>
      <w:r>
        <w:rPr>
          <w:color w:val="000000"/>
          <w:sz w:val="24"/>
          <w:szCs w:val="20"/>
          <w:u w:val="single"/>
        </w:rPr>
      </w:r>
      <w:r/>
    </w:p>
    <w:p>
      <w:pPr>
        <w:pStyle w:val="1126"/>
        <w:jc w:val="left"/>
        <w:widowControl/>
        <w:rPr>
          <w:color w:val="000000"/>
          <w:sz w:val="24"/>
        </w:rPr>
      </w:pPr>
      <w:r/>
      <w:bookmarkStart w:id="673" w:name="_Hlt520356243"/>
      <w:r/>
      <w:bookmarkEnd w:id="673"/>
      <w:r/>
      <w:bookmarkStart w:id="674" w:name="_Hlt520355938"/>
      <w:r/>
      <w:bookmarkEnd w:id="674"/>
      <w:r>
        <w:rPr>
          <w:color w:val="000000"/>
          <w:sz w:val="24"/>
        </w:rPr>
        <w:br w:type="page" w:clear="all"/>
      </w:r>
      <w:r>
        <w:rPr>
          <w:color w:val="000000"/>
          <w:sz w:val="24"/>
        </w:rPr>
      </w:r>
      <w:r/>
    </w:p>
    <w:p>
      <w:pPr>
        <w:pStyle w:val="1126"/>
        <w:jc w:val="left"/>
        <w:widowControl/>
        <w:rPr>
          <w:color w:val="000000"/>
          <w:sz w:val="24"/>
        </w:rPr>
      </w:pPr>
      <w:r>
        <w:rPr>
          <w:rFonts w:hint="eastAsia"/>
          <w:color w:val="000000"/>
          <w:sz w:val="24"/>
          <w:lang w:val="en-US" w:eastAsia="zh-CN"/>
        </w:rPr>
        <w:t xml:space="preserve">3</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color w:val="000000"/>
          <w:sz w:val="24"/>
        </w:rPr>
      </w:r>
      <w:r/>
    </w:p>
    <w:p>
      <w:pPr>
        <w:pStyle w:val="1126"/>
        <w:jc w:val="center"/>
        <w:spacing w:line="360" w:lineRule="auto"/>
        <w:rPr>
          <w:rFonts w:ascii="宋体" w:hAnsi="宋体"/>
          <w:b/>
          <w:color w:val="000000"/>
          <w:sz w:val="32"/>
          <w:szCs w:val="32"/>
        </w:rPr>
      </w:pPr>
      <w:r>
        <w:rPr>
          <w:rFonts w:ascii="宋体" w:hAnsi="宋体"/>
          <w:b/>
          <w:color w:val="000000"/>
          <w:sz w:val="32"/>
          <w:szCs w:val="32"/>
        </w:rPr>
      </w:r>
      <w:r/>
    </w:p>
    <w:p>
      <w:pPr>
        <w:pStyle w:val="1126"/>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1126"/>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1126"/>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1126"/>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1126"/>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（供应商名称）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上述项目的响应文件、进行合同磋商、签署合同和处理与之有关的一切事务。</w:t>
      </w:r>
      <w:r>
        <w:rPr>
          <w:rFonts w:ascii="宋体" w:hAnsi="宋体"/>
          <w:color w:val="000000"/>
          <w:sz w:val="24"/>
        </w:rPr>
      </w:r>
      <w:r/>
    </w:p>
    <w:p>
      <w:pPr>
        <w:pStyle w:val="1126"/>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126"/>
        <w:spacing w:line="560" w:lineRule="exact"/>
        <w:rPr>
          <w:rFonts w:ascii="宋体" w:hAnsi="宋体"/>
          <w:color w:val="000000"/>
          <w:sz w:val="24"/>
        </w:rPr>
      </w:pPr>
      <w:r>
        <w:rPr>
          <w:rFonts w:ascii="宋体" w:hAnsi="宋体"/>
          <w:color w:val="000000"/>
          <w:sz w:val="24"/>
        </w:rPr>
      </w:r>
      <w:r/>
    </w:p>
    <w:p>
      <w:pPr>
        <w:pStyle w:val="1159"/>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2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12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126"/>
        <w:spacing w:line="560" w:lineRule="exact"/>
        <w:rPr>
          <w:rFonts w:ascii="宋体" w:hAnsi="宋体"/>
          <w:color w:val="000000"/>
          <w:sz w:val="24"/>
        </w:rPr>
      </w:pPr>
      <w:r>
        <w:rPr>
          <w:rFonts w:hint="eastAsia" w:ascii="宋体" w:hAnsi="宋体"/>
          <w:color w:val="000000"/>
          <w:sz w:val="24"/>
        </w:rPr>
        <w:t xml:space="preserve">                     供应商：（加盖公章）</w:t>
      </w:r>
      <w:r>
        <w:rPr>
          <w:rFonts w:ascii="宋体" w:hAnsi="宋体"/>
          <w:color w:val="000000"/>
          <w:sz w:val="24"/>
        </w:rPr>
      </w:r>
      <w:r/>
    </w:p>
    <w:p>
      <w:pPr>
        <w:pStyle w:val="1141"/>
        <w:ind w:firstLine="480"/>
        <w:spacing w:line="460" w:lineRule="exact"/>
        <w:rPr>
          <w:color w:val="000000"/>
        </w:rPr>
      </w:pPr>
      <w:r>
        <w:rPr>
          <w:rFonts w:hint="eastAsia" w:hAnsi="宋体"/>
          <w:color w:val="000000"/>
        </w:rPr>
        <w:t xml:space="preserve">                   </w:t>
      </w:r>
      <w:r>
        <w:rPr>
          <w:rFonts w:hint="eastAsia"/>
          <w:color w:val="000000"/>
        </w:rPr>
        <w:t xml:space="preserve">法定代表人签字或盖章：</w:t>
      </w:r>
      <w:r>
        <w:rPr>
          <w:color w:val="000000"/>
        </w:rPr>
      </w:r>
      <w:r/>
    </w:p>
    <w:p>
      <w:pPr>
        <w:pStyle w:val="1126"/>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126"/>
        <w:jc w:val="left"/>
        <w:widowControl/>
        <w:rPr>
          <w:color w:val="000000"/>
          <w:sz w:val="24"/>
        </w:rPr>
      </w:pPr>
      <w:r>
        <w:rPr>
          <w:color w:val="000000"/>
          <w:sz w:val="24"/>
        </w:rPr>
      </w:r>
      <w:r/>
    </w:p>
    <w:p>
      <w:pPr>
        <w:pStyle w:val="1126"/>
        <w:jc w:val="left"/>
        <w:widowControl/>
        <w:rPr>
          <w:color w:val="000000"/>
          <w:sz w:val="24"/>
        </w:rPr>
      </w:pPr>
      <w:r>
        <w:rPr>
          <w:color w:val="000000"/>
          <w:sz w:val="24"/>
        </w:rPr>
      </w:r>
      <w:r/>
    </w:p>
    <w:p>
      <w:pPr>
        <w:pStyle w:val="1126"/>
        <w:jc w:val="left"/>
        <w:widowControl/>
        <w:rPr>
          <w:color w:val="000000"/>
          <w:sz w:val="24"/>
        </w:rPr>
      </w:pPr>
      <w:r>
        <w:rPr>
          <w:color w:val="000000"/>
          <w:sz w:val="24"/>
        </w:rPr>
      </w:r>
      <w:r/>
    </w:p>
    <w:p>
      <w:pPr>
        <w:pStyle w:val="112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126"/>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12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24"/>
          <w:szCs w:val="20"/>
        </w:rPr>
      </w:r>
      <w:r/>
    </w:p>
    <w:p>
      <w:pPr>
        <w:pStyle w:val="1126"/>
        <w:jc w:val="both"/>
        <w:spacing w:line="240" w:lineRule="atLeast"/>
        <w:rPr>
          <w:rFonts w:hint="eastAsia" w:ascii="宋体" w:hAnsi="宋体"/>
          <w:color w:val="000000"/>
          <w:sz w:val="24"/>
        </w:rPr>
      </w:pPr>
      <w:r>
        <w:rPr>
          <w:rFonts w:hint="eastAsia" w:ascii="宋体" w:hAnsi="宋体"/>
          <w:color w:val="000000"/>
          <w:sz w:val="24"/>
        </w:rPr>
      </w:r>
      <w:r/>
    </w:p>
    <w:p>
      <w:pPr>
        <w:pStyle w:val="1126"/>
        <w:jc w:val="left"/>
        <w:widowControl/>
        <w:rPr>
          <w:color w:val="000000"/>
          <w:sz w:val="24"/>
        </w:rPr>
      </w:pPr>
      <w:r>
        <w:rPr>
          <w:color w:val="000000"/>
          <w:sz w:val="24"/>
        </w:rPr>
      </w:r>
      <w:r/>
    </w:p>
    <w:p>
      <w:pPr>
        <w:pStyle w:val="1126"/>
        <w:jc w:val="center"/>
        <w:spacing w:line="240" w:lineRule="atLeas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授权委托书</w:t>
      </w:r>
      <w:r>
        <w:rPr>
          <w:rFonts w:hint="eastAsia" w:ascii="宋体" w:hAnsi="宋体" w:cs="宋体"/>
          <w:b/>
          <w:color w:val="000000"/>
          <w:sz w:val="32"/>
          <w:szCs w:val="32"/>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highlight w:val="none"/>
          <w:lang w:val="en-US" w:eastAsia="zh-CN"/>
        </w:rPr>
        <w:t xml:space="preserve">项目编号：    </w:t>
      </w:r>
      <w:r>
        <w:rPr>
          <w:rFonts w:hint="eastAsia" w:ascii="宋体" w:hAnsi="宋体" w:cs="宋体"/>
          <w:color w:val="000000"/>
          <w:sz w:val="24"/>
          <w:highlight w:val="none"/>
        </w:rPr>
        <w:t xml:space="preserve">）项目投标的合法代理人，全权负责参加本次政府采购项目的投标、签订合约以及与之相关的各项工作。本投标人对代理人的签名负全部责任。</w:t>
      </w: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本授权书于__________年_______月________日签字生效，特此声明。</w:t>
      </w: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法定代表人签字或盖章：             日期：</w:t>
      </w: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委托代理人签字或盖章：             日期：</w:t>
      </w: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投标人公章： </w:t>
      </w: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邮编：</w:t>
      </w: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1126"/>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59"/>
        <w:ind w:right="-46"/>
        <w:spacing w:line="583" w:lineRule="auto"/>
        <w:tabs>
          <w:tab w:val="left" w:pos="567" w:leader="none"/>
        </w:tabs>
        <w:rPr>
          <w:rFonts w:hint="eastAsia" w:cs="宋体"/>
          <w:color w:val="000000"/>
          <w:spacing w:val="-3"/>
          <w:highlight w:val="none"/>
        </w:rPr>
      </w:pPr>
      <w:r>
        <w:rPr>
          <w:rFonts w:hint="eastAsia" w:cs="宋体"/>
          <w:color w:val="000000"/>
          <w:highlight w:val="none"/>
        </w:rPr>
        <w:t xml:space="preserve">附：</w:t>
      </w:r>
      <w:r>
        <w:rPr>
          <w:rFonts w:hint="eastAsia" w:cs="宋体"/>
          <w:color w:val="000000"/>
          <w:szCs w:val="21"/>
          <w:highlight w:val="none"/>
        </w:rPr>
        <w:t xml:space="preserve">代理人</w:t>
      </w:r>
      <w:r>
        <w:rPr>
          <w:rFonts w:hint="eastAsia" w:cs="宋体"/>
          <w:color w:val="000000"/>
          <w:spacing w:val="-3"/>
          <w:highlight w:val="none"/>
        </w:rPr>
        <w:t xml:space="preserve">有效期内的身份证正反面电子件。</w:t>
      </w:r>
      <w:r>
        <w:rPr>
          <w:rFonts w:hint="eastAsia" w:cs="宋体"/>
          <w:color w:val="000000"/>
          <w:spacing w:val="-3"/>
          <w:highlight w:val="none"/>
        </w:rPr>
      </w:r>
      <w:r/>
    </w:p>
    <w:p>
      <w:pPr>
        <w:pStyle w:val="1126"/>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26"/>
        <w:spacing w:line="240" w:lineRule="atLeast"/>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（复印件）粘贴处</w:t>
      </w:r>
      <w:r>
        <w:rPr>
          <w:rFonts w:hint="eastAsia" w:ascii="宋体" w:hAnsi="宋体" w:eastAsia="宋体" w:cs="宋体"/>
          <w:color w:val="000000"/>
          <w:spacing w:val="-3"/>
          <w:sz w:val="24"/>
          <w:szCs w:val="24"/>
          <w:highlight w:val="none"/>
          <w:lang w:val="en-US" w:eastAsia="zh-CN" w:bidi="ar-SA"/>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1126"/>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26"/>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26"/>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4536" w:type="dxa"/>
            <w:vAlign w:val="top"/>
            <w:textDirection w:val="lrTb"/>
            <w:noWrap w:val="false"/>
          </w:tcPr>
          <w:p>
            <w:pPr>
              <w:pStyle w:val="1126"/>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26"/>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26"/>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bl>
    <w:p>
      <w:pPr>
        <w:pStyle w:val="1126"/>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p>
      <w:pPr>
        <w:pStyle w:val="1126"/>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1、法定代表人参加的，提供法人资格证明和本人身份证原件。</w:t>
      </w:r>
      <w:r>
        <w:rPr>
          <w:rFonts w:hint="eastAsia" w:ascii="宋体" w:hAnsi="宋体" w:cs="宋体"/>
          <w:color w:val="000000"/>
          <w:sz w:val="24"/>
          <w:highlight w:val="none"/>
        </w:rPr>
      </w:r>
      <w:r/>
    </w:p>
    <w:p>
      <w:pPr>
        <w:pStyle w:val="1126"/>
        <w:jc w:val="left"/>
        <w:widowControl/>
        <w:rPr>
          <w:rFonts w:hint="eastAsia"/>
          <w:color w:val="000000"/>
          <w:sz w:val="24"/>
          <w:highlight w:val="none"/>
        </w:rPr>
      </w:pPr>
      <w:r>
        <w:rPr>
          <w:rFonts w:hint="eastAsia" w:ascii="宋体" w:hAnsi="宋体" w:cs="宋体"/>
          <w:color w:val="000000"/>
          <w:sz w:val="24"/>
          <w:highlight w:val="none"/>
        </w:rPr>
        <w:t xml:space="preserve">2、委托代理人参加的，提供法人资格证明、授权委托书和本人身份证原件。</w:t>
      </w:r>
      <w:r>
        <w:rPr>
          <w:rFonts w:hint="eastAsia"/>
          <w:color w:val="000000"/>
          <w:sz w:val="24"/>
          <w:highlight w:val="none"/>
        </w:rPr>
      </w:r>
      <w:r/>
    </w:p>
    <w:p>
      <w:pPr>
        <w:pStyle w:val="1126"/>
        <w:jc w:val="left"/>
        <w:widowControl/>
        <w:rPr>
          <w:color w:val="000000"/>
          <w:sz w:val="24"/>
        </w:rPr>
      </w:pPr>
      <w:r>
        <w:rPr>
          <w:rFonts w:hint="eastAsia"/>
          <w:color w:val="000000"/>
          <w:sz w:val="24"/>
        </w:rPr>
        <w:br w:type="page" w:clear="all"/>
      </w:r>
      <w:r>
        <w:rPr>
          <w:color w:val="000000"/>
          <w:sz w:val="24"/>
        </w:rPr>
      </w:r>
      <w:r/>
    </w:p>
    <w:p>
      <w:pPr>
        <w:pStyle w:val="1126"/>
        <w:jc w:val="left"/>
        <w:widowControl/>
        <w:rPr>
          <w:color w:val="000000"/>
          <w:sz w:val="24"/>
        </w:rPr>
      </w:pPr>
      <w:r>
        <w:rPr>
          <w:rFonts w:hint="eastAsia"/>
          <w:color w:val="000000"/>
          <w:sz w:val="24"/>
          <w:lang w:val="en-US" w:eastAsia="zh-CN"/>
        </w:rPr>
        <w:t xml:space="preserve">4</w:t>
      </w:r>
      <w:r>
        <w:rPr>
          <w:rFonts w:hint="eastAsia"/>
          <w:color w:val="000000"/>
          <w:sz w:val="24"/>
        </w:rPr>
        <w:t xml:space="preserve">  政府采购供应商信用承诺书</w:t>
      </w:r>
      <w:r>
        <w:rPr>
          <w:color w:val="000000"/>
          <w:sz w:val="24"/>
          <w:szCs w:val="20"/>
        </w:rPr>
        <w:t xml:space="preserve">（实质性格式）</w:t>
      </w:r>
      <w:r>
        <w:rPr>
          <w:color w:val="000000"/>
          <w:sz w:val="24"/>
        </w:rPr>
      </w:r>
      <w:r/>
    </w:p>
    <w:p>
      <w:pPr>
        <w:pStyle w:val="1126"/>
        <w:ind w:firstLine="321"/>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1126"/>
        <w:ind w:firstLine="321"/>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政府采购供应商信用承诺书</w:t>
      </w:r>
      <w:r>
        <w:rPr>
          <w:rFonts w:ascii="黑体" w:hAnsi="黑体" w:eastAsia="黑体"/>
          <w:b/>
          <w:color w:val="000000"/>
          <w:sz w:val="32"/>
          <w:szCs w:val="32"/>
        </w:rPr>
      </w:r>
      <w:r/>
    </w:p>
    <w:p>
      <w:pPr>
        <w:pStyle w:val="1126"/>
        <w:ind w:firstLine="640"/>
        <w:rPr>
          <w:color w:val="000000"/>
        </w:rPr>
      </w:pPr>
      <w:r>
        <w:rPr>
          <w:color w:val="000000"/>
        </w:rPr>
      </w:r>
      <w:r/>
    </w:p>
    <w:p>
      <w:pPr>
        <w:pStyle w:val="1126"/>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379"/>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112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12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26"/>
        <w:spacing w:line="360" w:lineRule="auto"/>
        <w:rPr>
          <w:color w:val="000000"/>
          <w:sz w:val="24"/>
          <w:szCs w:val="20"/>
        </w:rPr>
      </w:pPr>
      <w:r>
        <w:rPr>
          <w:color w:val="000000"/>
          <w:sz w:val="24"/>
          <w:szCs w:val="20"/>
        </w:rPr>
        <w:br w:type="page" w:clear="all"/>
      </w:r>
      <w:r>
        <w:rPr>
          <w:rFonts w:hint="eastAsia"/>
          <w:color w:val="000000"/>
          <w:sz w:val="24"/>
          <w:szCs w:val="20"/>
          <w:lang w:val="en-US" w:eastAsia="zh-CN"/>
        </w:rPr>
        <w:t xml:space="preserve">5</w:t>
      </w:r>
      <w:r>
        <w:rPr>
          <w:color w:val="000000"/>
          <w:sz w:val="24"/>
          <w:szCs w:val="20"/>
        </w:rPr>
        <w:t xml:space="preserve"> 中小企业声明函</w:t>
      </w:r>
      <w:r>
        <w:rPr>
          <w:color w:val="000000"/>
          <w:sz w:val="24"/>
          <w:szCs w:val="20"/>
        </w:rPr>
      </w:r>
      <w:r/>
    </w:p>
    <w:p>
      <w:pPr>
        <w:pStyle w:val="1126"/>
        <w:spacing w:line="360" w:lineRule="auto"/>
        <w:tabs>
          <w:tab w:val="left" w:pos="5580" w:leader="none"/>
        </w:tabs>
        <w:rPr>
          <w:color w:val="000000"/>
          <w:sz w:val="24"/>
        </w:rPr>
      </w:pPr>
      <w:r>
        <w:rPr>
          <w:rFonts w:hint="eastAsia"/>
          <w:color w:val="000000"/>
          <w:sz w:val="24"/>
        </w:rPr>
        <w:t xml:space="preserve">说明：</w:t>
      </w:r>
      <w:r>
        <w:rPr>
          <w:color w:val="000000"/>
          <w:sz w:val="24"/>
        </w:rPr>
      </w:r>
      <w:r/>
    </w:p>
    <w:p>
      <w:pPr>
        <w:pStyle w:val="1126"/>
        <w:spacing w:line="360" w:lineRule="auto"/>
        <w:tabs>
          <w:tab w:val="left" w:pos="5580" w:leader="none"/>
        </w:tabs>
        <w:rPr>
          <w:color w:val="000000"/>
          <w:sz w:val="24"/>
        </w:rPr>
      </w:pPr>
      <w:r>
        <w:rPr>
          <w:rFonts w:hint="eastAsia"/>
          <w:color w:val="000000"/>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color w:val="000000"/>
          <w:sz w:val="24"/>
        </w:rPr>
      </w:r>
      <w:r/>
    </w:p>
    <w:p>
      <w:pPr>
        <w:pStyle w:val="1126"/>
        <w:spacing w:line="360" w:lineRule="auto"/>
        <w:tabs>
          <w:tab w:val="left" w:pos="5580" w:leader="none"/>
        </w:tabs>
        <w:rPr>
          <w:color w:val="000000"/>
          <w:sz w:val="24"/>
        </w:rPr>
      </w:pPr>
      <w:r>
        <w:rPr>
          <w:rFonts w:hint="eastAsia"/>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rPr>
      </w:r>
      <w:r/>
    </w:p>
    <w:p>
      <w:pPr>
        <w:pStyle w:val="1126"/>
        <w:spacing w:line="360" w:lineRule="auto"/>
        <w:tabs>
          <w:tab w:val="left" w:pos="5580" w:leader="none"/>
        </w:tabs>
        <w:rPr>
          <w:rFonts w:hint="eastAsia"/>
          <w:color w:val="000000"/>
          <w:sz w:val="24"/>
        </w:rPr>
      </w:pPr>
      <w:r>
        <w:rPr>
          <w:rFonts w:hint="eastAsia"/>
          <w:color w:val="000000"/>
          <w:sz w:val="24"/>
        </w:rPr>
        <w:t xml:space="preserve">3）对于多标的的采购项目，供应商应充分、准确地了解所投产品制造企业信息。对相关情况了解不清楚的，不建议填报本声明函。</w:t>
      </w:r>
      <w:r>
        <w:rPr>
          <w:rFonts w:hint="eastAsia"/>
          <w:color w:val="000000"/>
          <w:sz w:val="24"/>
        </w:rPr>
      </w:r>
      <w:r/>
    </w:p>
    <w:p>
      <w:pPr>
        <w:pStyle w:val="1126"/>
        <w:spacing w:line="360" w:lineRule="auto"/>
        <w:tabs>
          <w:tab w:val="left" w:pos="5580" w:leader="none"/>
        </w:tabs>
        <w:rPr>
          <w:color w:val="000000"/>
          <w:sz w:val="24"/>
        </w:rPr>
      </w:pPr>
      <w:r>
        <w:rPr>
          <w:rFonts w:hint="eastAsia"/>
          <w:color w:val="000000"/>
          <w:sz w:val="24"/>
        </w:rPr>
        <w:t xml:space="preserve">4）中小企业认定标准以《关于印发中小企业划型标准规定的通知》（工信部联企业〔2011〕300号）文件规定为准。</w:t>
      </w:r>
      <w:r>
        <w:rPr>
          <w:color w:val="000000"/>
          <w:sz w:val="24"/>
        </w:rPr>
      </w:r>
      <w:r/>
    </w:p>
    <w:p>
      <w:pPr>
        <w:pStyle w:val="1126"/>
        <w:spacing w:line="360" w:lineRule="auto"/>
        <w:tabs>
          <w:tab w:val="left" w:pos="5580" w:leader="none"/>
        </w:tabs>
        <w:rPr>
          <w:rFonts w:hint="eastAsia"/>
          <w:color w:val="000000"/>
          <w:sz w:val="24"/>
        </w:rPr>
      </w:pPr>
      <w:r>
        <w:rPr>
          <w:rFonts w:hint="eastAsia"/>
          <w:color w:val="000000"/>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color w:val="000000"/>
          <w:sz w:val="24"/>
        </w:rPr>
        <w:fldChar w:fldCharType="begin"/>
      </w:r>
      <w:r>
        <w:rPr>
          <w:color w:val="000000"/>
          <w:sz w:val="24"/>
        </w:rPr>
        <w:instrText xml:space="preserve"> HYPERLINK "http://202.106.120.146/baosong/appweb/orgScale.html" </w:instrText>
      </w:r>
      <w:r>
        <w:rPr>
          <w:color w:val="000000"/>
          <w:sz w:val="24"/>
        </w:rPr>
        <w:fldChar w:fldCharType="separate"/>
      </w:r>
      <w:r>
        <w:rPr>
          <w:rStyle w:val="1205"/>
          <w:color w:val="000000"/>
          <w:sz w:val="24"/>
        </w:rPr>
        <w:t xml:space="preserve">http://202.106.120.146/baosong/appweb/orgScale.html</w:t>
      </w:r>
      <w:r>
        <w:rPr>
          <w:color w:val="000000"/>
          <w:sz w:val="24"/>
        </w:rPr>
        <w:fldChar w:fldCharType="end"/>
      </w:r>
      <w:r>
        <w:rPr>
          <w:rFonts w:hint="eastAsia"/>
          <w:color w:val="000000"/>
          <w:sz w:val="24"/>
        </w:rPr>
        <w:t xml:space="preserve">）</w:t>
      </w:r>
      <w:r>
        <w:rPr>
          <w:rFonts w:hint="eastAsia"/>
          <w:color w:val="000000"/>
          <w:sz w:val="24"/>
        </w:rPr>
      </w:r>
      <w:r/>
    </w:p>
    <w:p>
      <w:pPr>
        <w:pStyle w:val="1126"/>
        <w:spacing w:line="360" w:lineRule="auto"/>
        <w:tabs>
          <w:tab w:val="left" w:pos="5580" w:leader="none"/>
        </w:tabs>
        <w:rPr>
          <w:rFonts w:hint="eastAsia" w:ascii="宋体" w:hAnsi="宋体"/>
          <w:b/>
          <w:color w:val="000000"/>
          <w:sz w:val="24"/>
        </w:rPr>
      </w:pPr>
      <w:r>
        <w:rPr>
          <w:rFonts w:hint="eastAsia"/>
          <w:color w:val="000000"/>
          <w:sz w:val="24"/>
        </w:rPr>
        <w:t xml:space="preserve">6）</w:t>
      </w:r>
      <w:r>
        <w:rPr>
          <w:rFonts w:ascii="宋体" w:hAnsi="宋体"/>
          <w:b/>
          <w:color w:val="000000"/>
          <w:sz w:val="24"/>
        </w:rPr>
        <w:t xml:space="preserve">在货物采购项目中，供应商提供的货物既有中</w:t>
      </w:r>
      <w:r>
        <w:rPr>
          <w:rFonts w:hint="eastAsia" w:ascii="宋体" w:hAnsi="宋体"/>
          <w:b/>
          <w:color w:val="000000"/>
          <w:sz w:val="24"/>
        </w:rPr>
        <w:t xml:space="preserve">型</w:t>
      </w:r>
      <w:r>
        <w:rPr>
          <w:rFonts w:ascii="宋体" w:hAnsi="宋体"/>
          <w:b/>
          <w:color w:val="000000"/>
          <w:sz w:val="24"/>
        </w:rPr>
        <w:t xml:space="preserve">企业制造货物，也有</w:t>
      </w:r>
      <w:r>
        <w:rPr>
          <w:rFonts w:hint="eastAsia" w:ascii="宋体" w:hAnsi="宋体"/>
          <w:b/>
          <w:color w:val="000000"/>
          <w:sz w:val="24"/>
        </w:rPr>
        <w:t xml:space="preserve">小微</w:t>
      </w:r>
      <w:r>
        <w:rPr>
          <w:rFonts w:ascii="宋体" w:hAnsi="宋体"/>
          <w:b/>
          <w:color w:val="000000"/>
          <w:sz w:val="24"/>
        </w:rPr>
        <w:t xml:space="preserve">企业制造货物的，不享受</w:t>
      </w:r>
      <w:r>
        <w:rPr>
          <w:rFonts w:hint="eastAsia" w:ascii="宋体" w:hAnsi="宋体"/>
          <w:b/>
          <w:color w:val="000000"/>
          <w:sz w:val="24"/>
        </w:rPr>
        <w:t xml:space="preserve">小微</w:t>
      </w:r>
      <w:r>
        <w:rPr>
          <w:rFonts w:ascii="宋体" w:hAnsi="宋体"/>
          <w:b/>
          <w:color w:val="000000"/>
          <w:sz w:val="24"/>
        </w:rPr>
        <w:t xml:space="preserve">企业扶持政策</w:t>
      </w:r>
      <w:r>
        <w:rPr>
          <w:rFonts w:hint="eastAsia" w:ascii="宋体" w:hAnsi="宋体"/>
          <w:b/>
          <w:color w:val="000000"/>
          <w:sz w:val="24"/>
        </w:rPr>
        <w:t xml:space="preserve">，不予价格扣除</w:t>
      </w:r>
      <w:r>
        <w:rPr>
          <w:rFonts w:ascii="宋体" w:hAnsi="宋体"/>
          <w:b/>
          <w:color w:val="000000"/>
          <w:sz w:val="24"/>
        </w:rPr>
        <w:t xml:space="preserve">。</w:t>
      </w:r>
      <w:r>
        <w:rPr>
          <w:rFonts w:hint="eastAsia" w:ascii="宋体" w:hAnsi="宋体"/>
          <w:b/>
          <w:color w:val="000000"/>
          <w:sz w:val="24"/>
        </w:rPr>
      </w:r>
      <w:r/>
    </w:p>
    <w:p>
      <w:pPr>
        <w:pStyle w:val="1126"/>
        <w:spacing w:line="360" w:lineRule="auto"/>
        <w:tabs>
          <w:tab w:val="left" w:pos="5580" w:leader="none"/>
        </w:tabs>
        <w:rPr>
          <w:rFonts w:ascii="宋体" w:hAnsi="宋体"/>
          <w:b/>
          <w:color w:val="000000"/>
          <w:sz w:val="24"/>
        </w:rPr>
      </w:pPr>
      <w:r>
        <w:rPr>
          <w:rFonts w:hint="eastAsia" w:ascii="宋体" w:hAnsi="宋体"/>
          <w:b/>
          <w:color w:val="000000"/>
          <w:sz w:val="24"/>
        </w:rPr>
        <w:t xml:space="preserve">7）小微企业未提供声明函的，价格分评审将不予价格扣除。</w:t>
      </w:r>
      <w:r>
        <w:rPr>
          <w:rFonts w:ascii="宋体" w:hAnsi="宋体"/>
          <w:b/>
          <w:color w:val="000000"/>
          <w:sz w:val="24"/>
        </w:rPr>
      </w:r>
      <w:r/>
    </w:p>
    <w:p>
      <w:pPr>
        <w:pStyle w:val="1126"/>
        <w:jc w:val="center"/>
        <w:spacing w:before="240" w:after="240" w:line="360" w:lineRule="auto"/>
        <w:rPr>
          <w:b/>
          <w:bCs/>
          <w:color w:val="000000"/>
          <w:sz w:val="36"/>
          <w:szCs w:val="36"/>
        </w:rPr>
      </w:pPr>
      <w:r>
        <w:rPr>
          <w:b/>
          <w:bCs/>
          <w:color w:val="000000"/>
          <w:sz w:val="24"/>
        </w:rPr>
        <w:br w:type="page" w:clear="all"/>
      </w:r>
      <w:r>
        <w:rPr>
          <w:rFonts w:hint="eastAsia"/>
          <w:b/>
          <w:bCs/>
          <w:color w:val="000000"/>
          <w:sz w:val="36"/>
          <w:szCs w:val="36"/>
        </w:rPr>
        <w:t xml:space="preserve">中小企业声明函（服务）格式</w:t>
      </w:r>
      <w:r>
        <w:rPr>
          <w:b/>
          <w:bCs/>
          <w:color w:val="000000"/>
          <w:sz w:val="36"/>
          <w:szCs w:val="36"/>
        </w:rPr>
      </w:r>
      <w:r/>
    </w:p>
    <w:p>
      <w:pPr>
        <w:pStyle w:val="1126"/>
        <w:ind w:firstLine="504"/>
        <w:spacing w:line="360" w:lineRule="auto"/>
        <w:rPr>
          <w:color w:val="000000"/>
          <w:spacing w:val="6"/>
          <w:sz w:val="24"/>
        </w:rPr>
      </w:pPr>
      <w:r>
        <w:rPr>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rPr>
      </w:r>
      <w:r/>
    </w:p>
    <w:p>
      <w:pPr>
        <w:pStyle w:val="1126"/>
        <w:ind w:firstLine="504"/>
        <w:spacing w:line="360" w:lineRule="auto"/>
        <w:rPr>
          <w:color w:val="000000"/>
          <w:spacing w:val="6"/>
          <w:sz w:val="24"/>
        </w:rPr>
      </w:pPr>
      <w:r>
        <w:rPr>
          <w:color w:val="000000"/>
          <w:spacing w:val="6"/>
          <w:sz w:val="24"/>
        </w:rPr>
        <w:t xml:space="preserve">1.</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w:t>
      </w:r>
      <w:r>
        <w:rPr>
          <w:color w:val="000000"/>
          <w:spacing w:val="6"/>
          <w:sz w:val="24"/>
          <w:vertAlign w:val="superscript"/>
        </w:rPr>
        <w:t xml:space="preserve">1</w:t>
      </w:r>
      <w:r>
        <w:rPr>
          <w:color w:val="000000"/>
          <w:spacing w:val="6"/>
          <w:sz w:val="24"/>
        </w:rPr>
        <w:t xml:space="preserve">，属于（中型企业、小型企业、微型企业）；</w:t>
      </w:r>
      <w:r>
        <w:rPr>
          <w:color w:val="000000"/>
          <w:spacing w:val="6"/>
          <w:sz w:val="24"/>
        </w:rPr>
      </w:r>
      <w:r/>
    </w:p>
    <w:p>
      <w:pPr>
        <w:pStyle w:val="1126"/>
        <w:ind w:firstLine="504"/>
        <w:spacing w:line="360" w:lineRule="auto"/>
        <w:rPr>
          <w:color w:val="000000"/>
          <w:spacing w:val="6"/>
          <w:sz w:val="24"/>
        </w:rPr>
      </w:pPr>
      <w:r>
        <w:rPr>
          <w:color w:val="000000"/>
          <w:spacing w:val="6"/>
          <w:sz w:val="24"/>
        </w:rPr>
        <w:t xml:space="preserve">2.</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，从业人员______人，营业收入为______万元，资产总额为______万元，属于</w:t>
      </w:r>
      <w:r>
        <w:rPr>
          <w:color w:val="000000"/>
          <w:spacing w:val="6"/>
          <w:sz w:val="24"/>
          <w:u w:val="single"/>
        </w:rPr>
        <w:t xml:space="preserve">（中型企业、小型企业、微型企业）</w:t>
      </w:r>
      <w:r>
        <w:rPr>
          <w:color w:val="000000"/>
          <w:spacing w:val="6"/>
          <w:sz w:val="24"/>
        </w:rPr>
        <w:t xml:space="preserve">；</w:t>
      </w:r>
      <w:r>
        <w:rPr>
          <w:color w:val="000000"/>
          <w:spacing w:val="6"/>
          <w:sz w:val="24"/>
        </w:rPr>
      </w:r>
      <w:r/>
    </w:p>
    <w:p>
      <w:pPr>
        <w:pStyle w:val="1126"/>
        <w:ind w:firstLine="504"/>
        <w:spacing w:line="360" w:lineRule="auto"/>
        <w:rPr>
          <w:color w:val="000000"/>
          <w:spacing w:val="6"/>
          <w:sz w:val="24"/>
        </w:rPr>
      </w:pPr>
      <w:r>
        <w:rPr>
          <w:color w:val="000000"/>
          <w:spacing w:val="6"/>
          <w:sz w:val="24"/>
        </w:rPr>
      </w:r>
      <w:r/>
    </w:p>
    <w:p>
      <w:pPr>
        <w:pStyle w:val="1126"/>
        <w:ind w:firstLine="504"/>
        <w:spacing w:line="360" w:lineRule="auto"/>
        <w:rPr>
          <w:color w:val="000000"/>
          <w:spacing w:val="6"/>
          <w:sz w:val="24"/>
        </w:rPr>
      </w:pPr>
      <w:r>
        <w:rPr>
          <w:color w:val="000000"/>
          <w:spacing w:val="6"/>
          <w:sz w:val="24"/>
        </w:rPr>
        <w:t xml:space="preserve">……</w:t>
      </w:r>
      <w:r>
        <w:rPr>
          <w:color w:val="000000"/>
          <w:spacing w:val="6"/>
          <w:sz w:val="24"/>
        </w:rPr>
      </w:r>
      <w:r/>
    </w:p>
    <w:p>
      <w:pPr>
        <w:pStyle w:val="1126"/>
        <w:ind w:firstLine="504"/>
        <w:spacing w:line="360" w:lineRule="auto"/>
        <w:rPr>
          <w:color w:val="000000"/>
          <w:spacing w:val="6"/>
          <w:sz w:val="24"/>
        </w:rPr>
      </w:pPr>
      <w:r>
        <w:rPr>
          <w:color w:val="000000"/>
          <w:spacing w:val="6"/>
          <w:sz w:val="24"/>
        </w:rPr>
        <w:t xml:space="preserve">以上企业，不属于大企业的分支机构，不存在控股股东为大企业的情形，也不存在与大企业的负责人为同一人的情形。</w:t>
      </w:r>
      <w:r>
        <w:rPr>
          <w:color w:val="000000"/>
          <w:spacing w:val="6"/>
          <w:sz w:val="24"/>
        </w:rPr>
      </w:r>
      <w:r/>
    </w:p>
    <w:p>
      <w:pPr>
        <w:pStyle w:val="1126"/>
        <w:ind w:firstLine="504"/>
        <w:spacing w:line="360" w:lineRule="auto"/>
        <w:rPr>
          <w:color w:val="000000"/>
          <w:spacing w:val="6"/>
          <w:sz w:val="24"/>
        </w:rPr>
      </w:pPr>
      <w:r>
        <w:rPr>
          <w:color w:val="000000"/>
          <w:spacing w:val="6"/>
          <w:sz w:val="24"/>
        </w:rPr>
        <w:t xml:space="preserve">本企业对上述声明内容的真实性负责。如有虚假，将依法承担相应责任。</w:t>
      </w:r>
      <w:r>
        <w:rPr>
          <w:color w:val="000000"/>
          <w:spacing w:val="6"/>
          <w:sz w:val="24"/>
        </w:rPr>
      </w:r>
      <w:r/>
    </w:p>
    <w:p>
      <w:pPr>
        <w:pStyle w:val="1126"/>
        <w:ind w:right="360" w:firstLine="480"/>
        <w:jc w:val="right"/>
        <w:spacing w:line="360" w:lineRule="auto"/>
        <w:rPr>
          <w:color w:val="000000"/>
          <w:sz w:val="24"/>
        </w:rPr>
      </w:pPr>
      <w:r>
        <w:rPr>
          <w:color w:val="000000"/>
          <w:sz w:val="24"/>
        </w:rPr>
      </w:r>
      <w:r/>
    </w:p>
    <w:p>
      <w:pPr>
        <w:pStyle w:val="1126"/>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126"/>
        <w:ind w:right="360" w:firstLine="480"/>
        <w:jc w:val="right"/>
        <w:spacing w:line="360" w:lineRule="auto"/>
        <w:rPr>
          <w:color w:val="000000"/>
          <w:sz w:val="24"/>
        </w:rPr>
      </w:pPr>
      <w:r>
        <w:rPr>
          <w:color w:val="000000"/>
          <w:sz w:val="24"/>
        </w:rPr>
        <w:t xml:space="preserve">日 期：________</w:t>
      </w:r>
      <w:r>
        <w:rPr>
          <w:color w:val="000000"/>
          <w:sz w:val="24"/>
        </w:rPr>
      </w:r>
      <w:r/>
    </w:p>
    <w:p>
      <w:pPr>
        <w:pStyle w:val="1126"/>
        <w:jc w:val="left"/>
        <w:rPr>
          <w:color w:val="000000"/>
          <w:sz w:val="24"/>
          <w:szCs w:val="21"/>
        </w:rPr>
      </w:pPr>
      <w:r>
        <w:rPr>
          <w:color w:val="000000"/>
          <w:sz w:val="24"/>
          <w:szCs w:val="21"/>
        </w:rPr>
      </w:r>
      <w:r/>
    </w:p>
    <w:p>
      <w:pPr>
        <w:pStyle w:val="1126"/>
        <w:jc w:val="left"/>
        <w:rPr>
          <w:color w:val="000000"/>
          <w:sz w:val="24"/>
          <w:szCs w:val="21"/>
        </w:rPr>
      </w:pPr>
      <w:r>
        <w:rPr>
          <w:color w:val="000000"/>
          <w:sz w:val="24"/>
          <w:szCs w:val="21"/>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23"/>
      </w:tblGrid>
      <w:tr>
        <w:trPr/>
        <w:tc>
          <w:tcPr>
            <w:tcW w:w="8946" w:type="dxa"/>
            <w:vAlign w:val="top"/>
            <w:textDirection w:val="lrTb"/>
            <w:noWrap w:val="false"/>
          </w:tcPr>
          <w:p>
            <w:pPr>
              <w:pStyle w:val="1126"/>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126"/>
        <w:jc w:val="left"/>
        <w:rPr>
          <w:color w:val="000000"/>
          <w:szCs w:val="21"/>
          <w:vertAlign w:val="superscript"/>
        </w:rPr>
      </w:pPr>
      <w:r>
        <w:rPr>
          <w:color w:val="000000"/>
          <w:szCs w:val="21"/>
          <w:vertAlign w:val="superscript"/>
        </w:rPr>
      </w:r>
      <w:r/>
    </w:p>
    <w:p>
      <w:pPr>
        <w:pStyle w:val="1126"/>
        <w:ind w:firstLine="482"/>
        <w:jc w:val="left"/>
        <w:spacing w:line="360" w:lineRule="auto"/>
        <w:rPr>
          <w:color w:val="000000"/>
          <w:sz w:val="24"/>
        </w:rPr>
      </w:pPr>
      <w:r>
        <w:rPr>
          <w:color w:val="000000"/>
          <w:sz w:val="24"/>
        </w:rPr>
      </w:r>
      <w:r/>
    </w:p>
    <w:p>
      <w:pPr>
        <w:pStyle w:val="1126"/>
        <w:ind w:firstLine="482"/>
        <w:spacing w:line="360" w:lineRule="auto"/>
        <w:rPr>
          <w:color w:val="000000"/>
          <w:sz w:val="24"/>
        </w:rPr>
      </w:pPr>
      <w:r>
        <w:rPr>
          <w:color w:val="000000"/>
          <w:sz w:val="24"/>
        </w:rPr>
      </w:r>
      <w:r/>
    </w:p>
    <w:p>
      <w:pPr>
        <w:pStyle w:val="1126"/>
        <w:ind w:firstLine="482"/>
        <w:spacing w:before="319" w:after="319" w:line="360" w:lineRule="auto"/>
        <w:rPr>
          <w:color w:val="000000"/>
          <w:sz w:val="24"/>
        </w:rPr>
      </w:pPr>
      <w:r>
        <w:rPr>
          <w:color w:val="000000"/>
          <w:sz w:val="24"/>
        </w:rPr>
        <w:t xml:space="preserve"> </w:t>
      </w:r>
      <w:r>
        <w:rPr>
          <w:color w:val="000000"/>
          <w:sz w:val="24"/>
        </w:rPr>
      </w:r>
      <w:r/>
    </w:p>
    <w:p>
      <w:pPr>
        <w:pStyle w:val="1126"/>
        <w:jc w:val="both"/>
        <w:spacing w:before="159"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126"/>
        <w:jc w:val="center"/>
        <w:spacing w:before="159" w:line="360" w:lineRule="auto"/>
        <w:rPr>
          <w:rFonts w:hint="eastAsia" w:ascii="宋体" w:hAnsi="宋体" w:cs="宋体"/>
          <w:b/>
          <w:color w:val="000000"/>
          <w:sz w:val="28"/>
          <w:szCs w:val="28"/>
        </w:rPr>
      </w:pPr>
      <w:r>
        <w:rPr>
          <w:rFonts w:hint="eastAsia" w:ascii="宋体" w:hAnsi="宋体" w:cs="宋体"/>
          <w:b/>
          <w:color w:val="000000"/>
          <w:sz w:val="28"/>
          <w:szCs w:val="28"/>
        </w:rPr>
        <w:t xml:space="preserve">残疾人福利性单位声明函格式 </w:t>
      </w:r>
      <w:r>
        <w:rPr>
          <w:rFonts w:hint="eastAsia" w:ascii="宋体" w:hAnsi="宋体" w:cs="宋体"/>
          <w:b/>
          <w:color w:val="000000"/>
          <w:sz w:val="28"/>
          <w:szCs w:val="28"/>
        </w:rPr>
      </w:r>
      <w:r/>
    </w:p>
    <w:p>
      <w:pPr>
        <w:pStyle w:val="1126"/>
        <w:ind w:firstLine="504"/>
        <w:spacing w:line="360" w:lineRule="auto"/>
        <w:rPr>
          <w:color w:val="000000"/>
          <w:spacing w:val="6"/>
          <w:sz w:val="24"/>
        </w:rPr>
      </w:pPr>
      <w:r>
        <w:rPr>
          <w:color w:val="000000"/>
          <w:spacing w:val="6"/>
          <w:sz w:val="24"/>
        </w:rPr>
        <w:t xml:space="preserve">本单位郑重声明，根据《财政部 民政部 中国残疾人联合会关于促进残疾人就业政府采购政策的通知》（财库</w:t>
      </w:r>
      <w:r>
        <w:rPr>
          <w:color w:val="000000"/>
          <w:sz w:val="24"/>
        </w:rPr>
        <w:t xml:space="preserve">〔2017〕141</w:t>
      </w:r>
      <w:r>
        <w:rPr>
          <w:color w:val="000000"/>
          <w:spacing w:val="6"/>
          <w:sz w:val="24"/>
        </w:rPr>
        <w:t xml:space="preserve">号）的规定，本单位</w:t>
      </w:r>
      <w:r>
        <w:rPr>
          <w:b/>
          <w:color w:val="000000"/>
          <w:sz w:val="24"/>
        </w:rPr>
        <w:t xml:space="preserve">（请进行勾选）</w:t>
      </w:r>
      <w:r>
        <w:rPr>
          <w:color w:val="000000"/>
          <w:spacing w:val="6"/>
          <w:sz w:val="24"/>
        </w:rPr>
        <w:t xml:space="preserve">：</w:t>
      </w:r>
      <w:r>
        <w:rPr>
          <w:color w:val="000000"/>
          <w:spacing w:val="6"/>
          <w:sz w:val="24"/>
        </w:rPr>
      </w:r>
      <w:r/>
    </w:p>
    <w:p>
      <w:pPr>
        <w:pStyle w:val="1126"/>
        <w:ind w:firstLine="482"/>
        <w:spacing w:line="360" w:lineRule="auto"/>
        <w:rPr>
          <w:b/>
          <w:color w:val="000000"/>
          <w:spacing w:val="6"/>
          <w:sz w:val="24"/>
        </w:rPr>
      </w:pPr>
      <w:r>
        <w:rPr>
          <w:b/>
          <w:color w:val="000000"/>
          <w:sz w:val="24"/>
        </w:rPr>
        <w:t xml:space="preserve">□</w:t>
      </w:r>
      <w:r>
        <w:rPr>
          <w:b/>
          <w:color w:val="000000"/>
          <w:spacing w:val="6"/>
          <w:sz w:val="24"/>
        </w:rPr>
        <w:t xml:space="preserve">不属于符合条件的残疾人福利性单位。</w:t>
      </w:r>
      <w:r>
        <w:rPr>
          <w:b/>
          <w:color w:val="000000"/>
          <w:spacing w:val="6"/>
          <w:sz w:val="24"/>
        </w:rPr>
      </w:r>
      <w:r/>
    </w:p>
    <w:p>
      <w:pPr>
        <w:pStyle w:val="1126"/>
        <w:ind w:firstLine="482"/>
        <w:spacing w:line="360" w:lineRule="auto"/>
        <w:rPr>
          <w:color w:val="000000"/>
          <w:spacing w:val="6"/>
          <w:sz w:val="24"/>
        </w:rPr>
      </w:pPr>
      <w:r>
        <w:rPr>
          <w:b/>
          <w:color w:val="000000"/>
          <w:sz w:val="24"/>
        </w:rPr>
        <w:t xml:space="preserve">□</w:t>
      </w:r>
      <w:r>
        <w:rPr>
          <w:b/>
          <w:color w:val="000000"/>
          <w:spacing w:val="6"/>
          <w:sz w:val="24"/>
        </w:rPr>
        <w:t xml:space="preserve">属于符合条件的残疾人福利性单位，</w:t>
      </w:r>
      <w:r>
        <w:rPr>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rPr>
      </w:r>
      <w:r/>
    </w:p>
    <w:p>
      <w:pPr>
        <w:pStyle w:val="1126"/>
        <w:ind w:firstLine="506"/>
        <w:spacing w:line="360" w:lineRule="auto"/>
        <w:rPr>
          <w:color w:val="000000"/>
          <w:spacing w:val="6"/>
          <w:sz w:val="24"/>
        </w:rPr>
      </w:pPr>
      <w:r>
        <w:rPr>
          <w:b/>
          <w:color w:val="000000"/>
          <w:spacing w:val="6"/>
          <w:sz w:val="24"/>
        </w:rPr>
        <w:t xml:space="preserve">本单位对上述声明的真实性负责。如有虚假，将依法承担相应责任。</w:t>
      </w:r>
      <w:r>
        <w:rPr>
          <w:color w:val="000000"/>
          <w:spacing w:val="6"/>
          <w:sz w:val="24"/>
        </w:rPr>
      </w:r>
      <w:r/>
    </w:p>
    <w:p>
      <w:pPr>
        <w:pStyle w:val="1126"/>
        <w:ind w:firstLine="504"/>
        <w:spacing w:line="360" w:lineRule="auto"/>
        <w:rPr>
          <w:color w:val="000000"/>
          <w:spacing w:val="6"/>
          <w:sz w:val="24"/>
        </w:rPr>
      </w:pPr>
      <w:r>
        <w:rPr>
          <w:color w:val="000000"/>
          <w:spacing w:val="6"/>
          <w:sz w:val="24"/>
        </w:rPr>
      </w:r>
      <w:r/>
    </w:p>
    <w:p>
      <w:pPr>
        <w:pStyle w:val="1126"/>
        <w:ind w:firstLine="504"/>
        <w:spacing w:line="360" w:lineRule="auto"/>
        <w:rPr>
          <w:color w:val="000000"/>
          <w:spacing w:val="6"/>
          <w:sz w:val="24"/>
        </w:rPr>
      </w:pPr>
      <w:r>
        <w:rPr>
          <w:color w:val="000000"/>
          <w:spacing w:val="6"/>
          <w:sz w:val="24"/>
        </w:rPr>
      </w:r>
      <w:r/>
    </w:p>
    <w:p>
      <w:pPr>
        <w:pStyle w:val="1126"/>
        <w:ind w:right="1560" w:firstLine="504"/>
        <w:jc w:val="center"/>
        <w:spacing w:line="360" w:lineRule="auto"/>
        <w:tabs>
          <w:tab w:val="left" w:pos="4860" w:leader="none"/>
        </w:tabs>
        <w:rPr>
          <w:color w:val="000000"/>
          <w:spacing w:val="6"/>
          <w:sz w:val="24"/>
        </w:rPr>
      </w:pPr>
      <w:r>
        <w:rPr>
          <w:color w:val="000000"/>
          <w:spacing w:val="6"/>
          <w:sz w:val="24"/>
        </w:rPr>
        <w:t xml:space="preserve">               单位名称（加盖公章）：</w:t>
      </w:r>
      <w:r>
        <w:rPr>
          <w:color w:val="000000"/>
          <w:spacing w:val="6"/>
          <w:sz w:val="24"/>
        </w:rPr>
      </w:r>
      <w:r/>
    </w:p>
    <w:p>
      <w:pPr>
        <w:pStyle w:val="1126"/>
        <w:ind w:right="1560" w:firstLine="504"/>
        <w:jc w:val="center"/>
        <w:spacing w:line="360" w:lineRule="auto"/>
        <w:tabs>
          <w:tab w:val="left" w:pos="4860" w:leader="none"/>
        </w:tabs>
        <w:rPr>
          <w:color w:val="000000"/>
          <w:spacing w:val="6"/>
          <w:sz w:val="24"/>
        </w:rPr>
      </w:pPr>
      <w:r>
        <w:rPr>
          <w:color w:val="000000"/>
          <w:spacing w:val="6"/>
          <w:sz w:val="24"/>
        </w:rPr>
        <w:t xml:space="preserve">  日  期：</w:t>
      </w:r>
      <w:r>
        <w:rPr>
          <w:color w:val="000000"/>
          <w:spacing w:val="6"/>
          <w:sz w:val="24"/>
        </w:rPr>
      </w:r>
      <w:r/>
    </w:p>
    <w:p>
      <w:pPr>
        <w:pStyle w:val="1126"/>
        <w:spacing w:line="360" w:lineRule="auto"/>
        <w:rPr>
          <w:b/>
          <w:color w:val="000000"/>
          <w:sz w:val="24"/>
        </w:rPr>
        <w:outlineLvl w:val="2"/>
      </w:pPr>
      <w:r>
        <w:rPr>
          <w:b/>
          <w:color w:val="000000"/>
          <w:sz w:val="24"/>
        </w:rPr>
      </w:r>
      <w:r/>
    </w:p>
    <w:p>
      <w:pPr>
        <w:pStyle w:val="1126"/>
        <w:spacing w:line="360" w:lineRule="auto"/>
        <w:rPr>
          <w:color w:val="000000"/>
          <w:sz w:val="24"/>
          <w:szCs w:val="20"/>
        </w:rPr>
        <w:outlineLvl w:val="2"/>
      </w:pPr>
      <w:r>
        <w:rPr>
          <w:color w:val="000000"/>
          <w:sz w:val="24"/>
          <w:szCs w:val="20"/>
        </w:rPr>
        <w:br w:type="page" w:clear="all"/>
      </w:r>
      <w:r>
        <w:rPr>
          <w:color w:val="000000"/>
          <w:sz w:val="24"/>
          <w:szCs w:val="20"/>
        </w:rPr>
      </w:r>
      <w:r/>
    </w:p>
    <w:p>
      <w:pPr>
        <w:pStyle w:val="1126"/>
        <w:spacing w:line="360" w:lineRule="auto"/>
        <w:rPr>
          <w:color w:val="000000"/>
          <w:sz w:val="24"/>
          <w:szCs w:val="20"/>
        </w:rPr>
        <w:outlineLvl w:val="2"/>
      </w:pPr>
      <w:r>
        <w:rPr>
          <w:rFonts w:hint="eastAsia"/>
          <w:color w:val="000000"/>
          <w:sz w:val="24"/>
          <w:szCs w:val="20"/>
        </w:rPr>
        <w:t xml:space="preserve">6  </w:t>
      </w:r>
      <w:r>
        <w:rPr>
          <w:color w:val="000000"/>
          <w:sz w:val="24"/>
          <w:szCs w:val="20"/>
        </w:rPr>
        <w:t xml:space="preserve">报价一览表</w:t>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Pr>
          <w:color w:val="000000"/>
          <w:sz w:val="24"/>
          <w:szCs w:val="20"/>
        </w:rPr>
      </w:r>
      <w:r/>
    </w:p>
    <w:p>
      <w:pPr>
        <w:pStyle w:val="1126"/>
        <w:ind w:firstLine="562"/>
        <w:jc w:val="center"/>
        <w:spacing w:before="159" w:after="159" w:line="360" w:lineRule="auto"/>
        <w:widowControl/>
        <w:rPr>
          <w:rFonts w:ascii="宋体" w:hAnsi="宋体" w:cs="宋体"/>
          <w:b/>
          <w:sz w:val="28"/>
          <w:szCs w:val="28"/>
        </w:rPr>
        <w:outlineLvl w:val="3"/>
      </w:pPr>
      <w:r/>
      <w:bookmarkStart w:id="675" w:name="_Toc226337254"/>
      <w:r/>
      <w:bookmarkStart w:id="676" w:name="_Toc226309802"/>
      <w:r/>
      <w:bookmarkStart w:id="677" w:name="_Toc226965831"/>
      <w:r/>
      <w:bookmarkStart w:id="678" w:name="_Toc164608672"/>
      <w:r/>
      <w:bookmarkStart w:id="679" w:name="_Toc305158826"/>
      <w:r/>
      <w:bookmarkStart w:id="680" w:name="_Toc265228396"/>
      <w:r/>
      <w:bookmarkStart w:id="681" w:name="_Toc226965748"/>
      <w:r/>
      <w:bookmarkStart w:id="682" w:name="_Toc305158900"/>
      <w:r/>
      <w:bookmarkStart w:id="683" w:name="_Toc164608827"/>
      <w:r/>
      <w:bookmarkStart w:id="684" w:name="_Toc195842923"/>
      <w:r/>
      <w:bookmarkStart w:id="685" w:name="_Toc264969248"/>
      <w:r/>
      <w:bookmarkStart w:id="686" w:name="_Toc305158829"/>
      <w:r/>
      <w:bookmarkStart w:id="687" w:name="_Toc195842926"/>
      <w:r/>
      <w:bookmarkStart w:id="688" w:name="_Toc264969251"/>
      <w:r/>
      <w:bookmarkStart w:id="689" w:name="_Toc142311061"/>
      <w:r/>
      <w:bookmarkStart w:id="690" w:name="_Toc305158904"/>
      <w:r/>
      <w:bookmarkStart w:id="691" w:name="_Toc264969252"/>
      <w:r/>
      <w:bookmarkStart w:id="692" w:name="_Toc265228400"/>
      <w:r/>
      <w:bookmarkStart w:id="693" w:name="_Toc195842927"/>
      <w:r/>
      <w:bookmarkStart w:id="694" w:name="_Toc226309806"/>
      <w:r/>
      <w:bookmarkStart w:id="695" w:name="_Toc150480798"/>
      <w:r/>
      <w:bookmarkStart w:id="696" w:name="_Toc142311062"/>
      <w:r/>
      <w:bookmarkStart w:id="697" w:name="_Toc226965752"/>
      <w:r/>
      <w:bookmarkStart w:id="698" w:name="_Toc226337258"/>
      <w:r/>
      <w:bookmarkStart w:id="699" w:name="_Toc150774765"/>
      <w:r/>
      <w:bookmarkStart w:id="700" w:name="_Toc305158830"/>
      <w:r/>
      <w:bookmarkStart w:id="701" w:name="_Toc127151562"/>
      <w:r/>
      <w:bookmarkStart w:id="702" w:name="_Toc226965835"/>
      <w:r/>
      <w:bookmarkStart w:id="703" w:name="_Toc150774764"/>
      <w:r/>
      <w:bookmarkStart w:id="704" w:name="_Toc226309805"/>
      <w:r/>
      <w:bookmarkStart w:id="705" w:name="_Toc226965834"/>
      <w:r/>
      <w:bookmarkStart w:id="706" w:name="_Toc127151561"/>
      <w:r/>
      <w:bookmarkStart w:id="707" w:name="_Toc150480797"/>
      <w:r/>
      <w:bookmarkStart w:id="708" w:name="_Toc226965751"/>
      <w:r/>
      <w:bookmarkStart w:id="709" w:name="_Toc226337257"/>
      <w:r/>
      <w:bookmarkStart w:id="710" w:name="_Toc305158903"/>
      <w:r/>
      <w:bookmarkStart w:id="711" w:name="_Toc265228399"/>
      <w:r>
        <w:rPr>
          <w:rFonts w:hint="eastAsia" w:ascii="宋体" w:hAnsi="宋体" w:cs="宋体"/>
          <w:b/>
          <w:sz w:val="28"/>
          <w:szCs w:val="28"/>
        </w:rPr>
        <w:t xml:space="preserve">开标一览表</w:t>
      </w:r>
      <w:bookmarkEnd w:id="675"/>
      <w:r/>
      <w:bookmarkEnd w:id="676"/>
      <w:r/>
      <w:bookmarkEnd w:id="677"/>
      <w:r/>
      <w:bookmarkEnd w:id="678"/>
      <w:r/>
      <w:bookmarkEnd w:id="679"/>
      <w:r/>
      <w:bookmarkEnd w:id="680"/>
      <w:r/>
      <w:bookmarkEnd w:id="681"/>
      <w:r/>
      <w:bookmarkEnd w:id="682"/>
      <w:r/>
      <w:bookmarkEnd w:id="683"/>
      <w:r/>
      <w:bookmarkEnd w:id="684"/>
      <w:r/>
      <w:bookmarkEnd w:id="685"/>
      <w:r>
        <w:rPr>
          <w:rFonts w:ascii="宋体" w:hAnsi="宋体" w:cs="宋体"/>
          <w:b/>
          <w:sz w:val="28"/>
          <w:szCs w:val="28"/>
        </w:rPr>
      </w:r>
      <w:r/>
    </w:p>
    <w:p>
      <w:pPr>
        <w:pStyle w:val="1126"/>
        <w:ind w:firstLine="240"/>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项目编号/采购包：_____________________     项目名称：____________</w:t>
      </w:r>
      <w:r>
        <w:rPr>
          <w:rFonts w:ascii="宋体" w:hAnsi="宋体" w:cs="宋体"/>
          <w:color w:val="000000"/>
          <w:sz w:val="24"/>
          <w:u w:val="single"/>
        </w:rPr>
      </w:r>
      <w:r/>
    </w:p>
    <w:tbl>
      <w:tblPr>
        <w:tblW w:w="503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32"/>
        <w:gridCol w:w="3397"/>
        <w:gridCol w:w="1822"/>
        <w:gridCol w:w="1818"/>
      </w:tblGrid>
      <w:tr>
        <w:trPr>
          <w:trHeight w:val="531"/>
        </w:trPr>
        <w:tc>
          <w:tcPr>
            <w:tcW w:w="796" w:type="dxa"/>
            <w:vAlign w:val="center"/>
            <w:vMerge w:val="restart"/>
            <w:textDirection w:val="lrTb"/>
            <w:noWrap w:val="false"/>
          </w:tcPr>
          <w:p>
            <w:pPr>
              <w:pStyle w:val="1126"/>
              <w:jc w:val="center"/>
              <w:tabs>
                <w:tab w:val="left" w:pos="5580" w:leader="none"/>
              </w:tabs>
              <w:rPr>
                <w:rFonts w:ascii="宋体" w:hAnsi="宋体" w:cs="宋体"/>
                <w:b/>
                <w:sz w:val="24"/>
              </w:rPr>
            </w:pPr>
            <w:r>
              <w:rPr>
                <w:rFonts w:hint="eastAsia" w:ascii="宋体" w:hAnsi="宋体" w:cs="宋体"/>
                <w:b/>
                <w:sz w:val="24"/>
              </w:rPr>
              <w:t xml:space="preserve">序号</w:t>
            </w:r>
            <w:r>
              <w:rPr>
                <w:rFonts w:ascii="宋体" w:hAnsi="宋体" w:cs="宋体"/>
                <w:b/>
                <w:sz w:val="24"/>
              </w:rPr>
            </w:r>
            <w:r/>
          </w:p>
        </w:tc>
        <w:tc>
          <w:tcPr>
            <w:tcW w:w="2029" w:type="dxa"/>
            <w:vAlign w:val="center"/>
            <w:vMerge w:val="restart"/>
            <w:textDirection w:val="lrTb"/>
            <w:noWrap w:val="false"/>
          </w:tcPr>
          <w:p>
            <w:pPr>
              <w:pStyle w:val="1126"/>
              <w:jc w:val="center"/>
              <w:tabs>
                <w:tab w:val="left" w:pos="5580" w:leader="none"/>
              </w:tabs>
              <w:rPr>
                <w:rFonts w:ascii="宋体" w:hAnsi="宋体" w:cs="宋体"/>
                <w:b/>
                <w:sz w:val="24"/>
              </w:rPr>
            </w:pPr>
            <w:r>
              <w:rPr>
                <w:rFonts w:hint="eastAsia" w:ascii="宋体" w:hAnsi="宋体" w:cs="宋体"/>
                <w:b/>
                <w:sz w:val="24"/>
              </w:rPr>
              <w:t xml:space="preserve">投标人名称</w:t>
            </w:r>
            <w:r>
              <w:rPr>
                <w:rFonts w:ascii="宋体" w:hAnsi="宋体" w:cs="宋体"/>
                <w:b/>
                <w:sz w:val="24"/>
              </w:rPr>
            </w:r>
            <w:r/>
          </w:p>
        </w:tc>
        <w:tc>
          <w:tcPr>
            <w:gridSpan w:val="2"/>
            <w:tcW w:w="3640" w:type="dxa"/>
            <w:vAlign w:val="center"/>
            <w:textDirection w:val="lrTb"/>
            <w:noWrap w:val="false"/>
          </w:tcPr>
          <w:p>
            <w:pPr>
              <w:pStyle w:val="1126"/>
              <w:jc w:val="center"/>
              <w:tabs>
                <w:tab w:val="left" w:pos="5580" w:leader="none"/>
              </w:tabs>
              <w:rPr>
                <w:rFonts w:ascii="宋体" w:hAnsi="宋体" w:cs="宋体"/>
                <w:b/>
                <w:sz w:val="24"/>
              </w:rPr>
            </w:pPr>
            <w:r>
              <w:rPr>
                <w:rFonts w:hint="eastAsia" w:ascii="宋体" w:hAnsi="宋体" w:cs="宋体"/>
                <w:b/>
                <w:sz w:val="24"/>
              </w:rPr>
              <w:t xml:space="preserve">投标报价</w:t>
            </w:r>
            <w:r>
              <w:rPr>
                <w:rFonts w:hint="eastAsia" w:ascii="宋体" w:hAnsi="宋体"/>
                <w:b/>
                <w:sz w:val="24"/>
                <w:lang w:eastAsia="zh-CN"/>
              </w:rPr>
              <w:t xml:space="preserve">（</w:t>
            </w:r>
            <w:r>
              <w:rPr>
                <w:rFonts w:hint="eastAsia"/>
                <w:b/>
                <w:sz w:val="24"/>
                <w:lang w:val="en-US" w:eastAsia="zh-CN"/>
              </w:rPr>
              <w:t xml:space="preserve">元</w:t>
            </w:r>
            <w:r>
              <w:rPr>
                <w:rFonts w:hint="eastAsia" w:ascii="宋体" w:hAnsi="宋体"/>
                <w:b/>
                <w:sz w:val="24"/>
                <w:lang w:eastAsia="zh-CN"/>
              </w:rPr>
              <w:t xml:space="preserve">）</w:t>
            </w:r>
            <w:r>
              <w:rPr>
                <w:rFonts w:ascii="宋体" w:hAnsi="宋体" w:cs="宋体"/>
                <w:b/>
                <w:sz w:val="24"/>
              </w:rPr>
            </w:r>
            <w:r/>
          </w:p>
        </w:tc>
      </w:tr>
      <w:tr>
        <w:trPr>
          <w:trHeight w:val="674"/>
        </w:trPr>
        <w:tc>
          <w:tcPr>
            <w:tcW w:w="796" w:type="dxa"/>
            <w:vAlign w:val="center"/>
            <w:vMerge w:val="continue"/>
            <w:textDirection w:val="lrTb"/>
            <w:noWrap w:val="false"/>
          </w:tcPr>
          <w:p>
            <w:pPr>
              <w:pStyle w:val="1126"/>
              <w:ind w:firstLine="482"/>
              <w:jc w:val="center"/>
              <w:tabs>
                <w:tab w:val="left" w:pos="5580" w:leader="none"/>
              </w:tabs>
              <w:rPr>
                <w:rFonts w:ascii="宋体" w:hAnsi="宋体" w:cs="宋体"/>
                <w:sz w:val="24"/>
              </w:rPr>
            </w:pPr>
            <w:r>
              <w:rPr>
                <w:rFonts w:ascii="宋体" w:hAnsi="宋体" w:cs="宋体"/>
                <w:sz w:val="24"/>
              </w:rPr>
            </w:r>
            <w:r/>
          </w:p>
        </w:tc>
        <w:tc>
          <w:tcPr>
            <w:tcW w:w="2029" w:type="dxa"/>
            <w:vAlign w:val="center"/>
            <w:vMerge w:val="continue"/>
            <w:textDirection w:val="lrTb"/>
            <w:noWrap w:val="false"/>
          </w:tcPr>
          <w:p>
            <w:pPr>
              <w:pStyle w:val="1126"/>
              <w:ind w:firstLine="482"/>
              <w:jc w:val="center"/>
              <w:tabs>
                <w:tab w:val="left" w:pos="5580" w:leader="none"/>
              </w:tabs>
              <w:rPr>
                <w:rFonts w:ascii="宋体" w:hAnsi="宋体" w:cs="宋体"/>
                <w:sz w:val="24"/>
              </w:rPr>
            </w:pPr>
            <w:r>
              <w:rPr>
                <w:rFonts w:ascii="宋体" w:hAnsi="宋体" w:cs="宋体"/>
                <w:sz w:val="24"/>
              </w:rPr>
            </w:r>
            <w:r/>
          </w:p>
        </w:tc>
        <w:tc>
          <w:tcPr>
            <w:tcW w:w="1088" w:type="dxa"/>
            <w:vAlign w:val="center"/>
            <w:textDirection w:val="lrTb"/>
            <w:noWrap w:val="false"/>
          </w:tcPr>
          <w:p>
            <w:pPr>
              <w:pStyle w:val="1126"/>
              <w:jc w:val="center"/>
              <w:tabs>
                <w:tab w:val="left" w:pos="5580" w:leader="none"/>
              </w:tabs>
              <w:rPr>
                <w:rFonts w:ascii="宋体" w:hAnsi="宋体" w:cs="宋体"/>
                <w:b/>
                <w:sz w:val="24"/>
              </w:rPr>
            </w:pPr>
            <w:r>
              <w:rPr>
                <w:rFonts w:hint="eastAsia" w:ascii="宋体" w:hAnsi="宋体" w:cs="宋体"/>
                <w:b/>
                <w:sz w:val="24"/>
              </w:rPr>
              <w:t xml:space="preserve">大写</w:t>
            </w:r>
            <w:r>
              <w:rPr>
                <w:rFonts w:ascii="宋体" w:hAnsi="宋体" w:cs="宋体"/>
                <w:b/>
                <w:sz w:val="24"/>
              </w:rPr>
            </w:r>
            <w:r/>
          </w:p>
        </w:tc>
        <w:tc>
          <w:tcPr>
            <w:tcW w:w="1085" w:type="dxa"/>
            <w:vAlign w:val="center"/>
            <w:textDirection w:val="lrTb"/>
            <w:noWrap w:val="false"/>
          </w:tcPr>
          <w:p>
            <w:pPr>
              <w:pStyle w:val="1126"/>
              <w:jc w:val="center"/>
              <w:tabs>
                <w:tab w:val="left" w:pos="5580" w:leader="none"/>
              </w:tabs>
              <w:rPr>
                <w:rFonts w:ascii="宋体" w:hAnsi="宋体" w:cs="宋体"/>
                <w:b/>
                <w:sz w:val="24"/>
              </w:rPr>
            </w:pPr>
            <w:r>
              <w:rPr>
                <w:rFonts w:hint="eastAsia" w:ascii="宋体" w:hAnsi="宋体" w:cs="宋体"/>
                <w:b/>
                <w:sz w:val="24"/>
              </w:rPr>
              <w:t xml:space="preserve">小写</w:t>
            </w:r>
            <w:r>
              <w:rPr>
                <w:rFonts w:ascii="宋体" w:hAnsi="宋体" w:cs="宋体"/>
                <w:b/>
                <w:sz w:val="24"/>
              </w:rPr>
            </w:r>
            <w:r/>
          </w:p>
        </w:tc>
      </w:tr>
      <w:tr>
        <w:trPr>
          <w:trHeight w:val="976"/>
        </w:trPr>
        <w:tc>
          <w:tcPr>
            <w:tcW w:w="796" w:type="dxa"/>
            <w:vAlign w:val="center"/>
            <w:textDirection w:val="lrTb"/>
            <w:noWrap w:val="false"/>
          </w:tcPr>
          <w:p>
            <w:pPr>
              <w:pStyle w:val="1126"/>
              <w:ind w:firstLine="482"/>
              <w:jc w:val="center"/>
              <w:tabs>
                <w:tab w:val="left" w:pos="5580" w:leader="none"/>
              </w:tabs>
              <w:rPr>
                <w:rFonts w:ascii="宋体" w:hAnsi="宋体" w:cs="宋体"/>
                <w:sz w:val="24"/>
              </w:rPr>
            </w:pPr>
            <w:r>
              <w:rPr>
                <w:rFonts w:ascii="宋体" w:hAnsi="宋体" w:cs="宋体"/>
                <w:sz w:val="24"/>
              </w:rPr>
            </w:r>
            <w:r/>
          </w:p>
        </w:tc>
        <w:tc>
          <w:tcPr>
            <w:tcW w:w="2029" w:type="dxa"/>
            <w:vAlign w:val="center"/>
            <w:textDirection w:val="lrTb"/>
            <w:noWrap w:val="false"/>
          </w:tcPr>
          <w:p>
            <w:pPr>
              <w:pStyle w:val="1126"/>
              <w:ind w:firstLine="482"/>
              <w:jc w:val="center"/>
              <w:tabs>
                <w:tab w:val="left" w:pos="5580" w:leader="none"/>
              </w:tabs>
              <w:rPr>
                <w:rFonts w:ascii="宋体" w:hAnsi="宋体" w:cs="宋体"/>
                <w:sz w:val="24"/>
              </w:rPr>
            </w:pPr>
            <w:r>
              <w:rPr>
                <w:rFonts w:ascii="宋体" w:hAnsi="宋体" w:cs="宋体"/>
                <w:sz w:val="24"/>
              </w:rPr>
            </w:r>
            <w:r/>
          </w:p>
        </w:tc>
        <w:tc>
          <w:tcPr>
            <w:tcW w:w="1088" w:type="dxa"/>
            <w:vAlign w:val="center"/>
            <w:textDirection w:val="lrTb"/>
            <w:noWrap w:val="false"/>
          </w:tcPr>
          <w:p>
            <w:pPr>
              <w:pStyle w:val="1126"/>
              <w:ind w:firstLine="482"/>
              <w:jc w:val="center"/>
              <w:tabs>
                <w:tab w:val="left" w:pos="5580" w:leader="none"/>
              </w:tabs>
              <w:rPr>
                <w:rFonts w:ascii="宋体" w:hAnsi="宋体" w:cs="宋体"/>
                <w:sz w:val="24"/>
              </w:rPr>
            </w:pPr>
            <w:r>
              <w:rPr>
                <w:rFonts w:ascii="宋体" w:hAnsi="宋体" w:cs="宋体"/>
                <w:sz w:val="24"/>
              </w:rPr>
            </w:r>
            <w:r/>
          </w:p>
        </w:tc>
        <w:tc>
          <w:tcPr>
            <w:tcW w:w="1085" w:type="dxa"/>
            <w:vAlign w:val="center"/>
            <w:textDirection w:val="lrTb"/>
            <w:noWrap w:val="false"/>
          </w:tcPr>
          <w:p>
            <w:pPr>
              <w:pStyle w:val="1126"/>
              <w:ind w:firstLine="482"/>
              <w:jc w:val="center"/>
              <w:tabs>
                <w:tab w:val="left" w:pos="5580" w:leader="none"/>
              </w:tabs>
              <w:rPr>
                <w:rFonts w:ascii="宋体" w:hAnsi="宋体" w:cs="宋体"/>
                <w:sz w:val="24"/>
              </w:rPr>
            </w:pPr>
            <w:r>
              <w:rPr>
                <w:rFonts w:ascii="宋体" w:hAnsi="宋体" w:cs="宋体"/>
                <w:sz w:val="24"/>
              </w:rPr>
            </w:r>
            <w:r/>
          </w:p>
        </w:tc>
      </w:tr>
    </w:tbl>
    <w:p>
      <w:pPr>
        <w:pStyle w:val="1126"/>
        <w:ind w:firstLine="482"/>
        <w:jc w:val="left"/>
        <w:rPr>
          <w:rFonts w:ascii="宋体" w:hAnsi="宋体" w:cs="宋体"/>
          <w:color w:val="000000"/>
          <w:sz w:val="24"/>
        </w:rPr>
      </w:pPr>
      <w:r>
        <w:rPr>
          <w:rFonts w:ascii="宋体" w:hAnsi="宋体" w:cs="宋体"/>
          <w:color w:val="000000"/>
          <w:sz w:val="24"/>
        </w:rPr>
      </w:r>
      <w:r/>
    </w:p>
    <w:p>
      <w:pPr>
        <w:pStyle w:val="1126"/>
        <w:ind w:firstLine="482"/>
        <w:jc w:val="left"/>
        <w:spacing w:line="360" w:lineRule="auto"/>
        <w:rPr>
          <w:rFonts w:hint="eastAsia"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rPr>
      </w:r>
      <w:r/>
    </w:p>
    <w:p>
      <w:pPr>
        <w:pStyle w:val="1126"/>
        <w:ind w:firstLine="482"/>
        <w:jc w:val="left"/>
        <w:spacing w:line="360" w:lineRule="auto"/>
        <w:rPr>
          <w:rFonts w:ascii="宋体" w:hAnsi="宋体" w:cs="宋体"/>
          <w:color w:val="000000"/>
          <w:sz w:val="24"/>
          <w:szCs w:val="20"/>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szCs w:val="20"/>
        </w:rPr>
        <w:t xml:space="preserve">此表中，每采购包的投标报价应和《投标分项报价表》中的总价相一致。</w:t>
      </w:r>
      <w:r>
        <w:rPr>
          <w:rFonts w:ascii="宋体" w:hAnsi="宋体" w:cs="宋体"/>
          <w:color w:val="000000"/>
          <w:sz w:val="24"/>
          <w:szCs w:val="20"/>
        </w:rPr>
      </w:r>
      <w:r/>
    </w:p>
    <w:p>
      <w:pPr>
        <w:pStyle w:val="1126"/>
        <w:ind w:firstLine="480"/>
        <w:jc w:val="left"/>
        <w:spacing w:line="360" w:lineRule="auto"/>
        <w:rPr>
          <w:rFonts w:ascii="宋体" w:hAnsi="宋体" w:cs="宋体"/>
          <w:color w:val="000000"/>
          <w:sz w:val="24"/>
          <w:szCs w:val="20"/>
          <w:lang w:val="en-US" w:eastAsia="zh-CN"/>
        </w:rPr>
      </w:pPr>
      <w:r>
        <w:rPr>
          <w:rFonts w:hint="eastAsia" w:ascii="宋体" w:hAnsi="宋体" w:cs="宋体"/>
          <w:color w:val="000000"/>
          <w:sz w:val="24"/>
          <w:szCs w:val="20"/>
          <w:lang w:val="zh-CN"/>
        </w:rPr>
        <w:t xml:space="preserve">（</w:t>
      </w:r>
      <w:r>
        <w:rPr>
          <w:rFonts w:hint="eastAsia" w:ascii="宋体" w:hAnsi="宋体" w:cs="宋体"/>
          <w:color w:val="000000"/>
          <w:sz w:val="24"/>
          <w:szCs w:val="20"/>
          <w:lang w:val="en-US" w:eastAsia="zh-CN"/>
        </w:rPr>
        <w:t xml:space="preserve">2</w:t>
      </w:r>
      <w:r>
        <w:rPr>
          <w:rFonts w:hint="eastAsia" w:ascii="宋体" w:hAnsi="宋体" w:cs="宋体"/>
          <w:color w:val="000000"/>
          <w:sz w:val="24"/>
          <w:szCs w:val="20"/>
          <w:lang w:val="zh-CN"/>
        </w:rPr>
        <w:t xml:space="preserve">）</w:t>
      </w:r>
      <w:r>
        <w:rPr>
          <w:rFonts w:hint="eastAsia" w:ascii="宋体" w:hAnsi="宋体" w:cs="宋体"/>
          <w:color w:val="000000"/>
          <w:sz w:val="24"/>
          <w:szCs w:val="20"/>
          <w:lang w:val="en-US" w:eastAsia="zh-CN"/>
        </w:rPr>
        <w:t xml:space="preserve">按苏采云平台格式填写《</w:t>
      </w:r>
      <w:r>
        <w:rPr>
          <w:rFonts w:hint="eastAsia" w:ascii="宋体" w:hAnsi="宋体" w:cs="宋体"/>
          <w:color w:val="000000"/>
          <w:sz w:val="24"/>
          <w:szCs w:val="20"/>
        </w:rPr>
        <w:t xml:space="preserve">开标一览表</w:t>
      </w:r>
      <w:r>
        <w:rPr>
          <w:rFonts w:hint="eastAsia" w:ascii="宋体" w:hAnsi="宋体" w:cs="宋体"/>
          <w:color w:val="000000"/>
          <w:sz w:val="24"/>
          <w:szCs w:val="20"/>
          <w:lang w:val="en-US" w:eastAsia="zh-CN"/>
        </w:rPr>
        <w:t xml:space="preserve">》</w:t>
      </w:r>
      <w:r>
        <w:rPr>
          <w:rFonts w:ascii="宋体" w:hAnsi="宋体" w:cs="宋体"/>
          <w:color w:val="000000"/>
          <w:sz w:val="24"/>
          <w:szCs w:val="20"/>
          <w:lang w:val="en-US" w:eastAsia="zh-CN"/>
        </w:rPr>
      </w:r>
      <w:r/>
    </w:p>
    <w:p>
      <w:pPr>
        <w:pStyle w:val="1126"/>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rPr>
          <w:rFonts w:ascii="宋体" w:hAnsi="宋体" w:cs="宋体"/>
          <w:color w:val="000000"/>
          <w:sz w:val="24"/>
          <w:lang w:val="zh-CN"/>
        </w:rPr>
      </w:r>
      <w:r/>
    </w:p>
    <w:p>
      <w:pPr>
        <w:pStyle w:val="1126"/>
        <w:ind w:firstLine="482"/>
        <w:spacing w:before="25" w:after="25" w:line="360" w:lineRule="auto"/>
        <w:rPr>
          <w:rFonts w:ascii="宋体" w:hAnsi="宋体" w:cs="宋体"/>
          <w:color w:val="000000"/>
          <w:sz w:val="24"/>
          <w:lang w:val="zh-CN"/>
        </w:rPr>
      </w:pPr>
      <w:r>
        <w:rPr>
          <w:color w:val="000000"/>
          <w:sz w:val="24"/>
        </w:rPr>
        <w:t xml:space="preserve">供应商名称</w:t>
      </w:r>
      <w:r>
        <w:rPr>
          <w:rFonts w:hint="eastAsia" w:ascii="宋体" w:hAnsi="宋体" w:cs="宋体"/>
          <w:color w:val="000000"/>
          <w:sz w:val="24"/>
        </w:rPr>
        <w:t xml:space="preserve">（加盖公章）</w:t>
      </w:r>
      <w:r>
        <w:rPr>
          <w:rFonts w:hint="eastAsia" w:ascii="宋体" w:hAnsi="宋体" w:cs="宋体"/>
          <w:color w:val="000000"/>
          <w:sz w:val="24"/>
          <w:lang w:val="zh-CN"/>
        </w:rPr>
        <w:t xml:space="preserve">：____________</w:t>
      </w:r>
      <w:r>
        <w:rPr>
          <w:rFonts w:ascii="宋体" w:hAnsi="宋体" w:cs="宋体"/>
          <w:color w:val="000000"/>
          <w:sz w:val="24"/>
          <w:lang w:val="zh-CN"/>
        </w:rPr>
      </w:r>
      <w:r/>
    </w:p>
    <w:p>
      <w:pPr>
        <w:pStyle w:val="1126"/>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rPr>
          <w:rFonts w:ascii="宋体" w:hAnsi="宋体" w:cs="宋体"/>
          <w:color w:val="000000"/>
          <w:sz w:val="24"/>
          <w:lang w:val="zh-CN"/>
        </w:rPr>
      </w:r>
      <w:r/>
    </w:p>
    <w:p>
      <w:pPr>
        <w:pStyle w:val="1126"/>
        <w:ind w:firstLine="482"/>
        <w:jc w:val="left"/>
        <w:widowControl/>
        <w:rPr>
          <w:rFonts w:ascii="宋体" w:hAnsi="宋体" w:cs="宋体"/>
          <w:color w:val="000000"/>
          <w:sz w:val="24"/>
          <w:szCs w:val="20"/>
        </w:rPr>
        <w:outlineLvl w:val="2"/>
      </w:pPr>
      <w:r/>
      <w:bookmarkStart w:id="712" w:name="_Toc305158901"/>
      <w:r/>
      <w:bookmarkStart w:id="713" w:name="_Toc150480796"/>
      <w:r/>
      <w:bookmarkStart w:id="714" w:name="_Toc226309803"/>
      <w:r/>
      <w:bookmarkStart w:id="715" w:name="_Toc265228397"/>
      <w:r/>
      <w:bookmarkStart w:id="716" w:name="_Toc127151558"/>
      <w:r/>
      <w:bookmarkStart w:id="717" w:name="_Toc142311060"/>
      <w:r/>
      <w:bookmarkStart w:id="718" w:name="_Toc305158827"/>
      <w:r/>
      <w:bookmarkStart w:id="719" w:name="_Toc150774763"/>
      <w:r/>
      <w:bookmarkStart w:id="720" w:name="_Toc226965749"/>
      <w:r/>
      <w:bookmarkStart w:id="721" w:name="_Toc195842924"/>
      <w:r/>
      <w:bookmarkStart w:id="722" w:name="_Toc264969249"/>
      <w:r/>
      <w:bookmarkStart w:id="723" w:name="_Toc226337255"/>
      <w:r/>
      <w:bookmarkStart w:id="724" w:name="_Toc226965832"/>
      <w:r>
        <w:rPr>
          <w:rFonts w:hint="eastAsia" w:ascii="宋体" w:hAnsi="宋体" w:cs="宋体"/>
          <w:color w:val="000000"/>
          <w:sz w:val="24"/>
          <w:szCs w:val="20"/>
        </w:rPr>
        <w:br w:type="page" w:clear="all"/>
      </w:r>
      <w:r>
        <w:rPr>
          <w:rFonts w:hint="eastAsia" w:ascii="宋体" w:hAnsi="宋体" w:cs="宋体"/>
          <w:color w:val="000000"/>
          <w:sz w:val="24"/>
          <w:szCs w:val="20"/>
          <w:lang w:val="en-US" w:eastAsia="zh-CN"/>
        </w:rPr>
        <w:t xml:space="preserve">7</w:t>
      </w:r>
      <w:r>
        <w:rPr>
          <w:rFonts w:hint="eastAsia" w:ascii="宋体" w:hAnsi="宋体" w:cs="宋体"/>
          <w:color w:val="000000"/>
          <w:sz w:val="24"/>
          <w:szCs w:val="20"/>
        </w:rPr>
        <w:t xml:space="preserve">  投标分项报价表</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rFonts w:hint="eastAsia" w:ascii="宋体" w:hAnsi="宋体" w:cs="宋体"/>
          <w:color w:val="000000"/>
          <w:sz w:val="24"/>
          <w:szCs w:val="20"/>
        </w:rPr>
        <w:t xml:space="preserve">（实质性格式）</w:t>
      </w:r>
      <w:r>
        <w:rPr>
          <w:rFonts w:ascii="宋体" w:hAnsi="宋体" w:cs="宋体"/>
          <w:color w:val="000000"/>
          <w:sz w:val="24"/>
          <w:szCs w:val="20"/>
        </w:rPr>
      </w:r>
      <w:r/>
    </w:p>
    <w:p>
      <w:pPr>
        <w:pStyle w:val="1126"/>
        <w:ind w:firstLine="562"/>
        <w:jc w:val="center"/>
        <w:spacing w:before="159" w:after="159" w:line="360" w:lineRule="auto"/>
        <w:widowControl/>
        <w:rPr>
          <w:rFonts w:hint="eastAsia" w:ascii="宋体" w:hAnsi="宋体" w:cs="宋体"/>
          <w:b/>
          <w:sz w:val="28"/>
          <w:szCs w:val="28"/>
        </w:rPr>
        <w:outlineLvl w:val="3"/>
      </w:pPr>
      <w:r>
        <w:rPr>
          <w:rFonts w:hint="eastAsia" w:ascii="宋体" w:hAnsi="宋体" w:cs="宋体"/>
          <w:b/>
          <w:sz w:val="28"/>
          <w:szCs w:val="28"/>
        </w:rPr>
      </w:r>
      <w:r/>
    </w:p>
    <w:p>
      <w:pPr>
        <w:pStyle w:val="1126"/>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投标分项报价表</w:t>
      </w:r>
      <w:r>
        <w:rPr>
          <w:rFonts w:ascii="宋体" w:hAnsi="宋体" w:cs="宋体"/>
          <w:b/>
          <w:sz w:val="28"/>
          <w:szCs w:val="28"/>
        </w:rPr>
      </w:r>
      <w:r/>
    </w:p>
    <w:p>
      <w:pPr>
        <w:pStyle w:val="1126"/>
        <w:ind w:firstLine="482"/>
        <w:spacing w:line="360" w:lineRule="auto"/>
        <w:tabs>
          <w:tab w:val="left" w:pos="1800" w:leader="none"/>
          <w:tab w:val="left" w:pos="5580" w:leader="none"/>
        </w:tabs>
        <w:rPr>
          <w:rFonts w:hint="eastAsia"/>
          <w:b/>
          <w:sz w:val="24"/>
          <w:lang w:val="en-US" w:eastAsia="zh-CN"/>
        </w:rPr>
      </w:pPr>
      <w:r>
        <w:rPr>
          <w:color w:val="000000"/>
          <w:sz w:val="24"/>
        </w:rPr>
        <w:t xml:space="preserve">项目编号/</w:t>
      </w:r>
      <w:r>
        <w:rPr>
          <w:rFonts w:hint="eastAsia" w:ascii="宋体" w:hAnsi="宋体" w:cs="宋体"/>
          <w:color w:val="000000"/>
          <w:sz w:val="24"/>
          <w:szCs w:val="20"/>
        </w:rPr>
        <w:t xml:space="preserve">采购包</w:t>
      </w:r>
      <w:r>
        <w:rPr>
          <w:color w:val="000000"/>
          <w:sz w:val="24"/>
        </w:rPr>
        <w:t xml:space="preserve">：___________ 项目名称：__________报价单位：</w:t>
      </w:r>
      <w:r>
        <w:rPr>
          <w:rFonts w:hint="eastAsia"/>
          <w:b/>
          <w:sz w:val="24"/>
          <w:lang w:val="en-US" w:eastAsia="zh-CN"/>
        </w:rPr>
        <w:t xml:space="preserve">元</w:t>
      </w:r>
      <w:r>
        <w:rPr>
          <w:rFonts w:hint="eastAsia"/>
          <w:b/>
          <w:sz w:val="24"/>
          <w:lang w:val="en-US" w:eastAsia="zh-CN"/>
        </w:rPr>
      </w:r>
      <w:r/>
    </w:p>
    <w:p>
      <w:pPr>
        <w:pStyle w:val="1159"/>
        <w:tabs>
          <w:tab w:val="left" w:pos="567" w:leader="none"/>
        </w:tabs>
      </w:p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126"/>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126"/>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126"/>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126"/>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126"/>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126"/>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126"/>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126"/>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126"/>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126"/>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126"/>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26"/>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126"/>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126"/>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12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126"/>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12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126"/>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12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126"/>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12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126"/>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12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126"/>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12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126"/>
              <w:jc w:val="center"/>
              <w:spacing w:line="360" w:lineRule="auto"/>
              <w:widowControl/>
              <w:rPr>
                <w:rFonts w:ascii="宋体" w:hAnsi="宋体" w:cs="Arial"/>
                <w:sz w:val="24"/>
              </w:rPr>
            </w:pPr>
            <w:r>
              <w:rPr>
                <w:rFonts w:hint="eastAsia" w:ascii="宋体" w:hAnsi="宋体" w:eastAsia="宋体" w:cs="Arial"/>
                <w:sz w:val="24"/>
              </w:rPr>
              <w:t xml:space="preserve">总价</w:t>
            </w:r>
            <w:r>
              <w:rPr>
                <w:rFonts w:hint="eastAsia" w:ascii="宋体" w:hAnsi="宋体" w:eastAsia="宋体" w:cs="Arial"/>
                <w:sz w:val="24"/>
                <w:lang w:eastAsia="zh-CN"/>
              </w:rPr>
              <w:t xml:space="preserve">（</w:t>
            </w:r>
            <w:r>
              <w:rPr>
                <w:rFonts w:hint="eastAsia" w:ascii="宋体" w:hAnsi="宋体" w:eastAsia="宋体" w:cs="Arial"/>
                <w:sz w:val="24"/>
                <w:lang w:val="en-US" w:eastAsia="zh-CN"/>
              </w:rPr>
              <w:t xml:space="preserve">元</w:t>
            </w:r>
            <w:r>
              <w:rPr>
                <w:rFonts w:hint="eastAsia" w:ascii="宋体" w:hAnsi="宋体" w:eastAsia="宋体" w:cs="Arial"/>
                <w:sz w:val="24"/>
                <w:lang w:eastAsia="zh-CN"/>
              </w:rPr>
              <w:t xml:space="preserve">）</w:t>
            </w:r>
            <w:r>
              <w:rPr>
                <w:rFonts w:ascii="宋体" w:hAnsi="宋体" w:cs="Arial"/>
                <w:sz w:val="24"/>
              </w:rPr>
            </w:r>
            <w:r/>
          </w:p>
        </w:tc>
        <w:tc>
          <w:tcPr>
            <w:gridSpan w:val="4"/>
            <w:tcW w:w="4025" w:type="dxa"/>
            <w:vAlign w:val="center"/>
            <w:textDirection w:val="lrTb"/>
            <w:noWrap w:val="false"/>
          </w:tcPr>
          <w:p>
            <w:pPr>
              <w:pStyle w:val="1126"/>
              <w:jc w:val="center"/>
              <w:spacing w:line="360" w:lineRule="auto"/>
              <w:widowControl/>
              <w:rPr>
                <w:rFonts w:ascii="宋体" w:hAnsi="宋体" w:cs="Arial"/>
                <w:sz w:val="24"/>
              </w:rPr>
            </w:pPr>
            <w:r>
              <w:rPr>
                <w:rFonts w:ascii="宋体" w:hAnsi="宋体" w:cs="Arial"/>
                <w:sz w:val="24"/>
              </w:rPr>
            </w:r>
            <w:r/>
          </w:p>
        </w:tc>
      </w:tr>
    </w:tbl>
    <w:p>
      <w:pPr>
        <w:pStyle w:val="1126"/>
        <w:ind w:firstLine="482"/>
        <w:jc w:val="left"/>
        <w:tabs>
          <w:tab w:val="left" w:pos="1800" w:leader="none"/>
          <w:tab w:val="left" w:pos="5580" w:leader="none"/>
        </w:tabs>
        <w:rPr>
          <w:color w:val="000000"/>
          <w:sz w:val="24"/>
        </w:rPr>
      </w:pPr>
      <w:r>
        <w:rPr>
          <w:color w:val="000000"/>
          <w:sz w:val="24"/>
        </w:rPr>
      </w:r>
      <w:r/>
    </w:p>
    <w:p>
      <w:pPr>
        <w:pStyle w:val="1126"/>
        <w:ind w:firstLine="482"/>
        <w:jc w:val="left"/>
        <w:tabs>
          <w:tab w:val="left" w:pos="1800" w:leader="none"/>
          <w:tab w:val="left" w:pos="5580" w:leader="none"/>
        </w:tabs>
        <w:rPr>
          <w:color w:val="000000"/>
          <w:sz w:val="24"/>
        </w:rPr>
      </w:pPr>
      <w:r>
        <w:rPr>
          <w:color w:val="000000"/>
          <w:sz w:val="24"/>
        </w:rPr>
      </w:r>
      <w:r/>
    </w:p>
    <w:p>
      <w:pPr>
        <w:pStyle w:val="1126"/>
        <w:ind w:firstLine="482"/>
        <w:jc w:val="left"/>
        <w:spacing w:line="360" w:lineRule="auto"/>
        <w:tabs>
          <w:tab w:val="left" w:pos="1800" w:leader="none"/>
          <w:tab w:val="left" w:pos="5580" w:leader="none"/>
        </w:tabs>
        <w:rPr>
          <w:color w:val="000000"/>
          <w:sz w:val="24"/>
        </w:rPr>
      </w:pPr>
      <w:r>
        <w:rPr>
          <w:color w:val="000000"/>
          <w:sz w:val="24"/>
        </w:rPr>
        <w:t xml:space="preserve">注：</w:t>
      </w:r>
      <w:r>
        <w:rPr>
          <w:color w:val="000000"/>
          <w:sz w:val="24"/>
        </w:rPr>
      </w:r>
      <w:r/>
    </w:p>
    <w:p>
      <w:pPr>
        <w:pStyle w:val="1126"/>
        <w:ind w:firstLine="480"/>
        <w:jc w:val="left"/>
        <w:spacing w:line="360" w:lineRule="auto"/>
        <w:tabs>
          <w:tab w:val="left" w:pos="1800" w:leader="none"/>
          <w:tab w:val="left" w:pos="5580" w:leader="none"/>
        </w:tabs>
        <w:rPr>
          <w:color w:val="000000"/>
          <w:sz w:val="24"/>
        </w:rPr>
      </w:pPr>
      <w:r>
        <w:rPr>
          <w:rFonts w:hint="eastAsia"/>
          <w:color w:val="000000"/>
          <w:sz w:val="24"/>
        </w:rPr>
        <w:t xml:space="preserve">1</w:t>
      </w:r>
      <w:r>
        <w:rPr>
          <w:color w:val="000000"/>
          <w:sz w:val="24"/>
        </w:rPr>
        <w:t xml:space="preserve">.如果不提供分项报价将视为没有实质性响应招标文件。</w:t>
      </w:r>
      <w:r>
        <w:rPr>
          <w:color w:val="000000"/>
          <w:sz w:val="24"/>
        </w:rPr>
      </w:r>
      <w:r/>
    </w:p>
    <w:p>
      <w:pPr>
        <w:pStyle w:val="1126"/>
        <w:ind w:firstLine="480"/>
        <w:jc w:val="left"/>
        <w:spacing w:line="360" w:lineRule="auto"/>
        <w:tabs>
          <w:tab w:val="left" w:pos="1800" w:leader="none"/>
          <w:tab w:val="left" w:pos="5580" w:leader="none"/>
        </w:tabs>
        <w:rPr>
          <w:color w:val="000000"/>
          <w:sz w:val="24"/>
        </w:rPr>
      </w:pPr>
      <w:r>
        <w:rPr>
          <w:rFonts w:hint="eastAsia"/>
          <w:color w:val="000000"/>
          <w:sz w:val="24"/>
        </w:rPr>
        <w:t xml:space="preserve">2</w:t>
      </w:r>
      <w:r>
        <w:rPr>
          <w:color w:val="000000"/>
          <w:sz w:val="24"/>
        </w:rPr>
        <w:t xml:space="preserve">.</w:t>
      </w:r>
      <w:r>
        <w:rPr>
          <w:rFonts w:hint="eastAsia"/>
          <w:color w:val="000000"/>
          <w:sz w:val="24"/>
        </w:rPr>
        <w:t xml:space="preserve">本表行数可以按照项目分项情况增加。</w:t>
      </w:r>
      <w:r>
        <w:rPr>
          <w:color w:val="000000"/>
          <w:sz w:val="24"/>
        </w:rPr>
      </w:r>
      <w:r/>
    </w:p>
    <w:p>
      <w:pPr>
        <w:pStyle w:val="1126"/>
        <w:ind w:firstLine="480"/>
        <w:jc w:val="left"/>
        <w:spacing w:line="360" w:lineRule="auto"/>
        <w:tabs>
          <w:tab w:val="left" w:pos="1800" w:leader="none"/>
          <w:tab w:val="left" w:pos="5580" w:leader="none"/>
        </w:tabs>
        <w:rPr>
          <w:color w:val="000000"/>
          <w:sz w:val="24"/>
        </w:rPr>
      </w:pPr>
      <w:r>
        <w:rPr>
          <w:rFonts w:hint="eastAsia"/>
          <w:color w:val="000000"/>
          <w:sz w:val="24"/>
        </w:rPr>
        <w:t xml:space="preserve">3.</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126"/>
        <w:ind w:firstLine="241"/>
        <w:spacing w:before="25" w:after="25" w:line="360" w:lineRule="auto"/>
        <w:rPr>
          <w:color w:val="000000"/>
          <w:sz w:val="24"/>
          <w:lang w:val="zh-CN"/>
        </w:rPr>
      </w:pPr>
      <w:r>
        <w:rPr>
          <w:b/>
          <w:bCs/>
          <w:color w:val="000000"/>
          <w:sz w:val="24"/>
          <w:lang w:val="zh-CN"/>
        </w:rPr>
        <w:t xml:space="preserve"> </w:t>
      </w:r>
      <w:r>
        <w:rPr>
          <w:rFonts w:hint="eastAsia"/>
          <w:b/>
          <w:bCs/>
          <w:color w:val="000000"/>
          <w:sz w:val="24"/>
        </w:rPr>
        <w:t xml:space="preserve"> </w:t>
      </w:r>
      <w:r>
        <w:rPr>
          <w:color w:val="000000"/>
          <w:sz w:val="24"/>
          <w:lang w:val="zh-CN"/>
        </w:rPr>
        <w:t xml:space="preserve">         </w:t>
      </w:r>
      <w:r>
        <w:rPr>
          <w:color w:val="000000"/>
          <w:sz w:val="24"/>
          <w:lang w:val="zh-CN"/>
        </w:rPr>
      </w:r>
      <w:r/>
    </w:p>
    <w:p>
      <w:pPr>
        <w:pStyle w:val="1126"/>
        <w:ind w:firstLine="482"/>
        <w:spacing w:before="25" w:after="25" w:line="360" w:lineRule="auto"/>
        <w:rPr>
          <w:color w:val="000000"/>
          <w:sz w:val="24"/>
          <w:lang w:val="zh-CN"/>
        </w:rPr>
      </w:pPr>
      <w:r>
        <w:rPr>
          <w:color w:val="000000"/>
          <w:sz w:val="24"/>
        </w:rPr>
        <w:t xml:space="preserve">供应商名称</w:t>
      </w:r>
      <w:r>
        <w:rPr>
          <w:color w:val="000000"/>
          <w:sz w:val="24"/>
        </w:rPr>
        <w:t xml:space="preserve">（加盖公章）</w:t>
      </w:r>
      <w:r>
        <w:rPr>
          <w:color w:val="000000"/>
          <w:sz w:val="24"/>
          <w:lang w:val="zh-CN"/>
        </w:rPr>
        <w:t xml:space="preserve">：____________</w:t>
      </w:r>
      <w:r>
        <w:rPr>
          <w:color w:val="000000"/>
          <w:sz w:val="24"/>
          <w:lang w:val="zh-CN"/>
        </w:rPr>
      </w:r>
      <w:r/>
    </w:p>
    <w:p>
      <w:pPr>
        <w:pStyle w:val="1126"/>
        <w:ind w:firstLine="48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26"/>
        <w:jc w:val="left"/>
        <w:spacing w:before="240" w:after="240"/>
        <w:rPr>
          <w:color w:val="000000"/>
          <w:sz w:val="24"/>
          <w:szCs w:val="20"/>
        </w:rPr>
      </w:pPr>
      <w:r>
        <w:rPr>
          <w:rFonts w:hint="eastAsia" w:ascii="宋体" w:hAnsi="宋体" w:cs="宋体"/>
          <w:color w:val="000000"/>
          <w:sz w:val="24"/>
          <w:szCs w:val="20"/>
        </w:rPr>
        <w:br w:type="page" w:clear="all"/>
      </w:r>
      <w:r>
        <w:rPr>
          <w:rFonts w:hint="eastAsia"/>
          <w:color w:val="000000"/>
          <w:sz w:val="24"/>
          <w:szCs w:val="20"/>
          <w:lang w:val="en-US" w:eastAsia="zh-CN"/>
        </w:rPr>
        <w:t xml:space="preserve">8</w:t>
      </w:r>
      <w:r>
        <w:rPr>
          <w:color w:val="000000"/>
          <w:sz w:val="24"/>
          <w:szCs w:val="20"/>
        </w:rPr>
        <w:t xml:space="preserve">合同条款偏离表</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color w:val="000000"/>
          <w:sz w:val="24"/>
          <w:szCs w:val="20"/>
        </w:rPr>
      </w:r>
      <w:r/>
    </w:p>
    <w:p>
      <w:pPr>
        <w:pStyle w:val="1126"/>
        <w:spacing w:line="360" w:lineRule="auto"/>
        <w:rPr>
          <w:color w:val="000000"/>
          <w:sz w:val="24"/>
          <w:szCs w:val="20"/>
        </w:rPr>
      </w:pPr>
      <w:r>
        <w:rPr>
          <w:color w:val="000000"/>
          <w:sz w:val="24"/>
          <w:szCs w:val="20"/>
        </w:rPr>
      </w:r>
      <w:r/>
    </w:p>
    <w:p>
      <w:pPr>
        <w:pStyle w:val="1126"/>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126"/>
        <w:jc w:val="center"/>
        <w:rPr>
          <w:color w:val="000000"/>
          <w:sz w:val="36"/>
          <w:szCs w:val="36"/>
        </w:rPr>
      </w:pPr>
      <w:r>
        <w:rPr>
          <w:color w:val="000000"/>
          <w:sz w:val="36"/>
          <w:szCs w:val="36"/>
        </w:rPr>
      </w:r>
      <w:r/>
    </w:p>
    <w:p>
      <w:pPr>
        <w:pStyle w:val="1126"/>
        <w:spacing w:line="360" w:lineRule="auto"/>
        <w:rPr>
          <w:color w:val="000000"/>
          <w:sz w:val="24"/>
          <w:szCs w:val="20"/>
        </w:rPr>
      </w:pPr>
      <w:r>
        <w:rPr>
          <w:color w:val="000000"/>
          <w:sz w:val="24"/>
          <w:szCs w:val="20"/>
        </w:rPr>
      </w:r>
      <w:r/>
    </w:p>
    <w:p>
      <w:pPr>
        <w:pStyle w:val="1126"/>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dxa"/>
            <w:vAlign w:val="center"/>
            <w:textDirection w:val="lrTb"/>
            <w:noWrap w:val="false"/>
          </w:tcPr>
          <w:p>
            <w:pPr>
              <w:pStyle w:val="1126"/>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126"/>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126"/>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28" w:type="dxa"/>
            <w:vAlign w:val="center"/>
            <w:textDirection w:val="lrTb"/>
            <w:noWrap w:val="false"/>
          </w:tcPr>
          <w:p>
            <w:pPr>
              <w:pStyle w:val="1126"/>
              <w:jc w:val="center"/>
              <w:rPr>
                <w:color w:val="000000"/>
                <w:sz w:val="24"/>
              </w:rPr>
            </w:pPr>
            <w:r>
              <w:rPr>
                <w:color w:val="000000"/>
                <w:sz w:val="24"/>
              </w:rPr>
              <w:t xml:space="preserve">序号</w:t>
            </w:r>
            <w:r>
              <w:rPr>
                <w:color w:val="000000"/>
                <w:sz w:val="24"/>
              </w:rPr>
            </w:r>
            <w:r/>
          </w:p>
        </w:tc>
        <w:tc>
          <w:tcPr>
            <w:tcW w:w="1290" w:type="dxa"/>
            <w:vAlign w:val="center"/>
            <w:textDirection w:val="lrTb"/>
            <w:noWrap w:val="false"/>
          </w:tcPr>
          <w:p>
            <w:pPr>
              <w:pStyle w:val="1126"/>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980" w:type="dxa"/>
            <w:vAlign w:val="center"/>
            <w:textDirection w:val="lrTb"/>
            <w:noWrap w:val="false"/>
          </w:tcPr>
          <w:p>
            <w:pPr>
              <w:pStyle w:val="1126"/>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981" w:type="dxa"/>
            <w:vAlign w:val="center"/>
            <w:textDirection w:val="lrTb"/>
            <w:noWrap w:val="false"/>
          </w:tcPr>
          <w:p>
            <w:pPr>
              <w:pStyle w:val="1126"/>
              <w:jc w:val="center"/>
              <w:rPr>
                <w:color w:val="000000"/>
                <w:sz w:val="24"/>
              </w:rPr>
            </w:pPr>
            <w:r>
              <w:rPr>
                <w:color w:val="000000"/>
                <w:sz w:val="24"/>
              </w:rPr>
              <w:t xml:space="preserve">响应文件内容</w:t>
            </w:r>
            <w:r>
              <w:rPr>
                <w:color w:val="000000"/>
                <w:sz w:val="24"/>
              </w:rPr>
            </w:r>
            <w:r/>
          </w:p>
        </w:tc>
        <w:tc>
          <w:tcPr>
            <w:tcW w:w="2427" w:type="dxa"/>
            <w:vAlign w:val="center"/>
            <w:textDirection w:val="lrTb"/>
            <w:noWrap w:val="false"/>
          </w:tcPr>
          <w:p>
            <w:pPr>
              <w:pStyle w:val="1126"/>
              <w:jc w:val="center"/>
              <w:rPr>
                <w:color w:val="000000"/>
                <w:sz w:val="24"/>
              </w:rPr>
            </w:pPr>
            <w:r>
              <w:rPr>
                <w:color w:val="000000"/>
                <w:sz w:val="24"/>
              </w:rPr>
              <w:t xml:space="preserve">偏离情况</w:t>
            </w:r>
            <w:r>
              <w:rPr>
                <w:color w:val="000000"/>
                <w:sz w:val="24"/>
              </w:rPr>
            </w:r>
            <w:r/>
          </w:p>
          <w:p>
            <w:pPr>
              <w:pStyle w:val="1126"/>
              <w:jc w:val="center"/>
              <w:rPr>
                <w:color w:val="000000"/>
                <w:sz w:val="24"/>
              </w:rPr>
            </w:pPr>
            <w:r>
              <w:rPr>
                <w:color w:val="000000"/>
                <w:sz w:val="24"/>
              </w:rPr>
              <w:t xml:space="preserve">（据实填写）</w:t>
            </w:r>
            <w:r>
              <w:rPr>
                <w:color w:val="000000"/>
                <w:sz w:val="24"/>
              </w:rPr>
            </w:r>
            <w:r/>
          </w:p>
        </w:tc>
        <w:tc>
          <w:tcPr>
            <w:tcW w:w="782" w:type="dxa"/>
            <w:vAlign w:val="center"/>
            <w:textDirection w:val="lrTb"/>
            <w:noWrap w:val="false"/>
          </w:tcPr>
          <w:p>
            <w:pPr>
              <w:pStyle w:val="1126"/>
              <w:jc w:val="center"/>
              <w:rPr>
                <w:color w:val="000000"/>
                <w:sz w:val="24"/>
              </w:rPr>
            </w:pPr>
            <w:r>
              <w:rPr>
                <w:color w:val="000000"/>
                <w:sz w:val="24"/>
              </w:rPr>
              <w:t xml:space="preserve">说明</w:t>
            </w:r>
            <w:r>
              <w:rPr>
                <w:color w:val="000000"/>
                <w:sz w:val="24"/>
              </w:rPr>
            </w:r>
            <w:r/>
          </w:p>
        </w:tc>
      </w:tr>
      <w:tr>
        <w:trPr>
          <w:trHeight w:val="930"/>
        </w:trPr>
        <w:tc>
          <w:tcPr>
            <w:tcW w:w="828" w:type="dxa"/>
            <w:vAlign w:val="center"/>
            <w:textDirection w:val="lrTb"/>
            <w:noWrap w:val="false"/>
          </w:tcPr>
          <w:p>
            <w:pPr>
              <w:pStyle w:val="1126"/>
              <w:jc w:val="center"/>
              <w:rPr>
                <w:color w:val="000000"/>
                <w:sz w:val="24"/>
              </w:rPr>
            </w:pPr>
            <w:r>
              <w:rPr>
                <w:color w:val="000000"/>
                <w:sz w:val="24"/>
              </w:rPr>
            </w:r>
            <w:r/>
          </w:p>
        </w:tc>
        <w:tc>
          <w:tcPr>
            <w:tcW w:w="1290" w:type="dxa"/>
            <w:vAlign w:val="center"/>
            <w:textDirection w:val="lrTb"/>
            <w:noWrap w:val="false"/>
          </w:tcPr>
          <w:p>
            <w:pPr>
              <w:pStyle w:val="1126"/>
              <w:jc w:val="center"/>
              <w:rPr>
                <w:color w:val="000000"/>
                <w:sz w:val="24"/>
              </w:rPr>
            </w:pPr>
            <w:r>
              <w:rPr>
                <w:color w:val="000000"/>
                <w:sz w:val="24"/>
              </w:rPr>
            </w:r>
            <w:r/>
          </w:p>
        </w:tc>
        <w:tc>
          <w:tcPr>
            <w:tcW w:w="1980" w:type="dxa"/>
            <w:vAlign w:val="center"/>
            <w:textDirection w:val="lrTb"/>
            <w:noWrap w:val="false"/>
          </w:tcPr>
          <w:p>
            <w:pPr>
              <w:pStyle w:val="1126"/>
              <w:jc w:val="center"/>
              <w:rPr>
                <w:color w:val="000000"/>
                <w:sz w:val="24"/>
              </w:rPr>
            </w:pPr>
            <w:r>
              <w:rPr>
                <w:color w:val="000000"/>
                <w:sz w:val="24"/>
              </w:rPr>
            </w:r>
            <w:r/>
          </w:p>
        </w:tc>
        <w:tc>
          <w:tcPr>
            <w:tcW w:w="1981" w:type="dxa"/>
            <w:vAlign w:val="center"/>
            <w:textDirection w:val="lrTb"/>
            <w:noWrap w:val="false"/>
          </w:tcPr>
          <w:p>
            <w:pPr>
              <w:pStyle w:val="1126"/>
              <w:jc w:val="center"/>
              <w:rPr>
                <w:color w:val="000000"/>
                <w:sz w:val="24"/>
              </w:rPr>
            </w:pPr>
            <w:r>
              <w:rPr>
                <w:color w:val="000000"/>
                <w:sz w:val="24"/>
              </w:rPr>
            </w:r>
            <w:r/>
          </w:p>
        </w:tc>
        <w:tc>
          <w:tcPr>
            <w:tcW w:w="2427" w:type="dxa"/>
            <w:vAlign w:val="center"/>
            <w:textDirection w:val="lrTb"/>
            <w:noWrap w:val="false"/>
          </w:tcPr>
          <w:p>
            <w:pPr>
              <w:pStyle w:val="1126"/>
              <w:jc w:val="center"/>
              <w:rPr>
                <w:color w:val="000000"/>
                <w:sz w:val="24"/>
              </w:rPr>
            </w:pPr>
            <w:r>
              <w:rPr>
                <w:color w:val="000000"/>
                <w:sz w:val="24"/>
              </w:rPr>
            </w:r>
            <w:r/>
          </w:p>
        </w:tc>
        <w:tc>
          <w:tcPr>
            <w:tcW w:w="782" w:type="dxa"/>
            <w:vAlign w:val="center"/>
            <w:textDirection w:val="lrTb"/>
            <w:noWrap w:val="false"/>
          </w:tcPr>
          <w:p>
            <w:pPr>
              <w:pStyle w:val="1126"/>
              <w:jc w:val="center"/>
              <w:rPr>
                <w:color w:val="000000"/>
                <w:sz w:val="24"/>
              </w:rPr>
            </w:pPr>
            <w:r>
              <w:rPr>
                <w:color w:val="000000"/>
                <w:sz w:val="24"/>
              </w:rPr>
            </w:r>
            <w:r/>
          </w:p>
        </w:tc>
      </w:tr>
      <w:tr>
        <w:trPr>
          <w:trHeight w:val="930"/>
        </w:trPr>
        <w:tc>
          <w:tcPr>
            <w:tcW w:w="828" w:type="dxa"/>
            <w:vAlign w:val="center"/>
            <w:textDirection w:val="lrTb"/>
            <w:noWrap w:val="false"/>
          </w:tcPr>
          <w:p>
            <w:pPr>
              <w:pStyle w:val="1126"/>
              <w:jc w:val="center"/>
              <w:rPr>
                <w:color w:val="000000"/>
                <w:sz w:val="24"/>
              </w:rPr>
            </w:pPr>
            <w:r>
              <w:rPr>
                <w:color w:val="000000"/>
                <w:sz w:val="24"/>
              </w:rPr>
            </w:r>
            <w:r/>
          </w:p>
        </w:tc>
        <w:tc>
          <w:tcPr>
            <w:tcW w:w="1290" w:type="dxa"/>
            <w:vAlign w:val="center"/>
            <w:textDirection w:val="lrTb"/>
            <w:noWrap w:val="false"/>
          </w:tcPr>
          <w:p>
            <w:pPr>
              <w:pStyle w:val="1126"/>
              <w:jc w:val="center"/>
              <w:rPr>
                <w:color w:val="000000"/>
                <w:sz w:val="24"/>
              </w:rPr>
            </w:pPr>
            <w:r>
              <w:rPr>
                <w:color w:val="000000"/>
                <w:sz w:val="24"/>
              </w:rPr>
            </w:r>
            <w:r/>
          </w:p>
        </w:tc>
        <w:tc>
          <w:tcPr>
            <w:tcW w:w="1980" w:type="dxa"/>
            <w:vAlign w:val="center"/>
            <w:textDirection w:val="lrTb"/>
            <w:noWrap w:val="false"/>
          </w:tcPr>
          <w:p>
            <w:pPr>
              <w:pStyle w:val="1126"/>
              <w:jc w:val="center"/>
              <w:rPr>
                <w:color w:val="000000"/>
                <w:sz w:val="24"/>
              </w:rPr>
            </w:pPr>
            <w:r>
              <w:rPr>
                <w:color w:val="000000"/>
                <w:sz w:val="24"/>
              </w:rPr>
            </w:r>
            <w:r/>
          </w:p>
        </w:tc>
        <w:tc>
          <w:tcPr>
            <w:tcW w:w="1981" w:type="dxa"/>
            <w:vAlign w:val="center"/>
            <w:textDirection w:val="lrTb"/>
            <w:noWrap w:val="false"/>
          </w:tcPr>
          <w:p>
            <w:pPr>
              <w:pStyle w:val="1126"/>
              <w:jc w:val="center"/>
              <w:rPr>
                <w:color w:val="000000"/>
                <w:sz w:val="24"/>
              </w:rPr>
            </w:pPr>
            <w:r>
              <w:rPr>
                <w:color w:val="000000"/>
                <w:sz w:val="24"/>
              </w:rPr>
            </w:r>
            <w:r/>
          </w:p>
        </w:tc>
        <w:tc>
          <w:tcPr>
            <w:tcW w:w="2427" w:type="dxa"/>
            <w:vAlign w:val="center"/>
            <w:textDirection w:val="lrTb"/>
            <w:noWrap w:val="false"/>
          </w:tcPr>
          <w:p>
            <w:pPr>
              <w:pStyle w:val="1126"/>
              <w:jc w:val="center"/>
              <w:rPr>
                <w:color w:val="000000"/>
                <w:sz w:val="24"/>
              </w:rPr>
            </w:pPr>
            <w:r>
              <w:rPr>
                <w:color w:val="000000"/>
                <w:sz w:val="24"/>
              </w:rPr>
            </w:r>
            <w:r/>
          </w:p>
        </w:tc>
        <w:tc>
          <w:tcPr>
            <w:tcW w:w="782" w:type="dxa"/>
            <w:vAlign w:val="center"/>
            <w:textDirection w:val="lrTb"/>
            <w:noWrap w:val="false"/>
          </w:tcPr>
          <w:p>
            <w:pPr>
              <w:pStyle w:val="1126"/>
              <w:jc w:val="center"/>
              <w:rPr>
                <w:color w:val="000000"/>
                <w:sz w:val="24"/>
              </w:rPr>
            </w:pPr>
            <w:r>
              <w:rPr>
                <w:color w:val="000000"/>
                <w:sz w:val="24"/>
              </w:rPr>
            </w:r>
            <w:r/>
          </w:p>
        </w:tc>
      </w:tr>
      <w:tr>
        <w:trPr>
          <w:trHeight w:val="930"/>
        </w:trPr>
        <w:tc>
          <w:tcPr>
            <w:tcW w:w="828" w:type="dxa"/>
            <w:vAlign w:val="center"/>
            <w:textDirection w:val="lrTb"/>
            <w:noWrap w:val="false"/>
          </w:tcPr>
          <w:p>
            <w:pPr>
              <w:pStyle w:val="1126"/>
              <w:jc w:val="center"/>
              <w:rPr>
                <w:color w:val="000000"/>
                <w:sz w:val="24"/>
              </w:rPr>
            </w:pPr>
            <w:r>
              <w:rPr>
                <w:color w:val="000000"/>
                <w:sz w:val="24"/>
              </w:rPr>
            </w:r>
            <w:r/>
          </w:p>
        </w:tc>
        <w:tc>
          <w:tcPr>
            <w:tcW w:w="1290" w:type="dxa"/>
            <w:vAlign w:val="center"/>
            <w:textDirection w:val="lrTb"/>
            <w:noWrap w:val="false"/>
          </w:tcPr>
          <w:p>
            <w:pPr>
              <w:pStyle w:val="1126"/>
              <w:jc w:val="center"/>
              <w:rPr>
                <w:color w:val="000000"/>
                <w:sz w:val="24"/>
              </w:rPr>
            </w:pPr>
            <w:r>
              <w:rPr>
                <w:color w:val="000000"/>
                <w:sz w:val="24"/>
              </w:rPr>
            </w:r>
            <w:r/>
          </w:p>
        </w:tc>
        <w:tc>
          <w:tcPr>
            <w:tcW w:w="1980" w:type="dxa"/>
            <w:vAlign w:val="center"/>
            <w:textDirection w:val="lrTb"/>
            <w:noWrap w:val="false"/>
          </w:tcPr>
          <w:p>
            <w:pPr>
              <w:pStyle w:val="1126"/>
              <w:jc w:val="center"/>
              <w:rPr>
                <w:color w:val="000000"/>
                <w:sz w:val="24"/>
              </w:rPr>
            </w:pPr>
            <w:r>
              <w:rPr>
                <w:color w:val="000000"/>
                <w:sz w:val="24"/>
              </w:rPr>
            </w:r>
            <w:r/>
          </w:p>
        </w:tc>
        <w:tc>
          <w:tcPr>
            <w:tcW w:w="1981" w:type="dxa"/>
            <w:vAlign w:val="center"/>
            <w:textDirection w:val="lrTb"/>
            <w:noWrap w:val="false"/>
          </w:tcPr>
          <w:p>
            <w:pPr>
              <w:pStyle w:val="1126"/>
              <w:jc w:val="center"/>
              <w:rPr>
                <w:color w:val="000000"/>
                <w:sz w:val="24"/>
              </w:rPr>
            </w:pPr>
            <w:r>
              <w:rPr>
                <w:color w:val="000000"/>
                <w:sz w:val="24"/>
              </w:rPr>
            </w:r>
            <w:r/>
          </w:p>
        </w:tc>
        <w:tc>
          <w:tcPr>
            <w:tcW w:w="2427" w:type="dxa"/>
            <w:vAlign w:val="center"/>
            <w:textDirection w:val="lrTb"/>
            <w:noWrap w:val="false"/>
          </w:tcPr>
          <w:p>
            <w:pPr>
              <w:pStyle w:val="1126"/>
              <w:jc w:val="center"/>
              <w:rPr>
                <w:color w:val="000000"/>
                <w:sz w:val="24"/>
              </w:rPr>
            </w:pPr>
            <w:r>
              <w:rPr>
                <w:color w:val="000000"/>
                <w:sz w:val="24"/>
              </w:rPr>
            </w:r>
            <w:r/>
          </w:p>
        </w:tc>
        <w:tc>
          <w:tcPr>
            <w:tcW w:w="782" w:type="dxa"/>
            <w:vAlign w:val="center"/>
            <w:textDirection w:val="lrTb"/>
            <w:noWrap w:val="false"/>
          </w:tcPr>
          <w:p>
            <w:pPr>
              <w:pStyle w:val="1126"/>
              <w:jc w:val="center"/>
              <w:rPr>
                <w:color w:val="000000"/>
                <w:sz w:val="24"/>
              </w:rPr>
            </w:pPr>
            <w:r>
              <w:rPr>
                <w:color w:val="000000"/>
                <w:sz w:val="24"/>
              </w:rPr>
            </w:r>
            <w:r/>
          </w:p>
        </w:tc>
      </w:tr>
      <w:tr>
        <w:trPr>
          <w:trHeight w:val="930"/>
        </w:trPr>
        <w:tc>
          <w:tcPr>
            <w:tcW w:w="828" w:type="dxa"/>
            <w:vAlign w:val="center"/>
            <w:textDirection w:val="lrTb"/>
            <w:noWrap w:val="false"/>
          </w:tcPr>
          <w:p>
            <w:pPr>
              <w:pStyle w:val="1126"/>
              <w:jc w:val="center"/>
              <w:rPr>
                <w:color w:val="000000"/>
                <w:sz w:val="24"/>
              </w:rPr>
            </w:pPr>
            <w:r>
              <w:rPr>
                <w:color w:val="000000"/>
                <w:sz w:val="24"/>
              </w:rPr>
            </w:r>
            <w:r/>
          </w:p>
        </w:tc>
        <w:tc>
          <w:tcPr>
            <w:tcW w:w="1290" w:type="dxa"/>
            <w:vAlign w:val="center"/>
            <w:textDirection w:val="lrTb"/>
            <w:noWrap w:val="false"/>
          </w:tcPr>
          <w:p>
            <w:pPr>
              <w:pStyle w:val="1126"/>
              <w:jc w:val="center"/>
              <w:rPr>
                <w:color w:val="000000"/>
                <w:sz w:val="24"/>
              </w:rPr>
            </w:pPr>
            <w:r>
              <w:rPr>
                <w:color w:val="000000"/>
                <w:sz w:val="24"/>
              </w:rPr>
            </w:r>
            <w:r/>
          </w:p>
        </w:tc>
        <w:tc>
          <w:tcPr>
            <w:tcW w:w="1980" w:type="dxa"/>
            <w:vAlign w:val="center"/>
            <w:textDirection w:val="lrTb"/>
            <w:noWrap w:val="false"/>
          </w:tcPr>
          <w:p>
            <w:pPr>
              <w:pStyle w:val="1126"/>
              <w:jc w:val="center"/>
              <w:rPr>
                <w:color w:val="000000"/>
                <w:sz w:val="24"/>
              </w:rPr>
            </w:pPr>
            <w:r>
              <w:rPr>
                <w:color w:val="000000"/>
                <w:sz w:val="24"/>
              </w:rPr>
            </w:r>
            <w:r/>
          </w:p>
        </w:tc>
        <w:tc>
          <w:tcPr>
            <w:tcW w:w="1981" w:type="dxa"/>
            <w:vAlign w:val="center"/>
            <w:textDirection w:val="lrTb"/>
            <w:noWrap w:val="false"/>
          </w:tcPr>
          <w:p>
            <w:pPr>
              <w:pStyle w:val="1126"/>
              <w:jc w:val="center"/>
              <w:rPr>
                <w:color w:val="000000"/>
                <w:sz w:val="24"/>
              </w:rPr>
            </w:pPr>
            <w:r>
              <w:rPr>
                <w:color w:val="000000"/>
                <w:sz w:val="24"/>
              </w:rPr>
            </w:r>
            <w:r/>
          </w:p>
        </w:tc>
        <w:tc>
          <w:tcPr>
            <w:tcW w:w="2427" w:type="dxa"/>
            <w:vAlign w:val="center"/>
            <w:textDirection w:val="lrTb"/>
            <w:noWrap w:val="false"/>
          </w:tcPr>
          <w:p>
            <w:pPr>
              <w:pStyle w:val="1126"/>
              <w:jc w:val="center"/>
              <w:rPr>
                <w:color w:val="000000"/>
                <w:sz w:val="24"/>
              </w:rPr>
            </w:pPr>
            <w:r>
              <w:rPr>
                <w:color w:val="000000"/>
                <w:sz w:val="24"/>
              </w:rPr>
            </w:r>
            <w:r/>
          </w:p>
        </w:tc>
        <w:tc>
          <w:tcPr>
            <w:tcW w:w="782" w:type="dxa"/>
            <w:vAlign w:val="center"/>
            <w:textDirection w:val="lrTb"/>
            <w:noWrap w:val="false"/>
          </w:tcPr>
          <w:p>
            <w:pPr>
              <w:pStyle w:val="1126"/>
              <w:jc w:val="center"/>
              <w:rPr>
                <w:color w:val="000000"/>
                <w:sz w:val="24"/>
              </w:rPr>
            </w:pPr>
            <w:r>
              <w:rPr>
                <w:color w:val="000000"/>
                <w:sz w:val="24"/>
              </w:rPr>
            </w:r>
            <w:r/>
          </w:p>
        </w:tc>
      </w:tr>
    </w:tbl>
    <w:p>
      <w:pPr>
        <w:pStyle w:val="1126"/>
        <w:jc w:val="left"/>
        <w:tabs>
          <w:tab w:val="left" w:pos="1800" w:leader="none"/>
          <w:tab w:val="left" w:pos="5580" w:leader="none"/>
        </w:tabs>
        <w:rPr>
          <w:color w:val="000000"/>
          <w:sz w:val="24"/>
        </w:rPr>
      </w:pPr>
      <w:r>
        <w:rPr>
          <w:color w:val="000000"/>
          <w:sz w:val="24"/>
        </w:rPr>
      </w:r>
      <w:r/>
    </w:p>
    <w:p>
      <w:pPr>
        <w:pStyle w:val="1126"/>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126"/>
        <w:jc w:val="left"/>
        <w:tabs>
          <w:tab w:val="left" w:pos="1800" w:leader="none"/>
          <w:tab w:val="left" w:pos="5580" w:leader="none"/>
        </w:tabs>
        <w:rPr>
          <w:color w:val="000000"/>
          <w:sz w:val="24"/>
        </w:rPr>
      </w:pPr>
      <w:r>
        <w:rPr>
          <w:color w:val="000000"/>
          <w:sz w:val="24"/>
        </w:rPr>
        <w:t xml:space="preserve">1. </w:t>
      </w:r>
      <w:r>
        <w:rPr>
          <w:rFonts w:hint="eastAsia"/>
          <w:color w:val="000000"/>
          <w:sz w:val="24"/>
        </w:rPr>
        <w:t xml:space="preserve">对合同条款中的所有要求，除本表所列明的所有偏离外，均视作供应商已对之理解和响应。</w:t>
      </w:r>
      <w:r>
        <w:rPr>
          <w:color w:val="000000"/>
          <w:sz w:val="24"/>
        </w:rPr>
      </w:r>
      <w:r/>
    </w:p>
    <w:p>
      <w:pPr>
        <w:pStyle w:val="1126"/>
        <w:jc w:val="left"/>
        <w:tabs>
          <w:tab w:val="left" w:pos="1800" w:leader="none"/>
          <w:tab w:val="left" w:pos="5580" w:leader="none"/>
        </w:tabs>
        <w:rPr>
          <w:color w:val="000000"/>
          <w:sz w:val="24"/>
        </w:rPr>
      </w:pPr>
      <w:r>
        <w:rPr>
          <w:color w:val="000000"/>
          <w:sz w:val="24"/>
        </w:rPr>
        <w:t xml:space="preserve">2. </w:t>
      </w:r>
      <w:r>
        <w:rPr>
          <w:rFonts w:hint="eastAsia"/>
          <w:color w:val="000000"/>
          <w:sz w:val="24"/>
        </w:rPr>
        <w:t xml:space="preserve">“偏离情况”列应据实填写“正偏离”或“负偏离”。</w:t>
      </w:r>
      <w:r>
        <w:rPr>
          <w:color w:val="000000"/>
          <w:sz w:val="24"/>
        </w:rPr>
      </w:r>
      <w:r/>
    </w:p>
    <w:p>
      <w:pPr>
        <w:pStyle w:val="1126"/>
        <w:spacing w:line="360" w:lineRule="auto"/>
        <w:rPr>
          <w:color w:val="000000"/>
          <w:sz w:val="24"/>
          <w:szCs w:val="20"/>
        </w:rPr>
      </w:pPr>
      <w:r>
        <w:rPr>
          <w:color w:val="000000"/>
          <w:sz w:val="24"/>
          <w:szCs w:val="20"/>
        </w:rPr>
      </w:r>
      <w:r/>
    </w:p>
    <w:p>
      <w:pPr>
        <w:pStyle w:val="112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26"/>
        <w:spacing w:before="25" w:after="25" w:line="360" w:lineRule="auto"/>
        <w:rPr>
          <w:color w:val="000000"/>
          <w:sz w:val="24"/>
          <w:lang w:val="zh-CN"/>
        </w:rPr>
      </w:pPr>
      <w:r>
        <w:rPr>
          <w:color w:val="000000"/>
          <w:sz w:val="24"/>
        </w:rPr>
        <w:t xml:space="preserve">供应商名称（加盖公章）</w:t>
      </w:r>
      <w:r>
        <w:rPr>
          <w:rFonts w:hint="eastAsia"/>
          <w:color w:val="000000"/>
          <w:sz w:val="24"/>
        </w:rPr>
        <w:t xml:space="preserve">：</w:t>
      </w:r>
      <w:r>
        <w:rPr>
          <w:color w:val="000000"/>
          <w:sz w:val="24"/>
          <w:lang w:val="zh-CN"/>
        </w:rPr>
        <w:t xml:space="preserve">____________</w:t>
      </w:r>
      <w:r>
        <w:rPr>
          <w:color w:val="000000"/>
          <w:sz w:val="24"/>
          <w:lang w:val="zh-CN"/>
        </w:rPr>
      </w:r>
      <w:r/>
    </w:p>
    <w:p>
      <w:pPr>
        <w:pStyle w:val="112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26"/>
        <w:spacing w:line="360" w:lineRule="auto"/>
        <w:rPr>
          <w:color w:val="000000"/>
          <w:sz w:val="24"/>
          <w:szCs w:val="20"/>
        </w:rPr>
        <w:outlineLvl w:val="2"/>
      </w:pPr>
      <w:r>
        <w:rPr>
          <w:color w:val="000000"/>
          <w:sz w:val="24"/>
          <w:szCs w:val="20"/>
        </w:rPr>
        <w:br w:type="page" w:clear="all"/>
      </w:r>
      <w:r>
        <w:rPr>
          <w:color w:val="000000"/>
          <w:sz w:val="24"/>
          <w:szCs w:val="20"/>
        </w:rPr>
      </w:r>
      <w:r/>
    </w:p>
    <w:p>
      <w:pPr>
        <w:pStyle w:val="1126"/>
        <w:spacing w:line="360" w:lineRule="auto"/>
        <w:rPr>
          <w:color w:val="000000"/>
          <w:sz w:val="24"/>
          <w:szCs w:val="20"/>
        </w:rPr>
        <w:outlineLvl w:val="2"/>
      </w:pPr>
      <w:r>
        <w:rPr>
          <w:rFonts w:hint="eastAsia"/>
          <w:color w:val="000000"/>
          <w:sz w:val="24"/>
          <w:szCs w:val="20"/>
          <w:lang w:val="en-US" w:eastAsia="zh-CN"/>
        </w:rPr>
        <w:t xml:space="preserve">9</w:t>
      </w:r>
      <w:r>
        <w:rPr>
          <w:color w:val="000000"/>
          <w:sz w:val="24"/>
          <w:szCs w:val="20"/>
        </w:rPr>
        <w:t xml:space="preserve"> </w:t>
      </w:r>
      <w:bookmarkEnd w:id="686"/>
      <w:r/>
      <w:bookmarkEnd w:id="687"/>
      <w:r/>
      <w:bookmarkEnd w:id="688"/>
      <w:r/>
      <w:bookmarkEnd w:id="689"/>
      <w:r/>
      <w:bookmarkEnd w:id="703"/>
      <w:r/>
      <w:bookmarkEnd w:id="704"/>
      <w:r/>
      <w:bookmarkEnd w:id="705"/>
      <w:r/>
      <w:bookmarkEnd w:id="706"/>
      <w:r/>
      <w:bookmarkEnd w:id="707"/>
      <w:r/>
      <w:bookmarkEnd w:id="708"/>
      <w:r/>
      <w:bookmarkEnd w:id="709"/>
      <w:r/>
      <w:bookmarkEnd w:id="710"/>
      <w:r/>
      <w:bookmarkEnd w:id="711"/>
      <w:r>
        <w:rPr>
          <w:color w:val="000000"/>
          <w:sz w:val="24"/>
          <w:szCs w:val="20"/>
        </w:rPr>
        <w:t xml:space="preserve">采购需求偏离表</w:t>
      </w:r>
      <w:r>
        <w:rPr>
          <w:color w:val="000000"/>
          <w:sz w:val="24"/>
          <w:szCs w:val="20"/>
        </w:rPr>
      </w:r>
      <w:r/>
    </w:p>
    <w:p>
      <w:pPr>
        <w:pStyle w:val="1126"/>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126"/>
        <w:jc w:val="center"/>
        <w:rPr>
          <w:color w:val="000000"/>
          <w:sz w:val="36"/>
          <w:szCs w:val="36"/>
        </w:rPr>
      </w:pPr>
      <w:r>
        <w:rPr>
          <w:color w:val="000000"/>
          <w:sz w:val="36"/>
          <w:szCs w:val="36"/>
        </w:rPr>
      </w:r>
      <w:r/>
    </w:p>
    <w:p>
      <w:pPr>
        <w:pStyle w:val="1126"/>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26"/>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1126"/>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1126"/>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1126"/>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1126"/>
              <w:jc w:val="center"/>
              <w:rPr>
                <w:color w:val="000000"/>
                <w:sz w:val="24"/>
              </w:rPr>
            </w:pPr>
            <w:r>
              <w:rPr>
                <w:color w:val="000000"/>
                <w:sz w:val="24"/>
              </w:rPr>
              <w:t xml:space="preserve">偏离情况</w:t>
            </w:r>
            <w:r>
              <w:rPr>
                <w:color w:val="000000"/>
                <w:sz w:val="24"/>
              </w:rPr>
            </w:r>
            <w:r/>
          </w:p>
          <w:p>
            <w:pPr>
              <w:pStyle w:val="1126"/>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1126"/>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1126"/>
              <w:jc w:val="center"/>
              <w:rPr>
                <w:color w:val="000000"/>
                <w:sz w:val="24"/>
              </w:rPr>
            </w:pPr>
            <w:r>
              <w:rPr>
                <w:color w:val="000000"/>
                <w:sz w:val="24"/>
              </w:rPr>
            </w:r>
            <w:r/>
          </w:p>
        </w:tc>
        <w:tc>
          <w:tcPr>
            <w:tcW w:w="1482" w:type="dxa"/>
            <w:vAlign w:val="center"/>
            <w:textDirection w:val="lrTb"/>
            <w:noWrap w:val="false"/>
          </w:tcPr>
          <w:p>
            <w:pPr>
              <w:pStyle w:val="1126"/>
              <w:jc w:val="center"/>
              <w:rPr>
                <w:color w:val="000000"/>
                <w:sz w:val="24"/>
              </w:rPr>
            </w:pPr>
            <w:r>
              <w:rPr>
                <w:color w:val="000000"/>
                <w:sz w:val="24"/>
              </w:rPr>
            </w:r>
            <w:r/>
          </w:p>
        </w:tc>
        <w:tc>
          <w:tcPr>
            <w:tcW w:w="2384" w:type="dxa"/>
            <w:vAlign w:val="center"/>
            <w:textDirection w:val="lrTb"/>
            <w:noWrap w:val="false"/>
          </w:tcPr>
          <w:p>
            <w:pPr>
              <w:pStyle w:val="1126"/>
              <w:jc w:val="center"/>
              <w:rPr>
                <w:color w:val="000000"/>
                <w:sz w:val="24"/>
              </w:rPr>
            </w:pPr>
            <w:r>
              <w:rPr>
                <w:color w:val="000000"/>
                <w:sz w:val="24"/>
              </w:rPr>
            </w:r>
            <w:r/>
          </w:p>
        </w:tc>
        <w:tc>
          <w:tcPr>
            <w:tcW w:w="2126" w:type="dxa"/>
            <w:vAlign w:val="center"/>
            <w:textDirection w:val="lrTb"/>
            <w:noWrap w:val="false"/>
          </w:tcPr>
          <w:p>
            <w:pPr>
              <w:pStyle w:val="1126"/>
              <w:jc w:val="center"/>
              <w:rPr>
                <w:color w:val="000000"/>
                <w:sz w:val="24"/>
              </w:rPr>
            </w:pPr>
            <w:r>
              <w:rPr>
                <w:color w:val="000000"/>
                <w:sz w:val="24"/>
              </w:rPr>
            </w:r>
            <w:r/>
          </w:p>
        </w:tc>
        <w:tc>
          <w:tcPr>
            <w:tcW w:w="1875" w:type="dxa"/>
            <w:vAlign w:val="center"/>
            <w:textDirection w:val="lrTb"/>
            <w:noWrap w:val="false"/>
          </w:tcPr>
          <w:p>
            <w:pPr>
              <w:pStyle w:val="1126"/>
              <w:jc w:val="center"/>
              <w:rPr>
                <w:color w:val="000000"/>
                <w:sz w:val="24"/>
              </w:rPr>
            </w:pPr>
            <w:r>
              <w:rPr>
                <w:color w:val="000000"/>
                <w:sz w:val="24"/>
              </w:rPr>
            </w:r>
            <w:r/>
          </w:p>
        </w:tc>
        <w:tc>
          <w:tcPr>
            <w:tcW w:w="1009" w:type="dxa"/>
            <w:vAlign w:val="center"/>
            <w:textDirection w:val="lrTb"/>
            <w:noWrap w:val="false"/>
          </w:tcPr>
          <w:p>
            <w:pPr>
              <w:pStyle w:val="1126"/>
              <w:jc w:val="center"/>
              <w:rPr>
                <w:color w:val="000000"/>
                <w:sz w:val="24"/>
              </w:rPr>
            </w:pPr>
            <w:r>
              <w:rPr>
                <w:color w:val="000000"/>
                <w:sz w:val="24"/>
              </w:rPr>
            </w:r>
            <w:r/>
          </w:p>
        </w:tc>
      </w:tr>
      <w:tr>
        <w:trPr>
          <w:trHeight w:val="930"/>
        </w:trPr>
        <w:tc>
          <w:tcPr>
            <w:tcW w:w="775" w:type="dxa"/>
            <w:vAlign w:val="center"/>
            <w:textDirection w:val="lrTb"/>
            <w:noWrap w:val="false"/>
          </w:tcPr>
          <w:p>
            <w:pPr>
              <w:pStyle w:val="1126"/>
              <w:jc w:val="center"/>
              <w:rPr>
                <w:color w:val="000000"/>
                <w:sz w:val="24"/>
              </w:rPr>
            </w:pPr>
            <w:r>
              <w:rPr>
                <w:color w:val="000000"/>
                <w:sz w:val="24"/>
              </w:rPr>
            </w:r>
            <w:r/>
          </w:p>
        </w:tc>
        <w:tc>
          <w:tcPr>
            <w:tcW w:w="1482" w:type="dxa"/>
            <w:vAlign w:val="center"/>
            <w:textDirection w:val="lrTb"/>
            <w:noWrap w:val="false"/>
          </w:tcPr>
          <w:p>
            <w:pPr>
              <w:pStyle w:val="1126"/>
              <w:jc w:val="center"/>
              <w:rPr>
                <w:color w:val="000000"/>
                <w:sz w:val="24"/>
              </w:rPr>
            </w:pPr>
            <w:r>
              <w:rPr>
                <w:color w:val="000000"/>
                <w:sz w:val="24"/>
              </w:rPr>
            </w:r>
            <w:r/>
          </w:p>
        </w:tc>
        <w:tc>
          <w:tcPr>
            <w:tcW w:w="2384" w:type="dxa"/>
            <w:vAlign w:val="center"/>
            <w:textDirection w:val="lrTb"/>
            <w:noWrap w:val="false"/>
          </w:tcPr>
          <w:p>
            <w:pPr>
              <w:pStyle w:val="1126"/>
              <w:jc w:val="center"/>
              <w:rPr>
                <w:color w:val="000000"/>
                <w:sz w:val="24"/>
              </w:rPr>
            </w:pPr>
            <w:r>
              <w:rPr>
                <w:color w:val="000000"/>
                <w:sz w:val="24"/>
              </w:rPr>
            </w:r>
            <w:r/>
          </w:p>
        </w:tc>
        <w:tc>
          <w:tcPr>
            <w:tcW w:w="2126" w:type="dxa"/>
            <w:vAlign w:val="center"/>
            <w:textDirection w:val="lrTb"/>
            <w:noWrap w:val="false"/>
          </w:tcPr>
          <w:p>
            <w:pPr>
              <w:pStyle w:val="1126"/>
              <w:jc w:val="center"/>
              <w:rPr>
                <w:color w:val="000000"/>
                <w:sz w:val="24"/>
              </w:rPr>
            </w:pPr>
            <w:r>
              <w:rPr>
                <w:color w:val="000000"/>
                <w:sz w:val="24"/>
              </w:rPr>
            </w:r>
            <w:r/>
          </w:p>
        </w:tc>
        <w:tc>
          <w:tcPr>
            <w:tcW w:w="1875" w:type="dxa"/>
            <w:vAlign w:val="center"/>
            <w:textDirection w:val="lrTb"/>
            <w:noWrap w:val="false"/>
          </w:tcPr>
          <w:p>
            <w:pPr>
              <w:pStyle w:val="1126"/>
              <w:jc w:val="center"/>
              <w:rPr>
                <w:color w:val="000000"/>
                <w:sz w:val="24"/>
              </w:rPr>
            </w:pPr>
            <w:r>
              <w:rPr>
                <w:color w:val="000000"/>
                <w:sz w:val="24"/>
              </w:rPr>
            </w:r>
            <w:r/>
          </w:p>
        </w:tc>
        <w:tc>
          <w:tcPr>
            <w:tcW w:w="1009" w:type="dxa"/>
            <w:vAlign w:val="center"/>
            <w:textDirection w:val="lrTb"/>
            <w:noWrap w:val="false"/>
          </w:tcPr>
          <w:p>
            <w:pPr>
              <w:pStyle w:val="1126"/>
              <w:jc w:val="center"/>
              <w:rPr>
                <w:color w:val="000000"/>
                <w:sz w:val="24"/>
              </w:rPr>
            </w:pPr>
            <w:r>
              <w:rPr>
                <w:color w:val="000000"/>
                <w:sz w:val="24"/>
              </w:rPr>
            </w:r>
            <w:r/>
          </w:p>
        </w:tc>
      </w:tr>
      <w:tr>
        <w:trPr>
          <w:trHeight w:val="930"/>
        </w:trPr>
        <w:tc>
          <w:tcPr>
            <w:tcW w:w="775" w:type="dxa"/>
            <w:vAlign w:val="center"/>
            <w:textDirection w:val="lrTb"/>
            <w:noWrap w:val="false"/>
          </w:tcPr>
          <w:p>
            <w:pPr>
              <w:pStyle w:val="1126"/>
              <w:jc w:val="center"/>
              <w:rPr>
                <w:color w:val="000000"/>
                <w:sz w:val="24"/>
              </w:rPr>
            </w:pPr>
            <w:r>
              <w:rPr>
                <w:color w:val="000000"/>
                <w:sz w:val="24"/>
              </w:rPr>
            </w:r>
            <w:r/>
          </w:p>
        </w:tc>
        <w:tc>
          <w:tcPr>
            <w:tcW w:w="1482" w:type="dxa"/>
            <w:vAlign w:val="center"/>
            <w:textDirection w:val="lrTb"/>
            <w:noWrap w:val="false"/>
          </w:tcPr>
          <w:p>
            <w:pPr>
              <w:pStyle w:val="1126"/>
              <w:jc w:val="center"/>
              <w:rPr>
                <w:color w:val="000000"/>
                <w:sz w:val="24"/>
              </w:rPr>
            </w:pPr>
            <w:r>
              <w:rPr>
                <w:color w:val="000000"/>
                <w:sz w:val="24"/>
              </w:rPr>
            </w:r>
            <w:r/>
          </w:p>
        </w:tc>
        <w:tc>
          <w:tcPr>
            <w:tcW w:w="2384" w:type="dxa"/>
            <w:vAlign w:val="center"/>
            <w:textDirection w:val="lrTb"/>
            <w:noWrap w:val="false"/>
          </w:tcPr>
          <w:p>
            <w:pPr>
              <w:pStyle w:val="1126"/>
              <w:jc w:val="center"/>
              <w:rPr>
                <w:color w:val="000000"/>
                <w:sz w:val="24"/>
              </w:rPr>
            </w:pPr>
            <w:r>
              <w:rPr>
                <w:color w:val="000000"/>
                <w:sz w:val="24"/>
              </w:rPr>
            </w:r>
            <w:r/>
          </w:p>
        </w:tc>
        <w:tc>
          <w:tcPr>
            <w:tcW w:w="2126" w:type="dxa"/>
            <w:vAlign w:val="center"/>
            <w:textDirection w:val="lrTb"/>
            <w:noWrap w:val="false"/>
          </w:tcPr>
          <w:p>
            <w:pPr>
              <w:pStyle w:val="1126"/>
              <w:jc w:val="center"/>
              <w:rPr>
                <w:color w:val="000000"/>
                <w:sz w:val="24"/>
              </w:rPr>
            </w:pPr>
            <w:r>
              <w:rPr>
                <w:color w:val="000000"/>
                <w:sz w:val="24"/>
              </w:rPr>
            </w:r>
            <w:r/>
          </w:p>
        </w:tc>
        <w:tc>
          <w:tcPr>
            <w:tcW w:w="1875" w:type="dxa"/>
            <w:vAlign w:val="center"/>
            <w:textDirection w:val="lrTb"/>
            <w:noWrap w:val="false"/>
          </w:tcPr>
          <w:p>
            <w:pPr>
              <w:pStyle w:val="1126"/>
              <w:jc w:val="center"/>
              <w:rPr>
                <w:color w:val="000000"/>
                <w:sz w:val="24"/>
              </w:rPr>
            </w:pPr>
            <w:r>
              <w:rPr>
                <w:color w:val="000000"/>
                <w:sz w:val="24"/>
              </w:rPr>
            </w:r>
            <w:r/>
          </w:p>
        </w:tc>
        <w:tc>
          <w:tcPr>
            <w:tcW w:w="1009" w:type="dxa"/>
            <w:vAlign w:val="center"/>
            <w:textDirection w:val="lrTb"/>
            <w:noWrap w:val="false"/>
          </w:tcPr>
          <w:p>
            <w:pPr>
              <w:pStyle w:val="1126"/>
              <w:jc w:val="center"/>
              <w:rPr>
                <w:color w:val="000000"/>
                <w:sz w:val="24"/>
              </w:rPr>
            </w:pPr>
            <w:r>
              <w:rPr>
                <w:color w:val="000000"/>
                <w:sz w:val="24"/>
              </w:rPr>
            </w:r>
            <w:r/>
          </w:p>
        </w:tc>
      </w:tr>
      <w:tr>
        <w:trPr>
          <w:trHeight w:val="930"/>
        </w:trPr>
        <w:tc>
          <w:tcPr>
            <w:tcW w:w="775" w:type="dxa"/>
            <w:vAlign w:val="center"/>
            <w:textDirection w:val="lrTb"/>
            <w:noWrap w:val="false"/>
          </w:tcPr>
          <w:p>
            <w:pPr>
              <w:pStyle w:val="1126"/>
              <w:jc w:val="center"/>
              <w:rPr>
                <w:color w:val="000000"/>
                <w:sz w:val="24"/>
              </w:rPr>
            </w:pPr>
            <w:r>
              <w:rPr>
                <w:color w:val="000000"/>
                <w:sz w:val="24"/>
              </w:rPr>
            </w:r>
            <w:r/>
          </w:p>
        </w:tc>
        <w:tc>
          <w:tcPr>
            <w:tcW w:w="1482" w:type="dxa"/>
            <w:vAlign w:val="center"/>
            <w:textDirection w:val="lrTb"/>
            <w:noWrap w:val="false"/>
          </w:tcPr>
          <w:p>
            <w:pPr>
              <w:pStyle w:val="1126"/>
              <w:jc w:val="center"/>
              <w:rPr>
                <w:color w:val="000000"/>
                <w:sz w:val="24"/>
              </w:rPr>
            </w:pPr>
            <w:r>
              <w:rPr>
                <w:color w:val="000000"/>
                <w:sz w:val="24"/>
              </w:rPr>
            </w:r>
            <w:r/>
          </w:p>
        </w:tc>
        <w:tc>
          <w:tcPr>
            <w:tcW w:w="2384" w:type="dxa"/>
            <w:vAlign w:val="center"/>
            <w:textDirection w:val="lrTb"/>
            <w:noWrap w:val="false"/>
          </w:tcPr>
          <w:p>
            <w:pPr>
              <w:pStyle w:val="1126"/>
              <w:jc w:val="center"/>
              <w:rPr>
                <w:color w:val="000000"/>
                <w:sz w:val="24"/>
              </w:rPr>
            </w:pPr>
            <w:r>
              <w:rPr>
                <w:color w:val="000000"/>
                <w:sz w:val="24"/>
              </w:rPr>
            </w:r>
            <w:r/>
          </w:p>
        </w:tc>
        <w:tc>
          <w:tcPr>
            <w:tcW w:w="2126" w:type="dxa"/>
            <w:vAlign w:val="center"/>
            <w:textDirection w:val="lrTb"/>
            <w:noWrap w:val="false"/>
          </w:tcPr>
          <w:p>
            <w:pPr>
              <w:pStyle w:val="1126"/>
              <w:jc w:val="center"/>
              <w:rPr>
                <w:color w:val="000000"/>
                <w:sz w:val="24"/>
              </w:rPr>
            </w:pPr>
            <w:r>
              <w:rPr>
                <w:color w:val="000000"/>
                <w:sz w:val="24"/>
              </w:rPr>
            </w:r>
            <w:r/>
          </w:p>
        </w:tc>
        <w:tc>
          <w:tcPr>
            <w:tcW w:w="1875" w:type="dxa"/>
            <w:vAlign w:val="center"/>
            <w:textDirection w:val="lrTb"/>
            <w:noWrap w:val="false"/>
          </w:tcPr>
          <w:p>
            <w:pPr>
              <w:pStyle w:val="1126"/>
              <w:jc w:val="center"/>
              <w:rPr>
                <w:color w:val="000000"/>
                <w:sz w:val="24"/>
              </w:rPr>
            </w:pPr>
            <w:r>
              <w:rPr>
                <w:color w:val="000000"/>
                <w:sz w:val="24"/>
              </w:rPr>
            </w:r>
            <w:r/>
          </w:p>
        </w:tc>
        <w:tc>
          <w:tcPr>
            <w:tcW w:w="1009" w:type="dxa"/>
            <w:vAlign w:val="center"/>
            <w:textDirection w:val="lrTb"/>
            <w:noWrap w:val="false"/>
          </w:tcPr>
          <w:p>
            <w:pPr>
              <w:pStyle w:val="1126"/>
              <w:jc w:val="center"/>
              <w:rPr>
                <w:color w:val="000000"/>
                <w:sz w:val="24"/>
              </w:rPr>
            </w:pPr>
            <w:r>
              <w:rPr>
                <w:color w:val="000000"/>
                <w:sz w:val="24"/>
              </w:rPr>
            </w:r>
            <w:r/>
          </w:p>
        </w:tc>
      </w:tr>
      <w:tr>
        <w:trPr>
          <w:trHeight w:val="930"/>
        </w:trPr>
        <w:tc>
          <w:tcPr>
            <w:tcW w:w="775" w:type="dxa"/>
            <w:vAlign w:val="center"/>
            <w:textDirection w:val="lrTb"/>
            <w:noWrap w:val="false"/>
          </w:tcPr>
          <w:p>
            <w:pPr>
              <w:pStyle w:val="1126"/>
              <w:jc w:val="center"/>
              <w:rPr>
                <w:color w:val="000000"/>
                <w:sz w:val="24"/>
              </w:rPr>
            </w:pPr>
            <w:r>
              <w:rPr>
                <w:color w:val="000000"/>
                <w:sz w:val="24"/>
              </w:rPr>
            </w:r>
            <w:r/>
          </w:p>
        </w:tc>
        <w:tc>
          <w:tcPr>
            <w:tcW w:w="1482" w:type="dxa"/>
            <w:vAlign w:val="center"/>
            <w:textDirection w:val="lrTb"/>
            <w:noWrap w:val="false"/>
          </w:tcPr>
          <w:p>
            <w:pPr>
              <w:pStyle w:val="1126"/>
              <w:jc w:val="center"/>
              <w:rPr>
                <w:color w:val="000000"/>
                <w:sz w:val="24"/>
              </w:rPr>
            </w:pPr>
            <w:r>
              <w:rPr>
                <w:color w:val="000000"/>
                <w:sz w:val="24"/>
              </w:rPr>
            </w:r>
            <w:r/>
          </w:p>
        </w:tc>
        <w:tc>
          <w:tcPr>
            <w:tcW w:w="2384" w:type="dxa"/>
            <w:vAlign w:val="center"/>
            <w:textDirection w:val="lrTb"/>
            <w:noWrap w:val="false"/>
          </w:tcPr>
          <w:p>
            <w:pPr>
              <w:pStyle w:val="1126"/>
              <w:jc w:val="center"/>
              <w:rPr>
                <w:color w:val="000000"/>
                <w:sz w:val="24"/>
              </w:rPr>
            </w:pPr>
            <w:r>
              <w:rPr>
                <w:color w:val="000000"/>
                <w:sz w:val="24"/>
              </w:rPr>
            </w:r>
            <w:r/>
          </w:p>
        </w:tc>
        <w:tc>
          <w:tcPr>
            <w:tcW w:w="2126" w:type="dxa"/>
            <w:vAlign w:val="center"/>
            <w:textDirection w:val="lrTb"/>
            <w:noWrap w:val="false"/>
          </w:tcPr>
          <w:p>
            <w:pPr>
              <w:pStyle w:val="1126"/>
              <w:jc w:val="center"/>
              <w:rPr>
                <w:color w:val="000000"/>
                <w:sz w:val="24"/>
              </w:rPr>
            </w:pPr>
            <w:r>
              <w:rPr>
                <w:color w:val="000000"/>
                <w:sz w:val="24"/>
              </w:rPr>
            </w:r>
            <w:r/>
          </w:p>
        </w:tc>
        <w:tc>
          <w:tcPr>
            <w:tcW w:w="1875" w:type="dxa"/>
            <w:vAlign w:val="center"/>
            <w:textDirection w:val="lrTb"/>
            <w:noWrap w:val="false"/>
          </w:tcPr>
          <w:p>
            <w:pPr>
              <w:pStyle w:val="1126"/>
              <w:jc w:val="center"/>
              <w:rPr>
                <w:color w:val="000000"/>
                <w:sz w:val="24"/>
              </w:rPr>
            </w:pPr>
            <w:r>
              <w:rPr>
                <w:color w:val="000000"/>
                <w:sz w:val="24"/>
              </w:rPr>
            </w:r>
            <w:r/>
          </w:p>
        </w:tc>
        <w:tc>
          <w:tcPr>
            <w:tcW w:w="1009" w:type="dxa"/>
            <w:vAlign w:val="center"/>
            <w:textDirection w:val="lrTb"/>
            <w:noWrap w:val="false"/>
          </w:tcPr>
          <w:p>
            <w:pPr>
              <w:pStyle w:val="1126"/>
              <w:jc w:val="center"/>
              <w:rPr>
                <w:color w:val="000000"/>
                <w:sz w:val="24"/>
              </w:rPr>
            </w:pPr>
            <w:r>
              <w:rPr>
                <w:color w:val="000000"/>
                <w:sz w:val="24"/>
              </w:rPr>
            </w:r>
            <w:r/>
          </w:p>
        </w:tc>
      </w:tr>
      <w:tr>
        <w:trPr>
          <w:trHeight w:val="930"/>
        </w:trPr>
        <w:tc>
          <w:tcPr>
            <w:tcW w:w="775" w:type="dxa"/>
            <w:vAlign w:val="center"/>
            <w:textDirection w:val="lrTb"/>
            <w:noWrap w:val="false"/>
          </w:tcPr>
          <w:p>
            <w:pPr>
              <w:pStyle w:val="1126"/>
              <w:jc w:val="center"/>
              <w:rPr>
                <w:color w:val="000000"/>
                <w:sz w:val="24"/>
              </w:rPr>
            </w:pPr>
            <w:r>
              <w:rPr>
                <w:color w:val="000000"/>
                <w:sz w:val="24"/>
              </w:rPr>
            </w:r>
            <w:r/>
          </w:p>
        </w:tc>
        <w:tc>
          <w:tcPr>
            <w:tcW w:w="1482" w:type="dxa"/>
            <w:vAlign w:val="center"/>
            <w:textDirection w:val="lrTb"/>
            <w:noWrap w:val="false"/>
          </w:tcPr>
          <w:p>
            <w:pPr>
              <w:pStyle w:val="1126"/>
              <w:jc w:val="center"/>
              <w:rPr>
                <w:color w:val="000000"/>
                <w:sz w:val="24"/>
              </w:rPr>
            </w:pPr>
            <w:r>
              <w:rPr>
                <w:color w:val="000000"/>
                <w:sz w:val="24"/>
              </w:rPr>
            </w:r>
            <w:r/>
          </w:p>
        </w:tc>
        <w:tc>
          <w:tcPr>
            <w:tcW w:w="2384" w:type="dxa"/>
            <w:vAlign w:val="center"/>
            <w:textDirection w:val="lrTb"/>
            <w:noWrap w:val="false"/>
          </w:tcPr>
          <w:p>
            <w:pPr>
              <w:pStyle w:val="1126"/>
              <w:jc w:val="center"/>
              <w:rPr>
                <w:color w:val="000000"/>
                <w:sz w:val="24"/>
              </w:rPr>
            </w:pPr>
            <w:r>
              <w:rPr>
                <w:color w:val="000000"/>
                <w:sz w:val="24"/>
              </w:rPr>
            </w:r>
            <w:r/>
          </w:p>
        </w:tc>
        <w:tc>
          <w:tcPr>
            <w:tcW w:w="2126" w:type="dxa"/>
            <w:vAlign w:val="center"/>
            <w:textDirection w:val="lrTb"/>
            <w:noWrap w:val="false"/>
          </w:tcPr>
          <w:p>
            <w:pPr>
              <w:pStyle w:val="1126"/>
              <w:jc w:val="center"/>
              <w:rPr>
                <w:color w:val="000000"/>
                <w:sz w:val="24"/>
              </w:rPr>
            </w:pPr>
            <w:r>
              <w:rPr>
                <w:color w:val="000000"/>
                <w:sz w:val="24"/>
              </w:rPr>
            </w:r>
            <w:r/>
          </w:p>
        </w:tc>
        <w:tc>
          <w:tcPr>
            <w:tcW w:w="1875" w:type="dxa"/>
            <w:vAlign w:val="center"/>
            <w:textDirection w:val="lrTb"/>
            <w:noWrap w:val="false"/>
          </w:tcPr>
          <w:p>
            <w:pPr>
              <w:pStyle w:val="1126"/>
              <w:jc w:val="center"/>
              <w:rPr>
                <w:color w:val="000000"/>
                <w:sz w:val="24"/>
              </w:rPr>
            </w:pPr>
            <w:r>
              <w:rPr>
                <w:color w:val="000000"/>
                <w:sz w:val="24"/>
              </w:rPr>
            </w:r>
            <w:r/>
          </w:p>
        </w:tc>
        <w:tc>
          <w:tcPr>
            <w:tcW w:w="1009" w:type="dxa"/>
            <w:vAlign w:val="center"/>
            <w:textDirection w:val="lrTb"/>
            <w:noWrap w:val="false"/>
          </w:tcPr>
          <w:p>
            <w:pPr>
              <w:pStyle w:val="1126"/>
              <w:jc w:val="center"/>
              <w:rPr>
                <w:color w:val="000000"/>
                <w:sz w:val="24"/>
              </w:rPr>
            </w:pPr>
            <w:r>
              <w:rPr>
                <w:color w:val="000000"/>
                <w:sz w:val="24"/>
              </w:rPr>
            </w:r>
            <w:r/>
          </w:p>
        </w:tc>
      </w:tr>
    </w:tbl>
    <w:p>
      <w:pPr>
        <w:pStyle w:val="112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12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126"/>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126"/>
        <w:jc w:val="left"/>
        <w:tabs>
          <w:tab w:val="left" w:pos="1800" w:leader="none"/>
          <w:tab w:val="left" w:pos="5580" w:leader="none"/>
        </w:tabs>
        <w:rPr>
          <w:color w:val="000000"/>
          <w:sz w:val="24"/>
        </w:rPr>
      </w:pPr>
      <w:r>
        <w:rPr>
          <w:rFonts w:hint="eastAsia"/>
          <w:color w:val="000000"/>
          <w:sz w:val="24"/>
        </w:rPr>
        <w:t xml:space="preserve">1.</w:t>
      </w:r>
      <w:r>
        <w:rPr>
          <w:color w:val="000000"/>
          <w:sz w:val="24"/>
        </w:rPr>
        <w:t xml:space="preserve"> 对磋商文件中的所有商务、技术要求，除本表所列明的所有偏离外，均视作供应商已对之理解和</w:t>
      </w:r>
      <w:r>
        <w:rPr>
          <w:rFonts w:hint="eastAsia"/>
          <w:color w:val="000000"/>
          <w:sz w:val="24"/>
        </w:rPr>
        <w:t xml:space="preserve">响应</w:t>
      </w:r>
      <w:r>
        <w:rPr>
          <w:color w:val="000000"/>
          <w:sz w:val="24"/>
        </w:rPr>
        <w:t xml:space="preserve">。此表中若无任何文字说明，内容为空白，则</w:t>
      </w:r>
      <w:r>
        <w:rPr>
          <w:b/>
          <w:color w:val="000000"/>
          <w:sz w:val="24"/>
        </w:rPr>
        <w:t xml:space="preserve">响应无效</w:t>
      </w:r>
      <w:r>
        <w:rPr>
          <w:color w:val="000000"/>
          <w:sz w:val="24"/>
        </w:rPr>
        <w:t xml:space="preserve">。</w:t>
      </w:r>
      <w:r>
        <w:rPr>
          <w:color w:val="000000"/>
          <w:sz w:val="24"/>
        </w:rPr>
      </w:r>
      <w:r/>
    </w:p>
    <w:p>
      <w:pPr>
        <w:pStyle w:val="1126"/>
        <w:jc w:val="left"/>
        <w:tabs>
          <w:tab w:val="left" w:pos="1800" w:leader="none"/>
          <w:tab w:val="left" w:pos="5580" w:leader="none"/>
        </w:tabs>
        <w:rPr>
          <w:color w:val="000000"/>
          <w:sz w:val="24"/>
        </w:rPr>
      </w:pPr>
      <w:r>
        <w:rPr>
          <w:color w:val="000000"/>
          <w:sz w:val="24"/>
        </w:rPr>
        <w:t xml:space="preserve">2.</w:t>
      </w:r>
      <w:r>
        <w:rPr>
          <w:rFonts w:hint="eastAsia"/>
          <w:color w:val="000000"/>
          <w:sz w:val="24"/>
        </w:rPr>
        <w:t xml:space="preserve">“偏离情况”列应据实填写“正偏离”或“负偏离”。</w:t>
      </w:r>
      <w:r>
        <w:rPr>
          <w:color w:val="000000"/>
          <w:sz w:val="24"/>
        </w:rPr>
      </w:r>
      <w:r/>
    </w:p>
    <w:p>
      <w:pPr>
        <w:pStyle w:val="1126"/>
        <w:rPr>
          <w:color w:val="000000"/>
          <w:sz w:val="24"/>
          <w:szCs w:val="20"/>
        </w:rPr>
      </w:pPr>
      <w:r>
        <w:rPr>
          <w:color w:val="000000"/>
          <w:sz w:val="24"/>
          <w:szCs w:val="20"/>
        </w:rPr>
      </w:r>
      <w:r/>
    </w:p>
    <w:p>
      <w:pPr>
        <w:pStyle w:val="112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2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2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26"/>
        <w:rPr>
          <w:color w:val="000000"/>
          <w:sz w:val="24"/>
          <w:szCs w:val="20"/>
        </w:rPr>
      </w:pPr>
      <w:r>
        <w:rPr>
          <w:color w:val="000000"/>
          <w:sz w:val="24"/>
          <w:szCs w:val="20"/>
        </w:rPr>
      </w:r>
      <w:r/>
    </w:p>
    <w:p>
      <w:pPr>
        <w:pStyle w:val="1126"/>
        <w:keepLines w:val="0"/>
        <w:keepNext w:val="0"/>
        <w:pageBreakBefore w:val="0"/>
        <w:spacing w:line="360" w:lineRule="auto"/>
        <w:widowControl w:val="off"/>
        <w:rPr>
          <w:rFonts w:hint="eastAsia"/>
          <w:color w:val="000000"/>
          <w:sz w:val="24"/>
          <w:szCs w:val="20"/>
        </w:rPr>
      </w:pPr>
      <w:r>
        <w:rPr>
          <w:rFonts w:hint="eastAsia"/>
          <w:color w:val="000000"/>
          <w:sz w:val="24"/>
          <w:szCs w:val="20"/>
          <w:lang w:val="en-US" w:eastAsia="zh-CN"/>
        </w:rPr>
        <w:t xml:space="preserve">10 </w:t>
      </w:r>
      <w:r>
        <w:rPr>
          <w:rFonts w:hint="eastAsia"/>
          <w:color w:val="000000"/>
          <w:sz w:val="24"/>
          <w:szCs w:val="20"/>
        </w:rPr>
        <w:t xml:space="preserve">项目服务方案等</w:t>
      </w:r>
      <w:r>
        <w:rPr>
          <w:rFonts w:hint="eastAsia"/>
          <w:color w:val="000000"/>
          <w:sz w:val="24"/>
          <w:szCs w:val="20"/>
        </w:rPr>
      </w:r>
      <w:r/>
    </w:p>
    <w:p>
      <w:pPr>
        <w:pStyle w:val="1159"/>
        <w:tabs>
          <w:tab w:val="left" w:pos="567" w:leader="none"/>
        </w:tabs>
        <w:rPr>
          <w:rFonts w:eastAsia="宋体"/>
          <w:color w:val="000000"/>
          <w:lang w:val="en-US" w:eastAsia="zh-CN"/>
        </w:rPr>
      </w:pPr>
      <w:r>
        <w:rPr>
          <w:rFonts w:hint="eastAsia"/>
          <w:color w:val="000000"/>
          <w:sz w:val="24"/>
          <w:szCs w:val="20"/>
          <w:lang w:val="en-US" w:eastAsia="zh-CN"/>
        </w:rPr>
        <w:t xml:space="preserve">可以根据评分标准方案内容填写</w:t>
      </w:r>
      <w:r>
        <w:rPr>
          <w:rFonts w:eastAsia="宋体"/>
          <w:color w:val="000000"/>
          <w:lang w:val="en-US" w:eastAsia="zh-CN"/>
        </w:rPr>
      </w:r>
      <w:r/>
    </w:p>
    <w:p>
      <w:pPr>
        <w:pStyle w:val="1126"/>
        <w:keepLines w:val="0"/>
        <w:keepNext w:val="0"/>
        <w:pageBreakBefore w:val="0"/>
        <w:spacing w:line="360" w:lineRule="auto"/>
        <w:widowControl w:val="off"/>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59"/>
        <w:tabs>
          <w:tab w:val="left" w:pos="567" w:leader="none"/>
        </w:tabs>
        <w:rPr>
          <w:color w:val="000000"/>
          <w:sz w:val="24"/>
          <w:szCs w:val="20"/>
        </w:rPr>
      </w:pPr>
      <w:r>
        <w:rPr>
          <w:color w:val="000000"/>
          <w:sz w:val="24"/>
          <w:szCs w:val="20"/>
        </w:rPr>
      </w:r>
      <w:r/>
    </w:p>
    <w:p>
      <w:pPr>
        <w:pStyle w:val="1126"/>
        <w:rPr>
          <w:color w:val="000000"/>
          <w:sz w:val="24"/>
          <w:szCs w:val="20"/>
        </w:rPr>
      </w:pPr>
      <w:r>
        <w:rPr>
          <w:color w:val="000000"/>
          <w:sz w:val="24"/>
          <w:szCs w:val="20"/>
        </w:rPr>
      </w:r>
      <w:r/>
    </w:p>
    <w:p>
      <w:pPr>
        <w:pStyle w:val="1159"/>
        <w:tabs>
          <w:tab w:val="left" w:pos="567" w:leader="none"/>
        </w:tabs>
        <w:rPr>
          <w:color w:val="000000"/>
          <w:sz w:val="24"/>
          <w:szCs w:val="20"/>
        </w:rPr>
      </w:pPr>
      <w:r>
        <w:rPr>
          <w:color w:val="000000"/>
          <w:sz w:val="24"/>
          <w:szCs w:val="20"/>
        </w:rPr>
      </w:r>
      <w:r/>
    </w:p>
    <w:p>
      <w:pPr>
        <w:pStyle w:val="1126"/>
        <w:rPr>
          <w:color w:val="000000"/>
          <w:sz w:val="24"/>
          <w:szCs w:val="20"/>
        </w:rPr>
      </w:pPr>
      <w:r>
        <w:rPr>
          <w:color w:val="000000"/>
          <w:sz w:val="24"/>
          <w:szCs w:val="20"/>
        </w:rPr>
      </w:r>
      <w:r/>
    </w:p>
    <w:p>
      <w:pPr>
        <w:pStyle w:val="1159"/>
        <w:tabs>
          <w:tab w:val="left" w:pos="567" w:leader="none"/>
        </w:tabs>
        <w:rPr>
          <w:color w:val="000000"/>
        </w:rPr>
      </w:pPr>
      <w:r>
        <w:rPr>
          <w:color w:val="000000"/>
        </w:rPr>
      </w:r>
      <w:r/>
    </w:p>
    <w:p>
      <w:pPr>
        <w:spacing w:line="360" w:lineRule="auto"/>
        <w:rPr>
          <w:color w:val="000000"/>
          <w:sz w:val="24"/>
          <w:szCs w:val="24"/>
        </w:rPr>
        <w:outlineLvl w:val="2"/>
      </w:pPr>
      <w:r>
        <w:rPr>
          <w:color w:val="000000"/>
          <w:sz w:val="24"/>
          <w:szCs w:val="20"/>
        </w:rPr>
      </w:r>
      <w:r>
        <w:rPr>
          <w:color w:val="000000"/>
          <w:sz w:val="24"/>
          <w:szCs w:val="20"/>
        </w:rPr>
      </w:r>
      <w:r/>
    </w:p>
    <w:p>
      <w:pPr>
        <w:spacing w:line="360" w:lineRule="auto"/>
        <w:rPr>
          <w:color w:val="000000"/>
          <w:sz w:val="24"/>
          <w:szCs w:val="24"/>
        </w:rPr>
        <w:outlineLvl w:val="2"/>
      </w:pPr>
      <w:r>
        <w:rPr>
          <w:color w:val="000000"/>
          <w:sz w:val="24"/>
          <w:szCs w:val="24"/>
        </w:rPr>
      </w:r>
      <w:r>
        <w:rPr>
          <w:color w:val="000000"/>
          <w:sz w:val="24"/>
          <w:szCs w:val="24"/>
        </w:rPr>
      </w:r>
      <w:r/>
    </w:p>
    <w:p>
      <w:pPr>
        <w:spacing w:line="360" w:lineRule="auto"/>
        <w:rPr>
          <w:color w:val="000000"/>
          <w:sz w:val="24"/>
          <w:szCs w:val="24"/>
        </w:rPr>
        <w:outlineLvl w:val="2"/>
      </w:pPr>
      <w:r>
        <w:rPr>
          <w:color w:val="000000"/>
          <w:sz w:val="24"/>
          <w:szCs w:val="24"/>
        </w:rPr>
      </w:r>
      <w:r>
        <w:rPr>
          <w:color w:val="000000"/>
          <w:sz w:val="24"/>
          <w:szCs w:val="24"/>
        </w:rPr>
      </w:r>
      <w:r/>
    </w:p>
    <w:p>
      <w:pPr>
        <w:pStyle w:val="1126"/>
        <w:spacing w:line="360" w:lineRule="auto"/>
        <w:rPr>
          <w:color w:val="000000"/>
          <w:sz w:val="24"/>
          <w:szCs w:val="24"/>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spacing w:line="360" w:lineRule="auto"/>
        <w:rPr>
          <w:color w:val="000000"/>
          <w:sz w:val="24"/>
          <w:szCs w:val="20"/>
        </w:rPr>
        <w:outlineLvl w:val="2"/>
      </w:pPr>
      <w:r>
        <w:rPr>
          <w:color w:val="000000"/>
          <w:sz w:val="24"/>
          <w:szCs w:val="20"/>
        </w:rPr>
      </w:r>
      <w:r/>
    </w:p>
    <w:p>
      <w:pPr>
        <w:pStyle w:val="1126"/>
        <w:rPr>
          <w:color w:val="000000"/>
          <w:sz w:val="24"/>
          <w:szCs w:val="20"/>
        </w:rPr>
      </w:pPr>
      <w:r>
        <w:rPr>
          <w:rFonts w:hint="eastAsia"/>
          <w:color w:val="000000"/>
          <w:sz w:val="24"/>
          <w:szCs w:val="20"/>
          <w:lang w:val="en-US" w:eastAsia="zh-CN"/>
        </w:rPr>
        <w:t xml:space="preserve">11 </w:t>
      </w:r>
      <w:r>
        <w:rPr>
          <w:rFonts w:hint="eastAsia"/>
          <w:color w:val="000000"/>
          <w:sz w:val="24"/>
          <w:szCs w:val="20"/>
        </w:rPr>
        <w:t xml:space="preserve">参加本项目人员一览表</w:t>
      </w:r>
      <w:r>
        <w:rPr>
          <w:color w:val="000000"/>
          <w:sz w:val="24"/>
          <w:szCs w:val="20"/>
        </w:rPr>
      </w:r>
      <w:r/>
    </w:p>
    <w:p>
      <w:pPr>
        <w:pStyle w:val="1126"/>
        <w:jc w:val="center"/>
        <w:spacing w:line="360" w:lineRule="auto"/>
        <w:rPr>
          <w:rFonts w:ascii="宋体" w:hAnsi="宋体"/>
          <w:b/>
          <w:color w:val="000000"/>
          <w:sz w:val="32"/>
          <w:szCs w:val="32"/>
        </w:rPr>
      </w:pPr>
      <w:r>
        <w:rPr>
          <w:rFonts w:ascii="宋体" w:hAnsi="宋体"/>
          <w:b/>
          <w:color w:val="000000"/>
          <w:sz w:val="32"/>
          <w:szCs w:val="32"/>
        </w:rPr>
      </w:r>
      <w:r/>
    </w:p>
    <w:p>
      <w:pPr>
        <w:pStyle w:val="1126"/>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1126"/>
        <w:spacing w:line="360" w:lineRule="auto"/>
        <w:rPr>
          <w:rFonts w:ascii="宋体" w:hAnsi="宋体"/>
          <w:color w:val="000000"/>
          <w:sz w:val="22"/>
        </w:rPr>
      </w:pPr>
      <w:r>
        <w:rPr>
          <w:rFonts w:ascii="宋体" w:hAnsi="宋体"/>
          <w:color w:val="000000"/>
          <w:sz w:val="22"/>
        </w:rPr>
      </w:r>
      <w:r/>
    </w:p>
    <w:p>
      <w:pPr>
        <w:pStyle w:val="1126"/>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1126"/>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1126"/>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1126"/>
        <w:spacing w:line="360" w:lineRule="auto"/>
        <w:rPr>
          <w:rFonts w:ascii="宋体" w:hAnsi="宋体"/>
          <w:color w:val="000000"/>
          <w:sz w:val="24"/>
        </w:rPr>
      </w:pPr>
      <w:r>
        <w:rPr>
          <w:rFonts w:ascii="宋体" w:hAnsi="宋体"/>
          <w:color w:val="000000"/>
          <w:sz w:val="24"/>
        </w:rPr>
      </w:r>
      <w:r/>
    </w:p>
    <w:p>
      <w:pPr>
        <w:pStyle w:val="112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2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26"/>
        <w:rPr>
          <w:color w:val="000000"/>
          <w:sz w:val="22"/>
        </w:rPr>
      </w:pPr>
      <w:r>
        <w:rPr>
          <w:color w:val="000000"/>
          <w:sz w:val="22"/>
        </w:rPr>
        <w:br w:type="page" w:clear="all"/>
      </w:r>
      <w:bookmarkStart w:id="725" w:name="_Toc288738397"/>
      <w:r/>
      <w:bookmarkStart w:id="726" w:name="_Toc288738839"/>
      <w:r>
        <w:rPr>
          <w:color w:val="000000"/>
          <w:sz w:val="22"/>
        </w:rPr>
      </w:r>
      <w:r/>
    </w:p>
    <w:p>
      <w:pPr>
        <w:pStyle w:val="1126"/>
        <w:rPr>
          <w:color w:val="000000"/>
          <w:sz w:val="24"/>
          <w:szCs w:val="20"/>
        </w:rPr>
      </w:pPr>
      <w:r>
        <w:rPr>
          <w:rFonts w:hint="eastAsia"/>
          <w:color w:val="000000"/>
          <w:sz w:val="24"/>
          <w:szCs w:val="20"/>
          <w:lang w:val="en-US" w:eastAsia="zh-CN"/>
        </w:rPr>
        <w:t xml:space="preserve">12 </w:t>
      </w:r>
      <w:r>
        <w:rPr>
          <w:rFonts w:hint="eastAsia"/>
          <w:color w:val="000000"/>
          <w:sz w:val="24"/>
          <w:szCs w:val="20"/>
        </w:rPr>
        <w:t xml:space="preserve">相关业绩案例一览表</w:t>
      </w:r>
      <w:r>
        <w:rPr>
          <w:color w:val="000000"/>
          <w:sz w:val="24"/>
          <w:szCs w:val="20"/>
        </w:rPr>
      </w:r>
      <w:r/>
    </w:p>
    <w:p>
      <w:pPr>
        <w:pStyle w:val="1126"/>
        <w:rPr>
          <w:color w:val="000000"/>
          <w:sz w:val="24"/>
          <w:szCs w:val="20"/>
        </w:rPr>
      </w:pPr>
      <w:r>
        <w:rPr>
          <w:color w:val="000000"/>
          <w:sz w:val="24"/>
          <w:szCs w:val="20"/>
        </w:rPr>
      </w:r>
      <w:r/>
    </w:p>
    <w:p>
      <w:pPr>
        <w:pStyle w:val="1126"/>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725"/>
      <w:r/>
      <w:bookmarkEnd w:id="726"/>
      <w:r>
        <w:rPr>
          <w:rFonts w:ascii="宋体" w:hAnsi="宋体"/>
          <w:b/>
          <w:color w:val="000000"/>
          <w:sz w:val="32"/>
          <w:szCs w:val="32"/>
        </w:rPr>
      </w:r>
      <w:r/>
    </w:p>
    <w:p>
      <w:pPr>
        <w:pStyle w:val="1126"/>
        <w:jc w:val="center"/>
        <w:spacing w:line="360" w:lineRule="auto"/>
        <w:rPr>
          <w:rFonts w:ascii="宋体" w:hAnsi="宋体"/>
          <w:b/>
          <w:color w:val="000000"/>
          <w:sz w:val="28"/>
          <w:szCs w:val="30"/>
        </w:rPr>
      </w:pPr>
      <w:r>
        <w:rPr>
          <w:rFonts w:ascii="宋体" w:hAnsi="宋体"/>
          <w:b/>
          <w:color w:val="000000"/>
          <w:sz w:val="28"/>
          <w:szCs w:val="30"/>
        </w:rPr>
      </w:r>
      <w:r/>
    </w:p>
    <w:p>
      <w:pPr>
        <w:pStyle w:val="1126"/>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6"/>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6"/>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1126"/>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1126"/>
        <w:spacing w:line="360" w:lineRule="auto"/>
        <w:rPr>
          <w:rFonts w:ascii="宋体" w:hAnsi="宋体" w:cs="宋体"/>
          <w:color w:val="000000"/>
          <w:sz w:val="24"/>
        </w:rPr>
      </w:pPr>
      <w:r>
        <w:rPr>
          <w:rFonts w:ascii="宋体" w:hAnsi="宋体" w:cs="宋体"/>
          <w:color w:val="000000"/>
          <w:sz w:val="24"/>
        </w:rPr>
      </w:r>
      <w:r/>
    </w:p>
    <w:p>
      <w:pPr>
        <w:pStyle w:val="112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2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26"/>
        <w:spacing w:line="360" w:lineRule="auto"/>
        <w:rPr>
          <w:color w:val="000000"/>
          <w:sz w:val="24"/>
          <w:szCs w:val="20"/>
        </w:rPr>
        <w:sectPr>
          <w:footnotePr/>
          <w:endnotePr/>
          <w:type w:val="nextPage"/>
          <w:pgSz w:w="11905" w:h="16838" w:orient="portrait"/>
          <w:pgMar w:top="1440" w:right="1803" w:bottom="1440" w:left="1803" w:header="851" w:footer="992" w:gutter="0"/>
          <w:pgNumType w:start="1"/>
          <w:cols w:num="1" w:sep="0" w:space="1701" w:equalWidth="1"/>
          <w:docGrid w:linePitch="360"/>
        </w:sectPr>
        <w:outlineLvl w:val="2"/>
      </w:pPr>
      <w:r>
        <w:rPr>
          <w:color w:val="000000"/>
          <w:sz w:val="24"/>
          <w:szCs w:val="20"/>
        </w:rPr>
      </w:r>
      <w:r/>
    </w:p>
    <w:p>
      <w:pPr>
        <w:pStyle w:val="1126"/>
        <w:rPr>
          <w:color w:val="000000"/>
        </w:rPr>
      </w:pPr>
      <w:r>
        <w:rPr>
          <w:color w:val="000000"/>
        </w:rPr>
      </w:r>
      <w:r/>
    </w:p>
    <w:p>
      <w:pPr>
        <w:pStyle w:val="1126"/>
        <w:rPr>
          <w:b/>
          <w:color w:val="000000"/>
          <w:sz w:val="24"/>
        </w:rPr>
      </w:pPr>
      <w:r>
        <w:rPr>
          <w:b/>
          <w:color w:val="000000"/>
          <w:sz w:val="24"/>
        </w:rPr>
      </w:r>
      <w:r/>
    </w:p>
    <w:p>
      <w:pPr>
        <w:pStyle w:val="1126"/>
        <w:spacing w:line="360" w:lineRule="auto"/>
        <w:rPr>
          <w:b/>
          <w:color w:val="000000"/>
          <w:sz w:val="36"/>
          <w:szCs w:val="36"/>
        </w:rPr>
        <w:outlineLvl w:val="2"/>
      </w:pPr>
      <w:r>
        <w:rPr>
          <w:rFonts w:hint="eastAsia"/>
          <w:color w:val="000000"/>
          <w:sz w:val="24"/>
          <w:szCs w:val="20"/>
          <w:lang w:val="en-US" w:eastAsia="zh-CN"/>
        </w:rPr>
        <w:t xml:space="preserve">13 </w:t>
      </w:r>
      <w:r>
        <w:rPr>
          <w:color w:val="000000"/>
          <w:sz w:val="24"/>
          <w:szCs w:val="20"/>
        </w:rPr>
        <w:t xml:space="preserve">磋商文件要求提供或供应商认为应附的其他材</w:t>
      </w:r>
      <w:r>
        <w:rPr>
          <w:rFonts w:hint="eastAsia"/>
          <w:color w:val="000000"/>
          <w:sz w:val="24"/>
          <w:szCs w:val="20"/>
        </w:rPr>
        <w:t xml:space="preserve">料</w:t>
      </w:r>
      <w:r>
        <w:rPr>
          <w:b/>
          <w:color w:val="000000"/>
          <w:sz w:val="36"/>
          <w:szCs w:val="36"/>
        </w:rPr>
      </w:r>
      <w:r/>
    </w:p>
    <w:p>
      <w:pPr>
        <w:pStyle w:val="1126"/>
        <w:jc w:val="left"/>
        <w:widowControl/>
        <w:rPr>
          <w:b/>
          <w:color w:val="000000"/>
          <w:sz w:val="36"/>
          <w:szCs w:val="36"/>
        </w:rPr>
      </w:pPr>
      <w:r>
        <w:rPr>
          <w:b/>
          <w:color w:val="000000"/>
          <w:sz w:val="36"/>
          <w:szCs w:val="36"/>
        </w:rPr>
      </w:r>
      <w:r/>
    </w:p>
    <w:p>
      <w:pPr>
        <w:pStyle w:val="1126"/>
        <w:jc w:val="left"/>
        <w:widowControl/>
        <w:rPr>
          <w:rFonts w:hint="eastAsia" w:ascii="宋体" w:hAnsi="宋体" w:cs="宋体"/>
          <w:b/>
          <w:color w:val="000000"/>
          <w:sz w:val="24"/>
        </w:rPr>
      </w:pPr>
      <w:r>
        <w:rPr>
          <w:rFonts w:hint="eastAsia" w:ascii="宋体" w:hAnsi="宋体" w:cs="宋体"/>
          <w:b/>
          <w:color w:val="000000"/>
          <w:sz w:val="24"/>
        </w:rPr>
      </w:r>
      <w:r/>
    </w:p>
    <w:p>
      <w:pPr>
        <w:pStyle w:val="1126"/>
        <w:jc w:val="left"/>
        <w:widowControl/>
        <w:rPr>
          <w:b/>
          <w:color w:val="000000"/>
          <w:sz w:val="36"/>
          <w:szCs w:val="36"/>
        </w:rPr>
      </w:pPr>
      <w:r>
        <w:rPr>
          <w:b/>
          <w:color w:val="000000"/>
          <w:sz w:val="36"/>
          <w:szCs w:val="36"/>
        </w:rPr>
      </w:r>
      <w:r/>
    </w:p>
    <w:p>
      <w:pPr>
        <w:pStyle w:val="1126"/>
        <w:jc w:val="left"/>
        <w:widowControl/>
        <w:rPr>
          <w:b/>
          <w:color w:val="000000"/>
          <w:sz w:val="36"/>
          <w:szCs w:val="36"/>
        </w:rPr>
      </w:pPr>
      <w:r>
        <w:rPr>
          <w:b/>
          <w:color w:val="000000"/>
          <w:sz w:val="36"/>
          <w:szCs w:val="36"/>
        </w:rPr>
      </w:r>
      <w:r/>
    </w:p>
    <w:sectPr>
      <w:headerReference w:type="even" r:id="rId13"/>
      <w:headerReference w:type="first" r:id="rId14"/>
      <w:footerReference w:type="even" r:id="rId22"/>
      <w:footerReference w:type="first" r:id="rId23"/>
      <w:footnotePr/>
      <w:endnotePr/>
      <w:type w:val="nextPage"/>
      <w:pgSz w:w="11905" w:h="16838" w:orient="portrait"/>
      <w:pgMar w:top="1440" w:right="1803" w:bottom="1440" w:left="180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Wingdings">
    <w:panose1 w:val="05000000000000000000"/>
  </w:font>
  <w:font w:name="Cambria Math">
    <w:panose1 w:val="02040503050406030204"/>
  </w:font>
  <w:font w:name="MS Gothic">
    <w:panose1 w:val="020B060907020508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方正小标宋简体">
    <w:panose1 w:val="020B0503020202020204"/>
  </w:font>
  <w:font w:name="Courier New">
    <w:panose1 w:val="02070309020205020404"/>
  </w:font>
  <w:font w:name="Verdana">
    <w:panose1 w:val="020B0604030504040204"/>
  </w:font>
  <w:font w:name="华文中宋">
    <w:panose1 w:val="02010600040101010101"/>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center" w:pos="4153" w:leader="none"/>
        <w:tab w:val="right" w:pos="8306" w:leader="none"/>
      </w:tabs>
      <w:rPr>
        <w:rStyle w:val="1202"/>
      </w:rPr>
      <w:framePr w:wrap="around" w:vAnchor="text" w:hAnchor="margin" w:xAlign="center" w:y="1"/>
    </w:pPr>
    <w:r>
      <w:fldChar w:fldCharType="begin"/>
    </w:r>
    <w:r>
      <w:rPr>
        <w:rStyle w:val="1202"/>
      </w:rPr>
      <w:instrText xml:space="preserve">PAGE  </w:instrText>
    </w:r>
    <w:r>
      <w:fldChar w:fldCharType="end"/>
    </w:r>
    <w:r>
      <w:rPr>
        <w:rStyle w:val="1202"/>
      </w:rPr>
    </w:r>
    <w:r/>
  </w:p>
  <w:p>
    <w:pPr>
      <w:pStyle w:val="117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6"/>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6"/>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both"/>
      <w:tabs>
        <w:tab w:val="center" w:pos="4153" w:leader="none"/>
        <w:tab w:val="right" w:pos="8306" w:leader="none"/>
      </w:tabs>
      <w:rPr>
        <w:rFonts w:ascii="Times New Roman"/>
      </w:rPr>
    </w:pPr>
    <w:r>
      <w:rPr>
        <w:rFonts w:ascii="Times New Roman"/>
      </w:rPr>
    </w:r>
    <w:r/>
  </w:p>
  <w:p>
    <w:pPr>
      <w:pStyle w:val="1176"/>
      <w:jc w:val="both"/>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6"/>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112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6"/>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1126"/>
                    </w:pPr>
                    <w:r/>
                    <w:r/>
                  </w:p>
                </w:txbxContent>
              </v:textbox>
            </v:shape>
          </w:pict>
        </mc:Fallback>
      </mc:AlternateContent>
    </w:r>
    <w:r>
      <w:rPr>
        <w:rFonts w:ascii="Times New Roman"/>
      </w:rPr>
    </w:r>
    <w:r/>
  </w:p>
  <w:p>
    <w:pPr>
      <w:pStyle w:val="1176"/>
      <w:jc w:val="both"/>
      <w:tabs>
        <w:tab w:val="center" w:pos="4153" w:leader="none"/>
        <w:tab w:val="right" w:pos="8306" w:leader="none"/>
      </w:tabs>
      <w:rPr>
        <w:rFonts w:ascii="Times New Roman"/>
      </w:rPr>
    </w:pP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center" w:pos="4153" w:leader="none"/>
        <w:tab w:val="right" w:pos="8306" w:leader="none"/>
      </w:tabs>
      <w:rPr>
        <w:rStyle w:val="1202"/>
      </w:rPr>
      <w:framePr w:wrap="around" w:vAnchor="text" w:hAnchor="margin" w:xAlign="center" w:y="1"/>
    </w:pPr>
    <w:r>
      <w:rPr>
        <w:rStyle w:val="1202"/>
      </w:rPr>
      <w:fldChar w:fldCharType="begin"/>
    </w:r>
    <w:r>
      <w:rPr>
        <w:rStyle w:val="1202"/>
      </w:rPr>
      <w:instrText xml:space="preserve">PAGE  </w:instrText>
    </w:r>
    <w:r>
      <w:rPr>
        <w:rStyle w:val="1202"/>
      </w:rPr>
      <w:fldChar w:fldCharType="end"/>
    </w:r>
    <w:r>
      <w:rPr>
        <w:rStyle w:val="1202"/>
      </w:rPr>
    </w:r>
    <w:r/>
  </w:p>
  <w:p>
    <w:pPr>
      <w:pStyle w:val="1176"/>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center" w:pos="4153" w:leader="none"/>
        <w:tab w:val="right" w:pos="8306" w:leader="none"/>
      </w:tabs>
      <w:rPr>
        <w:rStyle w:val="1202"/>
      </w:rPr>
      <w:framePr w:wrap="around" w:vAnchor="text" w:hAnchor="margin" w:xAlign="right" w:y="1"/>
    </w:pPr>
    <w:r>
      <w:rPr>
        <w:rStyle w:val="1202"/>
      </w:rPr>
      <w:fldChar w:fldCharType="begin"/>
    </w:r>
    <w:r>
      <w:rPr>
        <w:rStyle w:val="1202"/>
      </w:rPr>
      <w:instrText xml:space="preserve">PAGE  </w:instrText>
    </w:r>
    <w:r>
      <w:rPr>
        <w:rStyle w:val="1202"/>
      </w:rPr>
      <w:fldChar w:fldCharType="end"/>
    </w:r>
    <w:r>
      <w:rPr>
        <w:rStyle w:val="1202"/>
      </w:rPr>
    </w:r>
    <w:r/>
  </w:p>
  <w:p>
    <w:pPr>
      <w:pStyle w:val="1176"/>
      <w:ind w:right="360"/>
      <w:tabs>
        <w:tab w:val="center" w:pos="4153" w:leader="none"/>
        <w:tab w:val="right" w:pos="8306" w:leader="none"/>
      </w:tabs>
    </w:pPr>
    <w:r/>
    <w:r/>
  </w:p>
  <w:p>
    <w:pPr>
      <w:pStyle w:val="112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right"/>
      <w:tabs>
        <w:tab w:val="center" w:pos="4153" w:leader="none"/>
        <w:tab w:val="right" w:pos="8306" w:leader="none"/>
      </w:tabs>
    </w:pPr>
    <w:r>
      <w:rPr>
        <w:rFonts w:hint="eastAsia"/>
      </w:rPr>
      <w:t xml:space="preserve">常州正衡招投标有限公司竞争性磋商文件</w:t>
    </w:r>
    <w:r/>
  </w:p>
  <w:p>
    <w:pPr>
      <w:pStyle w:val="1179"/>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right"/>
      <w:tabs>
        <w:tab w:val="center" w:pos="4153" w:leader="none"/>
        <w:tab w:val="right" w:pos="8306" w:leader="none"/>
      </w:tabs>
      <w:pBdr>
        <w:bottom w:val="none" w:color="000000" w:sz="0" w:space="1"/>
      </w:pBdr>
    </w:pPr>
    <w:r>
      <w:rPr>
        <w:rFonts w:hint="eastAsia"/>
      </w:rPr>
      <w:t xml:space="preserve">常州正衡招投标有限公司竞争性磋商文件</w:t>
    </w:r>
    <w:r/>
  </w:p>
  <w:p>
    <w:pPr>
      <w:pStyle w:val="1179"/>
      <w:jc w:val="left"/>
      <w:tabs>
        <w:tab w:val="center" w:pos="4153" w:leader="none"/>
        <w:tab w:val="left" w:pos="5565" w:leader="none"/>
        <w:tab w:val="right" w:pos="8306" w:leader="none"/>
      </w:tabs>
      <w:rPr>
        <w:rFonts w:hint="eastAsia"/>
      </w:rPr>
      <w:pBdr>
        <w:bottom w:val="none" w:color="000000" w:sz="0" w:space="1"/>
      </w:pBdr>
    </w:pPr>
    <w:r>
      <w:rPr>
        <w:rFonts w:hint="eastAsia"/>
      </w:rPr>
      <w:tab/>
    </w:r>
    <w:r>
      <w:rPr>
        <w:rFonts w:hint="eastAsia"/>
      </w:rPr>
      <w:tab/>
    </w:r>
    <w:r>
      <w:rPr>
        <w:rFonts w:hint="eastAsia"/>
      </w:rPr>
      <w:tab/>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right"/>
      <w:tabs>
        <w:tab w:val="center" w:pos="4153" w:leader="none"/>
        <w:tab w:val="right" w:pos="8306" w:leader="none"/>
      </w:tabs>
    </w:pPr>
    <w:r>
      <w:rPr>
        <w:rFonts w:hint="eastAsia"/>
      </w:rPr>
      <w:t xml:space="preserve">常州正衡招投标有限公司竞争性磋商文件</w:t>
    </w:r>
    <w:r/>
  </w:p>
  <w:p>
    <w:pPr>
      <w:pStyle w:val="1179"/>
      <w:jc w:val="right"/>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4153" w:leader="none"/>
        <w:tab w:val="right" w:pos="8306" w:leader="none"/>
      </w:tabs>
    </w:pPr>
    <w:r/>
    <w:r/>
  </w:p>
  <w:p>
    <w:pPr>
      <w:pStyle w:val="112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11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1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126"/>
        <w:ind w:left="4941" w:hanging="1140"/>
        <w:tabs>
          <w:tab w:val="num" w:pos="4941" w:leader="none"/>
        </w:tabs>
      </w:pPr>
      <w:rPr>
        <w:rFonts w:hint="eastAsia"/>
      </w:rPr>
    </w:lvl>
    <w:lvl w:ilvl="1">
      <w:start w:val="1"/>
      <w:numFmt w:val="lowerLetter"/>
      <w:isLgl w:val="false"/>
      <w:suff w:val="tab"/>
      <w:lvlText w:val="%2)"/>
      <w:lvlJc w:val="left"/>
      <w:pPr>
        <w:pStyle w:val="1126"/>
        <w:ind w:left="4641" w:hanging="420"/>
        <w:tabs>
          <w:tab w:val="num" w:pos="4641" w:leader="none"/>
        </w:tabs>
      </w:pPr>
    </w:lvl>
    <w:lvl w:ilvl="2">
      <w:start w:val="1"/>
      <w:numFmt w:val="lowerRoman"/>
      <w:isLgl w:val="false"/>
      <w:suff w:val="tab"/>
      <w:lvlText w:val="%3."/>
      <w:lvlJc w:val="right"/>
      <w:pPr>
        <w:pStyle w:val="1126"/>
        <w:ind w:left="5061" w:hanging="420"/>
        <w:tabs>
          <w:tab w:val="num" w:pos="5061" w:leader="none"/>
        </w:tabs>
      </w:pPr>
    </w:lvl>
    <w:lvl w:ilvl="3">
      <w:start w:val="1"/>
      <w:numFmt w:val="decimal"/>
      <w:isLgl w:val="false"/>
      <w:suff w:val="tab"/>
      <w:lvlText w:val="%4."/>
      <w:lvlJc w:val="left"/>
      <w:pPr>
        <w:pStyle w:val="1126"/>
        <w:ind w:left="5481" w:hanging="420"/>
        <w:tabs>
          <w:tab w:val="num" w:pos="5481" w:leader="none"/>
        </w:tabs>
      </w:pPr>
    </w:lvl>
    <w:lvl w:ilvl="4">
      <w:start w:val="1"/>
      <w:numFmt w:val="lowerLetter"/>
      <w:isLgl w:val="false"/>
      <w:suff w:val="tab"/>
      <w:lvlText w:val="%5)"/>
      <w:lvlJc w:val="left"/>
      <w:pPr>
        <w:pStyle w:val="1126"/>
        <w:ind w:left="5901" w:hanging="420"/>
        <w:tabs>
          <w:tab w:val="num" w:pos="5901" w:leader="none"/>
        </w:tabs>
      </w:pPr>
    </w:lvl>
    <w:lvl w:ilvl="5">
      <w:start w:val="1"/>
      <w:numFmt w:val="lowerRoman"/>
      <w:isLgl w:val="false"/>
      <w:suff w:val="tab"/>
      <w:lvlText w:val="%6."/>
      <w:lvlJc w:val="right"/>
      <w:pPr>
        <w:pStyle w:val="1126"/>
        <w:ind w:left="6321" w:hanging="420"/>
        <w:tabs>
          <w:tab w:val="num" w:pos="6321" w:leader="none"/>
        </w:tabs>
      </w:pPr>
    </w:lvl>
    <w:lvl w:ilvl="6">
      <w:start w:val="1"/>
      <w:numFmt w:val="decimal"/>
      <w:isLgl w:val="false"/>
      <w:suff w:val="tab"/>
      <w:lvlText w:val="%7."/>
      <w:lvlJc w:val="left"/>
      <w:pPr>
        <w:pStyle w:val="1126"/>
        <w:ind w:left="6741" w:hanging="420"/>
        <w:tabs>
          <w:tab w:val="num" w:pos="6741" w:leader="none"/>
        </w:tabs>
      </w:pPr>
    </w:lvl>
    <w:lvl w:ilvl="7">
      <w:start w:val="1"/>
      <w:numFmt w:val="lowerLetter"/>
      <w:isLgl w:val="false"/>
      <w:suff w:val="tab"/>
      <w:lvlText w:val="%8)"/>
      <w:lvlJc w:val="left"/>
      <w:pPr>
        <w:pStyle w:val="1126"/>
        <w:ind w:left="7161" w:hanging="420"/>
        <w:tabs>
          <w:tab w:val="num" w:pos="7161" w:leader="none"/>
        </w:tabs>
      </w:pPr>
    </w:lvl>
    <w:lvl w:ilvl="8">
      <w:start w:val="1"/>
      <w:numFmt w:val="lowerRoman"/>
      <w:isLgl w:val="false"/>
      <w:suff w:val="tab"/>
      <w:lvlText w:val="%9."/>
      <w:lvlJc w:val="right"/>
      <w:pPr>
        <w:pStyle w:val="1126"/>
        <w:ind w:left="7581" w:hanging="420"/>
        <w:tabs>
          <w:tab w:val="num" w:pos="7581" w:leader="none"/>
        </w:tabs>
      </w:pPr>
    </w:lvl>
  </w:abstractNum>
  <w:abstractNum w:abstractNumId="3">
    <w:multiLevelType w:val="hybridMultilevel"/>
    <w:lvl w:ilvl="0">
      <w:start w:val="1"/>
      <w:numFmt w:val="decimal"/>
      <w:pStyle w:val="1241"/>
      <w:isLgl w:val="false"/>
      <w:suff w:val="tab"/>
      <w:lvlText w:val="%1."/>
      <w:lvlJc w:val="left"/>
      <w:pPr>
        <w:pStyle w:val="1126"/>
        <w:ind w:left="420" w:hanging="420"/>
      </w:pPr>
    </w:lvl>
    <w:lvl w:ilvl="1">
      <w:start w:val="1"/>
      <w:numFmt w:val="decimal"/>
      <w:isLgl w:val="false"/>
      <w:suff w:val="tab"/>
      <w:lvlText w:val="（%2）"/>
      <w:lvlJc w:val="left"/>
      <w:pPr>
        <w:pStyle w:val="1126"/>
        <w:ind w:left="1140" w:hanging="720"/>
        <w:tabs>
          <w:tab w:val="num" w:pos="1140" w:leader="none"/>
        </w:tabs>
      </w:pPr>
      <w:rPr>
        <w:rFonts w:hint="eastAsia"/>
      </w:rPr>
    </w:lvl>
    <w:lvl w:ilvl="2">
      <w:start w:val="1"/>
      <w:numFmt w:val="lowerRoman"/>
      <w:isLgl w:val="false"/>
      <w:suff w:val="tab"/>
      <w:lvlText w:val="%3."/>
      <w:lvlJc w:val="right"/>
      <w:pPr>
        <w:pStyle w:val="1126"/>
        <w:ind w:left="1260" w:hanging="420"/>
      </w:pPr>
    </w:lvl>
    <w:lvl w:ilvl="3">
      <w:start w:val="1"/>
      <w:numFmt w:val="decimal"/>
      <w:isLgl w:val="false"/>
      <w:suff w:val="tab"/>
      <w:lvlText w:val="%4."/>
      <w:lvlJc w:val="left"/>
      <w:pPr>
        <w:pStyle w:val="1126"/>
        <w:ind w:left="1680" w:hanging="420"/>
      </w:pPr>
    </w:lvl>
    <w:lvl w:ilvl="4">
      <w:start w:val="1"/>
      <w:numFmt w:val="lowerLetter"/>
      <w:isLgl w:val="false"/>
      <w:suff w:val="tab"/>
      <w:lvlText w:val="%5)"/>
      <w:lvlJc w:val="left"/>
      <w:pPr>
        <w:pStyle w:val="1126"/>
        <w:ind w:left="2100" w:hanging="420"/>
      </w:pPr>
    </w:lvl>
    <w:lvl w:ilvl="5">
      <w:start w:val="1"/>
      <w:numFmt w:val="lowerRoman"/>
      <w:isLgl w:val="false"/>
      <w:suff w:val="tab"/>
      <w:lvlText w:val="%6."/>
      <w:lvlJc w:val="right"/>
      <w:pPr>
        <w:pStyle w:val="1126"/>
        <w:ind w:left="2520" w:hanging="420"/>
      </w:pPr>
    </w:lvl>
    <w:lvl w:ilvl="6">
      <w:start w:val="1"/>
      <w:numFmt w:val="decimal"/>
      <w:isLgl w:val="false"/>
      <w:suff w:val="tab"/>
      <w:lvlText w:val="%7."/>
      <w:lvlJc w:val="left"/>
      <w:pPr>
        <w:pStyle w:val="1126"/>
        <w:ind w:left="2940" w:hanging="420"/>
      </w:pPr>
    </w:lvl>
    <w:lvl w:ilvl="7">
      <w:start w:val="1"/>
      <w:numFmt w:val="lowerLetter"/>
      <w:isLgl w:val="false"/>
      <w:suff w:val="tab"/>
      <w:lvlText w:val="%8)"/>
      <w:lvlJc w:val="left"/>
      <w:pPr>
        <w:pStyle w:val="1126"/>
        <w:ind w:left="3360" w:hanging="420"/>
      </w:pPr>
    </w:lvl>
    <w:lvl w:ilvl="8">
      <w:start w:val="1"/>
      <w:numFmt w:val="lowerRoman"/>
      <w:isLgl w:val="false"/>
      <w:suff w:val="tab"/>
      <w:lvlText w:val="%9."/>
      <w:lvlJc w:val="right"/>
      <w:pPr>
        <w:pStyle w:val="1126"/>
        <w:ind w:left="3780" w:hanging="420"/>
      </w:pPr>
    </w:lvl>
  </w:abstractNum>
  <w:abstractNum w:abstractNumId="4">
    <w:multiLevelType w:val="hybridMultilevel"/>
    <w:lvl w:ilvl="0">
      <w:start w:val="1"/>
      <w:numFmt w:val="lowerLetter"/>
      <w:pStyle w:val="1315"/>
      <w:isLgl w:val="false"/>
      <w:suff w:val="tab"/>
      <w:lvlText w:val="%1)"/>
      <w:lvlJc w:val="left"/>
      <w:pPr>
        <w:pStyle w:val="1126"/>
        <w:ind w:left="902" w:hanging="420"/>
      </w:pPr>
      <w:rPr>
        <w:color w:val="000000"/>
      </w:rPr>
    </w:lvl>
    <w:lvl w:ilvl="1">
      <w:start w:val="1"/>
      <w:numFmt w:val="lowerLetter"/>
      <w:isLgl w:val="false"/>
      <w:suff w:val="tab"/>
      <w:lvlText w:val="%2)"/>
      <w:lvlJc w:val="left"/>
      <w:pPr>
        <w:pStyle w:val="1126"/>
        <w:ind w:left="1322" w:hanging="420"/>
      </w:pPr>
    </w:lvl>
    <w:lvl w:ilvl="2">
      <w:start w:val="1"/>
      <w:numFmt w:val="lowerRoman"/>
      <w:isLgl w:val="false"/>
      <w:suff w:val="tab"/>
      <w:lvlText w:val="%3."/>
      <w:lvlJc w:val="right"/>
      <w:pPr>
        <w:pStyle w:val="1126"/>
        <w:ind w:left="1742" w:hanging="420"/>
      </w:pPr>
    </w:lvl>
    <w:lvl w:ilvl="3">
      <w:start w:val="1"/>
      <w:numFmt w:val="decimal"/>
      <w:isLgl w:val="false"/>
      <w:suff w:val="tab"/>
      <w:lvlText w:val="%4."/>
      <w:lvlJc w:val="left"/>
      <w:pPr>
        <w:pStyle w:val="1126"/>
        <w:ind w:left="2162" w:hanging="420"/>
      </w:pPr>
    </w:lvl>
    <w:lvl w:ilvl="4">
      <w:start w:val="1"/>
      <w:numFmt w:val="lowerLetter"/>
      <w:isLgl w:val="false"/>
      <w:suff w:val="tab"/>
      <w:lvlText w:val="%5)"/>
      <w:lvlJc w:val="left"/>
      <w:pPr>
        <w:pStyle w:val="1126"/>
        <w:ind w:left="2582" w:hanging="420"/>
      </w:pPr>
    </w:lvl>
    <w:lvl w:ilvl="5">
      <w:start w:val="1"/>
      <w:numFmt w:val="lowerRoman"/>
      <w:isLgl w:val="false"/>
      <w:suff w:val="tab"/>
      <w:lvlText w:val="%6."/>
      <w:lvlJc w:val="right"/>
      <w:pPr>
        <w:pStyle w:val="1126"/>
        <w:ind w:left="3002" w:hanging="420"/>
      </w:pPr>
    </w:lvl>
    <w:lvl w:ilvl="6">
      <w:start w:val="1"/>
      <w:numFmt w:val="decimal"/>
      <w:isLgl w:val="false"/>
      <w:suff w:val="tab"/>
      <w:lvlText w:val="%7."/>
      <w:lvlJc w:val="left"/>
      <w:pPr>
        <w:pStyle w:val="1126"/>
        <w:ind w:left="3422" w:hanging="420"/>
      </w:pPr>
    </w:lvl>
    <w:lvl w:ilvl="7">
      <w:start w:val="1"/>
      <w:numFmt w:val="lowerLetter"/>
      <w:isLgl w:val="false"/>
      <w:suff w:val="tab"/>
      <w:lvlText w:val="%8)"/>
      <w:lvlJc w:val="left"/>
      <w:pPr>
        <w:pStyle w:val="1126"/>
        <w:ind w:left="3842" w:hanging="420"/>
      </w:pPr>
    </w:lvl>
    <w:lvl w:ilvl="8">
      <w:start w:val="1"/>
      <w:numFmt w:val="lowerRoman"/>
      <w:isLgl w:val="false"/>
      <w:suff w:val="tab"/>
      <w:lvlText w:val="%9."/>
      <w:lvlJc w:val="right"/>
      <w:pPr>
        <w:pStyle w:val="1126"/>
        <w:ind w:left="4262" w:hanging="420"/>
      </w:pPr>
    </w:lvl>
  </w:abstractNum>
  <w:abstractNum w:abstractNumId="5">
    <w:multiLevelType w:val="hybridMultilevel"/>
    <w:lvl w:ilvl="0">
      <w:start w:val="1"/>
      <w:numFmt w:val="decimal"/>
      <w:pStyle w:val="1286"/>
      <w:isLgl w:val="false"/>
      <w:suff w:val="tab"/>
      <w:lvlText w:val="%1."/>
      <w:lvlJc w:val="left"/>
      <w:pPr>
        <w:pStyle w:val="112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35"/>
      <w:isLgl w:val="false"/>
      <w:suff w:val="nothing"/>
      <w:lvlText w:val="%1　"/>
      <w:lvlJc w:val="left"/>
      <w:pPr>
        <w:pStyle w:val="112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2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26"/>
        <w:ind w:left="-25" w:firstLine="0"/>
      </w:pPr>
      <w:rPr>
        <w:rFonts w:ascii="Times New Roman" w:hAnsi="Times New Roman" w:eastAsia="黑体"/>
        <w:b/>
        <w:i w:val="0"/>
        <w:sz w:val="28"/>
      </w:rPr>
    </w:lvl>
    <w:lvl w:ilvl="3">
      <w:start w:val="1"/>
      <w:numFmt w:val="decimal"/>
      <w:pStyle w:val="1271"/>
      <w:isLgl w:val="false"/>
      <w:suff w:val="nothing"/>
      <w:lvlText w:val="%1.%2.%3.%4　"/>
      <w:lvlJc w:val="left"/>
      <w:pPr>
        <w:pStyle w:val="112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2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26"/>
        <w:ind w:left="-25" w:firstLine="0"/>
      </w:pPr>
      <w:rPr>
        <w:rFonts w:ascii="Times New Roman" w:hAnsi="Times New Roman" w:eastAsia="宋体"/>
        <w:b/>
        <w:i w:val="0"/>
        <w:sz w:val="28"/>
      </w:rPr>
    </w:lvl>
    <w:lvl w:ilvl="6">
      <w:start w:val="1"/>
      <w:numFmt w:val="lowerLetter"/>
      <w:pStyle w:val="1292"/>
      <w:isLgl w:val="false"/>
      <w:suff w:val="tab"/>
      <w:lvlText w:val="%7) "/>
      <w:lvlJc w:val="left"/>
      <w:pPr>
        <w:pStyle w:val="1126"/>
        <w:ind w:left="-125" w:firstLine="400"/>
        <w:tabs>
          <w:tab w:val="num" w:pos="635" w:leader="none"/>
        </w:tabs>
      </w:pPr>
      <w:rPr>
        <w:rFonts w:ascii="Times New Roman" w:hAnsi="Times New Roman" w:eastAsia="宋体"/>
        <w:b/>
        <w:i w:val="0"/>
        <w:color w:val="000000"/>
        <w:sz w:val="28"/>
        <w:u w:val="none"/>
      </w:rPr>
    </w:lvl>
    <w:lvl w:ilvl="7">
      <w:start w:val="1"/>
      <w:numFmt w:val="decimal"/>
      <w:pStyle w:val="1255"/>
      <w:isLgl w:val="false"/>
      <w:suff w:val="tab"/>
      <w:lvlText w:val="%8) "/>
      <w:lvlJc w:val="left"/>
      <w:pPr>
        <w:pStyle w:val="112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26"/>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126"/>
        <w:ind w:left="768" w:hanging="360"/>
        <w:tabs>
          <w:tab w:val="num" w:pos="768" w:leader="none"/>
        </w:tabs>
      </w:pPr>
      <w:rPr>
        <w:rFonts w:hint="eastAsia"/>
      </w:rPr>
    </w:lvl>
    <w:lvl w:ilvl="1">
      <w:start w:val="1"/>
      <w:numFmt w:val="decimal"/>
      <w:pStyle w:val="1273"/>
      <w:isLgl w:val="false"/>
      <w:suff w:val="tab"/>
      <w:lvlText w:val="%2、"/>
      <w:lvlJc w:val="left"/>
      <w:pPr>
        <w:pStyle w:val="1126"/>
        <w:ind w:left="1188" w:hanging="360"/>
        <w:tabs>
          <w:tab w:val="num" w:pos="1188" w:leader="none"/>
        </w:tabs>
      </w:pPr>
      <w:rPr>
        <w:rFonts w:hint="eastAsia"/>
      </w:rPr>
    </w:lvl>
    <w:lvl w:ilvl="2">
      <w:start w:val="1"/>
      <w:numFmt w:val="decimal"/>
      <w:isLgl w:val="false"/>
      <w:suff w:val="tab"/>
      <w:lvlText w:val="（%3）"/>
      <w:lvlJc w:val="left"/>
      <w:pPr>
        <w:pStyle w:val="1126"/>
        <w:ind w:left="1968" w:hanging="720"/>
        <w:tabs>
          <w:tab w:val="num" w:pos="1968" w:leader="none"/>
        </w:tabs>
      </w:pPr>
      <w:rPr>
        <w:rFonts w:hint="eastAsia"/>
        <w:u w:val="none"/>
      </w:rPr>
    </w:lvl>
    <w:lvl w:ilvl="3">
      <w:start w:val="1"/>
      <w:numFmt w:val="decimal"/>
      <w:isLgl w:val="false"/>
      <w:suff w:val="tab"/>
      <w:lvlText w:val="%4."/>
      <w:lvlJc w:val="left"/>
      <w:pPr>
        <w:pStyle w:val="1126"/>
        <w:ind w:left="2088" w:hanging="420"/>
        <w:tabs>
          <w:tab w:val="num" w:pos="2088" w:leader="none"/>
        </w:tabs>
      </w:pPr>
    </w:lvl>
    <w:lvl w:ilvl="4">
      <w:start w:val="1"/>
      <w:numFmt w:val="lowerLetter"/>
      <w:isLgl w:val="false"/>
      <w:suff w:val="tab"/>
      <w:lvlText w:val="%5)"/>
      <w:lvlJc w:val="left"/>
      <w:pPr>
        <w:pStyle w:val="1126"/>
        <w:ind w:left="2508" w:hanging="420"/>
        <w:tabs>
          <w:tab w:val="num" w:pos="2508" w:leader="none"/>
        </w:tabs>
      </w:pPr>
    </w:lvl>
    <w:lvl w:ilvl="5">
      <w:start w:val="1"/>
      <w:numFmt w:val="lowerRoman"/>
      <w:isLgl w:val="false"/>
      <w:suff w:val="tab"/>
      <w:lvlText w:val="%6."/>
      <w:lvlJc w:val="right"/>
      <w:pPr>
        <w:pStyle w:val="1126"/>
        <w:ind w:left="2928" w:hanging="420"/>
        <w:tabs>
          <w:tab w:val="num" w:pos="2928" w:leader="none"/>
        </w:tabs>
      </w:pPr>
    </w:lvl>
    <w:lvl w:ilvl="6">
      <w:start w:val="1"/>
      <w:numFmt w:val="decimal"/>
      <w:isLgl w:val="false"/>
      <w:suff w:val="tab"/>
      <w:lvlText w:val="%7."/>
      <w:lvlJc w:val="left"/>
      <w:pPr>
        <w:pStyle w:val="1126"/>
        <w:ind w:left="3348" w:hanging="420"/>
        <w:tabs>
          <w:tab w:val="num" w:pos="3348" w:leader="none"/>
        </w:tabs>
      </w:pPr>
    </w:lvl>
    <w:lvl w:ilvl="7">
      <w:start w:val="1"/>
      <w:numFmt w:val="lowerLetter"/>
      <w:isLgl w:val="false"/>
      <w:suff w:val="tab"/>
      <w:lvlText w:val="%8)"/>
      <w:lvlJc w:val="left"/>
      <w:pPr>
        <w:pStyle w:val="1126"/>
        <w:ind w:left="3768" w:hanging="420"/>
        <w:tabs>
          <w:tab w:val="num" w:pos="3768" w:leader="none"/>
        </w:tabs>
      </w:pPr>
    </w:lvl>
    <w:lvl w:ilvl="8">
      <w:start w:val="1"/>
      <w:numFmt w:val="lowerRoman"/>
      <w:isLgl w:val="false"/>
      <w:suff w:val="tab"/>
      <w:lvlText w:val="%9."/>
      <w:lvlJc w:val="right"/>
      <w:pPr>
        <w:pStyle w:val="1126"/>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126"/>
        <w:ind w:left="900" w:hanging="900"/>
        <w:tabs>
          <w:tab w:val="num" w:pos="900" w:leader="none"/>
        </w:tabs>
      </w:pPr>
      <w:rPr>
        <w:rFonts w:hint="eastAsia"/>
      </w:rPr>
    </w:lvl>
    <w:lvl w:ilvl="1">
      <w:start w:val="1"/>
      <w:numFmt w:val="decimal"/>
      <w:isLgl w:val="false"/>
      <w:suff w:val="tab"/>
      <w:lvlText w:val="%1.%2"/>
      <w:lvlJc w:val="left"/>
      <w:pPr>
        <w:pStyle w:val="11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6"/>
        <w:ind w:left="1980" w:hanging="900"/>
        <w:tabs>
          <w:tab w:val="num" w:pos="1980" w:leader="none"/>
        </w:tabs>
      </w:pPr>
      <w:rPr>
        <w:rFonts w:hint="eastAsia"/>
      </w:rPr>
    </w:lvl>
    <w:lvl w:ilvl="3">
      <w:start w:val="1"/>
      <w:numFmt w:val="decimal"/>
      <w:isLgl w:val="false"/>
      <w:suff w:val="tab"/>
      <w:lvlText w:val="%1.%2.%3.%4"/>
      <w:lvlJc w:val="left"/>
      <w:pPr>
        <w:pStyle w:val="1126"/>
        <w:ind w:left="900" w:hanging="900"/>
        <w:tabs>
          <w:tab w:val="num" w:pos="900" w:leader="none"/>
        </w:tabs>
      </w:pPr>
      <w:rPr>
        <w:rFonts w:hint="eastAsia"/>
      </w:rPr>
    </w:lvl>
    <w:lvl w:ilvl="4">
      <w:start w:val="1"/>
      <w:numFmt w:val="decimal"/>
      <w:isLgl w:val="false"/>
      <w:suff w:val="tab"/>
      <w:lvlText w:val="%1.%2.%3.%4.%5"/>
      <w:lvlJc w:val="left"/>
      <w:pPr>
        <w:pStyle w:val="1126"/>
        <w:ind w:left="900" w:hanging="900"/>
        <w:tabs>
          <w:tab w:val="num" w:pos="900" w:leader="none"/>
        </w:tabs>
      </w:pPr>
      <w:rPr>
        <w:rFonts w:hint="eastAsia"/>
      </w:rPr>
    </w:lvl>
    <w:lvl w:ilvl="5">
      <w:start w:val="1"/>
      <w:numFmt w:val="decimal"/>
      <w:isLgl w:val="false"/>
      <w:suff w:val="tab"/>
      <w:lvlText w:val="%1.%2.%3.%4.%5.%6"/>
      <w:lvlJc w:val="left"/>
      <w:pPr>
        <w:pStyle w:val="1126"/>
        <w:ind w:left="900" w:hanging="900"/>
        <w:tabs>
          <w:tab w:val="num" w:pos="900" w:leader="none"/>
        </w:tabs>
      </w:pPr>
      <w:rPr>
        <w:rFonts w:hint="eastAsia"/>
      </w:rPr>
    </w:lvl>
    <w:lvl w:ilvl="6">
      <w:start w:val="1"/>
      <w:numFmt w:val="decimal"/>
      <w:isLgl w:val="false"/>
      <w:suff w:val="tab"/>
      <w:lvlText w:val="%1.%2.%3.%4.%5.%6.%7"/>
      <w:lvlJc w:val="left"/>
      <w:pPr>
        <w:pStyle w:val="1126"/>
        <w:ind w:left="900" w:hanging="900"/>
        <w:tabs>
          <w:tab w:val="num" w:pos="900" w:leader="none"/>
        </w:tabs>
      </w:pPr>
      <w:rPr>
        <w:rFonts w:hint="eastAsia"/>
      </w:rPr>
    </w:lvl>
    <w:lvl w:ilvl="7">
      <w:start w:val="1"/>
      <w:numFmt w:val="decimal"/>
      <w:isLgl w:val="false"/>
      <w:suff w:val="tab"/>
      <w:lvlText w:val="%1.%2.%3.%4.%5.%6.%7.%8"/>
      <w:lvlJc w:val="left"/>
      <w:pPr>
        <w:pStyle w:val="1126"/>
        <w:ind w:left="900" w:hanging="900"/>
        <w:tabs>
          <w:tab w:val="num" w:pos="900" w:leader="none"/>
        </w:tabs>
      </w:pPr>
      <w:rPr>
        <w:rFonts w:hint="eastAsia"/>
      </w:rPr>
    </w:lvl>
    <w:lvl w:ilvl="8">
      <w:start w:val="1"/>
      <w:numFmt w:val="decimal"/>
      <w:isLgl w:val="false"/>
      <w:suff w:val="tab"/>
      <w:lvlText w:val="%1.%2.%3.%4.%5.%6.%7.%8.%9"/>
      <w:lvlJc w:val="left"/>
      <w:pPr>
        <w:pStyle w:val="1126"/>
        <w:ind w:left="900" w:hanging="900"/>
        <w:tabs>
          <w:tab w:val="num" w:pos="900" w:leader="none"/>
        </w:tabs>
      </w:pPr>
      <w:rPr>
        <w:rFonts w:hint="eastAsia"/>
      </w:rPr>
    </w:lvl>
  </w:abstractNum>
  <w:abstractNum w:abstractNumId="9">
    <w:multiLevelType w:val="hybridMultilevel"/>
    <w:lvl w:ilvl="0">
      <w:start w:val="1"/>
      <w:numFmt w:val="decimal"/>
      <w:pStyle w:val="1240"/>
      <w:isLgl w:val="false"/>
      <w:suff w:val="tab"/>
      <w:lvlText w:val="%1)"/>
      <w:lvlJc w:val="left"/>
      <w:pPr>
        <w:pStyle w:val="1126"/>
        <w:ind w:left="420" w:hanging="420"/>
      </w:pPr>
    </w:lvl>
    <w:lvl w:ilvl="1">
      <w:start w:val="1"/>
      <w:numFmt w:val="lowerLetter"/>
      <w:isLgl w:val="false"/>
      <w:suff w:val="tab"/>
      <w:lvlText w:val="%2)"/>
      <w:lvlJc w:val="left"/>
      <w:pPr>
        <w:pStyle w:val="1126"/>
        <w:ind w:left="840" w:hanging="420"/>
      </w:pPr>
    </w:lvl>
    <w:lvl w:ilvl="2">
      <w:start w:val="1"/>
      <w:numFmt w:val="lowerRoman"/>
      <w:isLgl w:val="false"/>
      <w:suff w:val="tab"/>
      <w:lvlText w:val="%3."/>
      <w:lvlJc w:val="right"/>
      <w:pPr>
        <w:pStyle w:val="1126"/>
        <w:ind w:left="1260" w:hanging="420"/>
      </w:pPr>
    </w:lvl>
    <w:lvl w:ilvl="3">
      <w:start w:val="1"/>
      <w:numFmt w:val="decimal"/>
      <w:isLgl w:val="false"/>
      <w:suff w:val="tab"/>
      <w:lvlText w:val="%4."/>
      <w:lvlJc w:val="left"/>
      <w:pPr>
        <w:pStyle w:val="1126"/>
        <w:ind w:left="1680" w:hanging="420"/>
      </w:pPr>
    </w:lvl>
    <w:lvl w:ilvl="4">
      <w:start w:val="1"/>
      <w:numFmt w:val="lowerLetter"/>
      <w:isLgl w:val="false"/>
      <w:suff w:val="tab"/>
      <w:lvlText w:val="%5)"/>
      <w:lvlJc w:val="left"/>
      <w:pPr>
        <w:pStyle w:val="1126"/>
        <w:ind w:left="2100" w:hanging="420"/>
      </w:pPr>
    </w:lvl>
    <w:lvl w:ilvl="5">
      <w:start w:val="1"/>
      <w:numFmt w:val="lowerRoman"/>
      <w:isLgl w:val="false"/>
      <w:suff w:val="tab"/>
      <w:lvlText w:val="%6."/>
      <w:lvlJc w:val="right"/>
      <w:pPr>
        <w:pStyle w:val="1126"/>
        <w:ind w:left="2520" w:hanging="420"/>
      </w:pPr>
    </w:lvl>
    <w:lvl w:ilvl="6">
      <w:start w:val="1"/>
      <w:numFmt w:val="decimal"/>
      <w:isLgl w:val="false"/>
      <w:suff w:val="tab"/>
      <w:lvlText w:val="%7."/>
      <w:lvlJc w:val="left"/>
      <w:pPr>
        <w:pStyle w:val="1126"/>
        <w:ind w:left="2940" w:hanging="420"/>
      </w:pPr>
    </w:lvl>
    <w:lvl w:ilvl="7">
      <w:start w:val="1"/>
      <w:numFmt w:val="lowerLetter"/>
      <w:isLgl w:val="false"/>
      <w:suff w:val="tab"/>
      <w:lvlText w:val="%8)"/>
      <w:lvlJc w:val="left"/>
      <w:pPr>
        <w:pStyle w:val="1126"/>
        <w:ind w:left="3360" w:hanging="420"/>
      </w:pPr>
    </w:lvl>
    <w:lvl w:ilvl="8">
      <w:start w:val="1"/>
      <w:numFmt w:val="lowerRoman"/>
      <w:isLgl w:val="false"/>
      <w:suff w:val="tab"/>
      <w:lvlText w:val="%9."/>
      <w:lvlJc w:val="right"/>
      <w:pPr>
        <w:pStyle w:val="1126"/>
        <w:ind w:left="3780" w:hanging="420"/>
      </w:pPr>
    </w:lvl>
  </w:abstractNum>
  <w:abstractNum w:abstractNumId="10">
    <w:multiLevelType w:val="hybridMultilevel"/>
    <w:lvl w:ilvl="0">
      <w:start w:val="1"/>
      <w:numFmt w:val="decimal"/>
      <w:pStyle w:val="1340"/>
      <w:isLgl w:val="false"/>
      <w:suff w:val="tab"/>
      <w:lvlText w:val="%1"/>
      <w:lvlJc w:val="left"/>
      <w:pPr>
        <w:pStyle w:val="1126"/>
        <w:ind w:left="680" w:hanging="680"/>
      </w:pPr>
      <w:rPr>
        <w:rFonts w:hint="eastAsia" w:ascii="宋体" w:hAnsi="宋体" w:eastAsia="宋体"/>
      </w:rPr>
    </w:lvl>
    <w:lvl w:ilvl="1">
      <w:start w:val="1"/>
      <w:numFmt w:val="decimal"/>
      <w:pStyle w:val="1341"/>
      <w:isLgl w:val="false"/>
      <w:suff w:val="tab"/>
      <w:lvlText w:val="%1.%2"/>
      <w:lvlJc w:val="left"/>
      <w:pPr>
        <w:pStyle w:val="1126"/>
        <w:ind w:left="851" w:hanging="851"/>
      </w:pPr>
      <w:rPr>
        <w:rFonts w:hint="eastAsia" w:ascii="宋体" w:hAnsi="宋体" w:eastAsia="宋体"/>
        <w:color w:val="000000"/>
      </w:rPr>
    </w:lvl>
    <w:lvl w:ilvl="2">
      <w:start w:val="1"/>
      <w:numFmt w:val="decimal"/>
      <w:pStyle w:val="1342"/>
      <w:isLgl w:val="false"/>
      <w:suff w:val="tab"/>
      <w:lvlText w:val="%1.%2.%3"/>
      <w:lvlJc w:val="left"/>
      <w:pPr>
        <w:pStyle w:val="1126"/>
        <w:ind w:left="851" w:hanging="851"/>
      </w:pPr>
      <w:rPr>
        <w:rFonts w:hint="eastAsia"/>
      </w:rPr>
    </w:lvl>
    <w:lvl w:ilvl="3">
      <w:start w:val="1"/>
      <w:numFmt w:val="decimal"/>
      <w:isLgl w:val="false"/>
      <w:suff w:val="tab"/>
      <w:lvlText w:val="%1.%2.%3.%4"/>
      <w:lvlJc w:val="left"/>
      <w:pPr>
        <w:pStyle w:val="1126"/>
        <w:ind w:left="680" w:hanging="680"/>
      </w:pPr>
      <w:rPr>
        <w:rFonts w:hint="eastAsia"/>
      </w:rPr>
    </w:lvl>
    <w:lvl w:ilvl="4">
      <w:start w:val="1"/>
      <w:numFmt w:val="decimal"/>
      <w:isLgl w:val="false"/>
      <w:suff w:val="tab"/>
      <w:lvlText w:val="%1.%2.%3.%4.%5"/>
      <w:lvlJc w:val="left"/>
      <w:pPr>
        <w:pStyle w:val="1126"/>
        <w:ind w:left="680" w:hanging="680"/>
      </w:pPr>
      <w:rPr>
        <w:rFonts w:hint="eastAsia"/>
      </w:rPr>
    </w:lvl>
    <w:lvl w:ilvl="5">
      <w:start w:val="1"/>
      <w:numFmt w:val="decimal"/>
      <w:isLgl w:val="false"/>
      <w:suff w:val="tab"/>
      <w:lvlText w:val="%1.%2.%3.%4.%5.%6"/>
      <w:lvlJc w:val="left"/>
      <w:pPr>
        <w:pStyle w:val="1126"/>
        <w:ind w:left="680" w:hanging="680"/>
      </w:pPr>
      <w:rPr>
        <w:rFonts w:hint="eastAsia"/>
      </w:rPr>
    </w:lvl>
    <w:lvl w:ilvl="6">
      <w:start w:val="1"/>
      <w:numFmt w:val="decimal"/>
      <w:isLgl w:val="false"/>
      <w:suff w:val="tab"/>
      <w:lvlText w:val="%1.%2.%3.%4.%5.%6.%7"/>
      <w:lvlJc w:val="left"/>
      <w:pPr>
        <w:pStyle w:val="1126"/>
        <w:ind w:left="680" w:hanging="680"/>
      </w:pPr>
      <w:rPr>
        <w:rFonts w:hint="eastAsia"/>
      </w:rPr>
    </w:lvl>
    <w:lvl w:ilvl="7">
      <w:start w:val="1"/>
      <w:numFmt w:val="decimal"/>
      <w:isLgl w:val="false"/>
      <w:suff w:val="tab"/>
      <w:lvlText w:val="%1.%2.%3.%4.%5.%6.%7.%8"/>
      <w:lvlJc w:val="left"/>
      <w:pPr>
        <w:pStyle w:val="1126"/>
        <w:ind w:left="680" w:hanging="680"/>
      </w:pPr>
      <w:rPr>
        <w:rFonts w:hint="eastAsia"/>
      </w:rPr>
    </w:lvl>
    <w:lvl w:ilvl="8">
      <w:start w:val="1"/>
      <w:numFmt w:val="decimal"/>
      <w:isLgl w:val="false"/>
      <w:suff w:val="tab"/>
      <w:lvlText w:val="%1.%2.%3.%4.%5.%6.%7.%8.%9"/>
      <w:lvlJc w:val="left"/>
      <w:pPr>
        <w:pStyle w:val="1126"/>
        <w:ind w:left="680" w:hanging="680"/>
      </w:pPr>
      <w:rPr>
        <w:rFonts w:hint="eastAsia"/>
      </w:rPr>
    </w:lvl>
  </w:abstractNum>
  <w:abstractNum w:abstractNumId="11">
    <w:multiLevelType w:val="hybridMultilevel"/>
    <w:lvl w:ilvl="0">
      <w:start w:val="1"/>
      <w:numFmt w:val="decimal"/>
      <w:isLgl w:val="false"/>
      <w:suff w:val="tab"/>
      <w:lvlText w:val="%1"/>
      <w:lvlJc w:val="left"/>
      <w:pPr>
        <w:pStyle w:val="1126"/>
        <w:ind w:left="900" w:hanging="900"/>
        <w:tabs>
          <w:tab w:val="num" w:pos="900" w:leader="none"/>
        </w:tabs>
      </w:pPr>
      <w:rPr>
        <w:rFonts w:hint="eastAsia"/>
      </w:rPr>
    </w:lvl>
    <w:lvl w:ilvl="1">
      <w:start w:val="1"/>
      <w:numFmt w:val="decimal"/>
      <w:isLgl w:val="false"/>
      <w:suff w:val="tab"/>
      <w:lvlText w:val="%1.%2"/>
      <w:lvlJc w:val="left"/>
      <w:pPr>
        <w:pStyle w:val="1126"/>
        <w:ind w:left="1741"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126"/>
        <w:ind w:left="1980" w:hanging="900"/>
        <w:tabs>
          <w:tab w:val="num" w:pos="1980" w:leader="none"/>
        </w:tabs>
      </w:pPr>
      <w:rPr>
        <w:rFonts w:hint="eastAsia"/>
      </w:rPr>
    </w:lvl>
    <w:lvl w:ilvl="3">
      <w:start w:val="1"/>
      <w:numFmt w:val="decimal"/>
      <w:isLgl w:val="false"/>
      <w:suff w:val="tab"/>
      <w:lvlText w:val="%1.%2.%3.%4"/>
      <w:lvlJc w:val="left"/>
      <w:pPr>
        <w:pStyle w:val="1126"/>
        <w:ind w:left="900" w:hanging="900"/>
        <w:tabs>
          <w:tab w:val="num" w:pos="900" w:leader="none"/>
        </w:tabs>
      </w:pPr>
      <w:rPr>
        <w:rFonts w:hint="eastAsia"/>
      </w:rPr>
    </w:lvl>
    <w:lvl w:ilvl="4">
      <w:start w:val="1"/>
      <w:numFmt w:val="decimal"/>
      <w:isLgl w:val="false"/>
      <w:suff w:val="tab"/>
      <w:lvlText w:val="%1.%2.%3.%4.%5"/>
      <w:lvlJc w:val="left"/>
      <w:pPr>
        <w:pStyle w:val="1126"/>
        <w:ind w:left="900" w:hanging="900"/>
        <w:tabs>
          <w:tab w:val="num" w:pos="900" w:leader="none"/>
        </w:tabs>
      </w:pPr>
      <w:rPr>
        <w:rFonts w:hint="eastAsia"/>
      </w:rPr>
    </w:lvl>
    <w:lvl w:ilvl="5">
      <w:start w:val="1"/>
      <w:numFmt w:val="decimal"/>
      <w:isLgl w:val="false"/>
      <w:suff w:val="tab"/>
      <w:lvlText w:val="%1.%2.%3.%4.%5.%6"/>
      <w:lvlJc w:val="left"/>
      <w:pPr>
        <w:pStyle w:val="1126"/>
        <w:ind w:left="900" w:hanging="900"/>
        <w:tabs>
          <w:tab w:val="num" w:pos="900" w:leader="none"/>
        </w:tabs>
      </w:pPr>
      <w:rPr>
        <w:rFonts w:hint="eastAsia"/>
      </w:rPr>
    </w:lvl>
    <w:lvl w:ilvl="6">
      <w:start w:val="1"/>
      <w:numFmt w:val="decimal"/>
      <w:isLgl w:val="false"/>
      <w:suff w:val="tab"/>
      <w:lvlText w:val="%1.%2.%3.%4.%5.%6.%7"/>
      <w:lvlJc w:val="left"/>
      <w:pPr>
        <w:pStyle w:val="1126"/>
        <w:ind w:left="900" w:hanging="900"/>
        <w:tabs>
          <w:tab w:val="num" w:pos="900" w:leader="none"/>
        </w:tabs>
      </w:pPr>
      <w:rPr>
        <w:rFonts w:hint="eastAsia"/>
      </w:rPr>
    </w:lvl>
    <w:lvl w:ilvl="7">
      <w:start w:val="1"/>
      <w:numFmt w:val="decimal"/>
      <w:isLgl w:val="false"/>
      <w:suff w:val="tab"/>
      <w:lvlText w:val="%1.%2.%3.%4.%5.%6.%7.%8"/>
      <w:lvlJc w:val="left"/>
      <w:pPr>
        <w:pStyle w:val="1126"/>
        <w:ind w:left="900" w:hanging="900"/>
        <w:tabs>
          <w:tab w:val="num" w:pos="900" w:leader="none"/>
        </w:tabs>
      </w:pPr>
      <w:rPr>
        <w:rFonts w:hint="eastAsia"/>
      </w:rPr>
    </w:lvl>
    <w:lvl w:ilvl="8">
      <w:start w:val="1"/>
      <w:numFmt w:val="decimal"/>
      <w:isLgl w:val="false"/>
      <w:suff w:val="tab"/>
      <w:lvlText w:val="%1.%2.%3.%4.%5.%6.%7.%8.%9"/>
      <w:lvlJc w:val="left"/>
      <w:pPr>
        <w:pStyle w:val="1126"/>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126"/>
        <w:ind w:left="900" w:hanging="900"/>
        <w:tabs>
          <w:tab w:val="num" w:pos="900" w:leader="none"/>
        </w:tabs>
      </w:pPr>
      <w:rPr>
        <w:rFonts w:hint="eastAsia"/>
      </w:rPr>
    </w:lvl>
    <w:lvl w:ilvl="1">
      <w:start w:val="1"/>
      <w:numFmt w:val="decimal"/>
      <w:isLgl w:val="false"/>
      <w:suff w:val="tab"/>
      <w:lvlText w:val="%1.%2"/>
      <w:lvlJc w:val="left"/>
      <w:pPr>
        <w:pStyle w:val="11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6"/>
        <w:ind w:left="1980" w:hanging="900"/>
        <w:tabs>
          <w:tab w:val="num" w:pos="1980" w:leader="none"/>
        </w:tabs>
      </w:pPr>
      <w:rPr>
        <w:rFonts w:hint="eastAsia"/>
      </w:rPr>
    </w:lvl>
    <w:lvl w:ilvl="3">
      <w:start w:val="1"/>
      <w:numFmt w:val="decimal"/>
      <w:isLgl w:val="false"/>
      <w:suff w:val="tab"/>
      <w:lvlText w:val="%1.%2.%3.%4"/>
      <w:lvlJc w:val="left"/>
      <w:pPr>
        <w:pStyle w:val="1126"/>
        <w:ind w:left="900" w:hanging="900"/>
        <w:tabs>
          <w:tab w:val="num" w:pos="900" w:leader="none"/>
        </w:tabs>
      </w:pPr>
      <w:rPr>
        <w:rFonts w:hint="eastAsia"/>
      </w:rPr>
    </w:lvl>
    <w:lvl w:ilvl="4">
      <w:start w:val="1"/>
      <w:numFmt w:val="decimal"/>
      <w:isLgl w:val="false"/>
      <w:suff w:val="tab"/>
      <w:lvlText w:val="%1.%2.%3.%4.%5"/>
      <w:lvlJc w:val="left"/>
      <w:pPr>
        <w:pStyle w:val="1126"/>
        <w:ind w:left="900" w:hanging="900"/>
        <w:tabs>
          <w:tab w:val="num" w:pos="900" w:leader="none"/>
        </w:tabs>
      </w:pPr>
      <w:rPr>
        <w:rFonts w:hint="eastAsia"/>
      </w:rPr>
    </w:lvl>
    <w:lvl w:ilvl="5">
      <w:start w:val="1"/>
      <w:numFmt w:val="decimal"/>
      <w:isLgl w:val="false"/>
      <w:suff w:val="tab"/>
      <w:lvlText w:val="%1.%2.%3.%4.%5.%6"/>
      <w:lvlJc w:val="left"/>
      <w:pPr>
        <w:pStyle w:val="1126"/>
        <w:ind w:left="900" w:hanging="900"/>
        <w:tabs>
          <w:tab w:val="num" w:pos="900" w:leader="none"/>
        </w:tabs>
      </w:pPr>
      <w:rPr>
        <w:rFonts w:hint="eastAsia"/>
      </w:rPr>
    </w:lvl>
    <w:lvl w:ilvl="6">
      <w:start w:val="1"/>
      <w:numFmt w:val="decimal"/>
      <w:isLgl w:val="false"/>
      <w:suff w:val="tab"/>
      <w:lvlText w:val="%1.%2.%3.%4.%5.%6.%7"/>
      <w:lvlJc w:val="left"/>
      <w:pPr>
        <w:pStyle w:val="1126"/>
        <w:ind w:left="900" w:hanging="900"/>
        <w:tabs>
          <w:tab w:val="num" w:pos="900" w:leader="none"/>
        </w:tabs>
      </w:pPr>
      <w:rPr>
        <w:rFonts w:hint="eastAsia"/>
      </w:rPr>
    </w:lvl>
    <w:lvl w:ilvl="7">
      <w:start w:val="1"/>
      <w:numFmt w:val="decimal"/>
      <w:isLgl w:val="false"/>
      <w:suff w:val="tab"/>
      <w:lvlText w:val="%1.%2.%3.%4.%5.%6.%7.%8"/>
      <w:lvlJc w:val="left"/>
      <w:pPr>
        <w:pStyle w:val="1126"/>
        <w:ind w:left="900" w:hanging="900"/>
        <w:tabs>
          <w:tab w:val="num" w:pos="900" w:leader="none"/>
        </w:tabs>
      </w:pPr>
      <w:rPr>
        <w:rFonts w:hint="eastAsia"/>
      </w:rPr>
    </w:lvl>
    <w:lvl w:ilvl="8">
      <w:start w:val="1"/>
      <w:numFmt w:val="decimal"/>
      <w:isLgl w:val="false"/>
      <w:suff w:val="tab"/>
      <w:lvlText w:val="%1.%2.%3.%4.%5.%6.%7.%8.%9"/>
      <w:lvlJc w:val="left"/>
      <w:pPr>
        <w:pStyle w:val="1126"/>
        <w:ind w:left="900" w:hanging="900"/>
        <w:tabs>
          <w:tab w:val="num" w:pos="900" w:leader="none"/>
        </w:tabs>
      </w:pPr>
      <w:rPr>
        <w:rFonts w:hint="eastAsia"/>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0"/>
  </w:num>
  <w:num w:numId="8">
    <w:abstractNumId w:val="8"/>
  </w:num>
  <w:num w:numId="9">
    <w:abstractNumId w:val="12"/>
  </w:num>
  <w:num w:numId="10">
    <w:abstractNumId w:val="2"/>
  </w:num>
  <w:num w:numId="11">
    <w:abstractNumId w:val="11"/>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8">
    <w:name w:val="Heading 1"/>
    <w:basedOn w:val="1126"/>
    <w:next w:val="1126"/>
    <w:link w:val="949"/>
    <w:uiPriority w:val="9"/>
    <w:qFormat/>
    <w:pPr>
      <w:keepLines/>
      <w:keepNext/>
      <w:spacing w:before="480" w:after="200"/>
      <w:outlineLvl w:val="0"/>
    </w:pPr>
    <w:rPr>
      <w:rFonts w:ascii="Arial" w:hAnsi="Arial" w:eastAsia="Arial" w:cs="Arial"/>
      <w:sz w:val="40"/>
      <w:szCs w:val="40"/>
    </w:rPr>
  </w:style>
  <w:style w:type="character" w:styleId="949">
    <w:name w:val="Heading 1 Char"/>
    <w:link w:val="948"/>
    <w:uiPriority w:val="9"/>
    <w:rPr>
      <w:rFonts w:ascii="Arial" w:hAnsi="Arial" w:eastAsia="Arial" w:cs="Arial"/>
      <w:sz w:val="40"/>
      <w:szCs w:val="40"/>
    </w:rPr>
  </w:style>
  <w:style w:type="paragraph" w:styleId="950">
    <w:name w:val="Heading 2"/>
    <w:basedOn w:val="1126"/>
    <w:next w:val="1126"/>
    <w:link w:val="951"/>
    <w:uiPriority w:val="9"/>
    <w:unhideWhenUsed/>
    <w:qFormat/>
    <w:pPr>
      <w:keepLines/>
      <w:keepNext/>
      <w:spacing w:before="360" w:after="200"/>
      <w:outlineLvl w:val="1"/>
    </w:pPr>
    <w:rPr>
      <w:rFonts w:ascii="Arial" w:hAnsi="Arial" w:eastAsia="Arial" w:cs="Arial"/>
      <w:sz w:val="34"/>
    </w:rPr>
  </w:style>
  <w:style w:type="character" w:styleId="951">
    <w:name w:val="Heading 2 Char"/>
    <w:link w:val="950"/>
    <w:uiPriority w:val="9"/>
    <w:rPr>
      <w:rFonts w:ascii="Arial" w:hAnsi="Arial" w:eastAsia="Arial" w:cs="Arial"/>
      <w:sz w:val="34"/>
    </w:rPr>
  </w:style>
  <w:style w:type="paragraph" w:styleId="952">
    <w:name w:val="Heading 3"/>
    <w:basedOn w:val="1126"/>
    <w:next w:val="1126"/>
    <w:link w:val="953"/>
    <w:uiPriority w:val="9"/>
    <w:unhideWhenUsed/>
    <w:qFormat/>
    <w:pPr>
      <w:keepLines/>
      <w:keepNext/>
      <w:spacing w:before="320" w:after="200"/>
      <w:outlineLvl w:val="2"/>
    </w:pPr>
    <w:rPr>
      <w:rFonts w:ascii="Arial" w:hAnsi="Arial" w:eastAsia="Arial" w:cs="Arial"/>
      <w:sz w:val="30"/>
      <w:szCs w:val="30"/>
    </w:rPr>
  </w:style>
  <w:style w:type="character" w:styleId="953">
    <w:name w:val="Heading 3 Char"/>
    <w:link w:val="952"/>
    <w:uiPriority w:val="9"/>
    <w:rPr>
      <w:rFonts w:ascii="Arial" w:hAnsi="Arial" w:eastAsia="Arial" w:cs="Arial"/>
      <w:sz w:val="30"/>
      <w:szCs w:val="30"/>
    </w:rPr>
  </w:style>
  <w:style w:type="paragraph" w:styleId="954">
    <w:name w:val="Heading 4"/>
    <w:basedOn w:val="1126"/>
    <w:next w:val="1126"/>
    <w:link w:val="955"/>
    <w:uiPriority w:val="9"/>
    <w:unhideWhenUsed/>
    <w:qFormat/>
    <w:pPr>
      <w:keepLines/>
      <w:keepNext/>
      <w:spacing w:before="320" w:after="200"/>
      <w:outlineLvl w:val="3"/>
    </w:pPr>
    <w:rPr>
      <w:rFonts w:ascii="Arial" w:hAnsi="Arial" w:eastAsia="Arial" w:cs="Arial"/>
      <w:b/>
      <w:bCs/>
      <w:sz w:val="26"/>
      <w:szCs w:val="26"/>
    </w:rPr>
  </w:style>
  <w:style w:type="character" w:styleId="955">
    <w:name w:val="Heading 4 Char"/>
    <w:link w:val="954"/>
    <w:uiPriority w:val="9"/>
    <w:rPr>
      <w:rFonts w:ascii="Arial" w:hAnsi="Arial" w:eastAsia="Arial" w:cs="Arial"/>
      <w:b/>
      <w:bCs/>
      <w:sz w:val="26"/>
      <w:szCs w:val="26"/>
    </w:rPr>
  </w:style>
  <w:style w:type="paragraph" w:styleId="956">
    <w:name w:val="Heading 5"/>
    <w:basedOn w:val="1126"/>
    <w:next w:val="1126"/>
    <w:link w:val="957"/>
    <w:uiPriority w:val="9"/>
    <w:unhideWhenUsed/>
    <w:qFormat/>
    <w:pPr>
      <w:keepLines/>
      <w:keepNext/>
      <w:spacing w:before="320" w:after="200"/>
      <w:outlineLvl w:val="4"/>
    </w:pPr>
    <w:rPr>
      <w:rFonts w:ascii="Arial" w:hAnsi="Arial" w:eastAsia="Arial" w:cs="Arial"/>
      <w:b/>
      <w:bCs/>
      <w:sz w:val="24"/>
      <w:szCs w:val="24"/>
    </w:rPr>
  </w:style>
  <w:style w:type="character" w:styleId="957">
    <w:name w:val="Heading 5 Char"/>
    <w:link w:val="956"/>
    <w:uiPriority w:val="9"/>
    <w:rPr>
      <w:rFonts w:ascii="Arial" w:hAnsi="Arial" w:eastAsia="Arial" w:cs="Arial"/>
      <w:b/>
      <w:bCs/>
      <w:sz w:val="24"/>
      <w:szCs w:val="24"/>
    </w:rPr>
  </w:style>
  <w:style w:type="paragraph" w:styleId="958">
    <w:name w:val="Heading 6"/>
    <w:basedOn w:val="1126"/>
    <w:next w:val="1126"/>
    <w:link w:val="959"/>
    <w:uiPriority w:val="9"/>
    <w:unhideWhenUsed/>
    <w:qFormat/>
    <w:pPr>
      <w:keepLines/>
      <w:keepNext/>
      <w:spacing w:before="320" w:after="200"/>
      <w:outlineLvl w:val="5"/>
    </w:pPr>
    <w:rPr>
      <w:rFonts w:ascii="Arial" w:hAnsi="Arial" w:eastAsia="Arial" w:cs="Arial"/>
      <w:b/>
      <w:bCs/>
      <w:sz w:val="22"/>
      <w:szCs w:val="22"/>
    </w:rPr>
  </w:style>
  <w:style w:type="character" w:styleId="959">
    <w:name w:val="Heading 6 Char"/>
    <w:link w:val="958"/>
    <w:uiPriority w:val="9"/>
    <w:rPr>
      <w:rFonts w:ascii="Arial" w:hAnsi="Arial" w:eastAsia="Arial" w:cs="Arial"/>
      <w:b/>
      <w:bCs/>
      <w:sz w:val="22"/>
      <w:szCs w:val="22"/>
    </w:rPr>
  </w:style>
  <w:style w:type="paragraph" w:styleId="960">
    <w:name w:val="Heading 7"/>
    <w:basedOn w:val="1126"/>
    <w:next w:val="1126"/>
    <w:link w:val="961"/>
    <w:uiPriority w:val="9"/>
    <w:unhideWhenUsed/>
    <w:qFormat/>
    <w:pPr>
      <w:keepLines/>
      <w:keepNext/>
      <w:spacing w:before="320" w:after="200"/>
      <w:outlineLvl w:val="6"/>
    </w:pPr>
    <w:rPr>
      <w:rFonts w:ascii="Arial" w:hAnsi="Arial" w:eastAsia="Arial" w:cs="Arial"/>
      <w:b/>
      <w:bCs/>
      <w:i/>
      <w:iCs/>
      <w:sz w:val="22"/>
      <w:szCs w:val="22"/>
    </w:rPr>
  </w:style>
  <w:style w:type="character" w:styleId="961">
    <w:name w:val="Heading 7 Char"/>
    <w:link w:val="960"/>
    <w:uiPriority w:val="9"/>
    <w:rPr>
      <w:rFonts w:ascii="Arial" w:hAnsi="Arial" w:eastAsia="Arial" w:cs="Arial"/>
      <w:b/>
      <w:bCs/>
      <w:i/>
      <w:iCs/>
      <w:sz w:val="22"/>
      <w:szCs w:val="22"/>
    </w:rPr>
  </w:style>
  <w:style w:type="paragraph" w:styleId="962">
    <w:name w:val="Heading 8"/>
    <w:basedOn w:val="1126"/>
    <w:next w:val="1126"/>
    <w:link w:val="963"/>
    <w:uiPriority w:val="9"/>
    <w:unhideWhenUsed/>
    <w:qFormat/>
    <w:pPr>
      <w:keepLines/>
      <w:keepNext/>
      <w:spacing w:before="320" w:after="200"/>
      <w:outlineLvl w:val="7"/>
    </w:pPr>
    <w:rPr>
      <w:rFonts w:ascii="Arial" w:hAnsi="Arial" w:eastAsia="Arial" w:cs="Arial"/>
      <w:i/>
      <w:iCs/>
      <w:sz w:val="22"/>
      <w:szCs w:val="22"/>
    </w:rPr>
  </w:style>
  <w:style w:type="character" w:styleId="963">
    <w:name w:val="Heading 8 Char"/>
    <w:link w:val="962"/>
    <w:uiPriority w:val="9"/>
    <w:rPr>
      <w:rFonts w:ascii="Arial" w:hAnsi="Arial" w:eastAsia="Arial" w:cs="Arial"/>
      <w:i/>
      <w:iCs/>
      <w:sz w:val="22"/>
      <w:szCs w:val="22"/>
    </w:rPr>
  </w:style>
  <w:style w:type="paragraph" w:styleId="964">
    <w:name w:val="Heading 9"/>
    <w:basedOn w:val="1126"/>
    <w:next w:val="1126"/>
    <w:link w:val="965"/>
    <w:uiPriority w:val="9"/>
    <w:unhideWhenUsed/>
    <w:qFormat/>
    <w:pPr>
      <w:keepLines/>
      <w:keepNext/>
      <w:spacing w:before="320" w:after="200"/>
      <w:outlineLvl w:val="8"/>
    </w:pPr>
    <w:rPr>
      <w:rFonts w:ascii="Arial" w:hAnsi="Arial" w:eastAsia="Arial" w:cs="Arial"/>
      <w:i/>
      <w:iCs/>
      <w:sz w:val="21"/>
      <w:szCs w:val="21"/>
    </w:rPr>
  </w:style>
  <w:style w:type="character" w:styleId="965">
    <w:name w:val="Heading 9 Char"/>
    <w:link w:val="964"/>
    <w:uiPriority w:val="9"/>
    <w:rPr>
      <w:rFonts w:ascii="Arial" w:hAnsi="Arial" w:eastAsia="Arial" w:cs="Arial"/>
      <w:i/>
      <w:iCs/>
      <w:sz w:val="21"/>
      <w:szCs w:val="21"/>
    </w:rPr>
  </w:style>
  <w:style w:type="paragraph" w:styleId="966">
    <w:name w:val="List Paragraph"/>
    <w:basedOn w:val="1126"/>
    <w:uiPriority w:val="34"/>
    <w:qFormat/>
    <w:pPr>
      <w:contextualSpacing/>
      <w:ind w:left="720"/>
    </w:pPr>
  </w:style>
  <w:style w:type="paragraph" w:styleId="967">
    <w:name w:val="No Spacing"/>
    <w:uiPriority w:val="1"/>
    <w:qFormat/>
    <w:pPr>
      <w:spacing w:before="0" w:after="0" w:line="240" w:lineRule="auto"/>
    </w:pPr>
  </w:style>
  <w:style w:type="paragraph" w:styleId="968">
    <w:name w:val="Title"/>
    <w:basedOn w:val="1126"/>
    <w:next w:val="1126"/>
    <w:link w:val="969"/>
    <w:uiPriority w:val="10"/>
    <w:qFormat/>
    <w:pPr>
      <w:contextualSpacing/>
      <w:spacing w:before="300" w:after="200"/>
    </w:pPr>
    <w:rPr>
      <w:sz w:val="48"/>
      <w:szCs w:val="48"/>
    </w:rPr>
  </w:style>
  <w:style w:type="character" w:styleId="969">
    <w:name w:val="Title Char"/>
    <w:link w:val="968"/>
    <w:uiPriority w:val="10"/>
    <w:rPr>
      <w:sz w:val="48"/>
      <w:szCs w:val="48"/>
    </w:rPr>
  </w:style>
  <w:style w:type="paragraph" w:styleId="970">
    <w:name w:val="Subtitle"/>
    <w:basedOn w:val="1126"/>
    <w:next w:val="1126"/>
    <w:link w:val="971"/>
    <w:uiPriority w:val="11"/>
    <w:qFormat/>
    <w:pPr>
      <w:spacing w:before="200" w:after="200"/>
    </w:pPr>
    <w:rPr>
      <w:sz w:val="24"/>
      <w:szCs w:val="24"/>
    </w:rPr>
  </w:style>
  <w:style w:type="character" w:styleId="971">
    <w:name w:val="Subtitle Char"/>
    <w:link w:val="970"/>
    <w:uiPriority w:val="11"/>
    <w:rPr>
      <w:sz w:val="24"/>
      <w:szCs w:val="24"/>
    </w:rPr>
  </w:style>
  <w:style w:type="paragraph" w:styleId="972">
    <w:name w:val="Quote"/>
    <w:basedOn w:val="1126"/>
    <w:next w:val="1126"/>
    <w:link w:val="973"/>
    <w:uiPriority w:val="29"/>
    <w:qFormat/>
    <w:pPr>
      <w:ind w:left="720" w:right="720"/>
    </w:pPr>
    <w:rPr>
      <w:i/>
    </w:rPr>
  </w:style>
  <w:style w:type="character" w:styleId="973">
    <w:name w:val="Quote Char"/>
    <w:link w:val="972"/>
    <w:uiPriority w:val="29"/>
    <w:rPr>
      <w:i/>
    </w:rPr>
  </w:style>
  <w:style w:type="paragraph" w:styleId="974">
    <w:name w:val="Intense Quote"/>
    <w:basedOn w:val="1126"/>
    <w:next w:val="1126"/>
    <w:link w:val="9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5">
    <w:name w:val="Intense Quote Char"/>
    <w:link w:val="974"/>
    <w:uiPriority w:val="30"/>
    <w:rPr>
      <w:i/>
    </w:rPr>
  </w:style>
  <w:style w:type="paragraph" w:styleId="976">
    <w:name w:val="Header"/>
    <w:basedOn w:val="1126"/>
    <w:link w:val="977"/>
    <w:uiPriority w:val="99"/>
    <w:unhideWhenUsed/>
    <w:pPr>
      <w:spacing w:after="0" w:line="240" w:lineRule="auto"/>
      <w:tabs>
        <w:tab w:val="center" w:pos="7143" w:leader="none"/>
        <w:tab w:val="right" w:pos="14287" w:leader="none"/>
      </w:tabs>
    </w:pPr>
  </w:style>
  <w:style w:type="character" w:styleId="977">
    <w:name w:val="Header Char"/>
    <w:link w:val="976"/>
    <w:uiPriority w:val="99"/>
  </w:style>
  <w:style w:type="paragraph" w:styleId="978">
    <w:name w:val="Footer"/>
    <w:basedOn w:val="1126"/>
    <w:link w:val="981"/>
    <w:uiPriority w:val="99"/>
    <w:unhideWhenUsed/>
    <w:pPr>
      <w:spacing w:after="0" w:line="240" w:lineRule="auto"/>
      <w:tabs>
        <w:tab w:val="center" w:pos="7143" w:leader="none"/>
        <w:tab w:val="right" w:pos="14287" w:leader="none"/>
      </w:tabs>
    </w:pPr>
  </w:style>
  <w:style w:type="character" w:styleId="979">
    <w:name w:val="Footer Char"/>
    <w:link w:val="978"/>
    <w:uiPriority w:val="99"/>
  </w:style>
  <w:style w:type="paragraph" w:styleId="980">
    <w:name w:val="Caption"/>
    <w:basedOn w:val="1126"/>
    <w:next w:val="1126"/>
    <w:uiPriority w:val="35"/>
    <w:semiHidden/>
    <w:unhideWhenUsed/>
    <w:qFormat/>
    <w:pPr>
      <w:spacing w:line="276" w:lineRule="auto"/>
    </w:pPr>
    <w:rPr>
      <w:b/>
      <w:bCs/>
      <w:color w:val="4f81bd" w:themeColor="accent1"/>
      <w:sz w:val="18"/>
      <w:szCs w:val="18"/>
    </w:rPr>
  </w:style>
  <w:style w:type="character" w:styleId="981">
    <w:name w:val="Caption Char"/>
    <w:basedOn w:val="980"/>
    <w:link w:val="978"/>
    <w:uiPriority w:val="99"/>
  </w:style>
  <w:style w:type="table" w:styleId="9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8">
    <w:name w:val="Hyperlink"/>
    <w:uiPriority w:val="99"/>
    <w:unhideWhenUsed/>
    <w:rPr>
      <w:color w:val="0000ff" w:themeColor="hyperlink"/>
      <w:u w:val="single"/>
    </w:rPr>
  </w:style>
  <w:style w:type="paragraph" w:styleId="1109">
    <w:name w:val="footnote text"/>
    <w:basedOn w:val="1126"/>
    <w:link w:val="1110"/>
    <w:uiPriority w:val="99"/>
    <w:semiHidden/>
    <w:unhideWhenUsed/>
    <w:pPr>
      <w:spacing w:after="40" w:line="240" w:lineRule="auto"/>
    </w:pPr>
    <w:rPr>
      <w:sz w:val="18"/>
    </w:rPr>
  </w:style>
  <w:style w:type="character" w:styleId="1110">
    <w:name w:val="Footnote Text Char"/>
    <w:link w:val="1109"/>
    <w:uiPriority w:val="99"/>
    <w:rPr>
      <w:sz w:val="18"/>
    </w:rPr>
  </w:style>
  <w:style w:type="character" w:styleId="1111">
    <w:name w:val="footnote reference"/>
    <w:uiPriority w:val="99"/>
    <w:unhideWhenUsed/>
    <w:rPr>
      <w:vertAlign w:val="superscript"/>
    </w:rPr>
  </w:style>
  <w:style w:type="paragraph" w:styleId="1112">
    <w:name w:val="endnote text"/>
    <w:basedOn w:val="1126"/>
    <w:link w:val="1113"/>
    <w:uiPriority w:val="99"/>
    <w:semiHidden/>
    <w:unhideWhenUsed/>
    <w:pPr>
      <w:spacing w:after="0" w:line="240" w:lineRule="auto"/>
    </w:pPr>
    <w:rPr>
      <w:sz w:val="20"/>
    </w:rPr>
  </w:style>
  <w:style w:type="character" w:styleId="1113">
    <w:name w:val="Endnote Text Char"/>
    <w:link w:val="1112"/>
    <w:uiPriority w:val="99"/>
    <w:rPr>
      <w:sz w:val="20"/>
    </w:rPr>
  </w:style>
  <w:style w:type="character" w:styleId="1114">
    <w:name w:val="endnote reference"/>
    <w:uiPriority w:val="99"/>
    <w:semiHidden/>
    <w:unhideWhenUsed/>
    <w:rPr>
      <w:vertAlign w:val="superscript"/>
    </w:rPr>
  </w:style>
  <w:style w:type="paragraph" w:styleId="1115">
    <w:name w:val="toc 1"/>
    <w:basedOn w:val="1126"/>
    <w:next w:val="1126"/>
    <w:uiPriority w:val="39"/>
    <w:unhideWhenUsed/>
    <w:pPr>
      <w:ind w:left="0" w:right="0" w:firstLine="0"/>
      <w:spacing w:after="57"/>
    </w:pPr>
  </w:style>
  <w:style w:type="paragraph" w:styleId="1116">
    <w:name w:val="toc 2"/>
    <w:basedOn w:val="1126"/>
    <w:next w:val="1126"/>
    <w:uiPriority w:val="39"/>
    <w:unhideWhenUsed/>
    <w:pPr>
      <w:ind w:left="283" w:right="0" w:firstLine="0"/>
      <w:spacing w:after="57"/>
    </w:pPr>
  </w:style>
  <w:style w:type="paragraph" w:styleId="1117">
    <w:name w:val="toc 3"/>
    <w:basedOn w:val="1126"/>
    <w:next w:val="1126"/>
    <w:uiPriority w:val="39"/>
    <w:unhideWhenUsed/>
    <w:pPr>
      <w:ind w:left="567" w:right="0" w:firstLine="0"/>
      <w:spacing w:after="57"/>
    </w:pPr>
  </w:style>
  <w:style w:type="paragraph" w:styleId="1118">
    <w:name w:val="toc 4"/>
    <w:basedOn w:val="1126"/>
    <w:next w:val="1126"/>
    <w:uiPriority w:val="39"/>
    <w:unhideWhenUsed/>
    <w:pPr>
      <w:ind w:left="850" w:right="0" w:firstLine="0"/>
      <w:spacing w:after="57"/>
    </w:pPr>
  </w:style>
  <w:style w:type="paragraph" w:styleId="1119">
    <w:name w:val="toc 5"/>
    <w:basedOn w:val="1126"/>
    <w:next w:val="1126"/>
    <w:uiPriority w:val="39"/>
    <w:unhideWhenUsed/>
    <w:pPr>
      <w:ind w:left="1134" w:right="0" w:firstLine="0"/>
      <w:spacing w:after="57"/>
    </w:pPr>
  </w:style>
  <w:style w:type="paragraph" w:styleId="1120">
    <w:name w:val="toc 6"/>
    <w:basedOn w:val="1126"/>
    <w:next w:val="1126"/>
    <w:uiPriority w:val="39"/>
    <w:unhideWhenUsed/>
    <w:pPr>
      <w:ind w:left="1417" w:right="0" w:firstLine="0"/>
      <w:spacing w:after="57"/>
    </w:pPr>
  </w:style>
  <w:style w:type="paragraph" w:styleId="1121">
    <w:name w:val="toc 7"/>
    <w:basedOn w:val="1126"/>
    <w:next w:val="1126"/>
    <w:uiPriority w:val="39"/>
    <w:unhideWhenUsed/>
    <w:pPr>
      <w:ind w:left="1701" w:right="0" w:firstLine="0"/>
      <w:spacing w:after="57"/>
    </w:pPr>
  </w:style>
  <w:style w:type="paragraph" w:styleId="1122">
    <w:name w:val="toc 8"/>
    <w:basedOn w:val="1126"/>
    <w:next w:val="1126"/>
    <w:uiPriority w:val="39"/>
    <w:unhideWhenUsed/>
    <w:pPr>
      <w:ind w:left="1984" w:right="0" w:firstLine="0"/>
      <w:spacing w:after="57"/>
    </w:pPr>
  </w:style>
  <w:style w:type="paragraph" w:styleId="1123">
    <w:name w:val="toc 9"/>
    <w:basedOn w:val="1126"/>
    <w:next w:val="1126"/>
    <w:uiPriority w:val="39"/>
    <w:unhideWhenUsed/>
    <w:pPr>
      <w:ind w:left="2268" w:right="0" w:firstLine="0"/>
      <w:spacing w:after="57"/>
    </w:pPr>
  </w:style>
  <w:style w:type="paragraph" w:styleId="1124">
    <w:name w:val="TOC Heading"/>
    <w:uiPriority w:val="39"/>
    <w:unhideWhenUsed/>
  </w:style>
  <w:style w:type="paragraph" w:styleId="1125">
    <w:name w:val="table of figures"/>
    <w:basedOn w:val="1126"/>
    <w:next w:val="1126"/>
    <w:uiPriority w:val="99"/>
    <w:unhideWhenUsed/>
    <w:pPr>
      <w:spacing w:after="0" w:afterAutospacing="0"/>
    </w:pPr>
  </w:style>
  <w:style w:type="paragraph" w:styleId="1126" w:default="1">
    <w:name w:val="Normal"/>
    <w:next w:val="1138"/>
    <w:link w:val="1126"/>
    <w:qFormat/>
    <w:pPr>
      <w:jc w:val="both"/>
      <w:widowControl w:val="off"/>
    </w:pPr>
    <w:rPr>
      <w:sz w:val="21"/>
      <w:szCs w:val="24"/>
      <w:lang w:val="en-US" w:eastAsia="zh-CN" w:bidi="ar-SA"/>
    </w:rPr>
  </w:style>
  <w:style w:type="paragraph" w:styleId="1127">
    <w:name w:val="标题 1"/>
    <w:basedOn w:val="1126"/>
    <w:next w:val="1126"/>
    <w:link w:val="1139"/>
    <w:qFormat/>
    <w:pPr>
      <w:jc w:val="center"/>
      <w:keepLines/>
      <w:keepNext/>
      <w:spacing w:before="240" w:after="120" w:line="300" w:lineRule="auto"/>
      <w:outlineLvl w:val="0"/>
    </w:pPr>
    <w:rPr>
      <w:rFonts w:ascii="宋体"/>
      <w:b/>
      <w:sz w:val="32"/>
      <w:szCs w:val="20"/>
    </w:rPr>
  </w:style>
  <w:style w:type="paragraph" w:styleId="1128">
    <w:name w:val="标题 2"/>
    <w:basedOn w:val="1126"/>
    <w:next w:val="1141"/>
    <w:link w:val="1140"/>
    <w:qFormat/>
    <w:pPr>
      <w:jc w:val="center"/>
      <w:keepLines/>
      <w:keepNext/>
      <w:spacing w:before="120" w:line="300" w:lineRule="auto"/>
      <w:outlineLvl w:val="1"/>
    </w:pPr>
    <w:rPr>
      <w:rFonts w:ascii="Arial" w:hAnsi="Arial" w:eastAsia="黑体"/>
      <w:b/>
      <w:sz w:val="30"/>
      <w:szCs w:val="20"/>
    </w:rPr>
  </w:style>
  <w:style w:type="paragraph" w:styleId="1129">
    <w:name w:val="标题 3"/>
    <w:basedOn w:val="1126"/>
    <w:next w:val="1126"/>
    <w:link w:val="1143"/>
    <w:qFormat/>
    <w:pPr>
      <w:jc w:val="left"/>
      <w:keepLines/>
      <w:keepNext/>
      <w:spacing w:before="360" w:after="120"/>
      <w:outlineLvl w:val="2"/>
    </w:pPr>
    <w:rPr>
      <w:rFonts w:ascii="宋体"/>
      <w:b/>
      <w:sz w:val="24"/>
      <w:szCs w:val="20"/>
      <w:u w:val="single"/>
    </w:rPr>
  </w:style>
  <w:style w:type="paragraph" w:styleId="1130">
    <w:name w:val="标题 4"/>
    <w:basedOn w:val="1126"/>
    <w:next w:val="1126"/>
    <w:link w:val="1144"/>
    <w:qFormat/>
    <w:pPr>
      <w:keepLines/>
      <w:keepNext/>
      <w:spacing w:before="280" w:after="290" w:line="376" w:lineRule="atLeast"/>
      <w:outlineLvl w:val="3"/>
    </w:pPr>
    <w:rPr>
      <w:rFonts w:ascii="Arial" w:hAnsi="Arial" w:eastAsia="黑体"/>
      <w:b/>
      <w:sz w:val="28"/>
      <w:szCs w:val="20"/>
    </w:rPr>
  </w:style>
  <w:style w:type="paragraph" w:styleId="1131">
    <w:name w:val="标题 5"/>
    <w:basedOn w:val="1126"/>
    <w:next w:val="1126"/>
    <w:link w:val="1145"/>
    <w:qFormat/>
    <w:pPr>
      <w:keepLines/>
      <w:keepNext/>
      <w:spacing w:before="280" w:after="290" w:line="376" w:lineRule="atLeast"/>
      <w:outlineLvl w:val="4"/>
    </w:pPr>
    <w:rPr>
      <w:b/>
      <w:sz w:val="28"/>
      <w:szCs w:val="20"/>
    </w:rPr>
  </w:style>
  <w:style w:type="paragraph" w:styleId="1132">
    <w:name w:val="标题 6"/>
    <w:basedOn w:val="1126"/>
    <w:next w:val="1126"/>
    <w:link w:val="1146"/>
    <w:qFormat/>
    <w:pPr>
      <w:keepLines/>
      <w:keepNext/>
      <w:spacing w:before="240" w:after="64" w:line="320" w:lineRule="atLeast"/>
      <w:outlineLvl w:val="5"/>
    </w:pPr>
    <w:rPr>
      <w:rFonts w:ascii="Arial" w:hAnsi="Arial" w:eastAsia="黑体"/>
      <w:b/>
      <w:sz w:val="24"/>
      <w:szCs w:val="20"/>
    </w:rPr>
  </w:style>
  <w:style w:type="paragraph" w:styleId="1133">
    <w:name w:val="标题 7"/>
    <w:basedOn w:val="1126"/>
    <w:next w:val="1126"/>
    <w:link w:val="1147"/>
    <w:qFormat/>
    <w:pPr>
      <w:keepLines/>
      <w:keepNext/>
      <w:spacing w:before="240" w:after="64" w:line="320" w:lineRule="atLeast"/>
      <w:outlineLvl w:val="6"/>
    </w:pPr>
    <w:rPr>
      <w:b/>
      <w:sz w:val="24"/>
      <w:szCs w:val="20"/>
    </w:rPr>
  </w:style>
  <w:style w:type="paragraph" w:styleId="1134">
    <w:name w:val="标题 8"/>
    <w:basedOn w:val="1126"/>
    <w:next w:val="1126"/>
    <w:link w:val="1148"/>
    <w:qFormat/>
    <w:pPr>
      <w:keepLines/>
      <w:keepNext/>
      <w:spacing w:before="240" w:after="64" w:line="320" w:lineRule="atLeast"/>
      <w:outlineLvl w:val="7"/>
    </w:pPr>
    <w:rPr>
      <w:rFonts w:ascii="Arial" w:hAnsi="Arial" w:eastAsia="黑体"/>
      <w:sz w:val="24"/>
      <w:szCs w:val="20"/>
    </w:rPr>
  </w:style>
  <w:style w:type="paragraph" w:styleId="1135">
    <w:name w:val="标题 9"/>
    <w:basedOn w:val="1126"/>
    <w:next w:val="1126"/>
    <w:link w:val="1149"/>
    <w:qFormat/>
    <w:pPr>
      <w:keepLines/>
      <w:keepNext/>
      <w:spacing w:before="240" w:after="64" w:line="320" w:lineRule="atLeast"/>
      <w:outlineLvl w:val="8"/>
    </w:pPr>
    <w:rPr>
      <w:rFonts w:ascii="Arial" w:hAnsi="Arial" w:eastAsia="黑体"/>
      <w:szCs w:val="20"/>
    </w:rPr>
  </w:style>
  <w:style w:type="character" w:styleId="1136">
    <w:name w:val="默认段落字体"/>
    <w:next w:val="1136"/>
    <w:link w:val="1126"/>
    <w:uiPriority w:val="1"/>
    <w:unhideWhenUsed/>
    <w:qFormat/>
  </w:style>
  <w:style w:type="table" w:styleId="1137">
    <w:name w:val="普通表格"/>
    <w:next w:val="1137"/>
    <w:link w:val="112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138">
    <w:name w:val="正文文本1"/>
    <w:basedOn w:val="1126"/>
    <w:next w:val="1126"/>
    <w:link w:val="1126"/>
    <w:qFormat/>
    <w:pPr>
      <w:spacing w:before="120" w:line="22" w:lineRule="atLeast"/>
      <w:tabs>
        <w:tab w:val="left" w:pos="567" w:leader="none"/>
      </w:tabs>
    </w:pPr>
    <w:rPr>
      <w:rFonts w:ascii="宋体" w:hAnsi="宋体"/>
      <w:sz w:val="24"/>
    </w:rPr>
  </w:style>
  <w:style w:type="character" w:styleId="1139">
    <w:name w:val="标题 1 Char"/>
    <w:next w:val="1139"/>
    <w:link w:val="1127"/>
    <w:qFormat/>
    <w:rPr>
      <w:rFonts w:ascii="宋体"/>
      <w:b/>
      <w:sz w:val="32"/>
    </w:rPr>
  </w:style>
  <w:style w:type="character" w:styleId="1140">
    <w:name w:val="标题 2 Char1"/>
    <w:next w:val="1140"/>
    <w:link w:val="1128"/>
    <w:qFormat/>
    <w:rPr>
      <w:rFonts w:ascii="Arial" w:hAnsi="Arial" w:eastAsia="黑体"/>
      <w:b/>
      <w:sz w:val="30"/>
      <w:lang w:val="en-US" w:eastAsia="zh-CN" w:bidi="ar-SA"/>
    </w:rPr>
  </w:style>
  <w:style w:type="paragraph" w:styleId="1141">
    <w:name w:val="正文缩进"/>
    <w:basedOn w:val="1126"/>
    <w:next w:val="1126"/>
    <w:link w:val="1142"/>
    <w:qFormat/>
    <w:pPr>
      <w:ind w:firstLine="420"/>
      <w:jc w:val="left"/>
    </w:pPr>
    <w:rPr>
      <w:rFonts w:ascii="宋体"/>
      <w:sz w:val="24"/>
    </w:rPr>
  </w:style>
  <w:style w:type="character" w:styleId="1142">
    <w:name w:val="正文缩进 Char1"/>
    <w:next w:val="1142"/>
    <w:link w:val="1141"/>
    <w:qFormat/>
    <w:rPr>
      <w:rFonts w:ascii="宋体" w:eastAsia="宋体"/>
      <w:sz w:val="24"/>
      <w:szCs w:val="24"/>
      <w:lang w:val="en-US" w:eastAsia="zh-CN" w:bidi="ar-SA"/>
    </w:rPr>
  </w:style>
  <w:style w:type="character" w:styleId="1143">
    <w:name w:val="标题 3 Char1"/>
    <w:next w:val="1143"/>
    <w:link w:val="1129"/>
    <w:qFormat/>
    <w:rPr>
      <w:rFonts w:ascii="宋体" w:eastAsia="宋体"/>
      <w:b/>
      <w:sz w:val="24"/>
      <w:u w:val="single"/>
      <w:lang w:val="en-US" w:eastAsia="zh-CN" w:bidi="ar-SA"/>
    </w:rPr>
  </w:style>
  <w:style w:type="character" w:styleId="1144">
    <w:name w:val="标题 4 Char"/>
    <w:next w:val="1144"/>
    <w:link w:val="1130"/>
    <w:qFormat/>
    <w:rPr>
      <w:rFonts w:ascii="Arial" w:hAnsi="Arial" w:eastAsia="黑体"/>
      <w:b/>
      <w:sz w:val="28"/>
    </w:rPr>
  </w:style>
  <w:style w:type="character" w:styleId="1145">
    <w:name w:val="标题 5 Char"/>
    <w:next w:val="1145"/>
    <w:link w:val="1131"/>
    <w:qFormat/>
    <w:rPr>
      <w:b/>
      <w:sz w:val="28"/>
    </w:rPr>
  </w:style>
  <w:style w:type="character" w:styleId="1146">
    <w:name w:val="标题 6 Char"/>
    <w:next w:val="1146"/>
    <w:link w:val="1132"/>
    <w:qFormat/>
    <w:rPr>
      <w:rFonts w:ascii="Arial" w:hAnsi="Arial" w:eastAsia="黑体"/>
      <w:b/>
      <w:sz w:val="24"/>
    </w:rPr>
  </w:style>
  <w:style w:type="character" w:styleId="1147">
    <w:name w:val="标题 7 Char"/>
    <w:next w:val="1147"/>
    <w:link w:val="1133"/>
    <w:qFormat/>
    <w:rPr>
      <w:b/>
      <w:sz w:val="24"/>
    </w:rPr>
  </w:style>
  <w:style w:type="character" w:styleId="1148">
    <w:name w:val="标题 8 Char"/>
    <w:next w:val="1148"/>
    <w:link w:val="1134"/>
    <w:qFormat/>
    <w:rPr>
      <w:rFonts w:ascii="Arial" w:hAnsi="Arial" w:eastAsia="黑体"/>
      <w:sz w:val="24"/>
    </w:rPr>
  </w:style>
  <w:style w:type="character" w:styleId="1149">
    <w:name w:val="标题 9 Char"/>
    <w:next w:val="1149"/>
    <w:link w:val="1135"/>
    <w:qFormat/>
    <w:rPr>
      <w:rFonts w:ascii="Arial" w:hAnsi="Arial" w:eastAsia="黑体"/>
      <w:sz w:val="21"/>
    </w:rPr>
  </w:style>
  <w:style w:type="paragraph" w:styleId="1150">
    <w:name w:val="目录 7"/>
    <w:basedOn w:val="1126"/>
    <w:next w:val="1126"/>
    <w:link w:val="1126"/>
    <w:qFormat/>
    <w:pPr>
      <w:ind w:left="2520"/>
    </w:pPr>
  </w:style>
  <w:style w:type="paragraph" w:styleId="1151">
    <w:name w:val="注释标题"/>
    <w:basedOn w:val="1126"/>
    <w:next w:val="1126"/>
    <w:link w:val="1126"/>
    <w:qFormat/>
    <w:rPr>
      <w:rFonts w:ascii="Verdana" w:hAnsi="Verdana"/>
      <w:szCs w:val="20"/>
    </w:rPr>
  </w:style>
  <w:style w:type="paragraph" w:styleId="1152">
    <w:name w:val="题注"/>
    <w:basedOn w:val="1126"/>
    <w:next w:val="1126"/>
    <w:link w:val="1126"/>
    <w:qFormat/>
    <w:pPr>
      <w:spacing w:line="480" w:lineRule="auto"/>
    </w:pPr>
    <w:rPr>
      <w:rFonts w:ascii="华文中宋" w:hAnsi="华文中宋" w:eastAsia="华文中宋"/>
      <w:sz w:val="36"/>
      <w:szCs w:val="20"/>
    </w:rPr>
  </w:style>
  <w:style w:type="paragraph" w:styleId="1153">
    <w:name w:val="文档结构图"/>
    <w:basedOn w:val="1126"/>
    <w:next w:val="1153"/>
    <w:link w:val="1154"/>
    <w:qFormat/>
    <w:pPr>
      <w:shd w:val="clear" w:color="auto" w:fill="000080"/>
    </w:pPr>
  </w:style>
  <w:style w:type="character" w:styleId="1154">
    <w:name w:val="文档结构图 Char"/>
    <w:next w:val="1154"/>
    <w:link w:val="1153"/>
    <w:qFormat/>
    <w:rPr>
      <w:sz w:val="21"/>
      <w:szCs w:val="24"/>
      <w:shd w:val="clear" w:color="auto" w:fill="000080"/>
    </w:rPr>
  </w:style>
  <w:style w:type="paragraph" w:styleId="1155">
    <w:name w:val="批注文字"/>
    <w:basedOn w:val="1126"/>
    <w:next w:val="1155"/>
    <w:link w:val="1156"/>
    <w:uiPriority w:val="99"/>
    <w:qFormat/>
    <w:pPr>
      <w:jc w:val="left"/>
    </w:pPr>
  </w:style>
  <w:style w:type="character" w:styleId="1156">
    <w:name w:val="批注文字 Char1"/>
    <w:next w:val="1156"/>
    <w:link w:val="1155"/>
    <w:uiPriority w:val="99"/>
    <w:qFormat/>
    <w:rPr>
      <w:sz w:val="21"/>
      <w:szCs w:val="24"/>
    </w:rPr>
  </w:style>
  <w:style w:type="paragraph" w:styleId="1157">
    <w:name w:val="正文文本 3"/>
    <w:basedOn w:val="1126"/>
    <w:next w:val="1157"/>
    <w:link w:val="1158"/>
    <w:qFormat/>
    <w:pPr>
      <w:spacing w:after="120"/>
    </w:pPr>
    <w:rPr>
      <w:sz w:val="16"/>
      <w:szCs w:val="16"/>
    </w:rPr>
  </w:style>
  <w:style w:type="character" w:styleId="1158">
    <w:name w:val="正文文本 3 Char"/>
    <w:next w:val="1158"/>
    <w:link w:val="1157"/>
    <w:qFormat/>
    <w:rPr>
      <w:sz w:val="16"/>
      <w:szCs w:val="16"/>
    </w:rPr>
  </w:style>
  <w:style w:type="paragraph" w:styleId="1159">
    <w:name w:val="正文文本"/>
    <w:basedOn w:val="1126"/>
    <w:next w:val="1126"/>
    <w:link w:val="1160"/>
    <w:qFormat/>
    <w:pPr>
      <w:spacing w:before="120" w:line="22" w:lineRule="atLeast"/>
      <w:tabs>
        <w:tab w:val="left" w:pos="567" w:leader="none"/>
      </w:tabs>
    </w:pPr>
    <w:rPr>
      <w:rFonts w:ascii="宋体" w:hAnsi="宋体"/>
      <w:sz w:val="24"/>
    </w:rPr>
  </w:style>
  <w:style w:type="character" w:styleId="1160">
    <w:name w:val="正文文本 Char"/>
    <w:next w:val="1160"/>
    <w:link w:val="1159"/>
    <w:qFormat/>
    <w:rPr>
      <w:rFonts w:ascii="宋体" w:hAnsi="宋体"/>
      <w:sz w:val="24"/>
      <w:szCs w:val="24"/>
    </w:rPr>
  </w:style>
  <w:style w:type="paragraph" w:styleId="1161">
    <w:name w:val="正文文本缩进"/>
    <w:basedOn w:val="1126"/>
    <w:next w:val="1161"/>
    <w:link w:val="1162"/>
    <w:qFormat/>
    <w:pPr>
      <w:ind w:firstLine="570"/>
      <w:spacing w:line="360" w:lineRule="auto"/>
    </w:pPr>
    <w:rPr>
      <w:sz w:val="24"/>
    </w:rPr>
  </w:style>
  <w:style w:type="character" w:styleId="1162">
    <w:name w:val="正文文本缩进 Char2"/>
    <w:next w:val="1162"/>
    <w:link w:val="1161"/>
    <w:qFormat/>
    <w:rPr>
      <w:rFonts w:eastAsia="宋体"/>
      <w:sz w:val="24"/>
      <w:szCs w:val="24"/>
      <w:lang w:val="en-US" w:eastAsia="zh-CN" w:bidi="ar-SA"/>
    </w:rPr>
  </w:style>
  <w:style w:type="paragraph" w:styleId="1163">
    <w:name w:val="列表 2"/>
    <w:basedOn w:val="1126"/>
    <w:next w:val="1163"/>
    <w:link w:val="1126"/>
    <w:qFormat/>
    <w:pPr>
      <w:ind w:left="100" w:hanging="200"/>
    </w:pPr>
  </w:style>
  <w:style w:type="paragraph" w:styleId="1164">
    <w:name w:val="文本块"/>
    <w:basedOn w:val="1126"/>
    <w:next w:val="1164"/>
    <w:link w:val="1126"/>
    <w:qFormat/>
    <w:pPr>
      <w:ind w:left="480" w:right="-341" w:firstLine="513"/>
      <w:widowControl/>
    </w:pPr>
    <w:rPr>
      <w:sz w:val="24"/>
      <w:szCs w:val="20"/>
    </w:rPr>
  </w:style>
  <w:style w:type="paragraph" w:styleId="1165">
    <w:name w:val="目录 5"/>
    <w:basedOn w:val="1126"/>
    <w:next w:val="1126"/>
    <w:link w:val="1126"/>
    <w:qFormat/>
    <w:pPr>
      <w:ind w:left="1680"/>
    </w:pPr>
  </w:style>
  <w:style w:type="paragraph" w:styleId="1166">
    <w:name w:val="目录 3"/>
    <w:basedOn w:val="1126"/>
    <w:next w:val="1126"/>
    <w:link w:val="1126"/>
    <w:uiPriority w:val="39"/>
    <w:qFormat/>
    <w:pPr>
      <w:ind w:left="840"/>
    </w:pPr>
  </w:style>
  <w:style w:type="paragraph" w:styleId="1167">
    <w:name w:val="纯文本"/>
    <w:basedOn w:val="1126"/>
    <w:next w:val="1141"/>
    <w:link w:val="1168"/>
    <w:qFormat/>
    <w:rPr>
      <w:rFonts w:hint="eastAsia" w:ascii="宋体" w:hAnsi="Courier New"/>
      <w:szCs w:val="20"/>
    </w:rPr>
  </w:style>
  <w:style w:type="character" w:styleId="1168">
    <w:name w:val="纯文本 Char"/>
    <w:next w:val="1168"/>
    <w:link w:val="1167"/>
    <w:qFormat/>
    <w:rPr>
      <w:rFonts w:hint="eastAsia" w:ascii="宋体" w:hAnsi="Courier New" w:eastAsia="宋体" w:cs="宋体"/>
      <w:sz w:val="21"/>
    </w:rPr>
  </w:style>
  <w:style w:type="paragraph" w:styleId="1169">
    <w:name w:val="目录 8"/>
    <w:basedOn w:val="1126"/>
    <w:next w:val="1126"/>
    <w:link w:val="1126"/>
    <w:qFormat/>
    <w:pPr>
      <w:ind w:left="2940"/>
    </w:pPr>
  </w:style>
  <w:style w:type="paragraph" w:styleId="1170">
    <w:name w:val="日期"/>
    <w:basedOn w:val="1126"/>
    <w:next w:val="1126"/>
    <w:link w:val="1171"/>
    <w:qFormat/>
    <w:pPr>
      <w:ind w:left="100"/>
    </w:pPr>
    <w:rPr>
      <w:rFonts w:ascii="仿宋_GB2312" w:hAnsi="宋体" w:eastAsia="仿宋_GB2312"/>
      <w:color w:val="000000"/>
      <w:sz w:val="24"/>
    </w:rPr>
  </w:style>
  <w:style w:type="character" w:styleId="1171">
    <w:name w:val="日期 Char"/>
    <w:next w:val="1171"/>
    <w:link w:val="1170"/>
    <w:qFormat/>
    <w:rPr>
      <w:rFonts w:ascii="仿宋_GB2312" w:hAnsi="宋体" w:eastAsia="仿宋_GB2312"/>
      <w:color w:val="000000"/>
      <w:sz w:val="24"/>
      <w:szCs w:val="24"/>
    </w:rPr>
  </w:style>
  <w:style w:type="paragraph" w:styleId="1172">
    <w:name w:val="正文文本缩进 2"/>
    <w:basedOn w:val="1126"/>
    <w:next w:val="1172"/>
    <w:link w:val="1173"/>
    <w:qFormat/>
    <w:pPr>
      <w:ind w:firstLine="480"/>
    </w:pPr>
    <w:rPr>
      <w:rFonts w:ascii="仿宋_GB2312" w:eastAsia="仿宋_GB2312"/>
      <w:sz w:val="24"/>
    </w:rPr>
  </w:style>
  <w:style w:type="character" w:styleId="1173">
    <w:name w:val="正文文本缩进 2 Char"/>
    <w:next w:val="1173"/>
    <w:link w:val="1172"/>
    <w:qFormat/>
    <w:rPr>
      <w:rFonts w:ascii="仿宋_GB2312" w:eastAsia="仿宋_GB2312"/>
      <w:sz w:val="24"/>
      <w:szCs w:val="24"/>
    </w:rPr>
  </w:style>
  <w:style w:type="paragraph" w:styleId="1174">
    <w:name w:val="批注框文本"/>
    <w:basedOn w:val="1126"/>
    <w:next w:val="1174"/>
    <w:link w:val="1175"/>
    <w:qFormat/>
    <w:rPr>
      <w:sz w:val="18"/>
      <w:szCs w:val="18"/>
    </w:rPr>
  </w:style>
  <w:style w:type="character" w:styleId="1175">
    <w:name w:val="批注框文本 Char"/>
    <w:next w:val="1175"/>
    <w:link w:val="1174"/>
    <w:qFormat/>
    <w:rPr>
      <w:sz w:val="18"/>
      <w:szCs w:val="18"/>
    </w:rPr>
  </w:style>
  <w:style w:type="paragraph" w:styleId="1176">
    <w:name w:val="页脚"/>
    <w:basedOn w:val="1126"/>
    <w:next w:val="1176"/>
    <w:link w:val="1177"/>
    <w:uiPriority w:val="99"/>
    <w:qFormat/>
    <w:pPr>
      <w:jc w:val="left"/>
      <w:tabs>
        <w:tab w:val="center" w:pos="4153" w:leader="none"/>
        <w:tab w:val="right" w:pos="8306" w:leader="none"/>
      </w:tabs>
    </w:pPr>
    <w:rPr>
      <w:rFonts w:ascii="宋体"/>
      <w:sz w:val="18"/>
      <w:szCs w:val="20"/>
    </w:rPr>
  </w:style>
  <w:style w:type="character" w:styleId="1177">
    <w:name w:val="页脚 Char1"/>
    <w:next w:val="1177"/>
    <w:link w:val="1176"/>
    <w:uiPriority w:val="99"/>
    <w:qFormat/>
    <w:rPr>
      <w:rFonts w:ascii="宋体" w:eastAsia="宋体"/>
      <w:sz w:val="18"/>
      <w:lang w:val="en-US" w:eastAsia="zh-CN" w:bidi="ar-SA"/>
    </w:rPr>
  </w:style>
  <w:style w:type="paragraph" w:styleId="1178">
    <w:name w:val="寄信人地址"/>
    <w:basedOn w:val="1126"/>
    <w:next w:val="1178"/>
    <w:link w:val="1126"/>
    <w:qFormat/>
    <w:rPr>
      <w:rFonts w:ascii="Arial" w:hAnsi="Arial"/>
    </w:rPr>
  </w:style>
  <w:style w:type="paragraph" w:styleId="1179">
    <w:name w:val="页眉"/>
    <w:basedOn w:val="1126"/>
    <w:next w:val="1179"/>
    <w:link w:val="1180"/>
    <w:qFormat/>
    <w:pPr>
      <w:jc w:val="center"/>
      <w:tabs>
        <w:tab w:val="center" w:pos="4153" w:leader="none"/>
        <w:tab w:val="right" w:pos="8306" w:leader="none"/>
      </w:tabs>
    </w:pPr>
    <w:rPr>
      <w:sz w:val="18"/>
      <w:szCs w:val="18"/>
    </w:rPr>
  </w:style>
  <w:style w:type="character" w:styleId="1180">
    <w:name w:val="页眉 Char1"/>
    <w:next w:val="1180"/>
    <w:link w:val="1179"/>
    <w:qFormat/>
    <w:rPr>
      <w:sz w:val="18"/>
      <w:szCs w:val="18"/>
    </w:rPr>
  </w:style>
  <w:style w:type="paragraph" w:styleId="1181">
    <w:name w:val="目录 1"/>
    <w:basedOn w:val="1126"/>
    <w:next w:val="1126"/>
    <w:link w:val="1126"/>
    <w:uiPriority w:val="39"/>
    <w:qFormat/>
    <w:pPr>
      <w:spacing w:line="300" w:lineRule="auto"/>
      <w:tabs>
        <w:tab w:val="left" w:pos="1050" w:leader="none"/>
        <w:tab w:val="right" w:pos="8937" w:leader="dot"/>
      </w:tabs>
    </w:pPr>
    <w:rPr>
      <w:rFonts w:ascii="宋体" w:hAnsi="宋体"/>
      <w:b/>
      <w:sz w:val="24"/>
    </w:rPr>
  </w:style>
  <w:style w:type="paragraph" w:styleId="1182">
    <w:name w:val="目录 4"/>
    <w:basedOn w:val="1126"/>
    <w:next w:val="1126"/>
    <w:link w:val="1126"/>
    <w:qFormat/>
    <w:pPr>
      <w:ind w:left="1260"/>
    </w:pPr>
  </w:style>
  <w:style w:type="paragraph" w:styleId="1183">
    <w:name w:val="目录 6"/>
    <w:basedOn w:val="1126"/>
    <w:next w:val="1126"/>
    <w:link w:val="1126"/>
    <w:qFormat/>
    <w:pPr>
      <w:ind w:left="2100"/>
    </w:pPr>
  </w:style>
  <w:style w:type="paragraph" w:styleId="1184">
    <w:name w:val="正文文本缩进 3"/>
    <w:basedOn w:val="1126"/>
    <w:next w:val="1184"/>
    <w:link w:val="1185"/>
    <w:qFormat/>
    <w:pPr>
      <w:ind w:left="720" w:firstLine="480"/>
      <w:jc w:val="left"/>
      <w:spacing w:before="120" w:line="22" w:lineRule="atLeast"/>
    </w:pPr>
    <w:rPr>
      <w:rFonts w:ascii="宋体"/>
      <w:sz w:val="24"/>
      <w:szCs w:val="20"/>
    </w:rPr>
  </w:style>
  <w:style w:type="character" w:styleId="1185">
    <w:name w:val="正文文本缩进 3 Char"/>
    <w:next w:val="1185"/>
    <w:link w:val="1184"/>
    <w:qFormat/>
    <w:rPr>
      <w:rFonts w:ascii="宋体"/>
      <w:sz w:val="24"/>
    </w:rPr>
  </w:style>
  <w:style w:type="paragraph" w:styleId="1186">
    <w:name w:val="目录 2"/>
    <w:basedOn w:val="1126"/>
    <w:next w:val="1126"/>
    <w:link w:val="1126"/>
    <w:uiPriority w:val="39"/>
    <w:qFormat/>
    <w:pPr>
      <w:ind w:left="420"/>
      <w:spacing w:line="312" w:lineRule="auto"/>
      <w:tabs>
        <w:tab w:val="right" w:pos="8937" w:leader="dot"/>
      </w:tabs>
    </w:pPr>
  </w:style>
  <w:style w:type="paragraph" w:styleId="1187">
    <w:name w:val="目录 9"/>
    <w:basedOn w:val="1126"/>
    <w:next w:val="1126"/>
    <w:link w:val="1126"/>
    <w:qFormat/>
    <w:pPr>
      <w:ind w:left="3360"/>
    </w:pPr>
  </w:style>
  <w:style w:type="paragraph" w:styleId="1188">
    <w:name w:val="HTML 预设格式"/>
    <w:basedOn w:val="1126"/>
    <w:next w:val="1188"/>
    <w:link w:val="118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89">
    <w:name w:val="HTML 预设格式 Char"/>
    <w:next w:val="1189"/>
    <w:link w:val="1188"/>
    <w:qFormat/>
    <w:rPr>
      <w:rFonts w:ascii="宋体" w:hAnsi="宋体" w:cs="宋体"/>
      <w:sz w:val="24"/>
      <w:szCs w:val="24"/>
    </w:rPr>
  </w:style>
  <w:style w:type="paragraph" w:styleId="1190">
    <w:name w:val="普通(网站)"/>
    <w:basedOn w:val="1126"/>
    <w:next w:val="1190"/>
    <w:link w:val="1126"/>
    <w:uiPriority w:val="99"/>
    <w:unhideWhenUsed/>
    <w:qFormat/>
    <w:pPr>
      <w:jc w:val="left"/>
      <w:spacing w:before="100" w:beforeAutospacing="1" w:after="100" w:afterAutospacing="1"/>
      <w:widowControl/>
    </w:pPr>
    <w:rPr>
      <w:rFonts w:ascii="宋体" w:hAnsi="宋体" w:cs="宋体"/>
      <w:sz w:val="24"/>
    </w:rPr>
  </w:style>
  <w:style w:type="paragraph" w:styleId="1191">
    <w:name w:val="索引 1"/>
    <w:basedOn w:val="1126"/>
    <w:next w:val="1126"/>
    <w:link w:val="1126"/>
    <w:qFormat/>
    <w:rPr>
      <w:szCs w:val="20"/>
    </w:rPr>
  </w:style>
  <w:style w:type="paragraph" w:styleId="1192">
    <w:name w:val="标题"/>
    <w:basedOn w:val="1126"/>
    <w:next w:val="1192"/>
    <w:link w:val="1193"/>
    <w:qFormat/>
    <w:pPr>
      <w:jc w:val="center"/>
      <w:outlineLvl w:val="0"/>
    </w:pPr>
    <w:rPr>
      <w:b/>
      <w:sz w:val="32"/>
      <w:szCs w:val="20"/>
    </w:rPr>
  </w:style>
  <w:style w:type="character" w:styleId="1193">
    <w:name w:val="标题 Char1"/>
    <w:next w:val="1193"/>
    <w:link w:val="1192"/>
    <w:qFormat/>
    <w:rPr>
      <w:b/>
      <w:sz w:val="32"/>
    </w:rPr>
  </w:style>
  <w:style w:type="paragraph" w:styleId="1194">
    <w:name w:val="批注主题"/>
    <w:basedOn w:val="1155"/>
    <w:next w:val="1155"/>
    <w:link w:val="1195"/>
    <w:qFormat/>
    <w:rPr>
      <w:b/>
      <w:bCs/>
      <w:lang w:val="en-US" w:eastAsia="zh-CN"/>
    </w:rPr>
  </w:style>
  <w:style w:type="character" w:styleId="1195">
    <w:name w:val="批注主题 Char"/>
    <w:next w:val="1195"/>
    <w:link w:val="1194"/>
    <w:qFormat/>
    <w:rPr>
      <w:rFonts w:ascii="Times New Roman" w:hAnsi="Times New Roman" w:eastAsia="宋体" w:cs="Times New Roman"/>
      <w:b/>
      <w:bCs/>
      <w:sz w:val="21"/>
      <w:szCs w:val="24"/>
      <w:lang w:val="en-US" w:eastAsia="zh-CN" w:bidi="ar-SA"/>
    </w:rPr>
  </w:style>
  <w:style w:type="paragraph" w:styleId="1196">
    <w:name w:val="正文首行缩进"/>
    <w:basedOn w:val="1159"/>
    <w:next w:val="1126"/>
    <w:link w:val="1126"/>
    <w:uiPriority w:val="99"/>
    <w:unhideWhenUsed/>
    <w:qFormat/>
    <w:pPr>
      <w:ind w:firstLine="420"/>
      <w:tabs>
        <w:tab w:val="left" w:pos="567" w:leader="none"/>
      </w:tabs>
    </w:pPr>
    <w:rPr>
      <w:rFonts w:ascii="Times New Roman" w:hAnsi="Times New Roman"/>
      <w:sz w:val="21"/>
    </w:rPr>
  </w:style>
  <w:style w:type="paragraph" w:styleId="1197">
    <w:name w:val="正文首行缩进 2"/>
    <w:basedOn w:val="1161"/>
    <w:next w:val="1197"/>
    <w:link w:val="1198"/>
    <w:qFormat/>
    <w:pPr>
      <w:ind w:left="420" w:firstLine="420"/>
      <w:spacing w:after="120" w:line="480" w:lineRule="exact"/>
    </w:pPr>
  </w:style>
  <w:style w:type="character" w:styleId="1198">
    <w:name w:val="正文首行缩进 2 Char"/>
    <w:next w:val="1198"/>
    <w:link w:val="1197"/>
    <w:qFormat/>
    <w:rPr>
      <w:rFonts w:eastAsia="宋体"/>
      <w:sz w:val="24"/>
      <w:szCs w:val="24"/>
      <w:lang w:val="en-US" w:eastAsia="zh-CN" w:bidi="ar-SA"/>
    </w:rPr>
  </w:style>
  <w:style w:type="table" w:styleId="1199">
    <w:name w:val="网格型"/>
    <w:basedOn w:val="1137"/>
    <w:next w:val="1199"/>
    <w:link w:val="1126"/>
    <w:uiPriority w:val="39"/>
    <w:qFormat/>
    <w:tblPr/>
  </w:style>
  <w:style w:type="table" w:styleId="1200">
    <w:name w:val="中等深浅网格 1 - 强调文字颜色 2"/>
    <w:basedOn w:val="1137"/>
    <w:next w:val="1200"/>
    <w:link w:val="1126"/>
    <w:qFormat/>
    <w:rPr>
      <w:sz w:val="21"/>
      <w:szCs w:val="24"/>
    </w:rPr>
    <w:tblPr/>
  </w:style>
  <w:style w:type="character" w:styleId="1201">
    <w:name w:val="要点"/>
    <w:next w:val="1201"/>
    <w:link w:val="1126"/>
    <w:qFormat/>
    <w:rPr>
      <w:b/>
      <w:bCs/>
    </w:rPr>
  </w:style>
  <w:style w:type="character" w:styleId="1202">
    <w:name w:val="页码"/>
    <w:next w:val="1202"/>
    <w:link w:val="1126"/>
    <w:qFormat/>
  </w:style>
  <w:style w:type="character" w:styleId="1203">
    <w:name w:val="已访问的超链接"/>
    <w:next w:val="1203"/>
    <w:link w:val="1126"/>
    <w:qFormat/>
    <w:rPr>
      <w:color w:val="800080"/>
      <w:u w:val="single"/>
    </w:rPr>
  </w:style>
  <w:style w:type="character" w:styleId="1204">
    <w:name w:val="强调"/>
    <w:next w:val="1204"/>
    <w:link w:val="1126"/>
    <w:qFormat/>
    <w:rPr>
      <w:color w:val="cc0033"/>
    </w:rPr>
  </w:style>
  <w:style w:type="character" w:styleId="1205">
    <w:name w:val="超链接"/>
    <w:next w:val="1205"/>
    <w:link w:val="1126"/>
    <w:uiPriority w:val="99"/>
    <w:qFormat/>
    <w:rPr>
      <w:color w:val="0000ff"/>
      <w:u w:val="single"/>
    </w:rPr>
  </w:style>
  <w:style w:type="character" w:styleId="1206">
    <w:name w:val="批注引用"/>
    <w:next w:val="1206"/>
    <w:link w:val="1126"/>
    <w:uiPriority w:val="99"/>
    <w:qFormat/>
    <w:rPr>
      <w:sz w:val="21"/>
      <w:szCs w:val="21"/>
    </w:rPr>
  </w:style>
  <w:style w:type="character" w:styleId="1207">
    <w:name w:val="HTML 引文"/>
    <w:next w:val="1207"/>
    <w:link w:val="1126"/>
    <w:qFormat/>
    <w:rPr>
      <w:i/>
      <w:iCs/>
    </w:rPr>
  </w:style>
  <w:style w:type="paragraph" w:styleId="1208">
    <w:name w:val="标题 31"/>
    <w:basedOn w:val="1126"/>
    <w:next w:val="1126"/>
    <w:link w:val="1126"/>
    <w:qFormat/>
    <w:pPr>
      <w:jc w:val="left"/>
      <w:keepLines/>
      <w:keepNext/>
      <w:spacing w:before="360" w:after="120"/>
      <w:outlineLvl w:val="2"/>
    </w:pPr>
    <w:rPr>
      <w:rFonts w:ascii="宋体"/>
      <w:b/>
      <w:sz w:val="24"/>
      <w:szCs w:val="20"/>
      <w:u w:val="single"/>
    </w:rPr>
  </w:style>
  <w:style w:type="paragraph" w:styleId="1209">
    <w:name w:val="段"/>
    <w:next w:val="1126"/>
    <w:link w:val="1126"/>
    <w:unhideWhenUsed/>
    <w:qFormat/>
    <w:pPr>
      <w:ind w:firstLine="200"/>
      <w:jc w:val="both"/>
      <w:spacing w:line="360" w:lineRule="auto"/>
    </w:pPr>
    <w:rPr>
      <w:rFonts w:hint="eastAsia" w:ascii="宋体"/>
      <w:sz w:val="24"/>
      <w:lang w:val="en-US" w:eastAsia="zh-CN" w:bidi="ar-SA"/>
    </w:rPr>
  </w:style>
  <w:style w:type="paragraph" w:styleId="1210">
    <w:name w:val="Default"/>
    <w:next w:val="1210"/>
    <w:link w:val="1126"/>
    <w:qFormat/>
    <w:pPr>
      <w:widowControl w:val="off"/>
    </w:pPr>
    <w:rPr>
      <w:rFonts w:ascii="Symbol" w:hAnsi="Symbol" w:cs="Symbol"/>
      <w:color w:val="000000"/>
      <w:sz w:val="24"/>
      <w:szCs w:val="24"/>
      <w:lang w:val="en-US" w:eastAsia="zh-CN" w:bidi="ar-SA"/>
    </w:rPr>
  </w:style>
  <w:style w:type="character" w:styleId="1211">
    <w:name w:val="批注文字 字符"/>
    <w:next w:val="1211"/>
    <w:link w:val="1126"/>
    <w:uiPriority w:val="99"/>
    <w:qFormat/>
    <w:rPr>
      <w:rFonts w:ascii="Times New Roman" w:hAnsi="Times New Roman" w:eastAsia="宋体" w:cs="Times New Roman"/>
      <w:sz w:val="24"/>
      <w:lang w:val="en-US" w:eastAsia="zh-CN" w:bidi="ar-SA"/>
    </w:rPr>
  </w:style>
  <w:style w:type="character" w:styleId="1212">
    <w:name w:val="c21"/>
    <w:next w:val="1212"/>
    <w:link w:val="1126"/>
    <w:qFormat/>
    <w:rPr>
      <w:rFonts w:ascii="ˎ̥" w:hAnsi="ˎ̥"/>
      <w:color w:val="000000"/>
      <w:sz w:val="20"/>
      <w:szCs w:val="20"/>
      <w:u w:val="none"/>
    </w:rPr>
  </w:style>
  <w:style w:type="character" w:styleId="1213">
    <w:name w:val="title4"/>
    <w:next w:val="1213"/>
    <w:link w:val="1126"/>
    <w:qFormat/>
    <w:rPr>
      <w:b/>
      <w:bCs/>
      <w:color w:val="1d87b3"/>
      <w:sz w:val="15"/>
      <w:szCs w:val="15"/>
    </w:rPr>
  </w:style>
  <w:style w:type="character" w:styleId="1214">
    <w:name w:val="标题 2 Char Char"/>
    <w:next w:val="1214"/>
    <w:link w:val="1126"/>
    <w:qFormat/>
    <w:rPr>
      <w:rFonts w:ascii="Arial" w:hAnsi="Arial" w:eastAsia="黑体"/>
      <w:b/>
      <w:bCs/>
      <w:sz w:val="32"/>
      <w:szCs w:val="32"/>
      <w:lang w:val="en-US" w:eastAsia="zh-CN" w:bidi="ar-SA"/>
    </w:rPr>
  </w:style>
  <w:style w:type="character" w:styleId="1215">
    <w:name w:val="black1"/>
    <w:next w:val="1215"/>
    <w:link w:val="1126"/>
    <w:qFormat/>
    <w:rPr>
      <w:color w:val="000000"/>
    </w:rPr>
  </w:style>
  <w:style w:type="character" w:styleId="1216">
    <w:name w:val="street-address"/>
    <w:next w:val="1216"/>
    <w:link w:val="1126"/>
    <w:qFormat/>
  </w:style>
  <w:style w:type="character" w:styleId="1217">
    <w:name w:val="locality"/>
    <w:next w:val="1217"/>
    <w:link w:val="1126"/>
    <w:qFormat/>
  </w:style>
  <w:style w:type="character" w:styleId="1218">
    <w:name w:val="正文文本缩进 Char1"/>
    <w:next w:val="1218"/>
    <w:link w:val="1219"/>
    <w:qFormat/>
    <w:rPr>
      <w:rFonts w:ascii="宋体" w:hAnsi="宋体" w:eastAsia="宋体"/>
      <w:sz w:val="24"/>
      <w:szCs w:val="24"/>
      <w:lang w:bidi="ar-SA"/>
    </w:rPr>
  </w:style>
  <w:style w:type="paragraph" w:styleId="1219">
    <w:name w:val="正文文本缩进1"/>
    <w:basedOn w:val="1126"/>
    <w:next w:val="1219"/>
    <w:link w:val="1218"/>
    <w:qFormat/>
    <w:pPr>
      <w:ind w:firstLine="480"/>
      <w:spacing w:line="480" w:lineRule="exact"/>
    </w:pPr>
    <w:rPr>
      <w:rFonts w:ascii="宋体" w:hAnsi="宋体"/>
      <w:sz w:val="24"/>
    </w:rPr>
  </w:style>
  <w:style w:type="character" w:styleId="1220">
    <w:name w:val="Char Char11"/>
    <w:next w:val="1220"/>
    <w:link w:val="1126"/>
    <w:qFormat/>
    <w:rPr>
      <w:rFonts w:ascii="宋体" w:eastAsia="宋体"/>
      <w:b/>
      <w:sz w:val="24"/>
      <w:u w:val="single"/>
      <w:lang w:val="en-US" w:eastAsia="zh-CN" w:bidi="ar-SA"/>
    </w:rPr>
  </w:style>
  <w:style w:type="character" w:styleId="1221">
    <w:name w:val="txt"/>
    <w:next w:val="1221"/>
    <w:link w:val="1126"/>
    <w:qFormat/>
  </w:style>
  <w:style w:type="character" w:styleId="1222">
    <w:name w:val="正文缩进 Char Char"/>
    <w:next w:val="1222"/>
    <w:link w:val="1223"/>
    <w:qFormat/>
    <w:rPr>
      <w:rFonts w:ascii="宋体" w:eastAsia="宋体"/>
      <w:color w:val="000000"/>
      <w:sz w:val="28"/>
      <w:lang w:bidi="ar-SA"/>
    </w:rPr>
  </w:style>
  <w:style w:type="paragraph" w:styleId="1223">
    <w:name w:val="正文缩进1"/>
    <w:basedOn w:val="1126"/>
    <w:next w:val="1223"/>
    <w:link w:val="1222"/>
    <w:qFormat/>
    <w:pPr>
      <w:ind w:firstLine="567"/>
      <w:spacing w:line="480" w:lineRule="exact"/>
      <w:widowControl/>
    </w:pPr>
    <w:rPr>
      <w:rFonts w:ascii="宋体"/>
      <w:color w:val="000000"/>
      <w:sz w:val="28"/>
      <w:szCs w:val="20"/>
    </w:rPr>
  </w:style>
  <w:style w:type="character" w:styleId="1224">
    <w:name w:val="普通文字1 Char1"/>
    <w:next w:val="1224"/>
    <w:link w:val="1126"/>
    <w:qFormat/>
    <w:rPr>
      <w:rFonts w:ascii="宋体" w:hAnsi="Courier New" w:eastAsia="宋体"/>
      <w:sz w:val="21"/>
      <w:lang w:val="en-US" w:eastAsia="zh-CN" w:bidi="ar-SA"/>
    </w:rPr>
  </w:style>
  <w:style w:type="character" w:styleId="1225">
    <w:name w:val="chanpin1"/>
    <w:next w:val="1225"/>
    <w:link w:val="1126"/>
    <w:qFormat/>
    <w:rPr>
      <w:rFonts w:ascii="ˎ̥" w:hAnsi="ˎ̥"/>
      <w:color w:val="000000"/>
      <w:sz w:val="20"/>
      <w:szCs w:val="20"/>
      <w:u w:val="none"/>
    </w:rPr>
  </w:style>
  <w:style w:type="character" w:styleId="1226">
    <w:name w:val="列出段落 Char1"/>
    <w:next w:val="1226"/>
    <w:link w:val="1227"/>
    <w:uiPriority w:val="34"/>
    <w:qFormat/>
    <w:rPr>
      <w:rFonts w:ascii="Calibri" w:hAnsi="Calibri" w:eastAsia="宋体"/>
      <w:sz w:val="21"/>
      <w:szCs w:val="22"/>
      <w:lang w:val="en-US" w:eastAsia="zh-CN" w:bidi="ar-SA"/>
    </w:rPr>
  </w:style>
  <w:style w:type="paragraph" w:styleId="1227">
    <w:name w:val="列出段落"/>
    <w:basedOn w:val="1126"/>
    <w:next w:val="1227"/>
    <w:link w:val="1226"/>
    <w:uiPriority w:val="34"/>
    <w:qFormat/>
    <w:pPr>
      <w:ind w:firstLine="420"/>
    </w:pPr>
    <w:rPr>
      <w:rFonts w:ascii="Calibri" w:hAnsi="Calibri"/>
      <w:szCs w:val="22"/>
    </w:rPr>
  </w:style>
  <w:style w:type="character" w:styleId="1228">
    <w:name w:val="标题 3 Char Char"/>
    <w:next w:val="1228"/>
    <w:link w:val="1126"/>
    <w:qFormat/>
    <w:rPr>
      <w:rFonts w:eastAsia="宋体"/>
      <w:b/>
      <w:bCs/>
      <w:sz w:val="32"/>
      <w:szCs w:val="32"/>
      <w:lang w:val="en-US" w:eastAsia="zh-CN" w:bidi="ar-SA"/>
    </w:rPr>
  </w:style>
  <w:style w:type="character" w:styleId="1229">
    <w:name w:val="段1 Char"/>
    <w:next w:val="1229"/>
    <w:link w:val="1126"/>
    <w:qFormat/>
    <w:rPr>
      <w:rFonts w:ascii="宋体" w:eastAsia="宋体"/>
      <w:sz w:val="24"/>
      <w:lang w:val="en-US" w:eastAsia="zh-CN" w:bidi="ar-SA"/>
    </w:rPr>
  </w:style>
  <w:style w:type="character" w:styleId="1230">
    <w:name w:val="chanpin拷贝"/>
    <w:next w:val="1230"/>
    <w:link w:val="1126"/>
    <w:qFormat/>
  </w:style>
  <w:style w:type="character" w:styleId="1231">
    <w:name w:val="纯文本 Char1"/>
    <w:next w:val="1231"/>
    <w:link w:val="1126"/>
    <w:qFormat/>
    <w:rPr>
      <w:rFonts w:ascii="宋体" w:hAnsi="Courier New" w:eastAsia="宋体"/>
      <w:sz w:val="21"/>
      <w:lang w:val="en-US" w:eastAsia="zh-CN" w:bidi="ar-SA"/>
    </w:rPr>
  </w:style>
  <w:style w:type="character" w:styleId="1232">
    <w:name w:val="apple-style-span"/>
    <w:next w:val="1232"/>
    <w:link w:val="1126"/>
    <w:qFormat/>
    <w:rPr>
      <w:rFonts w:cs="Times New Roman"/>
    </w:rPr>
  </w:style>
  <w:style w:type="paragraph" w:styleId="1233">
    <w:name w:val="二级条标题"/>
    <w:basedOn w:val="1234"/>
    <w:next w:val="1126"/>
    <w:link w:val="1126"/>
    <w:qFormat/>
    <w:pPr>
      <w:numPr>
        <w:ilvl w:val="0"/>
        <w:numId w:val="0"/>
      </w:numPr>
      <w:ind w:hanging="840"/>
      <w:tabs>
        <w:tab w:val="left" w:pos="360" w:leader="none"/>
        <w:tab w:val="left" w:pos="840" w:leader="none"/>
      </w:tabs>
      <w:outlineLvl w:val="2"/>
    </w:pPr>
    <w:rPr>
      <w:rFonts w:ascii="宋体" w:eastAsia="宋体"/>
      <w:b w:val="0"/>
    </w:rPr>
  </w:style>
  <w:style w:type="paragraph" w:styleId="1234">
    <w:name w:val="一级条标题"/>
    <w:basedOn w:val="1235"/>
    <w:next w:val="1126"/>
    <w:link w:val="1126"/>
    <w:qFormat/>
    <w:pPr>
      <w:numPr>
        <w:ilvl w:val="1"/>
      </w:numPr>
      <w:ind w:left="0" w:hanging="840"/>
      <w:tabs>
        <w:tab w:val="left" w:pos="360" w:leader="none"/>
        <w:tab w:val="left" w:pos="840" w:leader="none"/>
      </w:tabs>
      <w:outlineLvl w:val="1"/>
    </w:pPr>
  </w:style>
  <w:style w:type="paragraph" w:styleId="1235">
    <w:name w:val="章标题"/>
    <w:next w:val="1126"/>
    <w:link w:val="112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36">
    <w:name w:val="font7"/>
    <w:basedOn w:val="1126"/>
    <w:next w:val="1236"/>
    <w:link w:val="1126"/>
    <w:qFormat/>
    <w:pPr>
      <w:jc w:val="left"/>
      <w:spacing w:before="100" w:beforeAutospacing="1" w:after="100" w:afterAutospacing="1"/>
      <w:widowControl/>
    </w:pPr>
    <w:rPr>
      <w:rFonts w:eastAsia="Arial Unicode MS"/>
      <w:b/>
      <w:bCs/>
      <w:color w:val="000000"/>
      <w:sz w:val="20"/>
      <w:szCs w:val="20"/>
    </w:rPr>
  </w:style>
  <w:style w:type="paragraph" w:styleId="1237">
    <w:name w:val="字元 字元"/>
    <w:basedOn w:val="1126"/>
    <w:next w:val="1237"/>
    <w:link w:val="1126"/>
    <w:qFormat/>
    <w:rPr>
      <w:rFonts w:ascii="Tahoma" w:hAnsi="Tahoma"/>
      <w:sz w:val="24"/>
      <w:szCs w:val="20"/>
    </w:rPr>
  </w:style>
  <w:style w:type="paragraph" w:styleId="1238">
    <w:name w:val="Char3 Char Char Char"/>
    <w:basedOn w:val="1126"/>
    <w:next w:val="1238"/>
    <w:link w:val="1126"/>
    <w:qFormat/>
    <w:rPr>
      <w:rFonts w:ascii="Tahoma" w:hAnsi="Tahoma"/>
      <w:sz w:val="24"/>
      <w:szCs w:val="20"/>
    </w:rPr>
  </w:style>
  <w:style w:type="paragraph" w:styleId="1239">
    <w:name w:val="font6"/>
    <w:basedOn w:val="1126"/>
    <w:next w:val="1239"/>
    <w:link w:val="1126"/>
    <w:qFormat/>
    <w:pPr>
      <w:jc w:val="left"/>
      <w:spacing w:before="100" w:beforeAutospacing="1" w:after="100" w:afterAutospacing="1"/>
      <w:widowControl/>
    </w:pPr>
    <w:rPr>
      <w:rFonts w:ascii="宋体" w:hAnsi="宋体" w:cs="宋体"/>
      <w:sz w:val="20"/>
      <w:szCs w:val="20"/>
    </w:rPr>
  </w:style>
  <w:style w:type="paragraph" w:styleId="1240">
    <w:name w:val="项目编号2"/>
    <w:basedOn w:val="1241"/>
    <w:next w:val="1240"/>
    <w:link w:val="1126"/>
    <w:qFormat/>
    <w:pPr>
      <w:numPr>
        <w:numId w:val="3"/>
      </w:numPr>
    </w:pPr>
  </w:style>
  <w:style w:type="paragraph" w:styleId="1241">
    <w:name w:val="项目编号1"/>
    <w:basedOn w:val="1126"/>
    <w:next w:val="1241"/>
    <w:link w:val="1126"/>
    <w:qFormat/>
    <w:pPr>
      <w:numPr>
        <w:ilvl w:val="0"/>
        <w:numId w:val="2"/>
      </w:numPr>
      <w:spacing w:before="100" w:beforeAutospacing="1" w:after="100" w:afterAutospacing="1" w:line="360" w:lineRule="auto"/>
    </w:pPr>
    <w:rPr>
      <w:sz w:val="24"/>
    </w:rPr>
  </w:style>
  <w:style w:type="paragraph" w:styleId="1242">
    <w:name w:val="图中文字"/>
    <w:basedOn w:val="1126"/>
    <w:next w:val="1242"/>
    <w:link w:val="1126"/>
    <w:qFormat/>
    <w:pPr>
      <w:jc w:val="center"/>
      <w:spacing w:line="0" w:lineRule="atLeast"/>
    </w:pPr>
    <w:rPr>
      <w:sz w:val="24"/>
      <w:szCs w:val="20"/>
    </w:rPr>
  </w:style>
  <w:style w:type="paragraph" w:styleId="1243">
    <w:name w:val="xl46"/>
    <w:basedOn w:val="1126"/>
    <w:next w:val="1243"/>
    <w:link w:val="112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4">
    <w:name w:val="xl25"/>
    <w:basedOn w:val="1126"/>
    <w:next w:val="1244"/>
    <w:link w:val="11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Char2"/>
    <w:basedOn w:val="1126"/>
    <w:next w:val="1245"/>
    <w:link w:val="1126"/>
    <w:qFormat/>
    <w:rPr>
      <w:rFonts w:ascii="Tahoma" w:hAnsi="Tahoma"/>
      <w:sz w:val="24"/>
      <w:szCs w:val="20"/>
    </w:rPr>
  </w:style>
  <w:style w:type="paragraph" w:styleId="1246">
    <w:name w:val="xl35"/>
    <w:basedOn w:val="1126"/>
    <w:next w:val="1246"/>
    <w:link w:val="11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7">
    <w:name w:val="xl40"/>
    <w:basedOn w:val="1126"/>
    <w:next w:val="1247"/>
    <w:link w:val="11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8">
    <w:name w:val="xl52"/>
    <w:basedOn w:val="1126"/>
    <w:next w:val="1248"/>
    <w:link w:val="11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9">
    <w:name w:val="xl43"/>
    <w:basedOn w:val="1126"/>
    <w:next w:val="1249"/>
    <w:link w:val="11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0">
    <w:name w:val="background1"/>
    <w:basedOn w:val="1126"/>
    <w:next w:val="1250"/>
    <w:link w:val="1126"/>
    <w:qFormat/>
    <w:pPr>
      <w:jc w:val="left"/>
      <w:spacing w:before="100" w:beforeAutospacing="1" w:after="100" w:afterAutospacing="1"/>
      <w:widowControl/>
    </w:pPr>
    <w:rPr>
      <w:rFonts w:ascii="宋体" w:hAnsi="宋体" w:cs="宋体"/>
      <w:sz w:val="24"/>
    </w:rPr>
  </w:style>
  <w:style w:type="paragraph" w:styleId="1251">
    <w:name w:val="Char Char Char Char Char Char Char"/>
    <w:basedOn w:val="1126"/>
    <w:next w:val="1251"/>
    <w:link w:val="1126"/>
    <w:qFormat/>
    <w:pPr>
      <w:ind w:firstLine="200"/>
      <w:spacing w:line="360" w:lineRule="auto"/>
    </w:pPr>
    <w:rPr>
      <w:rFonts w:eastAsia="仿宋_GB2312"/>
      <w:sz w:val="24"/>
    </w:rPr>
  </w:style>
  <w:style w:type="paragraph" w:styleId="1252">
    <w:name w:val="xl38"/>
    <w:basedOn w:val="1126"/>
    <w:next w:val="1252"/>
    <w:link w:val="11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53">
    <w:name w:val="xl36"/>
    <w:basedOn w:val="1126"/>
    <w:next w:val="1253"/>
    <w:link w:val="112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4">
    <w:name w:val="正文 + 宋体"/>
    <w:basedOn w:val="1126"/>
    <w:next w:val="1254"/>
    <w:link w:val="1126"/>
    <w:qFormat/>
    <w:pPr>
      <w:ind w:left="360" w:hanging="360"/>
      <w:jc w:val="left"/>
      <w:widowControl/>
    </w:pPr>
    <w:rPr>
      <w:rFonts w:ascii="宋体" w:hAnsi="宋体" w:cs="宋体"/>
      <w:b/>
      <w:bCs/>
      <w:color w:val="000000"/>
      <w:sz w:val="18"/>
      <w:szCs w:val="18"/>
    </w:rPr>
  </w:style>
  <w:style w:type="paragraph" w:styleId="1255">
    <w:name w:val="正文列项_数字"/>
    <w:basedOn w:val="1126"/>
    <w:next w:val="1255"/>
    <w:link w:val="1126"/>
    <w:qFormat/>
    <w:pPr>
      <w:numPr>
        <w:ilvl w:val="7"/>
        <w:numId w:val="1"/>
      </w:numPr>
      <w:ind w:left="680" w:hanging="150"/>
      <w:spacing w:line="460" w:lineRule="exact"/>
      <w:tabs>
        <w:tab w:val="clear" w:pos="860" w:leader="none"/>
      </w:tabs>
      <w:outlineLvl w:val="7"/>
    </w:pPr>
    <w:rPr>
      <w:rFonts w:ascii="宋体"/>
      <w:sz w:val="28"/>
      <w:szCs w:val="20"/>
    </w:rPr>
  </w:style>
  <w:style w:type="paragraph" w:styleId="1256">
    <w:name w:val="xl39"/>
    <w:basedOn w:val="1126"/>
    <w:next w:val="1256"/>
    <w:link w:val="11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7">
    <w:name w:val="xl37"/>
    <w:basedOn w:val="1126"/>
    <w:next w:val="1257"/>
    <w:link w:val="11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8">
    <w:name w:val="xl32"/>
    <w:basedOn w:val="1126"/>
    <w:next w:val="1258"/>
    <w:link w:val="11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9">
    <w:name w:val="font8"/>
    <w:basedOn w:val="1126"/>
    <w:next w:val="1259"/>
    <w:link w:val="1126"/>
    <w:qFormat/>
    <w:pPr>
      <w:jc w:val="left"/>
      <w:spacing w:before="100" w:beforeAutospacing="1" w:after="100" w:afterAutospacing="1"/>
      <w:widowControl/>
    </w:pPr>
    <w:rPr>
      <w:sz w:val="36"/>
      <w:szCs w:val="36"/>
    </w:rPr>
  </w:style>
  <w:style w:type="paragraph" w:styleId="1260">
    <w:name w:val="Char"/>
    <w:basedOn w:val="1126"/>
    <w:next w:val="1260"/>
    <w:link w:val="1126"/>
    <w:qFormat/>
    <w:pPr>
      <w:tabs>
        <w:tab w:val="left" w:pos="360" w:leader="none"/>
      </w:tabs>
    </w:pPr>
    <w:rPr>
      <w:sz w:val="24"/>
    </w:rPr>
  </w:style>
  <w:style w:type="paragraph" w:styleId="1261">
    <w:name w:val="Char Char Char Char Char Char Char Char Char Char Char Char Char Char Char Char"/>
    <w:basedOn w:val="1126"/>
    <w:next w:val="1261"/>
    <w:link w:val="1126"/>
    <w:qFormat/>
    <w:pPr>
      <w:jc w:val="center"/>
      <w:spacing w:after="160" w:line="240" w:lineRule="exact"/>
      <w:widowControl/>
    </w:pPr>
    <w:rPr>
      <w:rFonts w:ascii="宋体" w:hAnsi="宋体"/>
      <w:b/>
      <w:sz w:val="30"/>
      <w:szCs w:val="30"/>
      <w:lang w:eastAsia="en-US"/>
    </w:rPr>
  </w:style>
  <w:style w:type="paragraph" w:styleId="1262">
    <w:name w:val="xl45"/>
    <w:basedOn w:val="1126"/>
    <w:next w:val="1262"/>
    <w:link w:val="11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3">
    <w:name w:val="Char Char1 Char Char Char Char Char Char"/>
    <w:basedOn w:val="1126"/>
    <w:next w:val="1263"/>
    <w:link w:val="1126"/>
    <w:qFormat/>
    <w:pPr>
      <w:jc w:val="left"/>
      <w:spacing w:after="160" w:line="240" w:lineRule="exact"/>
      <w:widowControl/>
    </w:pPr>
    <w:rPr>
      <w:rFonts w:ascii="Verdana" w:hAnsi="Verdana" w:eastAsia="仿宋_GB2312"/>
      <w:sz w:val="24"/>
      <w:szCs w:val="20"/>
      <w:lang w:eastAsia="en-US"/>
    </w:rPr>
  </w:style>
  <w:style w:type="paragraph" w:styleId="1264">
    <w:name w:val="Char Char1"/>
    <w:basedOn w:val="1153"/>
    <w:next w:val="1264"/>
    <w:link w:val="1126"/>
    <w:qFormat/>
    <w:rPr>
      <w:rFonts w:ascii="Tahoma" w:hAnsi="Tahoma"/>
      <w:sz w:val="24"/>
    </w:rPr>
  </w:style>
  <w:style w:type="paragraph" w:styleId="1265">
    <w:name w:val="xl26"/>
    <w:basedOn w:val="1126"/>
    <w:next w:val="1265"/>
    <w:link w:val="11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66">
    <w:name w:val="xl30"/>
    <w:basedOn w:val="1126"/>
    <w:next w:val="1266"/>
    <w:link w:val="11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7">
    <w:name w:val="xl41"/>
    <w:basedOn w:val="1126"/>
    <w:next w:val="1267"/>
    <w:link w:val="11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8">
    <w:name w:val="样式 宋体 五号 行距: 单倍行距"/>
    <w:basedOn w:val="1126"/>
    <w:next w:val="1268"/>
    <w:link w:val="1126"/>
    <w:qFormat/>
    <w:pPr>
      <w:jc w:val="left"/>
    </w:pPr>
    <w:rPr>
      <w:rFonts w:ascii="宋体" w:hAnsi="宋体"/>
      <w:szCs w:val="20"/>
    </w:rPr>
  </w:style>
  <w:style w:type="paragraph" w:styleId="1269">
    <w:name w:val="Char1 Char Char Char1"/>
    <w:basedOn w:val="1126"/>
    <w:next w:val="1269"/>
    <w:link w:val="1126"/>
    <w:qFormat/>
    <w:rPr>
      <w:rFonts w:ascii="Tahoma" w:hAnsi="Tahoma" w:cs="仿宋_GB2312"/>
      <w:sz w:val="24"/>
      <w:szCs w:val="28"/>
    </w:rPr>
  </w:style>
  <w:style w:type="paragraph" w:styleId="1270">
    <w:name w:val="四级条标题"/>
    <w:basedOn w:val="1271"/>
    <w:next w:val="1126"/>
    <w:link w:val="1126"/>
    <w:qFormat/>
    <w:pPr>
      <w:numPr>
        <w:ilvl w:val="4"/>
      </w:numPr>
      <w:ind w:left="0" w:hanging="840"/>
      <w:tabs>
        <w:tab w:val="left" w:pos="360" w:leader="none"/>
        <w:tab w:val="left" w:pos="840" w:leader="none"/>
      </w:tabs>
      <w:outlineLvl w:val="4"/>
    </w:pPr>
  </w:style>
  <w:style w:type="paragraph" w:styleId="1271">
    <w:name w:val="三级条标题"/>
    <w:basedOn w:val="1233"/>
    <w:next w:val="1126"/>
    <w:link w:val="1126"/>
    <w:qFormat/>
    <w:pPr>
      <w:numPr>
        <w:ilvl w:val="3"/>
        <w:numId w:val="1"/>
      </w:numPr>
      <w:ind w:left="0" w:hanging="840"/>
      <w:tabs>
        <w:tab w:val="left" w:pos="360" w:leader="none"/>
        <w:tab w:val="left" w:pos="840" w:leader="none"/>
      </w:tabs>
      <w:outlineLvl w:val="3"/>
    </w:pPr>
  </w:style>
  <w:style w:type="paragraph" w:styleId="1272">
    <w:name w:val="??"/>
    <w:next w:val="1272"/>
    <w:link w:val="1126"/>
    <w:qFormat/>
    <w:pPr>
      <w:jc w:val="both"/>
      <w:widowControl w:val="off"/>
    </w:pPr>
    <w:rPr>
      <w:sz w:val="21"/>
      <w:lang w:val="en-US" w:eastAsia="en-US" w:bidi="ar-SA"/>
    </w:rPr>
  </w:style>
  <w:style w:type="paragraph" w:styleId="1273">
    <w:name w:val="样式 标题 2 + 宋体 五号 行距: 单倍行距"/>
    <w:basedOn w:val="1128"/>
    <w:next w:val="1273"/>
    <w:link w:val="112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74">
    <w:name w:val="List Paragraph1"/>
    <w:basedOn w:val="1126"/>
    <w:next w:val="1274"/>
    <w:link w:val="1126"/>
    <w:qFormat/>
    <w:pPr>
      <w:ind w:firstLine="420"/>
    </w:pPr>
    <w:rPr>
      <w:rFonts w:ascii="Calibri" w:hAnsi="Calibri"/>
      <w:szCs w:val="22"/>
    </w:rPr>
  </w:style>
  <w:style w:type="paragraph" w:styleId="1275">
    <w:name w:val="项目符号1"/>
    <w:basedOn w:val="1276"/>
    <w:next w:val="1275"/>
    <w:link w:val="1126"/>
    <w:qFormat/>
    <w:pPr>
      <w:ind w:left="-25" w:firstLine="0"/>
    </w:pPr>
  </w:style>
  <w:style w:type="paragraph" w:styleId="1276">
    <w:name w:val="正文文本样式"/>
    <w:basedOn w:val="1126"/>
    <w:next w:val="1276"/>
    <w:link w:val="1126"/>
    <w:qFormat/>
    <w:pPr>
      <w:ind w:firstLine="482"/>
      <w:spacing w:line="360" w:lineRule="auto"/>
    </w:pPr>
    <w:rPr>
      <w:rFonts w:cs="宋体"/>
      <w:sz w:val="24"/>
      <w:szCs w:val="20"/>
    </w:rPr>
  </w:style>
  <w:style w:type="paragraph" w:styleId="1277">
    <w:name w:val="xl27"/>
    <w:basedOn w:val="1126"/>
    <w:next w:val="1277"/>
    <w:link w:val="11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8">
    <w:name w:val="font5"/>
    <w:basedOn w:val="1126"/>
    <w:next w:val="1278"/>
    <w:link w:val="1126"/>
    <w:qFormat/>
    <w:pPr>
      <w:jc w:val="left"/>
      <w:spacing w:before="100" w:beforeAutospacing="1" w:after="100" w:afterAutospacing="1"/>
      <w:widowControl/>
    </w:pPr>
    <w:rPr>
      <w:rFonts w:ascii="宋体" w:hAnsi="宋体" w:cs="宋体"/>
      <w:sz w:val="18"/>
      <w:szCs w:val="18"/>
    </w:rPr>
  </w:style>
  <w:style w:type="paragraph" w:styleId="1279">
    <w:name w:val="五级条标题"/>
    <w:basedOn w:val="1270"/>
    <w:next w:val="1126"/>
    <w:link w:val="1126"/>
    <w:qFormat/>
    <w:pPr>
      <w:numPr>
        <w:ilvl w:val="5"/>
      </w:numPr>
      <w:ind w:left="0" w:hanging="840"/>
      <w:tabs>
        <w:tab w:val="left" w:pos="360" w:leader="none"/>
        <w:tab w:val="left" w:pos="840" w:leader="none"/>
      </w:tabs>
      <w:outlineLvl w:val="5"/>
    </w:pPr>
  </w:style>
  <w:style w:type="paragraph" w:styleId="1280">
    <w:name w:val="xl49"/>
    <w:basedOn w:val="1126"/>
    <w:next w:val="1280"/>
    <w:link w:val="11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81">
    <w:name w:val="文档正文"/>
    <w:basedOn w:val="1126"/>
    <w:next w:val="1281"/>
    <w:link w:val="1126"/>
    <w:qFormat/>
    <w:pPr>
      <w:spacing w:before="120" w:after="120" w:line="180" w:lineRule="auto"/>
    </w:pPr>
    <w:rPr>
      <w:rFonts w:ascii="Arial" w:hAnsi="Arial"/>
      <w:szCs w:val="20"/>
    </w:rPr>
  </w:style>
  <w:style w:type="paragraph" w:styleId="1282">
    <w:name w:val="xl33"/>
    <w:basedOn w:val="1126"/>
    <w:next w:val="1282"/>
    <w:link w:val="11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3">
    <w:name w:val="xl42"/>
    <w:basedOn w:val="1126"/>
    <w:next w:val="1283"/>
    <w:link w:val="11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84">
    <w:name w:val="Char Char Char1 Char"/>
    <w:basedOn w:val="1126"/>
    <w:next w:val="1284"/>
    <w:link w:val="1126"/>
    <w:qFormat/>
    <w:rPr>
      <w:rFonts w:ascii="Tahoma" w:hAnsi="Tahoma"/>
      <w:sz w:val="24"/>
      <w:szCs w:val="20"/>
    </w:rPr>
  </w:style>
  <w:style w:type="paragraph" w:styleId="1285">
    <w:name w:val="xl44"/>
    <w:basedOn w:val="1126"/>
    <w:next w:val="1285"/>
    <w:link w:val="11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6">
    <w:name w:val="1名"/>
    <w:basedOn w:val="1126"/>
    <w:next w:val="1286"/>
    <w:link w:val="1126"/>
    <w:qFormat/>
    <w:pPr>
      <w:numPr>
        <w:ilvl w:val="0"/>
        <w:numId w:val="5"/>
      </w:numPr>
      <w:spacing w:before="120"/>
      <w:tabs>
        <w:tab w:val="left" w:pos="360" w:leader="none"/>
      </w:tabs>
    </w:pPr>
    <w:rPr>
      <w:rFonts w:ascii="宋体"/>
      <w:sz w:val="28"/>
      <w:szCs w:val="20"/>
    </w:rPr>
  </w:style>
  <w:style w:type="paragraph" w:styleId="1287">
    <w:name w:val="font9"/>
    <w:basedOn w:val="1126"/>
    <w:next w:val="1287"/>
    <w:link w:val="1126"/>
    <w:qFormat/>
    <w:pPr>
      <w:jc w:val="left"/>
      <w:spacing w:before="100" w:beforeAutospacing="1" w:after="100" w:afterAutospacing="1"/>
      <w:widowControl/>
    </w:pPr>
    <w:rPr>
      <w:rFonts w:hint="eastAsia" w:ascii="宋体" w:hAnsi="宋体" w:cs="Arial Unicode MS"/>
      <w:color w:val="000000"/>
      <w:sz w:val="20"/>
      <w:szCs w:val="20"/>
    </w:rPr>
  </w:style>
  <w:style w:type="paragraph" w:styleId="1288">
    <w:name w:val="Char Char Char1 Char1"/>
    <w:basedOn w:val="1126"/>
    <w:next w:val="1288"/>
    <w:link w:val="1126"/>
    <w:qFormat/>
    <w:rPr>
      <w:rFonts w:ascii="Tahoma" w:hAnsi="Tahoma"/>
      <w:sz w:val="24"/>
      <w:szCs w:val="20"/>
    </w:rPr>
  </w:style>
  <w:style w:type="paragraph" w:styleId="1289">
    <w:name w:val="Char Char Char Char Char Char Char Char Char Char"/>
    <w:basedOn w:val="1126"/>
    <w:next w:val="1289"/>
    <w:link w:val="1126"/>
    <w:qFormat/>
  </w:style>
  <w:style w:type="paragraph" w:styleId="1290">
    <w:name w:val="Char Char1 Char Char Char Char Char Char Char Char"/>
    <w:basedOn w:val="1126"/>
    <w:next w:val="1290"/>
    <w:link w:val="1126"/>
    <w:qFormat/>
    <w:pPr>
      <w:jc w:val="left"/>
      <w:spacing w:after="160" w:line="240" w:lineRule="exact"/>
      <w:widowControl/>
    </w:pPr>
    <w:rPr>
      <w:rFonts w:ascii="Verdana" w:hAnsi="Verdana"/>
      <w:sz w:val="20"/>
      <w:szCs w:val="20"/>
      <w:lang w:eastAsia="en-US"/>
    </w:rPr>
  </w:style>
  <w:style w:type="paragraph" w:styleId="1291">
    <w:name w:val="Char1"/>
    <w:basedOn w:val="1126"/>
    <w:next w:val="1291"/>
    <w:link w:val="1126"/>
    <w:qFormat/>
    <w:pPr>
      <w:tabs>
        <w:tab w:val="left" w:pos="360" w:leader="none"/>
      </w:tabs>
    </w:pPr>
    <w:rPr>
      <w:sz w:val="24"/>
    </w:rPr>
  </w:style>
  <w:style w:type="paragraph" w:styleId="1292">
    <w:name w:val="正文列项_字母"/>
    <w:basedOn w:val="1126"/>
    <w:next w:val="1292"/>
    <w:link w:val="1126"/>
    <w:qFormat/>
    <w:pPr>
      <w:numPr>
        <w:ilvl w:val="6"/>
        <w:numId w:val="1"/>
      </w:numPr>
      <w:ind w:left="480" w:hanging="180"/>
      <w:spacing w:line="460" w:lineRule="exact"/>
      <w:tabs>
        <w:tab w:val="clear" w:pos="635" w:leader="none"/>
      </w:tabs>
      <w:outlineLvl w:val="6"/>
    </w:pPr>
    <w:rPr>
      <w:rFonts w:ascii="宋体"/>
      <w:sz w:val="28"/>
      <w:szCs w:val="20"/>
    </w:rPr>
  </w:style>
  <w:style w:type="paragraph" w:styleId="1293">
    <w:name w:val="xl28"/>
    <w:basedOn w:val="1126"/>
    <w:next w:val="1293"/>
    <w:link w:val="11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4">
    <w:name w:val="xl47"/>
    <w:basedOn w:val="1126"/>
    <w:next w:val="1294"/>
    <w:link w:val="11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5">
    <w:name w:val="默认段落字体 Para Char Char Char Char"/>
    <w:basedOn w:val="1126"/>
    <w:next w:val="1295"/>
    <w:link w:val="1126"/>
    <w:qFormat/>
    <w:rPr>
      <w:rFonts w:ascii="Arial" w:hAnsi="Arial" w:cs="Arial"/>
      <w:szCs w:val="21"/>
    </w:rPr>
  </w:style>
  <w:style w:type="paragraph" w:styleId="1296">
    <w:name w:val="xl48"/>
    <w:basedOn w:val="1126"/>
    <w:next w:val="1296"/>
    <w:link w:val="11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97">
    <w:name w:val="xl31"/>
    <w:basedOn w:val="1126"/>
    <w:next w:val="1297"/>
    <w:link w:val="11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8">
    <w:name w:val="xl53"/>
    <w:basedOn w:val="1126"/>
    <w:next w:val="1298"/>
    <w:link w:val="11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9">
    <w:name w:val="Char Char Char"/>
    <w:basedOn w:val="1126"/>
    <w:next w:val="1299"/>
    <w:link w:val="1126"/>
    <w:qFormat/>
    <w:rPr>
      <w:rFonts w:ascii="Tahoma" w:hAnsi="Tahoma"/>
      <w:sz w:val="24"/>
      <w:szCs w:val="20"/>
    </w:rPr>
  </w:style>
  <w:style w:type="paragraph" w:styleId="1300">
    <w:name w:val="xl50"/>
    <w:basedOn w:val="1126"/>
    <w:next w:val="1300"/>
    <w:link w:val="11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01">
    <w:name w:val="缺省文本"/>
    <w:basedOn w:val="1126"/>
    <w:next w:val="1301"/>
    <w:link w:val="1126"/>
    <w:qFormat/>
    <w:pPr>
      <w:jc w:val="left"/>
    </w:pPr>
    <w:rPr>
      <w:sz w:val="24"/>
    </w:rPr>
  </w:style>
  <w:style w:type="paragraph" w:styleId="1302">
    <w:name w:val="Char Char Char1"/>
    <w:basedOn w:val="1126"/>
    <w:next w:val="1302"/>
    <w:link w:val="1126"/>
    <w:qFormat/>
    <w:rPr>
      <w:rFonts w:ascii="Tahoma" w:hAnsi="Tahoma"/>
      <w:sz w:val="24"/>
      <w:szCs w:val="20"/>
    </w:rPr>
  </w:style>
  <w:style w:type="paragraph" w:styleId="1303">
    <w:name w:val="Char Char Char Char Char Char Char1"/>
    <w:basedOn w:val="1126"/>
    <w:next w:val="1303"/>
    <w:link w:val="1126"/>
    <w:qFormat/>
    <w:pPr>
      <w:ind w:firstLine="200"/>
      <w:spacing w:line="360" w:lineRule="auto"/>
    </w:pPr>
    <w:rPr>
      <w:rFonts w:eastAsia="仿宋_GB2312"/>
      <w:sz w:val="24"/>
    </w:rPr>
  </w:style>
  <w:style w:type="paragraph" w:styleId="1304">
    <w:name w:val="xl51"/>
    <w:basedOn w:val="1126"/>
    <w:next w:val="1304"/>
    <w:link w:val="11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5">
    <w:name w:val="样式2"/>
    <w:basedOn w:val="1191"/>
    <w:next w:val="1305"/>
    <w:link w:val="1126"/>
    <w:qFormat/>
    <w:pPr>
      <w:jc w:val="center"/>
      <w:spacing w:line="360" w:lineRule="auto"/>
    </w:pPr>
    <w:rPr>
      <w:sz w:val="24"/>
    </w:rPr>
  </w:style>
  <w:style w:type="paragraph" w:styleId="1306">
    <w:name w:val="xl24"/>
    <w:basedOn w:val="1126"/>
    <w:next w:val="1306"/>
    <w:link w:val="11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7">
    <w:name w:val="xl29"/>
    <w:basedOn w:val="1126"/>
    <w:next w:val="1307"/>
    <w:link w:val="11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08">
    <w:name w:val="正文 + 楷体_GB2312"/>
    <w:basedOn w:val="1126"/>
    <w:next w:val="1308"/>
    <w:link w:val="1126"/>
    <w:qFormat/>
    <w:pPr>
      <w:jc w:val="left"/>
      <w:widowControl/>
    </w:pPr>
    <w:rPr>
      <w:rFonts w:ascii="楷体_GB2312" w:eastAsia="楷体_GB2312" w:cs="Arial"/>
      <w:sz w:val="24"/>
    </w:rPr>
  </w:style>
  <w:style w:type="paragraph" w:styleId="1309">
    <w:name w:val="xl34"/>
    <w:basedOn w:val="1126"/>
    <w:next w:val="1309"/>
    <w:link w:val="11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10">
    <w:name w:val="1 Char Char Char Char"/>
    <w:basedOn w:val="1126"/>
    <w:next w:val="1310"/>
    <w:link w:val="1126"/>
    <w:qFormat/>
    <w:rPr>
      <w:rFonts w:ascii="Tahoma" w:hAnsi="Tahoma"/>
      <w:sz w:val="24"/>
      <w:szCs w:val="20"/>
    </w:rPr>
  </w:style>
  <w:style w:type="paragraph" w:styleId="1311">
    <w:name w:val="列出段落1"/>
    <w:basedOn w:val="1126"/>
    <w:next w:val="1126"/>
    <w:link w:val="1126"/>
    <w:qFormat/>
    <w:pPr>
      <w:ind w:firstLine="420"/>
    </w:pPr>
    <w:rPr>
      <w:rFonts w:ascii="Calibri" w:hAnsi="Calibri"/>
      <w:szCs w:val="22"/>
    </w:rPr>
  </w:style>
  <w:style w:type="paragraph" w:styleId="1312">
    <w:name w:val="default"/>
    <w:basedOn w:val="1126"/>
    <w:next w:val="1312"/>
    <w:link w:val="1126"/>
    <w:qFormat/>
    <w:pPr>
      <w:jc w:val="left"/>
      <w:spacing w:before="100" w:beforeAutospacing="1" w:after="100" w:afterAutospacing="1"/>
      <w:widowControl/>
    </w:pPr>
    <w:rPr>
      <w:rFonts w:ascii="宋体" w:hAnsi="宋体" w:cs="宋体"/>
      <w:sz w:val="24"/>
    </w:rPr>
  </w:style>
  <w:style w:type="paragraph" w:styleId="1313">
    <w:name w:val="字元 字元1"/>
    <w:basedOn w:val="1126"/>
    <w:next w:val="1313"/>
    <w:link w:val="1126"/>
    <w:qFormat/>
    <w:rPr>
      <w:rFonts w:ascii="Tahoma" w:hAnsi="Tahoma"/>
      <w:sz w:val="24"/>
      <w:szCs w:val="20"/>
    </w:rPr>
  </w:style>
  <w:style w:type="paragraph" w:styleId="1314">
    <w:name w:val="_Style 160"/>
    <w:next w:val="1314"/>
    <w:link w:val="1126"/>
    <w:qFormat/>
    <w:rPr>
      <w:sz w:val="21"/>
      <w:szCs w:val="24"/>
      <w:lang w:val="en-US" w:eastAsia="zh-CN" w:bidi="ar-SA"/>
    </w:rPr>
  </w:style>
  <w:style w:type="paragraph" w:styleId="1315">
    <w:name w:val="项目编号3"/>
    <w:basedOn w:val="1276"/>
    <w:next w:val="1315"/>
    <w:link w:val="1126"/>
    <w:qFormat/>
    <w:pPr>
      <w:numPr>
        <w:ilvl w:val="0"/>
        <w:numId w:val="6"/>
      </w:numPr>
    </w:pPr>
  </w:style>
  <w:style w:type="paragraph" w:styleId="1316">
    <w:name w:val="Char21"/>
    <w:basedOn w:val="1126"/>
    <w:next w:val="1316"/>
    <w:link w:val="1126"/>
    <w:qFormat/>
    <w:rPr>
      <w:rFonts w:ascii="Tahoma" w:hAnsi="Tahoma"/>
      <w:sz w:val="24"/>
      <w:szCs w:val="20"/>
    </w:rPr>
  </w:style>
  <w:style w:type="paragraph" w:styleId="1317">
    <w:name w:val="表格文字"/>
    <w:basedOn w:val="1161"/>
    <w:next w:val="1317"/>
    <w:link w:val="1126"/>
    <w:qFormat/>
    <w:pPr>
      <w:ind w:firstLine="0"/>
      <w:spacing w:before="20" w:after="20" w:line="240" w:lineRule="auto"/>
    </w:pPr>
    <w:rPr>
      <w:rFonts w:ascii="Century Gothic" w:hAnsi="Century Gothic"/>
      <w:sz w:val="20"/>
      <w:szCs w:val="20"/>
    </w:rPr>
  </w:style>
  <w:style w:type="paragraph" w:styleId="1318">
    <w:name w:val="Char Char Char Char Char Char Char Char Char Char1"/>
    <w:basedOn w:val="1126"/>
    <w:next w:val="1318"/>
    <w:link w:val="1126"/>
    <w:qFormat/>
    <w:rPr>
      <w:rFonts w:ascii="宋体" w:hAnsi="宋体" w:cs="Courier New"/>
      <w:sz w:val="32"/>
      <w:szCs w:val="32"/>
    </w:rPr>
  </w:style>
  <w:style w:type="paragraph" w:styleId="1319">
    <w:name w:val="正文文本样式 加粗"/>
    <w:basedOn w:val="1276"/>
    <w:next w:val="1319"/>
    <w:link w:val="1126"/>
    <w:qFormat/>
    <w:rPr>
      <w:b/>
    </w:rPr>
  </w:style>
  <w:style w:type="paragraph" w:styleId="1320">
    <w:name w:val="Char2 Char Char Char Char Char Char"/>
    <w:basedOn w:val="1126"/>
    <w:next w:val="1320"/>
    <w:link w:val="1126"/>
    <w:qFormat/>
    <w:pPr>
      <w:jc w:val="center"/>
      <w:spacing w:line="400" w:lineRule="exact"/>
      <w:widowControl/>
    </w:pPr>
  </w:style>
  <w:style w:type="paragraph" w:styleId="1321">
    <w:name w:val="Char Char4"/>
    <w:basedOn w:val="1126"/>
    <w:next w:val="1321"/>
    <w:link w:val="1126"/>
    <w:qFormat/>
    <w:pPr>
      <w:jc w:val="center"/>
      <w:spacing w:line="400" w:lineRule="exact"/>
      <w:widowControl/>
    </w:pPr>
  </w:style>
  <w:style w:type="paragraph" w:styleId="1322">
    <w:name w:val="Char3 Char Char Char1"/>
    <w:basedOn w:val="1126"/>
    <w:next w:val="1322"/>
    <w:link w:val="1126"/>
    <w:qFormat/>
    <w:rPr>
      <w:rFonts w:ascii="Tahoma" w:hAnsi="Tahoma"/>
      <w:sz w:val="24"/>
      <w:szCs w:val="20"/>
    </w:rPr>
  </w:style>
  <w:style w:type="paragraph" w:styleId="1323">
    <w:name w:val="无间隔"/>
    <w:next w:val="1323"/>
    <w:link w:val="1126"/>
    <w:qFormat/>
    <w:pPr>
      <w:jc w:val="both"/>
      <w:widowControl w:val="off"/>
    </w:pPr>
    <w:rPr>
      <w:sz w:val="21"/>
      <w:szCs w:val="24"/>
      <w:lang w:val="en-US" w:eastAsia="zh-CN" w:bidi="ar-SA"/>
    </w:rPr>
  </w:style>
  <w:style w:type="paragraph" w:styleId="1324">
    <w:name w:val="22222222222222"/>
    <w:basedOn w:val="1126"/>
    <w:next w:val="1324"/>
    <w:link w:val="1126"/>
    <w:qFormat/>
    <w:pPr>
      <w:ind w:firstLine="480"/>
      <w:jc w:val="left"/>
      <w:spacing w:line="360" w:lineRule="auto"/>
      <w:widowControl/>
    </w:pPr>
    <w:rPr>
      <w:color w:val="ff0000"/>
      <w:sz w:val="24"/>
      <w:szCs w:val="20"/>
    </w:rPr>
  </w:style>
  <w:style w:type="character" w:styleId="1325">
    <w:name w:val="中等深浅网格 1 - 强调文字颜色 2 Char"/>
    <w:next w:val="1325"/>
    <w:link w:val="1326"/>
    <w:qFormat/>
    <w:rPr>
      <w:sz w:val="21"/>
      <w:szCs w:val="24"/>
      <w:lang w:val="zh-CN" w:eastAsia="zh-CN" w:bidi="ar-SA"/>
    </w:rPr>
  </w:style>
  <w:style w:type="paragraph" w:styleId="1326">
    <w:name w:val="1"/>
    <w:next w:val="1326"/>
    <w:link w:val="1325"/>
    <w:qFormat/>
    <w:rPr>
      <w:sz w:val="21"/>
      <w:szCs w:val="24"/>
      <w:lang w:val="zh-CN" w:eastAsia="zh-CN" w:bidi="ar-SA"/>
    </w:rPr>
  </w:style>
  <w:style w:type="paragraph" w:styleId="1327">
    <w:name w:val="图文"/>
    <w:basedOn w:val="1126"/>
    <w:next w:val="1327"/>
    <w:link w:val="1126"/>
    <w:qFormat/>
    <w:pPr>
      <w:spacing w:after="50" w:line="360" w:lineRule="auto"/>
    </w:pPr>
    <w:rPr>
      <w:sz w:val="24"/>
    </w:rPr>
  </w:style>
  <w:style w:type="paragraph" w:styleId="1328">
    <w:name w:val="xl23"/>
    <w:basedOn w:val="1126"/>
    <w:next w:val="1328"/>
    <w:link w:val="1126"/>
    <w:qFormat/>
    <w:pPr>
      <w:spacing w:before="100" w:beforeAutospacing="1" w:after="100" w:afterAutospacing="1" w:line="360" w:lineRule="auto"/>
      <w:widowControl/>
    </w:pPr>
    <w:rPr>
      <w:sz w:val="24"/>
      <w:szCs w:val="20"/>
    </w:rPr>
  </w:style>
  <w:style w:type="paragraph" w:styleId="1329">
    <w:name w:val="正文表格"/>
    <w:basedOn w:val="1126"/>
    <w:next w:val="1329"/>
    <w:link w:val="1330"/>
    <w:qFormat/>
    <w:pPr>
      <w:jc w:val="left"/>
    </w:pPr>
    <w:rPr>
      <w:rFonts w:ascii="宋体" w:hAnsi="宋体"/>
      <w:color w:val="000000"/>
      <w:szCs w:val="21"/>
    </w:rPr>
  </w:style>
  <w:style w:type="character" w:styleId="1330">
    <w:name w:val="正文表格 Char"/>
    <w:next w:val="1330"/>
    <w:link w:val="1329"/>
    <w:qFormat/>
    <w:rPr>
      <w:rFonts w:ascii="宋体" w:hAnsi="宋体"/>
      <w:color w:val="000000"/>
      <w:sz w:val="21"/>
      <w:szCs w:val="21"/>
    </w:rPr>
  </w:style>
  <w:style w:type="paragraph" w:styleId="1331">
    <w:name w:val="正文重点"/>
    <w:basedOn w:val="1126"/>
    <w:next w:val="1331"/>
    <w:link w:val="1332"/>
    <w:qFormat/>
    <w:pPr>
      <w:ind w:firstLine="482"/>
      <w:jc w:val="left"/>
      <w:spacing w:line="360" w:lineRule="auto"/>
    </w:pPr>
    <w:rPr>
      <w:b/>
      <w:sz w:val="24"/>
      <w:szCs w:val="20"/>
    </w:rPr>
  </w:style>
  <w:style w:type="character" w:styleId="1332">
    <w:name w:val="正文重点 Char"/>
    <w:next w:val="1332"/>
    <w:link w:val="1331"/>
    <w:qFormat/>
    <w:rPr>
      <w:b/>
      <w:sz w:val="24"/>
    </w:rPr>
  </w:style>
  <w:style w:type="paragraph" w:styleId="1333">
    <w:name w:val="标题1-附件"/>
    <w:basedOn w:val="1127"/>
    <w:next w:val="1333"/>
    <w:link w:val="1126"/>
    <w:qFormat/>
    <w:pPr>
      <w:jc w:val="left"/>
    </w:pPr>
    <w:rPr>
      <w:sz w:val="24"/>
      <w:szCs w:val="24"/>
    </w:rPr>
  </w:style>
  <w:style w:type="paragraph" w:styleId="1334">
    <w:name w:val="正文小标题"/>
    <w:basedOn w:val="1126"/>
    <w:next w:val="1141"/>
    <w:link w:val="1335"/>
    <w:qFormat/>
    <w:pPr>
      <w:ind w:firstLine="482"/>
      <w:jc w:val="left"/>
      <w:spacing w:before="312" w:after="312"/>
    </w:pPr>
    <w:rPr>
      <w:rFonts w:ascii="宋体" w:hAnsi="宋体"/>
      <w:b/>
      <w:i/>
      <w:color w:val="ff0000"/>
      <w:sz w:val="24"/>
      <w:szCs w:val="20"/>
    </w:rPr>
  </w:style>
  <w:style w:type="character" w:styleId="1335">
    <w:name w:val="正文小标题 Char"/>
    <w:next w:val="1335"/>
    <w:link w:val="1334"/>
    <w:qFormat/>
    <w:rPr>
      <w:rFonts w:ascii="宋体" w:hAnsi="宋体"/>
      <w:b/>
      <w:i/>
      <w:color w:val="ff0000"/>
      <w:sz w:val="24"/>
    </w:rPr>
  </w:style>
  <w:style w:type="paragraph" w:styleId="1336">
    <w:name w:val="正文大标题"/>
    <w:basedOn w:val="1334"/>
    <w:next w:val="1141"/>
    <w:link w:val="1337"/>
    <w:qFormat/>
    <w:pPr>
      <w:jc w:val="center"/>
    </w:pPr>
    <w:rPr>
      <w:i w:val="0"/>
      <w:color w:val="000000"/>
      <w:sz w:val="28"/>
      <w:szCs w:val="21"/>
    </w:rPr>
  </w:style>
  <w:style w:type="character" w:styleId="1337">
    <w:name w:val="正文大标题 Char"/>
    <w:next w:val="1337"/>
    <w:link w:val="1336"/>
    <w:qFormat/>
    <w:rPr>
      <w:rFonts w:ascii="宋体" w:hAnsi="宋体"/>
      <w:b/>
      <w:color w:val="000000"/>
      <w:sz w:val="28"/>
      <w:szCs w:val="21"/>
    </w:rPr>
  </w:style>
  <w:style w:type="paragraph" w:styleId="1338">
    <w:name w:val="注释"/>
    <w:basedOn w:val="1126"/>
    <w:next w:val="1338"/>
    <w:link w:val="1339"/>
    <w:qFormat/>
    <w:pPr>
      <w:ind w:left="420" w:hanging="420"/>
      <w:jc w:val="left"/>
    </w:pPr>
    <w:rPr>
      <w:rFonts w:ascii="宋体" w:hAnsi="宋体"/>
      <w:szCs w:val="21"/>
    </w:rPr>
  </w:style>
  <w:style w:type="character" w:styleId="1339">
    <w:name w:val="注释 Char"/>
    <w:next w:val="1339"/>
    <w:link w:val="1338"/>
    <w:qFormat/>
    <w:rPr>
      <w:rFonts w:ascii="宋体" w:hAnsi="宋体"/>
      <w:sz w:val="21"/>
      <w:szCs w:val="21"/>
    </w:rPr>
  </w:style>
  <w:style w:type="paragraph" w:styleId="1340">
    <w:name w:val="正文须知-1级"/>
    <w:basedOn w:val="1126"/>
    <w:next w:val="1126"/>
    <w:link w:val="1126"/>
    <w:qFormat/>
    <w:pPr>
      <w:numPr>
        <w:ilvl w:val="0"/>
        <w:numId w:val="7"/>
      </w:numPr>
      <w:spacing w:line="300" w:lineRule="auto"/>
    </w:pPr>
    <w:rPr>
      <w:rFonts w:ascii="宋体" w:hAnsi="Calibri"/>
      <w:sz w:val="24"/>
      <w:szCs w:val="21"/>
    </w:rPr>
  </w:style>
  <w:style w:type="paragraph" w:styleId="1341">
    <w:name w:val="正文须知-2级"/>
    <w:basedOn w:val="1126"/>
    <w:next w:val="1341"/>
    <w:link w:val="1126"/>
    <w:qFormat/>
    <w:pPr>
      <w:numPr>
        <w:ilvl w:val="1"/>
        <w:numId w:val="7"/>
      </w:numPr>
      <w:spacing w:line="300" w:lineRule="auto"/>
    </w:pPr>
    <w:rPr>
      <w:rFonts w:ascii="宋体" w:hAnsi="Calibri"/>
      <w:sz w:val="24"/>
      <w:szCs w:val="21"/>
    </w:rPr>
  </w:style>
  <w:style w:type="paragraph" w:styleId="1342">
    <w:name w:val="正文须知-3级"/>
    <w:basedOn w:val="1126"/>
    <w:next w:val="1342"/>
    <w:link w:val="1126"/>
    <w:qFormat/>
    <w:pPr>
      <w:numPr>
        <w:ilvl w:val="2"/>
        <w:numId w:val="7"/>
      </w:numPr>
      <w:ind w:hanging="355"/>
      <w:spacing w:line="300" w:lineRule="auto"/>
    </w:pPr>
    <w:rPr>
      <w:rFonts w:ascii="宋体" w:hAnsi="Calibri"/>
      <w:sz w:val="24"/>
      <w:szCs w:val="21"/>
    </w:rPr>
  </w:style>
  <w:style w:type="character" w:styleId="1343">
    <w:name w:val="纯文本 字符"/>
    <w:next w:val="1343"/>
    <w:link w:val="1126"/>
    <w:uiPriority w:val="99"/>
    <w:qFormat/>
    <w:rPr>
      <w:rFonts w:ascii="宋体" w:hAnsi="Courier New" w:eastAsia="宋体" w:cs="Times New Roman"/>
      <w:sz w:val="21"/>
      <w:szCs w:val="21"/>
      <w:lang w:val="en-US" w:eastAsia="zh-CN" w:bidi="ar-SA"/>
    </w:rPr>
  </w:style>
  <w:style w:type="paragraph" w:styleId="1344">
    <w:name w:val="表格1"/>
    <w:basedOn w:val="1126"/>
    <w:next w:val="1344"/>
    <w:link w:val="1126"/>
    <w:qFormat/>
    <w:pPr>
      <w:ind w:firstLine="480"/>
      <w:jc w:val="center"/>
    </w:pPr>
    <w:rPr>
      <w:sz w:val="24"/>
      <w:szCs w:val="20"/>
    </w:rPr>
  </w:style>
  <w:style w:type="character" w:styleId="1345">
    <w:name w:val="纯文本 字符1"/>
    <w:next w:val="1345"/>
    <w:link w:val="1126"/>
    <w:qFormat/>
    <w:rPr>
      <w:rFonts w:ascii="宋体" w:hAnsi="Courier New"/>
    </w:rPr>
  </w:style>
  <w:style w:type="character" w:styleId="1346">
    <w:name w:val="bjh-p"/>
    <w:next w:val="1346"/>
    <w:link w:val="1126"/>
    <w:qFormat/>
  </w:style>
  <w:style w:type="paragraph" w:styleId="1347">
    <w:name w:val="无标题条"/>
    <w:next w:val="1126"/>
    <w:link w:val="1126"/>
    <w:qFormat/>
    <w:pPr>
      <w:jc w:val="both"/>
    </w:pPr>
    <w:rPr>
      <w:sz w:val="21"/>
      <w:lang w:val="en-US" w:eastAsia="zh-CN" w:bidi="ar-SA"/>
    </w:rPr>
  </w:style>
  <w:style w:type="character" w:styleId="1348">
    <w:name w:val="正文格式 Char"/>
    <w:next w:val="1348"/>
    <w:link w:val="1349"/>
    <w:qFormat/>
    <w:rPr>
      <w:rFonts w:ascii="宋体" w:hAnsi="宋体"/>
      <w:sz w:val="24"/>
      <w:szCs w:val="24"/>
      <w:lang w:val="en-GB"/>
    </w:rPr>
  </w:style>
  <w:style w:type="paragraph" w:styleId="1349">
    <w:name w:val="正文格式"/>
    <w:basedOn w:val="1126"/>
    <w:next w:val="1349"/>
    <w:link w:val="1348"/>
    <w:qFormat/>
    <w:pPr>
      <w:ind w:firstLine="480"/>
      <w:spacing w:line="360" w:lineRule="auto"/>
    </w:pPr>
    <w:rPr>
      <w:rFonts w:ascii="宋体" w:hAnsi="宋体"/>
      <w:sz w:val="24"/>
      <w:lang w:val="en-GB"/>
    </w:rPr>
  </w:style>
  <w:style w:type="character" w:styleId="1350">
    <w:name w:val="标题 3 Char"/>
    <w:next w:val="1350"/>
    <w:link w:val="1126"/>
    <w:qFormat/>
    <w:rPr>
      <w:rFonts w:ascii="宋体" w:eastAsia="宋体"/>
      <w:b/>
      <w:sz w:val="24"/>
      <w:u w:val="single"/>
      <w:lang w:val="en-US" w:eastAsia="zh-CN" w:bidi="ar-SA"/>
    </w:rPr>
  </w:style>
  <w:style w:type="character" w:styleId="1351">
    <w:name w:val="正文缩进 Char"/>
    <w:next w:val="1351"/>
    <w:link w:val="1126"/>
    <w:qFormat/>
    <w:rPr>
      <w:rFonts w:ascii="宋体" w:eastAsia="宋体"/>
      <w:sz w:val="24"/>
      <w:szCs w:val="24"/>
      <w:lang w:val="en-US" w:eastAsia="zh-CN" w:bidi="ar-SA"/>
    </w:rPr>
  </w:style>
  <w:style w:type="character" w:styleId="1352">
    <w:name w:val="Char Char111"/>
    <w:next w:val="1352"/>
    <w:link w:val="1126"/>
    <w:qFormat/>
    <w:rPr>
      <w:rFonts w:ascii="宋体" w:eastAsia="宋体"/>
      <w:b/>
      <w:sz w:val="24"/>
      <w:u w:val="single"/>
      <w:lang w:val="en-US" w:eastAsia="zh-CN" w:bidi="ar-SA"/>
    </w:rPr>
  </w:style>
  <w:style w:type="character" w:styleId="1353">
    <w:name w:val="正文文本缩进 Char"/>
    <w:next w:val="1353"/>
    <w:link w:val="1126"/>
    <w:qFormat/>
    <w:rPr>
      <w:rFonts w:eastAsia="宋体"/>
      <w:sz w:val="24"/>
      <w:szCs w:val="24"/>
      <w:lang w:val="en-US" w:eastAsia="zh-CN" w:bidi="ar-SA"/>
    </w:rPr>
  </w:style>
  <w:style w:type="character" w:styleId="1354">
    <w:name w:val="列出段落 Char"/>
    <w:next w:val="1354"/>
    <w:link w:val="1126"/>
    <w:qFormat/>
    <w:rPr>
      <w:rFonts w:ascii="Calibri" w:hAnsi="Calibri" w:eastAsia="宋体"/>
      <w:sz w:val="21"/>
      <w:szCs w:val="22"/>
      <w:lang w:val="en-US" w:eastAsia="zh-CN" w:bidi="ar-SA"/>
    </w:rPr>
  </w:style>
  <w:style w:type="character" w:styleId="1355">
    <w:name w:val="页眉 Char"/>
    <w:next w:val="1355"/>
    <w:link w:val="1126"/>
    <w:qFormat/>
    <w:rPr>
      <w:rFonts w:eastAsia="宋体"/>
      <w:sz w:val="18"/>
      <w:szCs w:val="18"/>
      <w:lang w:val="en-US" w:eastAsia="zh-CN" w:bidi="ar-SA"/>
    </w:rPr>
  </w:style>
  <w:style w:type="character" w:styleId="1356">
    <w:name w:val="标题 2 Char"/>
    <w:next w:val="1356"/>
    <w:link w:val="1126"/>
    <w:qFormat/>
    <w:rPr>
      <w:rFonts w:ascii="Arial" w:hAnsi="Arial" w:eastAsia="黑体"/>
      <w:b/>
      <w:sz w:val="30"/>
      <w:lang w:val="en-US" w:eastAsia="zh-CN" w:bidi="ar-SA"/>
    </w:rPr>
  </w:style>
  <w:style w:type="paragraph" w:styleId="1357">
    <w:name w:val="字元 字元2"/>
    <w:basedOn w:val="1126"/>
    <w:next w:val="1357"/>
    <w:link w:val="1126"/>
    <w:qFormat/>
    <w:rPr>
      <w:rFonts w:ascii="Tahoma" w:hAnsi="Tahoma"/>
      <w:sz w:val="24"/>
      <w:szCs w:val="20"/>
    </w:rPr>
  </w:style>
  <w:style w:type="paragraph" w:styleId="1358">
    <w:name w:val="Char3 Char Char Char2"/>
    <w:basedOn w:val="1126"/>
    <w:next w:val="1358"/>
    <w:link w:val="1126"/>
    <w:qFormat/>
    <w:rPr>
      <w:rFonts w:ascii="Tahoma" w:hAnsi="Tahoma"/>
      <w:sz w:val="24"/>
      <w:szCs w:val="20"/>
    </w:rPr>
  </w:style>
  <w:style w:type="paragraph" w:styleId="1359">
    <w:name w:val="正文文本缩进2"/>
    <w:basedOn w:val="1126"/>
    <w:next w:val="1359"/>
    <w:link w:val="1126"/>
    <w:qFormat/>
    <w:pPr>
      <w:ind w:firstLine="480"/>
      <w:spacing w:line="480" w:lineRule="exact"/>
    </w:pPr>
    <w:rPr>
      <w:rFonts w:ascii="宋体" w:hAnsi="宋体"/>
      <w:sz w:val="24"/>
      <w:lang w:val="zh-CN" w:eastAsia="zh-CN"/>
    </w:rPr>
  </w:style>
  <w:style w:type="paragraph" w:styleId="1360">
    <w:name w:val="Char3"/>
    <w:basedOn w:val="1126"/>
    <w:next w:val="1360"/>
    <w:link w:val="1126"/>
    <w:qFormat/>
    <w:pPr>
      <w:tabs>
        <w:tab w:val="left" w:pos="360" w:leader="none"/>
      </w:tabs>
    </w:pPr>
    <w:rPr>
      <w:sz w:val="24"/>
    </w:rPr>
  </w:style>
  <w:style w:type="paragraph" w:styleId="1361">
    <w:name w:val="Char Char Char Char Char Char Char Char Char Char Char Char Char Char Char Char1"/>
    <w:basedOn w:val="1126"/>
    <w:next w:val="1361"/>
    <w:link w:val="1126"/>
    <w:qFormat/>
    <w:pPr>
      <w:jc w:val="center"/>
      <w:spacing w:after="160" w:line="240" w:lineRule="exact"/>
      <w:widowControl/>
    </w:pPr>
    <w:rPr>
      <w:rFonts w:ascii="宋体" w:hAnsi="宋体"/>
      <w:b/>
      <w:sz w:val="30"/>
      <w:szCs w:val="30"/>
      <w:lang w:eastAsia="en-US"/>
    </w:rPr>
  </w:style>
  <w:style w:type="paragraph" w:styleId="1362">
    <w:name w:val="Char Char1 Char Char Char Char Char Char1"/>
    <w:basedOn w:val="1126"/>
    <w:next w:val="1362"/>
    <w:link w:val="1126"/>
    <w:qFormat/>
    <w:pPr>
      <w:jc w:val="left"/>
      <w:spacing w:after="160" w:line="240" w:lineRule="exact"/>
      <w:widowControl/>
    </w:pPr>
    <w:rPr>
      <w:rFonts w:ascii="Verdana" w:hAnsi="Verdana" w:eastAsia="仿宋_GB2312"/>
      <w:sz w:val="24"/>
      <w:szCs w:val="20"/>
      <w:lang w:eastAsia="en-US"/>
    </w:rPr>
  </w:style>
  <w:style w:type="paragraph" w:styleId="1363">
    <w:name w:val="列出段落2"/>
    <w:basedOn w:val="1126"/>
    <w:next w:val="1363"/>
    <w:link w:val="1126"/>
    <w:qFormat/>
    <w:pPr>
      <w:ind w:firstLine="420"/>
    </w:pPr>
    <w:rPr>
      <w:rFonts w:ascii="Calibri" w:hAnsi="Calibri"/>
      <w:szCs w:val="22"/>
    </w:rPr>
  </w:style>
  <w:style w:type="paragraph" w:styleId="1364">
    <w:name w:val="Char Char Char1 Char2"/>
    <w:basedOn w:val="1126"/>
    <w:next w:val="1364"/>
    <w:link w:val="1126"/>
    <w:qFormat/>
    <w:rPr>
      <w:rFonts w:ascii="Tahoma" w:hAnsi="Tahoma"/>
      <w:sz w:val="24"/>
      <w:szCs w:val="20"/>
    </w:rPr>
  </w:style>
  <w:style w:type="paragraph" w:styleId="1365">
    <w:name w:val="Char Char Char2"/>
    <w:basedOn w:val="1126"/>
    <w:next w:val="1365"/>
    <w:link w:val="1126"/>
    <w:qFormat/>
    <w:rPr>
      <w:rFonts w:ascii="Tahoma" w:hAnsi="Tahoma"/>
      <w:sz w:val="24"/>
      <w:szCs w:val="20"/>
    </w:rPr>
  </w:style>
  <w:style w:type="paragraph" w:styleId="1366">
    <w:name w:val="Char Char Char Char Char Char Char2"/>
    <w:basedOn w:val="1126"/>
    <w:next w:val="1366"/>
    <w:link w:val="1126"/>
    <w:qFormat/>
    <w:pPr>
      <w:ind w:firstLine="200"/>
      <w:spacing w:line="360" w:lineRule="auto"/>
    </w:pPr>
    <w:rPr>
      <w:rFonts w:eastAsia="仿宋_GB2312"/>
      <w:sz w:val="24"/>
    </w:rPr>
  </w:style>
  <w:style w:type="paragraph" w:styleId="1367">
    <w:name w:val="正文缩进2"/>
    <w:basedOn w:val="1126"/>
    <w:next w:val="1367"/>
    <w:link w:val="1126"/>
    <w:qFormat/>
    <w:pPr>
      <w:ind w:firstLine="567"/>
      <w:spacing w:line="480" w:lineRule="exact"/>
      <w:widowControl/>
    </w:pPr>
    <w:rPr>
      <w:rFonts w:ascii="宋体"/>
      <w:color w:val="000000"/>
      <w:sz w:val="28"/>
      <w:szCs w:val="20"/>
      <w:lang w:val="zh-CN" w:eastAsia="zh-CN"/>
    </w:rPr>
  </w:style>
  <w:style w:type="paragraph" w:styleId="1368">
    <w:name w:val="Revision"/>
    <w:next w:val="1368"/>
    <w:link w:val="1126"/>
    <w:qFormat/>
    <w:rPr>
      <w:sz w:val="21"/>
      <w:szCs w:val="24"/>
      <w:lang w:val="en-US" w:eastAsia="zh-CN" w:bidi="ar-SA"/>
    </w:rPr>
  </w:style>
  <w:style w:type="paragraph" w:styleId="1369">
    <w:name w:val="Char22"/>
    <w:basedOn w:val="1126"/>
    <w:next w:val="1369"/>
    <w:link w:val="1126"/>
    <w:qFormat/>
    <w:rPr>
      <w:rFonts w:ascii="Tahoma" w:hAnsi="Tahoma"/>
      <w:sz w:val="24"/>
      <w:szCs w:val="20"/>
    </w:rPr>
  </w:style>
  <w:style w:type="paragraph" w:styleId="1370">
    <w:name w:val="Char Char Char Char Char Char Char Char Char Char2"/>
    <w:basedOn w:val="1126"/>
    <w:next w:val="1370"/>
    <w:link w:val="1126"/>
    <w:qFormat/>
    <w:rPr>
      <w:rFonts w:ascii="宋体" w:hAnsi="宋体" w:cs="Courier New"/>
      <w:sz w:val="32"/>
      <w:szCs w:val="32"/>
    </w:rPr>
  </w:style>
  <w:style w:type="paragraph" w:styleId="1371">
    <w:name w:val="Char2 Char Char Char Char Char Char1"/>
    <w:basedOn w:val="1126"/>
    <w:next w:val="1371"/>
    <w:link w:val="1126"/>
    <w:qFormat/>
    <w:pPr>
      <w:jc w:val="center"/>
      <w:spacing w:line="400" w:lineRule="exact"/>
      <w:widowControl/>
    </w:pPr>
  </w:style>
  <w:style w:type="character" w:styleId="1372">
    <w:name w:val="页脚 Char"/>
    <w:next w:val="1372"/>
    <w:link w:val="1126"/>
    <w:qFormat/>
    <w:rPr>
      <w:rFonts w:ascii="宋体" w:eastAsia="宋体"/>
      <w:sz w:val="18"/>
      <w:lang w:val="en-US" w:eastAsia="zh-CN" w:bidi="ar-SA"/>
    </w:rPr>
  </w:style>
  <w:style w:type="paragraph" w:styleId="1373">
    <w:name w:val="Char Char41"/>
    <w:basedOn w:val="1126"/>
    <w:next w:val="1373"/>
    <w:link w:val="1126"/>
    <w:qFormat/>
    <w:pPr>
      <w:jc w:val="center"/>
      <w:spacing w:line="400" w:lineRule="exact"/>
      <w:widowControl/>
    </w:pPr>
  </w:style>
  <w:style w:type="character" w:styleId="1374">
    <w:name w:val="批注文字 Char"/>
    <w:next w:val="1374"/>
    <w:link w:val="1126"/>
    <w:uiPriority w:val="99"/>
    <w:qFormat/>
    <w:rPr>
      <w:sz w:val="21"/>
      <w:szCs w:val="24"/>
    </w:rPr>
  </w:style>
  <w:style w:type="character" w:styleId="1375">
    <w:name w:val="标题 Char"/>
    <w:next w:val="1375"/>
    <w:link w:val="1126"/>
    <w:qFormat/>
    <w:rPr>
      <w:b/>
      <w:sz w:val="32"/>
    </w:rPr>
  </w:style>
  <w:style w:type="paragraph" w:styleId="1376">
    <w:name w:val="图例"/>
    <w:basedOn w:val="1126"/>
    <w:next w:val="1376"/>
    <w:link w:val="1126"/>
    <w:qFormat/>
    <w:pPr>
      <w:jc w:val="center"/>
      <w:spacing w:before="120" w:after="120" w:line="360" w:lineRule="auto"/>
    </w:pPr>
    <w:rPr>
      <w:rFonts w:eastAsia="仿宋_GB2312"/>
      <w:b/>
      <w:sz w:val="24"/>
      <w:szCs w:val="20"/>
    </w:rPr>
  </w:style>
  <w:style w:type="paragraph" w:styleId="1377">
    <w:name w:val="Table Paragraph"/>
    <w:basedOn w:val="1126"/>
    <w:next w:val="1377"/>
    <w:link w:val="1126"/>
    <w:uiPriority w:val="1"/>
    <w:qFormat/>
    <w:pPr>
      <w:jc w:val="left"/>
    </w:pPr>
    <w:rPr>
      <w:rFonts w:ascii="宋体" w:hAnsi="宋体" w:cs="宋体"/>
      <w:sz w:val="22"/>
      <w:szCs w:val="22"/>
      <w:lang w:eastAsia="en-US"/>
    </w:rPr>
  </w:style>
  <w:style w:type="table" w:styleId="1378">
    <w:name w:val="Table Normal"/>
    <w:next w:val="1378"/>
    <w:link w:val="1126"/>
    <w:uiPriority w:val="2"/>
    <w:semiHidden/>
    <w:qFormat/>
    <w:pPr>
      <w:widowControl w:val="off"/>
    </w:pPr>
    <w:rPr>
      <w:rFonts w:ascii="Calibri" w:hAnsi="Calibri"/>
      <w:sz w:val="22"/>
      <w:szCs w:val="22"/>
      <w:lang w:val="en-US" w:eastAsia="en-US" w:bidi="ar-SA"/>
    </w:rPr>
    <w:tblPr/>
  </w:style>
  <w:style w:type="paragraph" w:styleId="1379">
    <w:name w:val="成文日期"/>
    <w:basedOn w:val="1126"/>
    <w:next w:val="1379"/>
    <w:link w:val="1380"/>
    <w:qFormat/>
    <w:pPr>
      <w:ind w:right="400" w:firstLine="200"/>
      <w:jc w:val="right"/>
      <w:spacing w:line="570" w:lineRule="exact"/>
    </w:pPr>
    <w:rPr>
      <w:rFonts w:ascii="仿宋_GB2312" w:eastAsia="仿宋_GB2312"/>
      <w:sz w:val="32"/>
      <w:szCs w:val="20"/>
    </w:rPr>
  </w:style>
  <w:style w:type="character" w:styleId="1380">
    <w:name w:val="成文日期 Char"/>
    <w:next w:val="1380"/>
    <w:link w:val="1379"/>
    <w:rPr>
      <w:rFonts w:ascii="仿宋_GB2312" w:eastAsia="仿宋_GB2312"/>
      <w:sz w:val="32"/>
    </w:rPr>
  </w:style>
  <w:style w:type="character" w:styleId="1381">
    <w:name w:val="font31"/>
    <w:next w:val="1381"/>
    <w:link w:val="1126"/>
    <w:qFormat/>
    <w:rPr>
      <w:rFonts w:ascii="仿宋_GB2312" w:eastAsia="仿宋_GB2312" w:cs="仿宋_GB2312"/>
      <w:color w:val="000000"/>
      <w:sz w:val="22"/>
      <w:szCs w:val="22"/>
      <w:u w:val="none"/>
    </w:rPr>
  </w:style>
  <w:style w:type="paragraph" w:styleId="1382">
    <w:name w:val="Í¼±íÕýÎÄ"/>
    <w:basedOn w:val="1126"/>
    <w:next w:val="1141"/>
    <w:link w:val="1126"/>
    <w:qFormat/>
    <w:pPr>
      <w:ind w:firstLine="420"/>
    </w:pPr>
    <w:rPr>
      <w:sz w:val="24"/>
      <w:szCs w:val="20"/>
    </w:rPr>
  </w:style>
  <w:style w:type="paragraph" w:styleId="1383">
    <w:name w:val="材料标题"/>
    <w:basedOn w:val="1126"/>
    <w:next w:val="1383"/>
    <w:link w:val="1126"/>
    <w:qFormat/>
    <w:pPr>
      <w:ind w:firstLine="0"/>
      <w:jc w:val="center"/>
      <w:spacing w:line="700" w:lineRule="exact"/>
    </w:pPr>
    <w:rPr>
      <w:rFonts w:ascii="方正小标宋简体" w:eastAsia="方正小标宋简体"/>
      <w:color w:val="000000"/>
      <w:sz w:val="44"/>
      <w:szCs w:val="44"/>
    </w:rPr>
  </w:style>
  <w:style w:type="paragraph" w:styleId="1384">
    <w:name w:val="修订"/>
    <w:next w:val="1384"/>
    <w:link w:val="1126"/>
    <w:uiPriority w:val="99"/>
    <w:unhideWhenUsed/>
    <w:rPr>
      <w:sz w:val="21"/>
      <w:szCs w:val="24"/>
      <w:lang w:val="en-US" w:eastAsia="zh-CN" w:bidi="ar-SA"/>
    </w:rPr>
  </w:style>
  <w:style w:type="character" w:styleId="1385">
    <w:name w:val="current"/>
    <w:next w:val="1385"/>
    <w:link w:val="1126"/>
    <w:rPr>
      <w:b/>
      <w:bCs/>
      <w:color w:val="05a7d8"/>
      <w:sz w:val="18"/>
      <w:szCs w:val="18"/>
    </w:rPr>
  </w:style>
  <w:style w:type="character" w:styleId="1386">
    <w:name w:val="l-btn-left"/>
    <w:next w:val="1386"/>
    <w:link w:val="1126"/>
  </w:style>
  <w:style w:type="character" w:styleId="1387">
    <w:name w:val="l-btn-text36"/>
    <w:next w:val="1387"/>
    <w:link w:val="1126"/>
  </w:style>
  <w:style w:type="paragraph" w:styleId="1388">
    <w:name w:val="null3"/>
    <w:next w:val="1388"/>
    <w:link w:val="1126"/>
    <w:qFormat/>
    <w:rPr>
      <w:rFonts w:hint="eastAsia" w:ascii="Calibri" w:hAnsi="Calibri"/>
      <w:lang w:val="en-US" w:eastAsia="en-US" w:bidi="ar-SA"/>
    </w:rPr>
  </w:style>
  <w:style w:type="paragraph" w:styleId="1389">
    <w:name w:val="正文 A"/>
    <w:next w:val="1389"/>
    <w:link w:val="1126"/>
    <w:qFormat/>
    <w:pPr>
      <w:jc w:val="both"/>
      <w:widowControl w:val="off"/>
    </w:pPr>
    <w:rPr>
      <w:rFonts w:eastAsia="Times New Roman"/>
      <w:color w:val="000000"/>
      <w:sz w:val="21"/>
      <w:szCs w:val="21"/>
      <w:lang w:val="en-US" w:eastAsia="zh-CN" w:bidi="ar-SA"/>
    </w:rPr>
  </w:style>
  <w:style w:type="paragraph" w:styleId="1390">
    <w:name w:val="正文文本缩进11"/>
    <w:basedOn w:val="1126"/>
    <w:next w:val="1391"/>
    <w:link w:val="1126"/>
    <w:qFormat/>
    <w:pPr>
      <w:ind w:firstLine="570"/>
      <w:spacing w:line="360" w:lineRule="auto"/>
    </w:pPr>
    <w:rPr>
      <w:sz w:val="24"/>
    </w:rPr>
  </w:style>
  <w:style w:type="paragraph" w:styleId="1391">
    <w:name w:val="寄信人地址1"/>
    <w:basedOn w:val="1126"/>
    <w:next w:val="1391"/>
    <w:link w:val="1126"/>
    <w:qFormat/>
    <w:rPr>
      <w:rFonts w:ascii="Arial" w:hAnsi="Arial"/>
    </w:rPr>
  </w:style>
  <w:style w:type="paragraph" w:styleId="1392">
    <w:name w:val="纯文本1"/>
    <w:basedOn w:val="1126"/>
    <w:next w:val="1393"/>
    <w:link w:val="1126"/>
    <w:uiPriority w:val="99"/>
    <w:qFormat/>
    <w:rPr>
      <w:rFonts w:hint="eastAsia" w:ascii="宋体" w:hAnsi="Courier New"/>
      <w:szCs w:val="20"/>
    </w:rPr>
  </w:style>
  <w:style w:type="paragraph" w:styleId="1393">
    <w:name w:val="正文缩进11"/>
    <w:basedOn w:val="1126"/>
    <w:next w:val="1126"/>
    <w:link w:val="1126"/>
    <w:qFormat/>
    <w:pPr>
      <w:ind w:firstLine="420"/>
      <w:jc w:val="left"/>
    </w:pPr>
    <w:rPr>
      <w:rFonts w:ascii="宋体"/>
      <w:sz w:val="24"/>
    </w:rPr>
  </w:style>
  <w:style w:type="character" w:styleId="1394">
    <w:name w:val="font21"/>
    <w:basedOn w:val="1136"/>
    <w:next w:val="1394"/>
    <w:link w:val="1126"/>
    <w:rPr>
      <w:rFonts w:hint="eastAsia" w:ascii="宋体" w:hAnsi="宋体" w:eastAsia="宋体" w:cs="宋体"/>
      <w:i w:val="0"/>
      <w:iCs w:val="0"/>
      <w:color w:val="000000"/>
      <w:sz w:val="20"/>
      <w:szCs w:val="20"/>
      <w:u w:val="none"/>
    </w:rPr>
  </w:style>
  <w:style w:type="character" w:styleId="1395">
    <w:name w:val="font61"/>
    <w:basedOn w:val="1136"/>
    <w:next w:val="1395"/>
    <w:link w:val="1126"/>
    <w:rPr>
      <w:rFonts w:ascii="MS Gothic" w:hAnsi="MS Gothic" w:eastAsia="MS Gothic" w:cs="MS Gothic"/>
      <w:i w:val="0"/>
      <w:iCs w:val="0"/>
      <w:color w:val="000000"/>
      <w:sz w:val="20"/>
      <w:szCs w:val="20"/>
      <w:u w:val="none"/>
    </w:rPr>
  </w:style>
  <w:style w:type="character" w:styleId="1396">
    <w:name w:val="font71"/>
    <w:basedOn w:val="1136"/>
    <w:next w:val="1396"/>
    <w:link w:val="1126"/>
    <w:rPr>
      <w:rFonts w:ascii="Cambria Math" w:hAnsi="Cambria Math" w:eastAsia="Cambria Math" w:cs="Cambria Math"/>
      <w:i w:val="0"/>
      <w:iCs w:val="0"/>
      <w:color w:val="000000"/>
      <w:sz w:val="20"/>
      <w:szCs w:val="20"/>
      <w:u w:val="none"/>
    </w:rPr>
  </w:style>
  <w:style w:type="character" w:styleId="1397">
    <w:name w:val="font51"/>
    <w:basedOn w:val="1136"/>
    <w:next w:val="1397"/>
    <w:link w:val="1126"/>
    <w:rPr>
      <w:rFonts w:hint="eastAsia" w:ascii="宋体" w:hAnsi="宋体" w:eastAsia="宋体" w:cs="宋体"/>
      <w:i w:val="0"/>
      <w:iCs w:val="0"/>
      <w:color w:val="000000"/>
      <w:sz w:val="20"/>
      <w:szCs w:val="20"/>
      <w:u w:val="none"/>
    </w:rPr>
  </w:style>
  <w:style w:type="character" w:styleId="1398">
    <w:name w:val="font81"/>
    <w:basedOn w:val="1136"/>
    <w:next w:val="1398"/>
    <w:link w:val="1126"/>
    <w:rPr>
      <w:rFonts w:ascii="Calibri" w:hAnsi="Calibri" w:cs="Calibri"/>
      <w:i w:val="0"/>
      <w:iCs w:val="0"/>
      <w:color w:val="000000"/>
      <w:sz w:val="20"/>
      <w:szCs w:val="20"/>
      <w:u w:val="none"/>
    </w:rPr>
  </w:style>
  <w:style w:type="character" w:styleId="1399">
    <w:name w:val="font11"/>
    <w:basedOn w:val="1136"/>
    <w:next w:val="1399"/>
    <w:link w:val="1126"/>
    <w:rPr>
      <w:rFonts w:hint="eastAsia" w:ascii="宋体" w:hAnsi="宋体" w:eastAsia="宋体" w:cs="宋体"/>
      <w:i w:val="0"/>
      <w:iCs w:val="0"/>
      <w:color w:val="000000"/>
      <w:sz w:val="20"/>
      <w:szCs w:val="20"/>
      <w:u w:val="none"/>
    </w:rPr>
  </w:style>
  <w:style w:type="character" w:styleId="1400">
    <w:name w:val="10"/>
    <w:basedOn w:val="1136"/>
    <w:next w:val="1400"/>
    <w:link w:val="1126"/>
    <w:rPr>
      <w:rFonts w:ascii="Times New Roman" w:hAnsi="Times New Roman" w:cs="Times New Roman"/>
    </w:rPr>
  </w:style>
  <w:style w:type="character" w:styleId="1401">
    <w:name w:val="15"/>
    <w:basedOn w:val="1136"/>
    <w:next w:val="1401"/>
    <w:link w:val="1126"/>
    <w:rPr>
      <w:rFonts w:ascii="Times New Roman" w:hAnsi="Times New Roman" w:cs="Times New Roman"/>
    </w:rPr>
  </w:style>
  <w:style w:type="paragraph" w:styleId="1402">
    <w:name w:val="一、"/>
    <w:basedOn w:val="1126"/>
    <w:next w:val="1402"/>
    <w:link w:val="1126"/>
    <w:pPr>
      <w:ind w:left="0" w:right="0" w:firstLine="640"/>
      <w:jc w:val="both"/>
      <w:keepLines w:val="0"/>
      <w:keepNext w:val="0"/>
      <w:spacing w:before="0" w:beforeAutospacing="0" w:after="0" w:afterAutospacing="0" w:line="570" w:lineRule="exact"/>
      <w:widowControl w:val="off"/>
      <w:suppressLineNumbers w:val="0"/>
    </w:pPr>
    <w:rPr>
      <w:rFonts w:ascii="Times New Roman" w:hAnsi="Times New Roman" w:eastAsia="黑体" w:cs="Times New Roman"/>
      <w:color w:val="0d1e0f"/>
      <w:sz w:val="32"/>
      <w:szCs w:val="32"/>
      <w:lang w:val="en-US" w:eastAsia="zh-CN" w:bidi="ar"/>
    </w:rPr>
  </w:style>
  <w:style w:type="character" w:styleId="1403">
    <w:name w:val="16"/>
    <w:basedOn w:val="1136"/>
    <w:next w:val="1403"/>
    <w:link w:val="1126"/>
    <w:rPr>
      <w:rFonts w:ascii="Times New Roman" w:hAnsi="Times New Roman" w:cs="Times New Roman"/>
    </w:rPr>
  </w:style>
  <w:style w:type="character" w:styleId="1404">
    <w:name w:val="font41"/>
    <w:basedOn w:val="1136"/>
    <w:next w:val="1404"/>
    <w:link w:val="1126"/>
    <w:qFormat/>
    <w:rPr>
      <w:rFonts w:hint="eastAsia" w:ascii="宋体" w:hAnsi="宋体" w:eastAsia="宋体" w:cs="宋体"/>
      <w:color w:val="000000"/>
      <w:sz w:val="24"/>
      <w:szCs w:val="24"/>
      <w:u w:val="single"/>
    </w:rPr>
  </w:style>
  <w:style w:type="paragraph" w:styleId="1405">
    <w:name w:val="Table Text"/>
    <w:basedOn w:val="1126"/>
    <w:next w:val="1405"/>
    <w:link w:val="1126"/>
    <w:semiHidden/>
    <w:qFormat/>
    <w:rPr>
      <w:rFonts w:ascii="Times New Roman" w:hAnsi="Times New Roman" w:eastAsia="Times New Roman"/>
      <w:sz w:val="19"/>
      <w:szCs w:val="19"/>
      <w:lang w:eastAsia="en-US"/>
    </w:rPr>
  </w:style>
  <w:style w:type="character" w:styleId="1406" w:default="1">
    <w:name w:val="Default Paragraph Font"/>
    <w:uiPriority w:val="1"/>
    <w:semiHidden/>
    <w:unhideWhenUsed/>
  </w:style>
  <w:style w:type="numbering" w:styleId="1407" w:default="1">
    <w:name w:val="No List"/>
    <w:uiPriority w:val="99"/>
    <w:semiHidden/>
    <w:unhideWhenUsed/>
  </w:style>
  <w:style w:type="table" w:styleId="14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刘欢</cp:lastModifiedBy>
  <cp:revision>8</cp:revision>
  <dcterms:created xsi:type="dcterms:W3CDTF">2023-09-18T17:00:00Z</dcterms:created>
  <dcterms:modified xsi:type="dcterms:W3CDTF">2026-09-09T07:21:58Z</dcterms:modified>
</cp:coreProperties>
</file>