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690"/>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p>
    <w:p>
      <w:pPr>
        <w:pStyle w:val="690"/>
        <w:ind w:firstLine="1280"/>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rPr>
        <w:t xml:space="preserve">南通市海门区中医院采购康复设备项目</w:t>
      </w:r>
      <w:r>
        <w:rPr>
          <w:rFonts w:hint="eastAsia" w:ascii="Arial" w:hAnsi="Arial"/>
          <w:b/>
          <w:bCs/>
          <w:color w:val="000000"/>
          <w:sz w:val="32"/>
          <w:szCs w:val="24"/>
          <w:highlight w:val="none"/>
        </w:rPr>
      </w:r>
      <w:r/>
    </w:p>
    <w:p>
      <w:pPr>
        <w:pStyle w:val="690"/>
        <w:ind w:firstLine="1280"/>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rPr>
        <w:tab/>
      </w:r>
      <w:r>
        <w:rPr>
          <w:rFonts w:hint="eastAsia" w:ascii="Arial" w:hAnsi="Arial"/>
          <w:b/>
          <w:bCs/>
          <w:color w:val="000000"/>
          <w:sz w:val="32"/>
          <w:szCs w:val="24"/>
          <w:highlight w:val="none"/>
        </w:rPr>
        <w:t xml:space="preserve">JSZC-320614-JSHY-G2026-0188</w:t>
      </w:r>
      <w:r>
        <w:rPr>
          <w:rFonts w:ascii="Arial" w:hAnsi="Arial"/>
          <w:b/>
          <w:bCs/>
          <w:color w:val="000000"/>
          <w:sz w:val="32"/>
          <w:szCs w:val="24"/>
          <w:highlight w:val="none"/>
        </w:rPr>
      </w:r>
      <w:r/>
    </w:p>
    <w:p>
      <w:pPr>
        <w:pStyle w:val="690"/>
        <w:ind w:left="2800" w:hanging="2800"/>
        <w:rPr>
          <w:b/>
          <w:color w:val="000000"/>
          <w:sz w:val="28"/>
          <w:szCs w:val="28"/>
          <w:highlight w:val="none"/>
        </w:rPr>
      </w:pPr>
      <w:r>
        <w:rPr>
          <w:rFonts w:hint="eastAsia"/>
          <w:color w:val="000000"/>
          <w:sz w:val="28"/>
          <w:szCs w:val="28"/>
          <w:highlight w:val="none"/>
        </w:rPr>
        <w:t xml:space="preserve">     </w:t>
      </w:r>
      <w:r>
        <w:rPr>
          <w:rFonts w:hint="eastAsia"/>
          <w:color w:val="000000"/>
          <w:sz w:val="28"/>
          <w:szCs w:val="28"/>
          <w:highlight w:val="none"/>
        </w:rPr>
        <w:t xml:space="preserve">  </w:t>
      </w:r>
      <w:r>
        <w:rPr>
          <w:rFonts w:hint="eastAsia"/>
          <w:b/>
          <w:color w:val="000000"/>
          <w:sz w:val="28"/>
          <w:szCs w:val="28"/>
          <w:highlight w:val="none"/>
        </w:rPr>
        <w:t xml:space="preserve"> </w:t>
      </w:r>
      <w:r>
        <w:rPr>
          <w:b/>
          <w:color w:val="000000"/>
          <w:sz w:val="28"/>
          <w:szCs w:val="28"/>
          <w:highlight w:val="none"/>
        </w:rPr>
      </w:r>
      <w:r/>
    </w:p>
    <w:p>
      <w:pPr>
        <w:pStyle w:val="690"/>
        <w:ind w:left="2295" w:hanging="1560"/>
        <w:jc w:val="center"/>
        <w:rPr>
          <w:rFonts w:hint="eastAsia"/>
          <w:b/>
          <w:color w:val="000000"/>
          <w:sz w:val="24"/>
          <w:szCs w:val="24"/>
          <w:highlight w:val="none"/>
        </w:rPr>
      </w:pPr>
      <w:r>
        <w:rPr>
          <w:rFonts w:hint="eastAsia"/>
          <w:b/>
          <w:color w:val="000000"/>
          <w:sz w:val="24"/>
          <w:szCs w:val="24"/>
          <w:highlight w:val="none"/>
        </w:rPr>
      </w:r>
      <w:r/>
    </w:p>
    <w:p>
      <w:pPr>
        <w:pStyle w:val="690"/>
        <w:rPr>
          <w:rFonts w:hint="eastAsia"/>
          <w:b/>
          <w:color w:val="000000"/>
          <w:sz w:val="24"/>
          <w:szCs w:val="24"/>
          <w:highlight w:val="none"/>
        </w:rPr>
      </w:pPr>
      <w:r>
        <w:rPr>
          <w:rFonts w:hint="eastAsia"/>
          <w:b/>
          <w:color w:val="000000"/>
          <w:sz w:val="24"/>
          <w:szCs w:val="24"/>
          <w:highlight w:val="none"/>
        </w:rPr>
      </w:r>
      <w:r/>
    </w:p>
    <w:p>
      <w:pPr>
        <w:pStyle w:val="6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江苏弘业国际技术工程有限公司</w:t>
      </w:r>
      <w:r>
        <w:rPr>
          <w:rFonts w:hint="eastAsia" w:ascii="Arial" w:hAnsi="Arial"/>
          <w:b/>
          <w:bCs/>
          <w:color w:val="000000"/>
          <w:sz w:val="32"/>
          <w:szCs w:val="24"/>
          <w:highlight w:val="none"/>
        </w:rPr>
      </w:r>
      <w:r/>
    </w:p>
    <w:p>
      <w:pPr>
        <w:pStyle w:val="690"/>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二〇二六年</w:t>
      </w:r>
      <w:r>
        <w:rPr>
          <w:rFonts w:hint="eastAsia" w:ascii="Arial" w:hAnsi="Arial"/>
          <w:b/>
          <w:bCs/>
          <w:color w:val="000000"/>
          <w:sz w:val="32"/>
          <w:szCs w:val="24"/>
          <w:highlight w:val="none"/>
          <w:lang w:val="en-US" w:eastAsia="zh-CN"/>
        </w:rPr>
        <w:t xml:space="preserve">九</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rPr>
      </w:r>
      <w:r/>
    </w:p>
    <w:p>
      <w:pPr>
        <w:pStyle w:val="690"/>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690"/>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690"/>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690"/>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690"/>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690"/>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690"/>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690"/>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690"/>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690"/>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jc w:val="center"/>
        <w:keepNext/>
        <w:rPr>
          <w:rFonts w:hint="eastAsia" w:ascii="黑体" w:eastAsia="黑体"/>
          <w:bCs/>
          <w:color w:val="000000"/>
          <w:sz w:val="44"/>
          <w:szCs w:val="44"/>
          <w:highlight w:val="none"/>
        </w:rPr>
        <w:outlineLvl w:val="0"/>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rPr>
          <w:rFonts w:hint="eastAsia" w:ascii="黑体" w:eastAsia="黑体"/>
          <w:bCs/>
          <w:color w:val="000000"/>
          <w:sz w:val="44"/>
          <w:szCs w:val="4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受〔南通市海门区中医院〕的委托，江苏弘业国际技术工程有限公司就南通市海门区中医院采购康复设备项目(</w:t>
      </w:r>
      <w:r>
        <w:rPr>
          <w:rFonts w:hint="eastAsia" w:ascii="宋体" w:hAnsi="宋体"/>
          <w:color w:val="000000"/>
          <w:sz w:val="24"/>
          <w:szCs w:val="24"/>
          <w:highlight w:val="none"/>
          <w:lang w:eastAsia="zh-CN"/>
        </w:rPr>
        <w:t xml:space="preserve">JSZC-320614-JSHY-G2026-0188</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南通市海门区中医院采购康复设备项目</w:t>
      </w:r>
      <w:r>
        <w:rPr>
          <w:rFonts w:hint="eastAsia" w:ascii="宋体" w:hAnsi="宋体"/>
          <w:color w:val="000000"/>
          <w:sz w:val="24"/>
          <w:szCs w:val="24"/>
          <w:highlight w:val="none"/>
        </w:rPr>
        <w:t xml:space="preserve"> 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2026年</w:t>
      </w:r>
      <w:r>
        <w:rPr>
          <w:rFonts w:hint="eastAsia" w:ascii="宋体" w:hAnsi="宋体"/>
          <w:color w:val="000000"/>
          <w:sz w:val="24"/>
          <w:szCs w:val="24"/>
          <w:highlight w:val="none"/>
          <w:u w:val="single"/>
        </w:rPr>
        <w:t xml:space="preserve">9</w:t>
      </w:r>
      <w:r>
        <w:rPr>
          <w:rFonts w:hint="eastAsia" w:ascii="宋体" w:hAnsi="宋体"/>
          <w:color w:val="000000"/>
          <w:sz w:val="24"/>
          <w:szCs w:val="24"/>
          <w:highlight w:val="none"/>
          <w:u w:val="single"/>
        </w:rPr>
        <w:t xml:space="preserve">月</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8</w:t>
      </w:r>
      <w:r>
        <w:rPr>
          <w:rFonts w:hint="eastAsia" w:ascii="宋体" w:hAnsi="宋体"/>
          <w:color w:val="000000"/>
          <w:sz w:val="24"/>
          <w:szCs w:val="24"/>
          <w:highlight w:val="none"/>
          <w:u w:val="single"/>
        </w:rPr>
        <w:t xml:space="preserve">日</w:t>
      </w:r>
      <w:r>
        <w:rPr>
          <w:rFonts w:hint="eastAsia" w:ascii="宋体" w:hAnsi="宋体"/>
          <w:color w:val="000000"/>
          <w:sz w:val="24"/>
          <w:szCs w:val="24"/>
          <w:highlight w:val="none"/>
          <w:u w:val="single"/>
        </w:rPr>
        <w:t xml:space="preserve">9</w:t>
      </w:r>
      <w:r>
        <w:rPr>
          <w:rFonts w:hint="eastAsia" w:ascii="宋体" w:hAnsi="宋体"/>
          <w:color w:val="000000"/>
          <w:sz w:val="24"/>
          <w:szCs w:val="24"/>
          <w:highlight w:val="none"/>
          <w:u w:val="single"/>
        </w:rPr>
        <w:t xml:space="preserve">点30分</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90"/>
        <w:ind w:firstLine="496"/>
        <w:keepLines/>
        <w:keepNext/>
        <w:spacing w:before="156" w:after="156" w:line="400" w:lineRule="exact"/>
        <w:rPr>
          <w:b/>
          <w:bCs/>
          <w:color w:val="000000"/>
          <w:sz w:val="32"/>
          <w:szCs w:val="32"/>
          <w:highlight w:val="none"/>
        </w:rPr>
        <w:outlineLvl w:val="2"/>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b/>
          <w:bCs/>
          <w:color w:val="000000"/>
          <w:sz w:val="32"/>
          <w:szCs w:val="32"/>
          <w:highlight w:val="none"/>
        </w:rPr>
        <w:t xml:space="preserve">一、项目基本情况</w:t>
      </w:r>
      <w:bookmarkEnd w:id="6"/>
      <w:r/>
      <w:bookmarkEnd w:id="7"/>
      <w:r/>
      <w:bookmarkEnd w:id="8"/>
      <w:r/>
      <w:bookmarkEnd w:id="9"/>
      <w:r/>
      <w:bookmarkEnd w:id="10"/>
      <w:r>
        <w:rPr>
          <w:b/>
          <w:bCs/>
          <w:color w:val="000000"/>
          <w:sz w:val="32"/>
          <w:szCs w:val="32"/>
          <w:highlight w:val="none"/>
        </w:rPr>
      </w:r>
      <w:r/>
    </w:p>
    <w:p>
      <w:pPr>
        <w:pStyle w:val="690"/>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JSZC-320614-JSHY-G2026-0188</w:t>
      </w:r>
      <w:r>
        <w:rPr>
          <w:rFonts w:hint="eastAsia" w:ascii="宋体" w:hAnsi="宋体" w:eastAsia="宋体"/>
          <w:color w:val="000000"/>
          <w:sz w:val="24"/>
          <w:szCs w:val="24"/>
          <w:highlight w:val="none"/>
          <w:lang w:eastAsia="zh-CN"/>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2.项目名称：南通市海门区中医院采购康复设备项目</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bookmarkEnd w:id="11"/>
      <w:r>
        <w:rPr>
          <w:rFonts w:hint="eastAsia" w:ascii="宋体" w:hAnsi="宋体"/>
          <w:color w:val="000000"/>
          <w:sz w:val="24"/>
          <w:szCs w:val="24"/>
          <w:highlight w:val="none"/>
        </w:rPr>
        <w:t xml:space="preserve">3.预算金额：200万元</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：200万元</w:t>
      </w:r>
      <w:r>
        <w:rPr>
          <w:rFonts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r>
      <w:r/>
    </w:p>
    <w:tbl>
      <w:tblPr>
        <w:tblW w:w="9079"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737"/>
        <w:gridCol w:w="1345"/>
        <w:gridCol w:w="1995"/>
        <w:gridCol w:w="2820"/>
      </w:tblGrid>
      <w:tr>
        <w:trPr>
          <w:trHeight w:val="893"/>
        </w:trPr>
        <w:tc>
          <w:tcPr>
            <w:tcMar>
              <w:left w:w="108" w:type="dxa"/>
              <w:top w:w="0" w:type="dxa"/>
              <w:right w:w="108" w:type="dxa"/>
              <w:bottom w:w="0" w:type="dxa"/>
            </w:tcMar>
            <w:tcW w:w="1182"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项目包号</w:t>
            </w:r>
            <w:r>
              <w:rPr>
                <w:rFonts w:hint="eastAsia" w:ascii="宋体" w:hAnsi="宋体"/>
                <w:color w:val="000000"/>
                <w:sz w:val="24"/>
                <w:szCs w:val="24"/>
                <w:highlight w:val="none"/>
              </w:rPr>
            </w:r>
            <w:r/>
          </w:p>
        </w:tc>
        <w:tc>
          <w:tcPr>
            <w:tcMar>
              <w:left w:w="108" w:type="dxa"/>
              <w:top w:w="0" w:type="dxa"/>
              <w:right w:w="108" w:type="dxa"/>
              <w:bottom w:w="0" w:type="dxa"/>
            </w:tcMar>
            <w:tcW w:w="1737"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Mar>
              <w:left w:w="108" w:type="dxa"/>
              <w:top w:w="0" w:type="dxa"/>
              <w:right w:w="108" w:type="dxa"/>
              <w:bottom w:w="0" w:type="dxa"/>
            </w:tcMar>
            <w:tcW w:w="1345"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Mar>
              <w:left w:w="108" w:type="dxa"/>
              <w:top w:w="0" w:type="dxa"/>
              <w:right w:w="108" w:type="dxa"/>
              <w:bottom w:w="0" w:type="dxa"/>
            </w:tcMar>
            <w:tcW w:w="1995"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预算总价（万元）</w:t>
            </w:r>
            <w:r>
              <w:rPr>
                <w:rFonts w:hint="eastAsia" w:ascii="宋体" w:hAnsi="宋体"/>
                <w:color w:val="000000"/>
                <w:sz w:val="24"/>
                <w:szCs w:val="24"/>
                <w:highlight w:val="none"/>
              </w:rPr>
            </w:r>
            <w:r/>
          </w:p>
        </w:tc>
        <w:tc>
          <w:tcPr>
            <w:tcMar>
              <w:left w:w="108" w:type="dxa"/>
              <w:top w:w="0" w:type="dxa"/>
              <w:right w:w="108" w:type="dxa"/>
              <w:bottom w:w="0" w:type="dxa"/>
            </w:tcMar>
            <w:tcW w:w="2820" w:type="dxa"/>
            <w:vAlign w:val="center"/>
            <w:textDirection w:val="lrTb"/>
            <w:noWrap w:val="false"/>
          </w:tcPr>
          <w:p>
            <w:pPr>
              <w:pStyle w:val="690"/>
              <w:ind w:firstLine="48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技术需求</w:t>
            </w:r>
            <w:r>
              <w:rPr>
                <w:rFonts w:hint="eastAsia" w:ascii="宋体" w:hAnsi="宋体"/>
                <w:color w:val="000000"/>
                <w:sz w:val="24"/>
                <w:szCs w:val="24"/>
                <w:highlight w:val="none"/>
              </w:rPr>
            </w:r>
            <w:r/>
          </w:p>
        </w:tc>
      </w:tr>
      <w:tr>
        <w:trPr>
          <w:trHeight w:val="731"/>
        </w:trPr>
        <w:tc>
          <w:tcPr>
            <w:tcMar>
              <w:left w:w="108" w:type="dxa"/>
              <w:top w:w="0" w:type="dxa"/>
              <w:right w:w="108" w:type="dxa"/>
              <w:bottom w:w="0" w:type="dxa"/>
            </w:tcMar>
            <w:tcW w:w="1182" w:type="dxa"/>
            <w:vAlign w:val="center"/>
            <w:textDirection w:val="lrTb"/>
            <w:noWrap/>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Mar>
              <w:left w:w="108" w:type="dxa"/>
              <w:top w:w="0" w:type="dxa"/>
              <w:right w:w="108" w:type="dxa"/>
              <w:bottom w:w="0" w:type="dxa"/>
            </w:tcMar>
            <w:tcW w:w="1737"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康复设备</w:t>
            </w:r>
            <w:r>
              <w:rPr>
                <w:rFonts w:hint="eastAsia" w:ascii="宋体" w:hAnsi="宋体"/>
                <w:color w:val="000000"/>
                <w:sz w:val="24"/>
                <w:szCs w:val="24"/>
                <w:highlight w:val="none"/>
              </w:rPr>
            </w:r>
            <w:r/>
          </w:p>
        </w:tc>
        <w:tc>
          <w:tcPr>
            <w:tcMar>
              <w:left w:w="108" w:type="dxa"/>
              <w:top w:w="0" w:type="dxa"/>
              <w:right w:w="108" w:type="dxa"/>
              <w:bottom w:w="0" w:type="dxa"/>
            </w:tcMar>
            <w:tcW w:w="1345"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1批</w:t>
            </w:r>
            <w:r>
              <w:rPr>
                <w:rFonts w:hint="eastAsia" w:ascii="宋体" w:hAnsi="宋体"/>
                <w:color w:val="000000"/>
                <w:sz w:val="24"/>
                <w:szCs w:val="24"/>
                <w:highlight w:val="none"/>
              </w:rPr>
            </w:r>
            <w:r/>
          </w:p>
        </w:tc>
        <w:tc>
          <w:tcPr>
            <w:tcMar>
              <w:left w:w="108" w:type="dxa"/>
              <w:top w:w="0" w:type="dxa"/>
              <w:right w:w="108" w:type="dxa"/>
              <w:bottom w:w="0" w:type="dxa"/>
            </w:tcMar>
            <w:tcW w:w="1995" w:type="dxa"/>
            <w:vAlign w:val="center"/>
            <w:textDirection w:val="lrTb"/>
            <w:noWrap w:val="false"/>
          </w:tcPr>
          <w:p>
            <w:pPr>
              <w:pStyle w:val="690"/>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200</w:t>
            </w:r>
            <w:r>
              <w:rPr>
                <w:rFonts w:ascii="宋体" w:hAnsi="宋体"/>
                <w:color w:val="000000"/>
                <w:sz w:val="24"/>
                <w:szCs w:val="24"/>
                <w:highlight w:val="none"/>
              </w:rPr>
            </w:r>
            <w:r/>
          </w:p>
        </w:tc>
        <w:tc>
          <w:tcPr>
            <w:tcMar>
              <w:left w:w="108" w:type="dxa"/>
              <w:top w:w="0" w:type="dxa"/>
              <w:right w:w="108" w:type="dxa"/>
              <w:bottom w:w="0" w:type="dxa"/>
            </w:tcMar>
            <w:tcW w:w="2820" w:type="dxa"/>
            <w:vAlign w:val="center"/>
            <w:textDirection w:val="lrTb"/>
            <w:noWrap w:val="false"/>
          </w:tcPr>
          <w:p>
            <w:pPr>
              <w:pStyle w:val="690"/>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详见本招标文件第四章</w:t>
            </w:r>
            <w:r>
              <w:rPr>
                <w:rFonts w:ascii="宋体" w:hAnsi="宋体"/>
                <w:color w:val="000000"/>
                <w:sz w:val="24"/>
                <w:szCs w:val="24"/>
                <w:highlight w:val="none"/>
              </w:rPr>
            </w:r>
            <w:r/>
          </w:p>
        </w:tc>
      </w:tr>
    </w:tbl>
    <w:p>
      <w:pPr>
        <w:pStyle w:val="690"/>
        <w:numPr>
          <w:ilvl w:val="0"/>
          <w:numId w:val="5"/>
        </w:numPr>
        <w:ind w:firstLine="480"/>
        <w:spacing w:line="400" w:lineRule="exact"/>
        <w:tabs>
          <w:tab w:val="left" w:pos="31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合同履行期限：详见项目需求</w:t>
      </w:r>
      <w:r>
        <w:rPr>
          <w:rFonts w:hint="eastAsia" w:ascii="宋体" w:hAnsi="宋体"/>
          <w:color w:val="000000"/>
          <w:sz w:val="24"/>
          <w:szCs w:val="24"/>
          <w:highlight w:val="none"/>
        </w:rPr>
      </w:r>
      <w:r/>
    </w:p>
    <w:p>
      <w:pPr>
        <w:pStyle w:val="690"/>
        <w:numPr>
          <w:ilvl w:val="0"/>
          <w:numId w:val="5"/>
        </w:numPr>
        <w:ind w:firstLine="480"/>
        <w:spacing w:line="400" w:lineRule="exact"/>
        <w:tabs>
          <w:tab w:val="left" w:pos="31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本项目（不接受）联合体投标</w:t>
      </w:r>
      <w:r>
        <w:rPr>
          <w:rFonts w:hint="eastAsia" w:ascii="宋体" w:hAnsi="宋体"/>
          <w:color w:val="000000"/>
          <w:sz w:val="24"/>
          <w:szCs w:val="24"/>
          <w:highlight w:val="none"/>
        </w:rPr>
      </w:r>
      <w:r/>
    </w:p>
    <w:p>
      <w:pPr>
        <w:pStyle w:val="690"/>
        <w:ind w:firstLine="496"/>
        <w:keepLines/>
        <w:keepNext/>
        <w:spacing w:before="156" w:after="156" w:line="360" w:lineRule="auto"/>
        <w:rPr>
          <w:b/>
          <w:bCs/>
          <w:color w:val="000000"/>
          <w:sz w:val="32"/>
          <w:szCs w:val="32"/>
          <w:highlight w:val="none"/>
        </w:rPr>
        <w:outlineLvl w:val="2"/>
      </w:pPr>
      <w:r/>
      <w:bookmarkStart w:id="12" w:name="_Toc28359003"/>
      <w:r/>
      <w:bookmarkStart w:id="13" w:name="_Toc35393791"/>
      <w:r/>
      <w:bookmarkStart w:id="14" w:name="_Toc38985264"/>
      <w:r/>
      <w:bookmarkStart w:id="15" w:name="_Toc35393622"/>
      <w:r/>
      <w:bookmarkStart w:id="16" w:name="_Toc28359080"/>
      <w:r>
        <w:rPr>
          <w:rFonts w:hint="eastAsia"/>
          <w:b/>
          <w:bCs/>
          <w:color w:val="000000"/>
          <w:sz w:val="32"/>
          <w:szCs w:val="32"/>
          <w:highlight w:val="none"/>
        </w:rPr>
        <w:t xml:space="preserve">二、申请人的资格要求</w:t>
      </w:r>
      <w:bookmarkEnd w:id="12"/>
      <w:r/>
      <w:bookmarkEnd w:id="13"/>
      <w:r/>
      <w:bookmarkEnd w:id="14"/>
      <w:r/>
      <w:bookmarkEnd w:id="15"/>
      <w:r/>
      <w:bookmarkEnd w:id="16"/>
      <w:r>
        <w:rPr>
          <w:b/>
          <w:bCs/>
          <w:color w:val="000000"/>
          <w:sz w:val="32"/>
          <w:szCs w:val="32"/>
          <w:highlight w:val="none"/>
        </w:rPr>
      </w:r>
      <w:r/>
    </w:p>
    <w:p>
      <w:pPr>
        <w:pStyle w:val="690"/>
        <w:ind w:firstLine="560"/>
        <w:spacing w:line="400" w:lineRule="exact"/>
        <w:rPr>
          <w:rFonts w:hint="eastAsia" w:ascii="宋体" w:hAnsi="宋体"/>
          <w:color w:val="000000"/>
          <w:sz w:val="28"/>
          <w:szCs w:val="28"/>
          <w:highlight w:val="none"/>
        </w:rPr>
      </w:pPr>
      <w:r/>
      <w:bookmarkStart w:id="17" w:name="_Toc38985265"/>
      <w:r/>
      <w:bookmarkStart w:id="18" w:name="_Toc35393792"/>
      <w:r/>
      <w:bookmarkStart w:id="19" w:name="_Toc28359004"/>
      <w:r/>
      <w:bookmarkStart w:id="20" w:name="_Toc35393623"/>
      <w:r/>
      <w:bookmarkStart w:id="21" w:name="_Toc28359081"/>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rPr>
          <w:rFonts w:hint="eastAsia" w:ascii="宋体" w:hAnsi="宋体"/>
          <w:color w:val="000000"/>
          <w:sz w:val="28"/>
          <w:szCs w:val="28"/>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1.2上一年度的财务状况报告，至少包括资产负债表和利润表（成立不满一年无需提供）；</w:t>
      </w:r>
      <w:r>
        <w:rPr>
          <w:rFonts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690"/>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highlight w:val="none"/>
        </w:rPr>
      </w:r>
      <w:r/>
    </w:p>
    <w:p>
      <w:pPr>
        <w:pStyle w:val="690"/>
        <w:ind w:firstLine="480"/>
        <w:spacing w:line="4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w:t>
      </w:r>
      <w:r>
        <w:rPr>
          <w:rFonts w:hint="eastAsia" w:ascii="宋体" w:hAnsi="宋体"/>
          <w:b/>
          <w:bCs/>
          <w:color w:val="000000"/>
          <w:sz w:val="24"/>
          <w:szCs w:val="24"/>
          <w:highlight w:val="none"/>
        </w:rPr>
        <w:t xml:space="preserve">本项目为专门面向中小微企业项目，供应商必须在响应文件中提供中小企业声明函，否则作无效响应文件处理。</w:t>
      </w:r>
      <w:r>
        <w:rPr>
          <w:rFonts w:ascii="宋体" w:hAnsi="宋体" w:cs="宋体"/>
          <w:color w:val="000000"/>
          <w:sz w:val="24"/>
          <w:szCs w:val="24"/>
          <w:highlight w:val="none"/>
        </w:rPr>
      </w:r>
      <w:r/>
    </w:p>
    <w:p>
      <w:pPr>
        <w:pStyle w:val="690"/>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rPr>
          <w:rFonts w:ascii="宋体" w:hAnsi="宋体"/>
          <w:color w:val="000000"/>
          <w:sz w:val="28"/>
          <w:szCs w:val="28"/>
          <w:highlight w:val="none"/>
        </w:rPr>
      </w:r>
      <w:r/>
    </w:p>
    <w:p>
      <w:pPr>
        <w:pStyle w:val="690"/>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1.如投标产品为医疗器械：</w:t>
      </w:r>
      <w:r>
        <w:rPr>
          <w:rFonts w:hint="eastAsia" w:ascii="宋体" w:hAnsi="宋体" w:cs="宋体"/>
          <w:color w:val="000000"/>
          <w:sz w:val="24"/>
          <w:szCs w:val="24"/>
          <w:highlight w:val="none"/>
        </w:rPr>
      </w:r>
      <w:r/>
    </w:p>
    <w:p>
      <w:pPr>
        <w:pStyle w:val="690"/>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1.1.投标人须根据投标产品类别，提供有效的医疗器械产品注册证或产品备案凭证，投标时提供复印件加盖公章。</w:t>
      </w:r>
      <w:r>
        <w:rPr>
          <w:rFonts w:hint="eastAsia" w:ascii="宋体" w:hAnsi="宋体" w:cs="宋体"/>
          <w:color w:val="000000"/>
          <w:sz w:val="24"/>
          <w:szCs w:val="24"/>
          <w:highlight w:val="none"/>
        </w:rPr>
      </w:r>
      <w:r/>
    </w:p>
    <w:p>
      <w:pPr>
        <w:pStyle w:val="690"/>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1.2若投标人为代理商，须根据投标产品类别，提供有效的《医疗器械经营许可证》或医疗器械经营备案凭证，投标时提供复印件加盖公章。</w:t>
      </w:r>
      <w:r>
        <w:rPr>
          <w:rFonts w:hint="eastAsia" w:ascii="宋体" w:hAnsi="宋体" w:cs="宋体"/>
          <w:color w:val="000000"/>
          <w:sz w:val="24"/>
          <w:szCs w:val="24"/>
          <w:highlight w:val="none"/>
        </w:rPr>
      </w:r>
      <w:r/>
    </w:p>
    <w:p>
      <w:pPr>
        <w:pStyle w:val="690"/>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1.3.医疗器械生产企业投标本企业产品的，须提供《医疗器械生产许可证》，投标时提供复印件加盖公章。</w:t>
      </w:r>
      <w:r>
        <w:rPr>
          <w:rFonts w:hint="eastAsia" w:ascii="宋体" w:hAnsi="宋体" w:cs="宋体"/>
          <w:color w:val="000000"/>
          <w:sz w:val="24"/>
          <w:szCs w:val="24"/>
          <w:highlight w:val="none"/>
        </w:rPr>
      </w:r>
      <w:r/>
    </w:p>
    <w:p>
      <w:pPr>
        <w:pStyle w:val="690"/>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2.本项目不接受进口产品投标。</w:t>
      </w:r>
      <w:r>
        <w:rPr>
          <w:rFonts w:hint="eastAsia" w:ascii="宋体" w:hAnsi="宋体" w:cs="宋体"/>
          <w:color w:val="000000"/>
          <w:sz w:val="24"/>
          <w:szCs w:val="24"/>
          <w:highlight w:val="none"/>
        </w:rPr>
      </w:r>
      <w:r/>
    </w:p>
    <w:p>
      <w:pPr>
        <w:pStyle w:val="690"/>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olor w:val="000000"/>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ascii="宋体" w:hAnsi="宋体" w:cs="宋体"/>
          <w:color w:val="000000"/>
          <w:sz w:val="24"/>
          <w:szCs w:val="24"/>
          <w:highlight w:val="none"/>
        </w:rPr>
      </w:r>
      <w:r/>
    </w:p>
    <w:p>
      <w:pPr>
        <w:pStyle w:val="690"/>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rPr>
          <w:b/>
          <w:bCs/>
          <w:color w:val="000000"/>
          <w:sz w:val="32"/>
          <w:szCs w:val="32"/>
          <w:highlight w:val="none"/>
        </w:rPr>
      </w:r>
      <w:r/>
    </w:p>
    <w:p>
      <w:pPr>
        <w:pStyle w:val="690"/>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690"/>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u w:val="single"/>
        </w:rPr>
      </w:r>
      <w:r/>
    </w:p>
    <w:p>
      <w:pPr>
        <w:pStyle w:val="690"/>
        <w:ind w:firstLine="496"/>
        <w:keepLines/>
        <w:keepNext/>
        <w:spacing w:before="156" w:after="156" w:line="400" w:lineRule="exact"/>
        <w:rPr>
          <w:b/>
          <w:bCs/>
          <w:color w:val="000000"/>
          <w:sz w:val="32"/>
          <w:szCs w:val="32"/>
          <w:highlight w:val="none"/>
        </w:rPr>
        <w:outlineLvl w:val="2"/>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b/>
          <w:bCs/>
          <w:color w:val="000000"/>
          <w:sz w:val="32"/>
          <w:szCs w:val="32"/>
          <w:highlight w:val="none"/>
        </w:rPr>
        <w:t xml:space="preserve">四、提交投标文件</w:t>
      </w:r>
      <w:bookmarkEnd w:id="22"/>
      <w:r/>
      <w:bookmarkEnd w:id="23"/>
      <w:r>
        <w:rPr>
          <w:rFonts w:hint="eastAsia"/>
          <w:b/>
          <w:bCs/>
          <w:color w:val="000000"/>
          <w:sz w:val="32"/>
          <w:szCs w:val="32"/>
          <w:highlight w:val="none"/>
        </w:rPr>
        <w:t xml:space="preserve">截止时间、开标时间和地点</w:t>
      </w:r>
      <w:bookmarkEnd w:id="24"/>
      <w:r/>
      <w:bookmarkEnd w:id="25"/>
      <w:r/>
      <w:bookmarkEnd w:id="26"/>
      <w:r>
        <w:rPr>
          <w:b/>
          <w:bCs/>
          <w:color w:val="000000"/>
          <w:sz w:val="32"/>
          <w:szCs w:val="32"/>
          <w:highlight w:val="none"/>
        </w:rPr>
      </w:r>
      <w:r/>
    </w:p>
    <w:p>
      <w:pPr>
        <w:pStyle w:val="690"/>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t xml:space="preserve">2026年</w:t>
      </w:r>
      <w:r>
        <w:rPr>
          <w:rFonts w:hint="eastAsia" w:ascii="宋体" w:hAnsi="宋体"/>
          <w:bCs/>
          <w:color w:val="000000"/>
          <w:sz w:val="24"/>
          <w:szCs w:val="24"/>
          <w:highlight w:val="none"/>
        </w:rPr>
        <w:t xml:space="preserve">9</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rPr>
        <w:t xml:space="preserve">9</w:t>
      </w:r>
      <w:r>
        <w:rPr>
          <w:rFonts w:hint="eastAsia" w:ascii="宋体" w:hAnsi="宋体"/>
          <w:bCs/>
          <w:color w:val="000000"/>
          <w:sz w:val="24"/>
          <w:szCs w:val="24"/>
          <w:highlight w:val="none"/>
        </w:rPr>
        <w:t xml:space="preserve">点30</w:t>
      </w:r>
      <w:r>
        <w:rPr>
          <w:rFonts w:hint="eastAsia" w:ascii="宋体" w:hAnsi="宋体"/>
          <w:bCs/>
          <w:color w:val="000000"/>
          <w:sz w:val="24"/>
          <w:szCs w:val="24"/>
          <w:highlight w:val="none"/>
        </w:rPr>
        <w:t xml:space="preserve">分（北京时间）</w:t>
      </w:r>
      <w:r>
        <w:rPr>
          <w:rFonts w:ascii="宋体" w:hAnsi="宋体"/>
          <w:bCs/>
          <w:color w:val="000000"/>
          <w:sz w:val="24"/>
          <w:szCs w:val="24"/>
          <w:highlight w:val="none"/>
          <w:u w:val="singl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rPr>
          <w:rFonts w:ascii="宋体" w:hAnsi="宋体"/>
          <w:color w:val="000000"/>
          <w:sz w:val="24"/>
          <w:szCs w:val="24"/>
          <w:highlight w:val="none"/>
        </w:rPr>
      </w:r>
      <w:r/>
    </w:p>
    <w:p>
      <w:pPr>
        <w:pStyle w:val="690"/>
        <w:ind w:firstLine="496"/>
        <w:keepLines/>
        <w:keepNext/>
        <w:spacing w:before="156" w:after="156" w:line="360" w:lineRule="auto"/>
        <w:rPr>
          <w:b/>
          <w:bCs/>
          <w:color w:val="000000"/>
          <w:sz w:val="32"/>
          <w:szCs w:val="32"/>
          <w:highlight w:val="none"/>
        </w:rPr>
        <w:outlineLvl w:val="2"/>
      </w:pPr>
      <w:r/>
      <w:bookmarkStart w:id="27" w:name="_Toc28359007"/>
      <w:r/>
      <w:bookmarkStart w:id="28" w:name="_Toc35393794"/>
      <w:r/>
      <w:bookmarkStart w:id="29" w:name="_Toc28359084"/>
      <w:r/>
      <w:bookmarkStart w:id="30" w:name="_Toc38985267"/>
      <w:r/>
      <w:bookmarkStart w:id="31" w:name="_Toc35393625"/>
      <w:r>
        <w:rPr>
          <w:rFonts w:hint="eastAsia"/>
          <w:b/>
          <w:bCs/>
          <w:color w:val="000000"/>
          <w:sz w:val="32"/>
          <w:szCs w:val="32"/>
          <w:highlight w:val="none"/>
        </w:rPr>
        <w:t xml:space="preserve">五、公告期限</w:t>
      </w:r>
      <w:bookmarkEnd w:id="27"/>
      <w:r/>
      <w:bookmarkEnd w:id="28"/>
      <w:r/>
      <w:bookmarkEnd w:id="29"/>
      <w:r/>
      <w:bookmarkEnd w:id="30"/>
      <w:r/>
      <w:bookmarkEnd w:id="31"/>
      <w:r>
        <w:rPr>
          <w:b/>
          <w:bCs/>
          <w:color w:val="000000"/>
          <w:sz w:val="32"/>
          <w:szCs w:val="32"/>
          <w:highlight w:val="none"/>
        </w:rPr>
      </w:r>
      <w:r/>
    </w:p>
    <w:p>
      <w:pPr>
        <w:pStyle w:val="69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690"/>
        <w:ind w:firstLine="496"/>
        <w:keepLines/>
        <w:keepNext/>
        <w:spacing w:before="156" w:after="156" w:line="400" w:lineRule="exact"/>
        <w:rPr>
          <w:b/>
          <w:bCs/>
          <w:color w:val="000000"/>
          <w:sz w:val="32"/>
          <w:szCs w:val="32"/>
          <w:highlight w:val="none"/>
        </w:rPr>
        <w:outlineLvl w:val="2"/>
      </w:pPr>
      <w:r/>
      <w:bookmarkStart w:id="32" w:name="_Toc38985268"/>
      <w:r/>
      <w:bookmarkStart w:id="33" w:name="_Toc35393795"/>
      <w:r/>
      <w:bookmarkStart w:id="34" w:name="_Toc35393626"/>
      <w:r>
        <w:rPr>
          <w:rFonts w:hint="eastAsia"/>
          <w:b/>
          <w:bCs/>
          <w:color w:val="000000"/>
          <w:sz w:val="32"/>
          <w:szCs w:val="32"/>
          <w:highlight w:val="none"/>
        </w:rPr>
        <w:t xml:space="preserve">六、其他补充事宜</w:t>
      </w:r>
      <w:bookmarkEnd w:id="32"/>
      <w:r/>
      <w:bookmarkEnd w:id="33"/>
      <w:r/>
      <w:bookmarkEnd w:id="34"/>
      <w:r>
        <w:rPr>
          <w:b/>
          <w:bCs/>
          <w:color w:val="000000"/>
          <w:sz w:val="32"/>
          <w:szCs w:val="32"/>
          <w:highlight w:val="none"/>
        </w:rPr>
      </w:r>
      <w:r/>
    </w:p>
    <w:p>
      <w:pPr>
        <w:pStyle w:val="690"/>
        <w:ind w:firstLine="372"/>
        <w:keepLines/>
        <w:keepNext/>
        <w:spacing w:before="156" w:after="156" w:line="400" w:lineRule="exact"/>
        <w:rPr>
          <w:rFonts w:hint="eastAsia" w:ascii="宋体" w:hAnsi="宋体" w:cs="宋体"/>
          <w:color w:val="000000"/>
          <w:sz w:val="24"/>
          <w:szCs w:val="24"/>
          <w:highlight w:val="none"/>
        </w:rPr>
        <w:outlineLvl w:val="2"/>
      </w:pPr>
      <w:r/>
      <w:bookmarkStart w:id="35" w:name="_Toc28359085"/>
      <w:r/>
      <w:bookmarkStart w:id="36" w:name="_Toc38985269"/>
      <w:r/>
      <w:bookmarkStart w:id="37" w:name="_Toc35393796"/>
      <w:r/>
      <w:bookmarkStart w:id="38" w:name="_Toc28359008"/>
      <w:r/>
      <w:bookmarkStart w:id="39" w:name="_Toc35393627"/>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p>
      <w:pPr>
        <w:pStyle w:val="690"/>
        <w:ind w:firstLine="496"/>
        <w:keepLines/>
        <w:keepNext/>
        <w:spacing w:before="156" w:after="156" w:line="400" w:lineRule="exact"/>
        <w:rPr>
          <w:b/>
          <w:bCs/>
          <w:color w:val="000000"/>
          <w:sz w:val="32"/>
          <w:szCs w:val="32"/>
          <w:highlight w:val="none"/>
        </w:rPr>
        <w:outlineLvl w:val="2"/>
      </w:pPr>
      <w:r>
        <w:rPr>
          <w:rFonts w:hint="eastAsia"/>
          <w:b/>
          <w:bCs/>
          <w:color w:val="000000"/>
          <w:sz w:val="32"/>
          <w:szCs w:val="32"/>
          <w:highlight w:val="none"/>
        </w:rPr>
        <w:t xml:space="preserve">七、本次招标联系方式</w:t>
      </w:r>
      <w:bookmarkEnd w:id="35"/>
      <w:r/>
      <w:bookmarkEnd w:id="36"/>
      <w:r/>
      <w:bookmarkEnd w:id="37"/>
      <w:r/>
      <w:bookmarkEnd w:id="38"/>
      <w:r/>
      <w:bookmarkEnd w:id="39"/>
      <w:r>
        <w:rPr>
          <w:b/>
          <w:bCs/>
          <w:color w:val="000000"/>
          <w:sz w:val="32"/>
          <w:szCs w:val="32"/>
          <w:highlight w:val="none"/>
        </w:rPr>
      </w:r>
      <w:r/>
    </w:p>
    <w:p>
      <w:pPr>
        <w:pStyle w:val="690"/>
        <w:ind w:firstLine="480"/>
        <w:spacing w:line="440" w:lineRule="exact"/>
        <w:rPr>
          <w:rFonts w:ascii="宋体" w:hAnsi="宋体"/>
          <w:color w:val="000000"/>
          <w:sz w:val="24"/>
          <w:szCs w:val="24"/>
          <w:highlight w:val="none"/>
        </w:rPr>
      </w:pPr>
      <w:r/>
      <w:bookmarkStart w:id="40" w:name="_Toc28359010"/>
      <w:r/>
      <w:bookmarkStart w:id="41" w:name="_Toc28359087"/>
      <w:r>
        <w:rPr>
          <w:rFonts w:hint="eastAsia" w:ascii="宋体" w:hAnsi="宋体"/>
          <w:color w:val="000000"/>
          <w:sz w:val="24"/>
          <w:szCs w:val="24"/>
          <w:highlight w:val="none"/>
        </w:rPr>
        <w:t xml:space="preserve">1.采购人信息</w:t>
      </w:r>
      <w:r>
        <w:rPr>
          <w:rFonts w:ascii="宋体" w:hAnsi="宋体"/>
          <w:color w:val="000000"/>
          <w:sz w:val="24"/>
          <w:szCs w:val="24"/>
          <w:highlight w:val="none"/>
        </w:rPr>
      </w:r>
      <w:r/>
    </w:p>
    <w:p>
      <w:pPr>
        <w:pStyle w:val="690"/>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名称：南通市海门区中医院</w:t>
      </w:r>
      <w:r>
        <w:rPr>
          <w:rFonts w:hint="eastAsia" w:ascii="宋体" w:hAnsi="宋体"/>
          <w:color w:val="000000"/>
          <w:sz w:val="24"/>
          <w:szCs w:val="24"/>
          <w:highlight w:val="none"/>
        </w:rPr>
      </w:r>
      <w:r/>
    </w:p>
    <w:p>
      <w:pPr>
        <w:pStyle w:val="690"/>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地址：</w:t>
      </w:r>
      <w:r>
        <w:rPr>
          <w:rFonts w:hint="eastAsia" w:ascii="宋体" w:hAnsi="宋体" w:eastAsia="宋体" w:cs="Times New Roman"/>
          <w:color w:val="000000"/>
          <w:sz w:val="24"/>
          <w:szCs w:val="24"/>
          <w:highlight w:val="none"/>
          <w:lang w:val="en-US" w:eastAsia="zh-CN"/>
        </w:rPr>
        <w:t xml:space="preserve">南通市海门区</w:t>
      </w:r>
      <w:r>
        <w:rPr>
          <w:rFonts w:hint="eastAsia" w:ascii="宋体" w:hAnsi="宋体" w:eastAsia="宋体" w:cs="Times New Roman"/>
          <w:color w:val="000000"/>
          <w:sz w:val="24"/>
          <w:szCs w:val="24"/>
          <w:highlight w:val="none"/>
        </w:rPr>
        <w:t xml:space="preserve">河海路1号 </w:t>
      </w:r>
      <w:r>
        <w:rPr>
          <w:rFonts w:hint="eastAsia" w:ascii="宋体" w:hAnsi="宋体" w:eastAsia="宋体" w:cs="Times New Roman"/>
          <w:color w:val="000000"/>
          <w:sz w:val="24"/>
          <w:szCs w:val="24"/>
          <w:highlight w:val="none"/>
        </w:rPr>
      </w:r>
      <w:r/>
    </w:p>
    <w:p>
      <w:pPr>
        <w:pStyle w:val="690"/>
        <w:ind w:firstLine="480"/>
        <w:spacing w:line="44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联系人：</w:t>
      </w:r>
      <w:r>
        <w:rPr>
          <w:rFonts w:hint="eastAsia" w:ascii="宋体" w:hAnsi="宋体" w:eastAsia="宋体" w:cs="Times New Roman"/>
          <w:color w:val="000000"/>
          <w:sz w:val="24"/>
          <w:szCs w:val="24"/>
          <w:highlight w:val="none"/>
          <w:lang w:val="en-US" w:eastAsia="zh-CN"/>
        </w:rPr>
        <w:t xml:space="preserve">郁先生</w:t>
      </w:r>
      <w:r>
        <w:rPr>
          <w:rFonts w:ascii="宋体" w:hAnsi="宋体" w:eastAsia="宋体" w:cs="Times New Roman"/>
          <w:color w:val="000000"/>
          <w:sz w:val="24"/>
          <w:szCs w:val="24"/>
          <w:highlight w:val="none"/>
          <w:lang w:val="en-US" w:eastAsia="zh-CN"/>
        </w:rPr>
      </w:r>
      <w:r/>
    </w:p>
    <w:p>
      <w:pPr>
        <w:pStyle w:val="690"/>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联系方式： 0513-82113523 </w:t>
      </w:r>
      <w:r>
        <w:rPr>
          <w:rFonts w:hint="eastAsia" w:ascii="宋体" w:hAnsi="宋体" w:eastAsia="宋体" w:cs="Times New Roman"/>
          <w:color w:val="000000"/>
          <w:sz w:val="24"/>
          <w:szCs w:val="24"/>
          <w:highlight w:val="none"/>
        </w:rPr>
      </w:r>
      <w:r/>
    </w:p>
    <w:p>
      <w:pPr>
        <w:pStyle w:val="690"/>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2.采购代理机构信息</w:t>
      </w:r>
      <w:r>
        <w:rPr>
          <w:rFonts w:ascii="宋体" w:hAnsi="宋体"/>
          <w:color w:val="000000"/>
          <w:sz w:val="24"/>
          <w:szCs w:val="24"/>
          <w:highlight w:val="none"/>
        </w:rPr>
      </w:r>
      <w:r/>
    </w:p>
    <w:p>
      <w:pPr>
        <w:pStyle w:val="690"/>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名称：江苏弘业国际技术工程有限公司</w:t>
      </w:r>
      <w:r>
        <w:rPr>
          <w:rFonts w:hint="eastAsia" w:ascii="宋体" w:hAnsi="宋体"/>
          <w:color w:val="000000"/>
          <w:sz w:val="24"/>
          <w:szCs w:val="24"/>
          <w:highlight w:val="none"/>
        </w:rPr>
      </w:r>
      <w:r/>
    </w:p>
    <w:p>
      <w:pPr>
        <w:pStyle w:val="690"/>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地址：南通市海门区光华大厦A座707室</w:t>
      </w:r>
      <w:r>
        <w:rPr>
          <w:rFonts w:ascii="宋体" w:hAnsi="宋体"/>
          <w:color w:val="000000"/>
          <w:sz w:val="24"/>
          <w:szCs w:val="24"/>
          <w:highlight w:val="none"/>
        </w:rPr>
      </w:r>
      <w:r/>
    </w:p>
    <w:p>
      <w:pPr>
        <w:pStyle w:val="690"/>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联系方式：茅女士15951603205/王女士 18352665859</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邮箱：hollyzbzy@artall.com</w:t>
      </w:r>
      <w:r>
        <w:rPr>
          <w:rFonts w:ascii="宋体" w:hAnsi="宋体"/>
          <w:color w:val="000000"/>
          <w:sz w:val="24"/>
          <w:szCs w:val="24"/>
          <w:highlight w:val="none"/>
        </w:rPr>
      </w:r>
      <w:r/>
    </w:p>
    <w:p>
      <w:pPr>
        <w:pStyle w:val="690"/>
        <w:ind w:firstLine="496"/>
        <w:keepLines/>
        <w:keepNext/>
        <w:spacing w:before="156" w:after="156" w:line="360" w:lineRule="auto"/>
        <w:rPr>
          <w:b/>
          <w:bCs/>
          <w:color w:val="000000"/>
          <w:sz w:val="32"/>
          <w:szCs w:val="32"/>
          <w:highlight w:val="none"/>
        </w:rPr>
        <w:outlineLvl w:val="2"/>
      </w:pPr>
      <w:r/>
      <w:bookmarkEnd w:id="40"/>
      <w:r/>
      <w:bookmarkEnd w:id="41"/>
      <w:r>
        <w:rPr>
          <w:rFonts w:hint="eastAsia"/>
          <w:b/>
          <w:bCs/>
          <w:color w:val="000000"/>
          <w:sz w:val="32"/>
          <w:szCs w:val="32"/>
          <w:highlight w:val="none"/>
        </w:rPr>
        <w:t xml:space="preserve">八、其他</w:t>
      </w:r>
      <w:r>
        <w:rPr>
          <w:b/>
          <w:bCs/>
          <w:color w:val="000000"/>
          <w:sz w:val="32"/>
          <w:szCs w:val="32"/>
          <w:highlight w:val="none"/>
        </w:rPr>
      </w:r>
      <w:r/>
    </w:p>
    <w:p>
      <w:pPr>
        <w:pStyle w:val="690"/>
        <w:ind w:firstLine="480"/>
        <w:jc w:val="left"/>
        <w:spacing w:line="400" w:lineRule="exact"/>
        <w:tabs>
          <w:tab w:val="left" w:pos="900" w:leader="none"/>
        </w:tabs>
        <w:rPr>
          <w:rFonts w:ascii="宋体" w:hAns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szCs w:val="21"/>
          <w:highlight w:val="none"/>
        </w:rPr>
        <w:t xml:space="preserve">http://www.ccgp-jiangsu.gov.cn/jiangsu/zlxz/ee/ee3a4bc5a3454aa2b0d9312230633ce9.html。</w:t>
      </w:r>
      <w:r>
        <w:rPr>
          <w:rFonts w:ascii="宋体" w:hAnsi="宋体"/>
          <w:bCs/>
          <w:color w:val="000000"/>
          <w:sz w:val="24"/>
          <w:szCs w:val="24"/>
          <w:highlight w:val="none"/>
        </w:rPr>
      </w:r>
      <w:r/>
    </w:p>
    <w:p>
      <w:pPr>
        <w:pStyle w:val="690"/>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rPr>
          <w:rFonts w:ascii="宋体" w:hAnsi="宋体"/>
          <w:bCs/>
          <w:color w:val="000000"/>
          <w:sz w:val="24"/>
          <w:szCs w:val="24"/>
          <w:highlight w:val="none"/>
        </w:rPr>
      </w:r>
      <w:r/>
    </w:p>
    <w:p>
      <w:pPr>
        <w:pStyle w:val="690"/>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szCs w:val="21"/>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rPr>
          <w:rFonts w:hint="eastAsia" w:ascii="宋体" w:hAnsi="宋体"/>
          <w:bCs/>
          <w:color w:val="000000"/>
          <w:sz w:val="24"/>
          <w:szCs w:val="24"/>
          <w:highlight w:val="none"/>
        </w:rPr>
      </w:r>
      <w:r/>
    </w:p>
    <w:p>
      <w:pPr>
        <w:pStyle w:val="690"/>
        <w:ind w:firstLine="480"/>
        <w:spacing w:line="4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.有关本次招标的事项若存在变动或修改，敬请及时关注江苏弘业国际技术工程有限公司在“江苏政府采购网”发布的更正公告。</w:t>
      </w:r>
      <w:r>
        <w:rPr>
          <w:rFonts w:hint="eastAsia" w:ascii="宋体" w:hAnsi="宋体"/>
          <w:bCs/>
          <w:color w:val="000000"/>
          <w:sz w:val="24"/>
          <w:szCs w:val="24"/>
          <w:highlight w:val="none"/>
        </w:rPr>
      </w:r>
      <w:r/>
    </w:p>
    <w:p>
      <w:pPr>
        <w:pStyle w:val="690"/>
        <w:ind w:firstLine="480"/>
        <w:spacing w:line="4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690"/>
        <w:ind w:right="840"/>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color w:val="000000"/>
          <w:sz w:val="24"/>
          <w:szCs w:val="24"/>
          <w:highlight w:val="none"/>
        </w:rPr>
      </w:r>
      <w:r/>
    </w:p>
    <w:p>
      <w:pPr>
        <w:pStyle w:val="690"/>
        <w:ind w:firstLine="2420"/>
        <w:keepLines/>
        <w:keepNext/>
        <w:spacing w:before="260" w:after="260" w:line="416" w:lineRule="auto"/>
        <w:rPr>
          <w:rFonts w:hint="eastAsia" w:ascii="黑体" w:hAnsi="Arial" w:eastAsia="黑体" w:cs="Arial"/>
          <w:color w:val="000000"/>
          <w:sz w:val="44"/>
          <w:szCs w:val="44"/>
          <w:highlight w:val="none"/>
        </w:rPr>
        <w:outlineLvl w:val="1"/>
      </w:pPr>
      <w:r/>
      <w:bookmarkStart w:id="42" w:name="_Toc120614211"/>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Arial" w:eastAsia="黑体" w:cs="Arial"/>
          <w:b/>
          <w:bCs/>
          <w:color w:val="000000"/>
          <w:sz w:val="44"/>
          <w:szCs w:val="44"/>
          <w:highlight w:val="none"/>
        </w:rPr>
        <w:t xml:space="preserve">投标人须知</w:t>
      </w:r>
      <w:bookmarkEnd w:id="43"/>
      <w:r/>
      <w:bookmarkEnd w:id="44"/>
      <w:r/>
      <w:bookmarkEnd w:id="45"/>
      <w:r/>
      <w:bookmarkEnd w:id="46"/>
      <w:r>
        <w:rPr>
          <w:rFonts w:hint="eastAsia" w:ascii="黑体" w:hAnsi="Arial" w:eastAsia="黑体" w:cs="Arial"/>
          <w:color w:val="000000"/>
          <w:sz w:val="44"/>
          <w:szCs w:val="44"/>
          <w:highlight w:val="none"/>
        </w:rPr>
      </w:r>
      <w:r/>
    </w:p>
    <w:p>
      <w:pPr>
        <w:pStyle w:val="690"/>
        <w:ind w:firstLine="496"/>
        <w:keepLines/>
        <w:keepNext/>
        <w:spacing w:before="156" w:after="156" w:line="400" w:lineRule="exact"/>
        <w:rPr>
          <w:rFonts w:hint="eastAsia"/>
          <w:b/>
          <w:bCs/>
          <w:color w:val="000000"/>
          <w:sz w:val="32"/>
          <w:szCs w:val="32"/>
          <w:highlight w:val="none"/>
        </w:rPr>
        <w:outlineLvl w:val="2"/>
      </w:pPr>
      <w:r/>
      <w:bookmarkStart w:id="47" w:name="_Toc513029203"/>
      <w:r/>
      <w:bookmarkStart w:id="48" w:name="_Toc20823275"/>
      <w:r/>
      <w:bookmarkStart w:id="49" w:name="_Toc16938519"/>
      <w:r/>
      <w:bookmarkStart w:id="50" w:name="_Toc120614214"/>
      <w:r>
        <w:rPr>
          <w:rFonts w:hint="eastAsia"/>
          <w:b/>
          <w:bCs/>
          <w:color w:val="000000"/>
          <w:sz w:val="32"/>
          <w:szCs w:val="32"/>
          <w:highlight w:val="none"/>
        </w:rPr>
        <w:t xml:space="preserve">一、总则</w:t>
      </w:r>
      <w:bookmarkEnd w:id="47"/>
      <w:r/>
      <w:bookmarkEnd w:id="48"/>
      <w:r/>
      <w:bookmarkEnd w:id="49"/>
      <w:r/>
      <w:bookmarkEnd w:id="50"/>
      <w:r>
        <w:rPr>
          <w:rFonts w:hint="eastAsia"/>
          <w:b/>
          <w:bCs/>
          <w:color w:val="000000"/>
          <w:sz w:val="32"/>
          <w:szCs w:val="32"/>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51" w:name="_Hlt16619475"/>
      <w:r/>
      <w:bookmarkEnd w:id="51"/>
      <w:r/>
      <w:bookmarkStart w:id="52" w:name="_Toc458694821"/>
      <w:r/>
      <w:bookmarkStart w:id="53" w:name="_Toc16938520"/>
      <w:r/>
      <w:bookmarkStart w:id="54" w:name="_Toc20823276"/>
      <w:r/>
      <w:bookmarkStart w:id="55" w:name="_Toc513029204"/>
      <w:r>
        <w:rPr>
          <w:rFonts w:hint="eastAsia" w:ascii="Arial" w:hAnsi="Arial" w:eastAsia="黑体" w:cs="Arial"/>
          <w:color w:val="000000"/>
          <w:sz w:val="28"/>
          <w:szCs w:val="28"/>
          <w:highlight w:val="none"/>
        </w:rPr>
        <w:t xml:space="preserve">1</w:t>
      </w:r>
      <w:bookmarkEnd w:id="52"/>
      <w:r>
        <w:rPr>
          <w:rFonts w:hint="eastAsia" w:ascii="Arial" w:hAnsi="Arial" w:eastAsia="黑体" w:cs="Arial"/>
          <w:color w:val="000000"/>
          <w:sz w:val="28"/>
          <w:szCs w:val="28"/>
          <w:highlight w:val="none"/>
        </w:rPr>
        <w:t xml:space="preserve">、招标方式</w:t>
      </w:r>
      <w:bookmarkEnd w:id="53"/>
      <w:r/>
      <w:bookmarkEnd w:id="54"/>
      <w:r/>
      <w:bookmarkEnd w:id="55"/>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56" w:name="_Toc20823277"/>
      <w:r/>
      <w:bookmarkStart w:id="57" w:name="_Toc16938521"/>
      <w:r/>
      <w:bookmarkStart w:id="58" w:name="_Toc513029205"/>
      <w:r>
        <w:rPr>
          <w:rFonts w:hint="eastAsia" w:ascii="Arial" w:hAnsi="Arial" w:eastAsia="黑体" w:cs="Arial"/>
          <w:color w:val="000000"/>
          <w:sz w:val="28"/>
          <w:szCs w:val="28"/>
          <w:highlight w:val="none"/>
        </w:rPr>
        <w:t xml:space="preserve">2、合格的投标人</w:t>
      </w:r>
      <w:bookmarkEnd w:id="56"/>
      <w:r/>
      <w:bookmarkEnd w:id="57"/>
      <w:r/>
      <w:bookmarkEnd w:id="58"/>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59" w:name="_Toc20823278"/>
      <w:r/>
      <w:bookmarkStart w:id="60" w:name="_Toc513029206"/>
      <w:r/>
      <w:bookmarkStart w:id="61" w:name="_Toc16938522"/>
      <w:r>
        <w:rPr>
          <w:rFonts w:hint="eastAsia" w:ascii="Arial" w:hAnsi="Arial" w:eastAsia="黑体" w:cs="Arial"/>
          <w:color w:val="000000"/>
          <w:sz w:val="28"/>
          <w:szCs w:val="28"/>
          <w:highlight w:val="none"/>
        </w:rPr>
        <w:t xml:space="preserve">3、适用法律</w:t>
      </w:r>
      <w:bookmarkEnd w:id="59"/>
      <w:r/>
      <w:bookmarkEnd w:id="60"/>
      <w:r/>
      <w:bookmarkEnd w:id="61"/>
      <w:r>
        <w:rPr>
          <w:rFonts w:hint="eastAsia" w:ascii="Arial" w:hAnsi="Arial" w:eastAsia="黑体" w:cs="Arial"/>
          <w:color w:val="000000"/>
          <w:sz w:val="28"/>
          <w:szCs w:val="28"/>
          <w:highlight w:val="none"/>
        </w:rPr>
        <w:t xml:space="preserve">和标准</w:t>
      </w:r>
      <w:r>
        <w:rPr>
          <w:rFonts w:hint="eastAsia" w:ascii="Arial" w:hAnsi="Arial" w:eastAsia="黑体" w:cs="Arial"/>
          <w:color w:val="000000"/>
          <w:sz w:val="28"/>
          <w:szCs w:val="28"/>
          <w:highlight w:val="none"/>
        </w:rPr>
      </w:r>
      <w:r/>
    </w:p>
    <w:p>
      <w:pPr>
        <w:pStyle w:val="690"/>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690"/>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62" w:name="_Toc462564067"/>
      <w:r/>
      <w:bookmarkStart w:id="63" w:name="_Toc513029207"/>
      <w:r/>
      <w:bookmarkStart w:id="64" w:name="_Toc16938523"/>
      <w:r/>
      <w:bookmarkStart w:id="65" w:name="_Toc20823279"/>
      <w:r>
        <w:rPr>
          <w:rFonts w:hint="eastAsia" w:ascii="Arial" w:hAnsi="Arial" w:eastAsia="黑体" w:cs="Arial"/>
          <w:color w:val="000000"/>
          <w:sz w:val="28"/>
          <w:szCs w:val="28"/>
          <w:highlight w:val="none"/>
        </w:rPr>
        <w:t xml:space="preserve">4、投标费用</w:t>
      </w:r>
      <w:bookmarkEnd w:id="62"/>
      <w:r/>
      <w:bookmarkEnd w:id="63"/>
      <w:r/>
      <w:bookmarkEnd w:id="64"/>
      <w:r/>
      <w:bookmarkEnd w:id="65"/>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供应商应自行承担所有与参加招标有关的费用，无论招标过程中的做法和结果如何，采购人及代理机构在任何情况下均无义务和责任承担这些费用。</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4.2中标服务费由中标供应商支付，按照《江苏省招标代理服务收费的指导意见》（苏招协[2022]002号）50%收取。</w:t>
      </w:r>
      <w:r>
        <w:rPr>
          <w:rFonts w:hint="eastAsia" w:ascii="宋体" w:hAnsi="宋体"/>
          <w:color w:val="000000"/>
          <w:sz w:val="24"/>
          <w:szCs w:val="21"/>
          <w:highlight w:val="none"/>
        </w:rPr>
      </w:r>
      <w:r/>
    </w:p>
    <w:p>
      <w:pPr>
        <w:pStyle w:val="690"/>
        <w:ind w:firstLine="450"/>
        <w:keepLines/>
        <w:keepNext/>
        <w:spacing w:line="4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690"/>
        <w:ind w:firstLine="320"/>
        <w:keepLines/>
        <w:keepNext/>
        <w:spacing w:before="156" w:after="156" w:line="400" w:lineRule="exact"/>
        <w:rPr>
          <w:rFonts w:hint="eastAsia"/>
          <w:b/>
          <w:bCs/>
          <w:color w:val="000000"/>
          <w:sz w:val="32"/>
          <w:szCs w:val="32"/>
          <w:highlight w:val="none"/>
        </w:rPr>
        <w:outlineLvl w:val="2"/>
      </w:pPr>
      <w:r/>
      <w:bookmarkStart w:id="66" w:name="_Toc20823281"/>
      <w:r/>
      <w:bookmarkStart w:id="67" w:name="_Toc120614215"/>
      <w:r/>
      <w:bookmarkStart w:id="68" w:name="_Toc16938525"/>
      <w:r/>
      <w:bookmarkStart w:id="69" w:name="_Toc513029209"/>
      <w:r>
        <w:rPr>
          <w:rFonts w:hint="eastAsia"/>
          <w:b/>
          <w:bCs/>
          <w:color w:val="000000"/>
          <w:sz w:val="32"/>
          <w:szCs w:val="32"/>
          <w:highlight w:val="none"/>
        </w:rPr>
        <w:t xml:space="preserve">二、招标文件</w:t>
      </w:r>
      <w:bookmarkEnd w:id="66"/>
      <w:r/>
      <w:bookmarkEnd w:id="67"/>
      <w:r/>
      <w:bookmarkEnd w:id="68"/>
      <w:r/>
      <w:bookmarkEnd w:id="69"/>
      <w:r>
        <w:rPr>
          <w:rFonts w:hint="eastAsia"/>
          <w:b/>
          <w:bCs/>
          <w:color w:val="000000"/>
          <w:sz w:val="32"/>
          <w:szCs w:val="32"/>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70" w:name="_Toc513029210"/>
      <w:r/>
      <w:bookmarkStart w:id="71" w:name="_Toc16938526"/>
      <w:r/>
      <w:bookmarkStart w:id="72" w:name="_Toc20823282"/>
      <w:r>
        <w:rPr>
          <w:rFonts w:hint="eastAsia" w:ascii="Arial" w:hAnsi="Arial" w:eastAsia="黑体" w:cs="Arial"/>
          <w:color w:val="000000"/>
          <w:sz w:val="28"/>
          <w:szCs w:val="28"/>
          <w:highlight w:val="none"/>
        </w:rPr>
        <w:t xml:space="preserve">6、招标文件构成</w:t>
      </w:r>
      <w:bookmarkEnd w:id="70"/>
      <w:r/>
      <w:bookmarkEnd w:id="71"/>
      <w:r/>
      <w:bookmarkEnd w:id="72"/>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69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69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69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69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90"/>
        <w:ind w:firstLine="360"/>
        <w:spacing w:line="4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69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请仔细检查招标文件是否齐全，如有缺漏请立即与招标代理联系解决。</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690"/>
        <w:ind w:firstLine="560"/>
        <w:keepLines/>
        <w:keepNext/>
        <w:spacing w:line="400" w:lineRule="exact"/>
        <w:rPr>
          <w:rFonts w:hint="eastAsia" w:ascii="Arial" w:hAnsi="Arial" w:eastAsia="黑体" w:cs="Arial"/>
          <w:color w:val="000000"/>
          <w:sz w:val="28"/>
          <w:szCs w:val="28"/>
          <w:highlight w:val="none"/>
        </w:rPr>
        <w:outlineLvl w:val="3"/>
      </w:pPr>
      <w:r/>
      <w:bookmarkStart w:id="73" w:name="_Toc20823284"/>
      <w:r/>
      <w:bookmarkStart w:id="74" w:name="_Toc462564071"/>
      <w:r/>
      <w:bookmarkStart w:id="75" w:name="_Toc513029212"/>
      <w:r/>
      <w:bookmarkStart w:id="76" w:name="_Toc16938528"/>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3"/>
      <w:r/>
      <w:bookmarkEnd w:id="74"/>
      <w:r/>
      <w:bookmarkEnd w:id="75"/>
      <w:r/>
      <w:bookmarkEnd w:id="76"/>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，招标代理可以对招标文件进行修改。</w:t>
      </w:r>
      <w:r>
        <w:rPr>
          <w:rFonts w:hint="eastAsia" w:ascii="宋体" w:hAnsi="宋体"/>
          <w:color w:val="000000"/>
          <w:sz w:val="24"/>
          <w:szCs w:val="21"/>
          <w:highlight w:val="none"/>
        </w:rPr>
      </w:r>
      <w:r/>
    </w:p>
    <w:p>
      <w:pPr>
        <w:pStyle w:val="690"/>
        <w:ind w:firstLine="480"/>
        <w:spacing w:line="400" w:lineRule="exact"/>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 xml:space="preserve">招标代理</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690"/>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690"/>
        <w:ind w:firstLine="480"/>
        <w:keepLines/>
        <w:keepNext/>
        <w:spacing w:before="156" w:after="156" w:line="400" w:lineRule="exact"/>
        <w:rPr>
          <w:rFonts w:hint="eastAsia"/>
          <w:b/>
          <w:bCs/>
          <w:color w:val="000000"/>
          <w:sz w:val="32"/>
          <w:szCs w:val="32"/>
          <w:highlight w:val="none"/>
        </w:rPr>
        <w:outlineLvl w:val="2"/>
      </w:pPr>
      <w:r/>
      <w:bookmarkStart w:id="77" w:name="_Toc16938529"/>
      <w:r/>
      <w:bookmarkStart w:id="78" w:name="_Toc20823285"/>
      <w:r/>
      <w:bookmarkStart w:id="79" w:name="_Toc513029213"/>
      <w:r/>
      <w:bookmarkStart w:id="80" w:name="_Toc462564072"/>
      <w:r/>
      <w:bookmarkStart w:id="81" w:name="_Toc120614216"/>
      <w:r>
        <w:rPr>
          <w:rFonts w:hint="eastAsia"/>
          <w:b/>
          <w:bCs/>
          <w:color w:val="000000"/>
          <w:sz w:val="32"/>
          <w:szCs w:val="32"/>
          <w:highlight w:val="none"/>
        </w:rPr>
        <w:t xml:space="preserve">三、投标文件的编制</w:t>
      </w:r>
      <w:bookmarkEnd w:id="77"/>
      <w:r/>
      <w:bookmarkEnd w:id="78"/>
      <w:r/>
      <w:bookmarkEnd w:id="79"/>
      <w:r/>
      <w:bookmarkEnd w:id="80"/>
      <w:r/>
      <w:bookmarkEnd w:id="81"/>
      <w:r>
        <w:rPr>
          <w:rFonts w:hint="eastAsia"/>
          <w:b/>
          <w:bCs/>
          <w:color w:val="000000"/>
          <w:sz w:val="32"/>
          <w:szCs w:val="32"/>
          <w:highlight w:val="none"/>
        </w:rPr>
      </w:r>
      <w:r/>
    </w:p>
    <w:p>
      <w:pPr>
        <w:pStyle w:val="690"/>
        <w:ind w:firstLine="560"/>
        <w:keepLines/>
        <w:keepNext/>
        <w:spacing w:line="400" w:lineRule="exact"/>
        <w:rPr>
          <w:rFonts w:hint="eastAsia" w:ascii="Arial" w:hAnsi="Arial" w:eastAsia="黑体" w:cs="Arial"/>
          <w:b/>
          <w:color w:val="000000"/>
          <w:sz w:val="28"/>
          <w:szCs w:val="28"/>
          <w:highlight w:val="none"/>
        </w:rPr>
        <w:outlineLvl w:val="3"/>
      </w:pPr>
      <w:r/>
      <w:bookmarkStart w:id="82" w:name="_Toc16938530"/>
      <w:r/>
      <w:bookmarkStart w:id="83" w:name="_Toc513029214"/>
      <w:r/>
      <w:bookmarkStart w:id="84" w:name="_Toc20823286"/>
      <w:r/>
      <w:bookmarkStart w:id="85" w:name="_Toc462564073"/>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2"/>
      <w:r/>
      <w:bookmarkEnd w:id="83"/>
      <w:r/>
      <w:bookmarkEnd w:id="84"/>
      <w:r/>
      <w:bookmarkEnd w:id="85"/>
      <w:r>
        <w:rPr>
          <w:rFonts w:hint="eastAsia" w:ascii="Arial" w:hAnsi="Arial" w:eastAsia="黑体" w:cs="Arial"/>
          <w:b/>
          <w:color w:val="000000"/>
          <w:sz w:val="28"/>
          <w:szCs w:val="28"/>
          <w:highlight w:val="none"/>
        </w:rPr>
      </w:r>
      <w:r/>
    </w:p>
    <w:p>
      <w:pPr>
        <w:pStyle w:val="690"/>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投标人提交的投标文件以及投标人与招标代理就有关投标的所有来往通知、函件和文件均应使用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86" w:name="_Toc16938531"/>
      <w:r/>
      <w:bookmarkStart w:id="87" w:name="_Toc513029215"/>
      <w:r/>
      <w:bookmarkStart w:id="88" w:name="_Toc462564074"/>
      <w:r/>
      <w:bookmarkStart w:id="89" w:name="_Toc20823287"/>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86"/>
      <w:r/>
      <w:bookmarkEnd w:id="87"/>
      <w:r/>
      <w:bookmarkEnd w:id="88"/>
      <w:r/>
      <w:bookmarkEnd w:id="89"/>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szCs w:val="21"/>
          <w:highlight w:val="none"/>
        </w:rPr>
        <w:t xml:space="preserve">、投标分项报价表、技术要求响应及偏离表、商务要求响应及偏离表、其他证明文件、投标函、开标一览表等部分。</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90" w:name="_Hlt26954838"/>
      <w:r/>
      <w:bookmarkEnd w:id="90"/>
      <w:r/>
      <w:bookmarkStart w:id="91" w:name="_Hlt26670360"/>
      <w:r/>
      <w:bookmarkEnd w:id="91"/>
      <w:r/>
      <w:bookmarkStart w:id="92" w:name="_Hlt26668975"/>
      <w:r/>
      <w:bookmarkEnd w:id="92"/>
      <w:r/>
      <w:bookmarkStart w:id="93" w:name="_Toc49090509"/>
      <w:r/>
      <w:bookmarkStart w:id="94" w:name="_Toc513029219"/>
      <w:r/>
      <w:bookmarkStart w:id="95" w:name="_Toc14577357"/>
      <w:r/>
      <w:bookmarkStart w:id="96" w:name="_Toc49090507"/>
      <w:r/>
      <w:bookmarkStart w:id="97" w:name="_Toc513029216"/>
      <w:r/>
      <w:bookmarkStart w:id="98" w:name="_Toc14577354"/>
      <w:r/>
      <w:bookmarkStart w:id="99" w:name="_Toc14577355"/>
      <w:r/>
      <w:bookmarkStart w:id="100" w:name="_Toc490905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3"/>
      <w:r/>
      <w:bookmarkEnd w:id="94"/>
      <w:r/>
      <w:bookmarkEnd w:id="95"/>
      <w:r>
        <w:rPr>
          <w:rFonts w:hint="eastAsia" w:ascii="Arial" w:hAnsi="Arial" w:eastAsia="黑体" w:cs="Arial"/>
          <w:color w:val="000000"/>
          <w:sz w:val="28"/>
          <w:szCs w:val="28"/>
          <w:highlight w:val="none"/>
        </w:rPr>
      </w:r>
      <w:r/>
    </w:p>
    <w:p>
      <w:pPr>
        <w:pStyle w:val="690"/>
        <w:spacing w:line="400" w:lineRule="exact"/>
        <w:rPr>
          <w:rFonts w:hint="eastAsia" w:ascii="宋体" w:hAnsi="宋体"/>
          <w:color w:val="000000"/>
          <w:sz w:val="24"/>
          <w:szCs w:val="24"/>
          <w:highlight w:val="none"/>
        </w:rPr>
      </w:pPr>
      <w:r/>
      <w:bookmarkEnd w:id="96"/>
      <w:r/>
      <w:bookmarkEnd w:id="97"/>
      <w:r/>
      <w:bookmarkEnd w:id="98"/>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rPr>
          <w:rFonts w:hint="eastAsia" w:ascii="宋体" w:hAnsi="宋体"/>
          <w:color w:val="000000"/>
          <w:sz w:val="24"/>
          <w:szCs w:val="24"/>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End w:id="99"/>
      <w:r/>
      <w:bookmarkEnd w:id="10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w:t>
      </w:r>
      <w:bookmarkStart w:id="101" w:name="_Hlt26954840"/>
      <w:r/>
      <w:bookmarkEnd w:id="101"/>
      <w:r>
        <w:rPr>
          <w:rFonts w:hint="eastAsia" w:ascii="宋体" w:hAnsi="宋体"/>
          <w:color w:val="000000"/>
          <w:sz w:val="24"/>
          <w:szCs w:val="21"/>
          <w:highlight w:val="none"/>
        </w:rPr>
        <w:t xml:space="preserve">标人按照招标文件规定格式填报投标分项报价表</w:t>
      </w:r>
      <w:bookmarkStart w:id="102" w:name="_Hlt26670399"/>
      <w:r/>
      <w:bookmarkEnd w:id="102"/>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103" w:name="_Hlt26954848"/>
      <w:r/>
      <w:bookmarkEnd w:id="103"/>
      <w:r/>
      <w:bookmarkStart w:id="104" w:name="_Hlt26670482"/>
      <w:r/>
      <w:bookmarkEnd w:id="104"/>
      <w:r/>
      <w:bookmarkStart w:id="105" w:name="_Hlt26954846"/>
      <w:r/>
      <w:bookmarkEnd w:id="105"/>
      <w:r/>
      <w:bookmarkStart w:id="106" w:name="_Hlt26670486"/>
      <w:r/>
      <w:bookmarkEnd w:id="106"/>
      <w:r/>
      <w:bookmarkStart w:id="107" w:name="_Hlt26954731"/>
      <w:r/>
      <w:bookmarkEnd w:id="10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、技术要求响应及偏离表、商务要求响应及偏离表</w:t>
      </w:r>
      <w:r>
        <w:rPr>
          <w:rFonts w:hint="eastAsia" w:ascii="Arial" w:hAnsi="Arial" w:eastAsia="黑体" w:cs="Arial"/>
          <w:color w:val="000000"/>
          <w:sz w:val="28"/>
          <w:szCs w:val="28"/>
          <w:highlight w:val="none"/>
        </w:rPr>
      </w:r>
      <w:r/>
    </w:p>
    <w:p>
      <w:pPr>
        <w:pStyle w:val="690"/>
        <w:ind w:firstLine="480"/>
        <w:spacing w:line="4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12.1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lang w:val="zh-CN"/>
        </w:rPr>
      </w:r>
      <w:r/>
    </w:p>
    <w:p>
      <w:pPr>
        <w:pStyle w:val="690"/>
        <w:ind w:firstLine="480"/>
        <w:spacing w:line="4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w:t>
      </w:r>
      <w:r>
        <w:rPr>
          <w:rFonts w:ascii="宋体" w:hAnsi="Arial" w:cs="宋体"/>
          <w:color w:val="000000"/>
          <w:sz w:val="24"/>
          <w:szCs w:val="21"/>
          <w:highlight w:val="none"/>
          <w:lang w:val="zh-CN"/>
        </w:rPr>
        <w:t xml:space="preserve">2</w:t>
      </w:r>
      <w:r>
        <w:rPr>
          <w:rFonts w:hint="eastAsia" w:ascii="宋体" w:hAnsi="Arial" w:cs="宋体"/>
          <w:color w:val="000000"/>
          <w:sz w:val="24"/>
          <w:szCs w:val="21"/>
          <w:highlight w:val="none"/>
          <w:lang w:val="zh-CN"/>
        </w:rPr>
        <w:t xml:space="preserve">.2 投标人需按照招标文件要求，在投标文件中提供与技术要求和商务要求相关的证明材料。</w:t>
      </w:r>
      <w:r>
        <w:rPr>
          <w:rFonts w:hint="eastAsia" w:ascii="宋体" w:hAnsi="Arial" w:cs="宋体"/>
          <w:color w:val="000000"/>
          <w:sz w:val="24"/>
          <w:szCs w:val="21"/>
          <w:highlight w:val="none"/>
          <w:lang w:val="zh-CN"/>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108" w:name="_Toc14577359"/>
      <w:r/>
      <w:bookmarkStart w:id="109"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End w:id="108"/>
      <w:r/>
      <w:bookmarkEnd w:id="109"/>
      <w:r/>
      <w:bookmarkStart w:id="110" w:name="_Toc14577360"/>
      <w:r/>
      <w:bookmarkStart w:id="111" w:name="_Toc4909051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0"/>
      <w:r/>
      <w:bookmarkEnd w:id="111"/>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.1投标有效期为招标代理规定的开标之日后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90"/>
        <w:keepLines/>
        <w:keepNext/>
        <w:spacing w:before="156" w:after="156" w:line="400" w:lineRule="exact"/>
        <w:rPr>
          <w:rFonts w:hint="eastAsia"/>
          <w:b/>
          <w:bCs/>
          <w:color w:val="000000"/>
          <w:sz w:val="32"/>
          <w:szCs w:val="32"/>
          <w:highlight w:val="none"/>
        </w:rPr>
        <w:outlineLvl w:val="2"/>
      </w:pPr>
      <w:r/>
      <w:bookmarkStart w:id="112" w:name="_Hlt26954739"/>
      <w:r/>
      <w:bookmarkEnd w:id="112"/>
      <w:r/>
      <w:bookmarkStart w:id="113" w:name="_Hlt26954852"/>
      <w:r/>
      <w:bookmarkEnd w:id="113"/>
      <w:r/>
      <w:bookmarkStart w:id="114" w:name="_Toc120614217"/>
      <w:r/>
      <w:bookmarkStart w:id="115" w:name="_Toc16938540"/>
      <w:r/>
      <w:bookmarkStart w:id="116" w:name="_Toc513029224"/>
      <w:r/>
      <w:bookmarkStart w:id="117" w:name="_Toc20823296"/>
      <w:r>
        <w:rPr>
          <w:rFonts w:hint="eastAsia"/>
          <w:b/>
          <w:bCs/>
          <w:color w:val="000000"/>
          <w:sz w:val="32"/>
          <w:szCs w:val="32"/>
          <w:highlight w:val="none"/>
        </w:rPr>
        <w:t xml:space="preserve">四、投标文件的递交</w:t>
      </w:r>
      <w:bookmarkEnd w:id="114"/>
      <w:r/>
      <w:bookmarkEnd w:id="115"/>
      <w:r/>
      <w:bookmarkEnd w:id="116"/>
      <w:r/>
      <w:bookmarkEnd w:id="117"/>
      <w:r>
        <w:rPr>
          <w:rFonts w:hint="eastAsia"/>
          <w:b/>
          <w:bCs/>
          <w:color w:val="000000"/>
          <w:sz w:val="32"/>
          <w:szCs w:val="32"/>
          <w:highlight w:val="none"/>
        </w:rPr>
      </w:r>
      <w:r/>
    </w:p>
    <w:p>
      <w:pPr>
        <w:pStyle w:val="690"/>
        <w:ind w:firstLine="420"/>
        <w:keepLines/>
        <w:keepNext/>
        <w:spacing w:line="400" w:lineRule="exact"/>
        <w:rPr>
          <w:rFonts w:hint="eastAsia" w:ascii="黑体" w:hAnsi="Arial" w:eastAsia="黑体" w:cs="Arial"/>
          <w:color w:val="000000"/>
          <w:sz w:val="28"/>
          <w:szCs w:val="28"/>
          <w:highlight w:val="none"/>
        </w:rPr>
        <w:outlineLvl w:val="3"/>
      </w:pPr>
      <w:r/>
      <w:bookmarkStart w:id="118" w:name="_Toc20823297"/>
      <w:r/>
      <w:bookmarkStart w:id="119" w:name="_Toc462564084"/>
      <w:r/>
      <w:bookmarkStart w:id="120" w:name="_Toc16938541"/>
      <w:r/>
      <w:bookmarkStart w:id="121"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18"/>
      <w:r/>
      <w:bookmarkEnd w:id="119"/>
      <w:r/>
      <w:bookmarkEnd w:id="120"/>
      <w:r/>
      <w:bookmarkEnd w:id="121"/>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690"/>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rPr>
          <w:rFonts w:ascii="宋体" w:hAnsi="宋体"/>
          <w:bCs/>
          <w:color w:val="000000"/>
          <w:sz w:val="24"/>
          <w:szCs w:val="21"/>
          <w:highlight w:val="none"/>
        </w:rPr>
      </w:r>
      <w:r/>
    </w:p>
    <w:p>
      <w:pPr>
        <w:pStyle w:val="69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2" w:name="_Toc513029226"/>
      <w:r/>
      <w:bookmarkStart w:id="123" w:name="_Toc20823298"/>
      <w:r/>
      <w:bookmarkStart w:id="124" w:name="_Toc16938542"/>
      <w:r>
        <w:rPr>
          <w:rFonts w:ascii="宋体" w:hAnsi="宋体"/>
          <w:bCs/>
          <w:color w:val="000000"/>
          <w:sz w:val="24"/>
          <w:szCs w:val="21"/>
          <w:highlight w:val="none"/>
        </w:rPr>
      </w:r>
      <w:r/>
    </w:p>
    <w:p>
      <w:pPr>
        <w:pStyle w:val="690"/>
        <w:ind w:firstLine="420"/>
        <w:keepLines/>
        <w:keepNext/>
        <w:spacing w:before="280" w:after="290" w:line="4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bookmarkEnd w:id="122"/>
      <w:r/>
      <w:bookmarkEnd w:id="123"/>
      <w:r/>
      <w:bookmarkEnd w:id="124"/>
      <w:r>
        <w:rPr>
          <w:rFonts w:hint="eastAsia" w:ascii="宋体" w:hAnsi="宋体" w:eastAsia="黑体" w:cs="Arial"/>
          <w:bCs/>
          <w:color w:val="000000"/>
          <w:sz w:val="24"/>
          <w:szCs w:val="28"/>
          <w:highlight w:val="none"/>
        </w:rPr>
      </w:r>
      <w:r/>
    </w:p>
    <w:p>
      <w:pPr>
        <w:pStyle w:val="690"/>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招标代理可以按照规定，通过修改招标文件酌情延长投标截止日期，在此情况下，投标人的所有权利和义务以及投标人受制的截止日期均应以延长后新的截止日期为准。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125" w:name="_Toc16938543"/>
      <w:r/>
      <w:bookmarkStart w:id="126" w:name="_Toc20823299"/>
      <w:r/>
      <w:bookmarkStart w:id="127" w:name="_Toc513029227"/>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25"/>
      <w:r/>
      <w:bookmarkEnd w:id="126"/>
      <w:r/>
      <w:bookmarkEnd w:id="127"/>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招标代理拒绝接收在其规定的投标截止时间后上传的任何投标文件。</w:t>
      </w:r>
      <w:r>
        <w:rPr>
          <w:rFonts w:hint="eastAsia" w:ascii="宋体" w:hAnsi="宋体"/>
          <w:bCs/>
          <w:color w:val="000000"/>
          <w:sz w:val="24"/>
          <w:szCs w:val="21"/>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128" w:name="_Toc20823300"/>
      <w:r/>
      <w:bookmarkStart w:id="129" w:name="_Toc513029228"/>
      <w:r/>
      <w:bookmarkStart w:id="130"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28"/>
      <w:r/>
      <w:bookmarkEnd w:id="129"/>
      <w:r/>
      <w:bookmarkEnd w:id="130"/>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rPr>
          <w:rFonts w:hint="eastAsia" w:ascii="宋体" w:hAnsi="宋体"/>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690"/>
        <w:ind w:firstLine="480"/>
        <w:keepLines/>
        <w:keepNext/>
        <w:spacing w:before="156" w:after="156" w:line="400" w:lineRule="exact"/>
        <w:rPr>
          <w:rFonts w:hint="eastAsia"/>
          <w:b/>
          <w:bCs/>
          <w:color w:val="000000"/>
          <w:sz w:val="32"/>
          <w:szCs w:val="32"/>
          <w:highlight w:val="none"/>
        </w:rPr>
        <w:outlineLvl w:val="2"/>
      </w:pPr>
      <w:r/>
      <w:bookmarkStart w:id="131" w:name="_Toc120614218"/>
      <w:r/>
      <w:bookmarkStart w:id="132" w:name="_Toc513029229"/>
      <w:r/>
      <w:bookmarkStart w:id="133" w:name="_Toc20823301"/>
      <w:r/>
      <w:bookmarkStart w:id="134" w:name="_Toc16938545"/>
      <w:r>
        <w:rPr>
          <w:rFonts w:hint="eastAsia"/>
          <w:b/>
          <w:bCs/>
          <w:color w:val="000000"/>
          <w:sz w:val="32"/>
          <w:szCs w:val="32"/>
          <w:highlight w:val="none"/>
        </w:rPr>
        <w:t xml:space="preserve">五、开标与评标</w:t>
      </w:r>
      <w:bookmarkEnd w:id="131"/>
      <w:r/>
      <w:bookmarkEnd w:id="132"/>
      <w:r/>
      <w:bookmarkEnd w:id="133"/>
      <w:r/>
      <w:bookmarkEnd w:id="134"/>
      <w:r>
        <w:rPr>
          <w:rFonts w:hint="eastAsia"/>
          <w:b/>
          <w:bCs/>
          <w:color w:val="000000"/>
          <w:sz w:val="32"/>
          <w:szCs w:val="32"/>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135" w:name="_Toc513029230"/>
      <w:r/>
      <w:bookmarkStart w:id="136" w:name="_Toc20823302"/>
      <w:r/>
      <w:bookmarkStart w:id="137" w:name="_Toc16938546"/>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35"/>
      <w:r/>
      <w:bookmarkEnd w:id="136"/>
      <w:r/>
      <w:bookmarkEnd w:id="137"/>
      <w:r>
        <w:rPr>
          <w:rFonts w:hint="eastAsia" w:ascii="Arial" w:hAnsi="Arial" w:eastAsia="黑体" w:cs="Arial"/>
          <w:color w:val="000000"/>
          <w:sz w:val="28"/>
          <w:szCs w:val="28"/>
          <w:highlight w:val="none"/>
        </w:rPr>
      </w:r>
      <w:r/>
    </w:p>
    <w:p>
      <w:pPr>
        <w:pStyle w:val="690"/>
        <w:ind w:firstLine="480"/>
        <w:spacing w:line="4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招标代理将在招标公告中规定的时间和地点组织公开开标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Cs w:val="21"/>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开标仪式由招标代理组织。苏采云系统将自动对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138" w:name="_Toc513029231"/>
      <w:r/>
      <w:bookmarkStart w:id="139" w:name="_Toc20823303"/>
      <w:r/>
      <w:bookmarkStart w:id="140"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690"/>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开标后，招标代理将立即组织评标委员会（以下简称评委会）进行评标。</w:t>
      </w:r>
      <w:r>
        <w:rPr>
          <w:rFonts w:hint="eastAsia" w:ascii="宋体" w:hAnsi="宋体"/>
          <w:b/>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.3评委会独立工作，负责评审所有投标文件并确定中标侯选人。</w:t>
      </w:r>
      <w:r>
        <w:rPr>
          <w:rFonts w:hint="eastAsia" w:ascii="宋体" w:hAnsi="宋体"/>
          <w:color w:val="000000"/>
          <w:sz w:val="24"/>
          <w:szCs w:val="24"/>
          <w:highlight w:val="none"/>
        </w:rPr>
      </w:r>
      <w:r/>
    </w:p>
    <w:p>
      <w:pPr>
        <w:pStyle w:val="690"/>
        <w:ind w:firstLine="420"/>
        <w:keepLines/>
        <w:keepNext/>
        <w:spacing w:line="4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690"/>
        <w:ind w:firstLine="480"/>
        <w:spacing w:line="400" w:lineRule="exact"/>
        <w:rPr>
          <w:rFonts w:hint="eastAsia" w:ascii="宋体" w:hAnsi="宋体"/>
          <w:bCs/>
          <w:color w:val="000000"/>
          <w:sz w:val="24"/>
          <w:szCs w:val="21"/>
          <w:highlight w:val="none"/>
        </w:rPr>
      </w:pPr>
      <w:r/>
      <w:bookmarkEnd w:id="138"/>
      <w:r/>
      <w:bookmarkEnd w:id="139"/>
      <w:r/>
      <w:bookmarkEnd w:id="140"/>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凡是与审查、澄清、评价和比较投标的有关资料以及授标建议等，采购人、评委、招标代理均不得向投标人或与评标无关的其他人员透露。</w:t>
      </w:r>
      <w:r>
        <w:rPr>
          <w:rFonts w:hint="eastAsia" w:ascii="宋体" w:hAnsi="宋体"/>
          <w:bCs/>
          <w:color w:val="000000"/>
          <w:sz w:val="24"/>
          <w:szCs w:val="21"/>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招标代理和评标委员会不向未中标的投标人解释未中标原因，也不公布评标过程中的相关细节。</w:t>
      </w:r>
      <w:r>
        <w:rPr>
          <w:rFonts w:hint="eastAsia"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bookmarkStart w:id="141" w:name="_Toc16938548"/>
      <w:r/>
      <w:bookmarkStart w:id="142" w:name="_Toc513029232"/>
      <w:r/>
      <w:bookmarkStart w:id="143"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1"/>
      <w:r/>
      <w:bookmarkEnd w:id="142"/>
      <w:r/>
      <w:bookmarkEnd w:id="143"/>
      <w:r>
        <w:rPr>
          <w:rFonts w:hint="eastAsia" w:ascii="Arial" w:hAnsi="Arial" w:eastAsia="黑体" w:cs="Arial"/>
          <w:color w:val="000000"/>
          <w:sz w:val="28"/>
          <w:szCs w:val="28"/>
          <w:highlight w:val="none"/>
        </w:rPr>
      </w:r>
      <w:r/>
    </w:p>
    <w:p>
      <w:pPr>
        <w:pStyle w:val="690"/>
        <w:ind w:firstLine="480"/>
        <w:spacing w:line="400" w:lineRule="exact"/>
        <w:rPr>
          <w:rFonts w:ascii="宋体" w:hAnsi="宋体"/>
          <w:color w:val="000000"/>
          <w:sz w:val="24"/>
          <w:szCs w:val="24"/>
          <w:highlight w:val="none"/>
        </w:rPr>
      </w:pPr>
      <w:r/>
      <w:bookmarkStart w:id="144" w:name="_Toc16938549"/>
      <w:r/>
      <w:bookmarkStart w:id="145" w:name="_Toc513029233"/>
      <w:r/>
      <w:bookmarkStart w:id="146" w:name="_Toc20823305"/>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w:t>
      </w:r>
      <w:r>
        <w:rPr>
          <w:rFonts w:hint="eastAsia" w:ascii="宋体" w:hAnsi="宋体"/>
          <w:color w:val="000000"/>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4"/>
      <w:r/>
      <w:bookmarkEnd w:id="145"/>
      <w:r/>
      <w:bookmarkEnd w:id="146"/>
      <w:r>
        <w:rPr>
          <w:rFonts w:hint="eastAsia" w:ascii="Arial" w:hAnsi="Arial" w:eastAsia="黑体" w:cs="Arial"/>
          <w:color w:val="000000"/>
          <w:sz w:val="28"/>
          <w:szCs w:val="28"/>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未通过资格审查或符合性审查的投标人，招标代理将</w:t>
      </w:r>
      <w:r>
        <w:rPr>
          <w:rFonts w:hint="eastAsia" w:ascii="宋体" w:hAnsi="宋体"/>
          <w:bCs/>
          <w:color w:val="000000"/>
          <w:sz w:val="24"/>
          <w:szCs w:val="21"/>
          <w:highlight w:val="none"/>
        </w:rPr>
        <w:t xml:space="preserve">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中告知未通过资格审查或符合性审查的原因，评审结束后，招标代理将不再告知未通过资格审查或符合性审查的原因。</w:t>
      </w:r>
      <w:r>
        <w:rPr>
          <w:rFonts w:hint="eastAsia" w:ascii="宋体" w:hAnsi="宋体"/>
          <w:bCs/>
          <w:color w:val="000000"/>
          <w:sz w:val="24"/>
          <w:szCs w:val="21"/>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690"/>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690"/>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690"/>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690"/>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color w:val="000000"/>
          <w:sz w:val="24"/>
          <w:szCs w:val="21"/>
          <w:highlight w:val="none"/>
        </w:rPr>
        <w:t xml:space="preserve">，并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690"/>
        <w:ind w:firstLine="480"/>
        <w:spacing w:line="400" w:lineRule="exact"/>
        <w:rPr>
          <w:rFonts w:ascii="宋体" w:hAnsi="宋体"/>
          <w:color w:val="000000"/>
          <w:sz w:val="24"/>
          <w:szCs w:val="21"/>
          <w:highlight w:val="none"/>
        </w:rPr>
      </w:pPr>
      <w:r/>
      <w:bookmarkStart w:id="147" w:name="_Toc20823306"/>
      <w:r/>
      <w:bookmarkStart w:id="148" w:name="_Toc513029234"/>
      <w:r/>
      <w:bookmarkStart w:id="149"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690"/>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690"/>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690"/>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color w:val="000000"/>
          <w:sz w:val="24"/>
          <w:szCs w:val="21"/>
          <w:highlight w:val="none"/>
        </w:rPr>
        <w:t xml:space="preserve">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并安排专人与招标代理及评标委员会联系。</w:t>
      </w:r>
      <w:r>
        <w:rPr>
          <w:rFonts w:ascii="宋体" w:hAnsi="宋体"/>
          <w:color w:val="000000"/>
          <w:sz w:val="24"/>
          <w:szCs w:val="21"/>
          <w:highlight w:val="none"/>
        </w:rPr>
      </w:r>
      <w:r/>
    </w:p>
    <w:p>
      <w:pPr>
        <w:pStyle w:val="690"/>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25.8 异常低价投标审查</w:t>
      </w:r>
      <w:r>
        <w:rPr>
          <w:rFonts w:hint="eastAsia" w:ascii="宋体" w:hAnsi="宋体"/>
          <w:color w:val="000000"/>
          <w:sz w:val="24"/>
          <w:szCs w:val="21"/>
          <w:highlight w:val="none"/>
        </w:rPr>
      </w:r>
      <w:r/>
    </w:p>
    <w:p>
      <w:pPr>
        <w:pStyle w:val="690"/>
        <w:ind w:firstLine="480"/>
        <w:spacing w:line="520" w:lineRule="exact"/>
        <w:rPr>
          <w:rFonts w:hint="eastAsia" w:ascii="宋体" w:hAnsi="宋体"/>
          <w:b/>
          <w:bCs/>
          <w:i/>
          <w:iCs/>
          <w:color w:val="000000"/>
          <w:sz w:val="24"/>
          <w:szCs w:val="21"/>
          <w:highlight w:val="none"/>
        </w:rPr>
      </w:pPr>
      <w:r>
        <w:rPr>
          <w:rFonts w:hint="eastAsia" w:ascii="宋体" w:hAnsi="宋体"/>
          <w:color w:val="000000"/>
          <w:sz w:val="24"/>
          <w:szCs w:val="21"/>
          <w:highlight w:val="none"/>
        </w:rPr>
        <w:t xml:space="preserve">25.8.1 </w:t>
      </w:r>
      <w:r>
        <w:rPr>
          <w:rFonts w:hint="eastAsia" w:ascii="宋体" w:hAnsi="宋体"/>
          <w:b/>
          <w:bCs/>
          <w:i/>
          <w:iCs/>
          <w:color w:val="000000"/>
          <w:sz w:val="24"/>
          <w:szCs w:val="21"/>
          <w:highlight w:val="none"/>
        </w:rPr>
        <w:t xml:space="preserve">根据财库〔2026〕2号文件，评审委员会启动异常低价投标审查的情形和具体要求，包括：</w:t>
      </w:r>
      <w:r>
        <w:rPr>
          <w:rFonts w:hint="eastAsia" w:ascii="宋体" w:hAnsi="宋体"/>
          <w:b/>
          <w:bCs/>
          <w:i/>
          <w:iCs/>
          <w:color w:val="000000"/>
          <w:sz w:val="24"/>
          <w:szCs w:val="21"/>
          <w:highlight w:val="none"/>
        </w:rPr>
      </w:r>
      <w:r/>
    </w:p>
    <w:p>
      <w:pPr>
        <w:pStyle w:val="690"/>
        <w:ind w:firstLine="480"/>
        <w:spacing w:line="520" w:lineRule="exact"/>
        <w:rPr>
          <w:rFonts w:hint="eastAsia" w:ascii="宋体" w:hAnsi="宋体"/>
          <w:b/>
          <w:bCs/>
          <w:i/>
          <w:iCs/>
          <w:color w:val="000000"/>
          <w:sz w:val="24"/>
          <w:szCs w:val="21"/>
          <w:highlight w:val="none"/>
        </w:rPr>
      </w:pPr>
      <w:r>
        <w:rPr>
          <w:rFonts w:hint="eastAsia" w:ascii="宋体" w:hAnsi="宋体"/>
          <w:b/>
          <w:bCs/>
          <w:i/>
          <w:iCs/>
          <w:color w:val="000000"/>
          <w:sz w:val="24"/>
          <w:szCs w:val="21"/>
          <w:highlight w:val="none"/>
        </w:rPr>
        <w:t xml:space="preserve">（一）1.投标报价低于全部通过符合性审查供应商投标报价平均值50%的，即投标报价&lt;全部通过符合性审查供应商投标报价平均值×50%；</w:t>
      </w:r>
      <w:r>
        <w:rPr>
          <w:rFonts w:hint="eastAsia" w:ascii="宋体" w:hAnsi="宋体"/>
          <w:b/>
          <w:bCs/>
          <w:i/>
          <w:iCs/>
          <w:color w:val="000000"/>
          <w:sz w:val="24"/>
          <w:szCs w:val="21"/>
          <w:highlight w:val="none"/>
        </w:rPr>
      </w:r>
      <w:r/>
    </w:p>
    <w:p>
      <w:pPr>
        <w:pStyle w:val="690"/>
        <w:ind w:firstLine="480"/>
        <w:spacing w:line="520" w:lineRule="exact"/>
        <w:rPr>
          <w:rFonts w:hint="eastAsia" w:ascii="宋体" w:hAnsi="宋体"/>
          <w:b/>
          <w:bCs/>
          <w:i/>
          <w:iCs/>
          <w:color w:val="000000"/>
          <w:sz w:val="24"/>
          <w:szCs w:val="21"/>
          <w:highlight w:val="none"/>
        </w:rPr>
      </w:pPr>
      <w:r>
        <w:rPr>
          <w:rFonts w:hint="eastAsia" w:ascii="宋体" w:hAnsi="宋体"/>
          <w:b/>
          <w:bCs/>
          <w:i/>
          <w:iCs/>
          <w:color w:val="000000"/>
          <w:sz w:val="24"/>
          <w:szCs w:val="21"/>
          <w:highlight w:val="none"/>
        </w:rPr>
        <w:t xml:space="preserve">2.投标报价低于通过符合性审查的次低报价供应商投标报价50%的，即投标报价&lt;通过符合性审查的次低报价供应商投标报价×50%；</w:t>
      </w:r>
      <w:r>
        <w:rPr>
          <w:rFonts w:hint="eastAsia" w:ascii="宋体" w:hAnsi="宋体"/>
          <w:b/>
          <w:bCs/>
          <w:i/>
          <w:iCs/>
          <w:color w:val="000000"/>
          <w:sz w:val="24"/>
          <w:szCs w:val="21"/>
          <w:highlight w:val="none"/>
        </w:rPr>
      </w:r>
      <w:r/>
    </w:p>
    <w:p>
      <w:pPr>
        <w:pStyle w:val="690"/>
        <w:ind w:firstLine="480"/>
        <w:spacing w:line="520" w:lineRule="exact"/>
        <w:rPr>
          <w:rFonts w:hint="eastAsia" w:ascii="宋体" w:hAnsi="宋体"/>
          <w:b/>
          <w:bCs/>
          <w:i/>
          <w:iCs/>
          <w:color w:val="000000"/>
          <w:sz w:val="24"/>
          <w:szCs w:val="21"/>
          <w:highlight w:val="none"/>
        </w:rPr>
      </w:pPr>
      <w:r>
        <w:rPr>
          <w:rFonts w:hint="eastAsia" w:ascii="宋体" w:hAnsi="宋体"/>
          <w:b/>
          <w:bCs/>
          <w:i/>
          <w:iCs/>
          <w:color w:val="000000"/>
          <w:sz w:val="24"/>
          <w:szCs w:val="21"/>
          <w:highlight w:val="none"/>
        </w:rPr>
        <w:t xml:space="preserve">3.投标报价低于采购项目最高限价45%的，即投标报价&lt;采购项目最高限价×45%；</w:t>
      </w:r>
      <w:r>
        <w:rPr>
          <w:rFonts w:hint="eastAsia" w:ascii="宋体" w:hAnsi="宋体"/>
          <w:b/>
          <w:bCs/>
          <w:i/>
          <w:iCs/>
          <w:color w:val="000000"/>
          <w:sz w:val="24"/>
          <w:szCs w:val="21"/>
          <w:highlight w:val="none"/>
        </w:rPr>
      </w:r>
      <w:r/>
    </w:p>
    <w:p>
      <w:pPr>
        <w:pStyle w:val="690"/>
        <w:ind w:firstLine="480"/>
        <w:spacing w:line="520" w:lineRule="exact"/>
        <w:rPr>
          <w:rFonts w:hint="eastAsia" w:ascii="宋体" w:hAnsi="宋体"/>
          <w:b/>
          <w:bCs/>
          <w:i/>
          <w:iCs/>
          <w:color w:val="000000"/>
          <w:sz w:val="24"/>
          <w:szCs w:val="21"/>
          <w:highlight w:val="none"/>
        </w:rPr>
      </w:pPr>
      <w:r>
        <w:rPr>
          <w:rFonts w:hint="eastAsia" w:ascii="宋体" w:hAnsi="宋体"/>
          <w:b/>
          <w:bCs/>
          <w:i/>
          <w:iCs/>
          <w:color w:val="000000"/>
          <w:sz w:val="24"/>
          <w:szCs w:val="21"/>
          <w:highlight w:val="none"/>
        </w:rPr>
        <w:t xml:space="preserve">4.评审委员会基于专业判断，认为供应商报价过低，有可能影响产品质量或者不能诚信履约的其他情形。</w:t>
      </w:r>
      <w:r>
        <w:rPr>
          <w:rFonts w:hint="eastAsia" w:ascii="宋体" w:hAnsi="宋体"/>
          <w:b/>
          <w:bCs/>
          <w:i/>
          <w:iCs/>
          <w:color w:val="000000"/>
          <w:sz w:val="24"/>
          <w:szCs w:val="21"/>
          <w:highlight w:val="none"/>
        </w:rPr>
      </w:r>
      <w:r/>
    </w:p>
    <w:p>
      <w:pPr>
        <w:pStyle w:val="690"/>
        <w:ind w:firstLine="480"/>
        <w:spacing w:line="520" w:lineRule="exact"/>
        <w:rPr>
          <w:rFonts w:hint="eastAsia" w:ascii="宋体" w:hAnsi="宋体"/>
          <w:color w:val="000000"/>
          <w:sz w:val="24"/>
          <w:szCs w:val="21"/>
          <w:highlight w:val="none"/>
        </w:rPr>
      </w:pPr>
      <w:r>
        <w:rPr>
          <w:rFonts w:hint="eastAsia" w:ascii="宋体" w:hAnsi="宋体"/>
          <w:b/>
          <w:bCs/>
          <w:i/>
          <w:iCs/>
          <w:color w:val="000000"/>
          <w:sz w:val="24"/>
          <w:szCs w:val="21"/>
          <w:highlight w:val="none"/>
        </w:rPr>
        <w:t xml:space="preserve">提醒：采购人可以结合具体项目实际情况，提高上述第1项至第3项中启动异常低价投标（响应）审查的数值标准，但是最高不得超过65%。相关法律法规对供应商报价有规定的，从其规定。</w:t>
      </w:r>
      <w:r>
        <w:rPr>
          <w:rFonts w:hint="eastAsia" w:ascii="宋体" w:hAnsi="宋体"/>
          <w:color w:val="000000"/>
          <w:sz w:val="24"/>
          <w:szCs w:val="21"/>
          <w:highlight w:val="none"/>
        </w:rPr>
      </w:r>
      <w:r/>
    </w:p>
    <w:p>
      <w:pPr>
        <w:pStyle w:val="690"/>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25.8.2 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宋体" w:hAnsi="宋体"/>
          <w:color w:val="000000"/>
          <w:sz w:val="24"/>
          <w:szCs w:val="21"/>
          <w:highlight w:val="none"/>
        </w:rPr>
      </w:r>
      <w:r/>
    </w:p>
    <w:p>
      <w:pPr>
        <w:pStyle w:val="690"/>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color w:val="000000"/>
          <w:sz w:val="24"/>
          <w:szCs w:val="21"/>
          <w:highlight w:val="none"/>
        </w:rPr>
      </w:r>
      <w:r/>
    </w:p>
    <w:p>
      <w:pPr>
        <w:pStyle w:val="690"/>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olor w:val="000000"/>
          <w:sz w:val="24"/>
          <w:szCs w:val="21"/>
          <w:highlight w:val="none"/>
        </w:rPr>
      </w:r>
      <w:r/>
    </w:p>
    <w:p>
      <w:pPr>
        <w:pStyle w:val="690"/>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szCs w:val="21"/>
          <w:highlight w:val="none"/>
        </w:rPr>
      </w:r>
      <w:r/>
    </w:p>
    <w:p>
      <w:pPr>
        <w:pStyle w:val="690"/>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w:t>
      </w:r>
      <w:bookmarkEnd w:id="147"/>
      <w:r/>
      <w:bookmarkEnd w:id="148"/>
      <w:r/>
      <w:bookmarkEnd w:id="149"/>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690"/>
        <w:ind w:left="478"/>
        <w:spacing w:line="400" w:lineRule="exact"/>
        <w:rPr>
          <w:rFonts w:hint="eastAsia" w:ascii="宋体" w:hAnsi="宋体"/>
          <w:bCs/>
          <w:color w:val="000000"/>
          <w:sz w:val="24"/>
          <w:szCs w:val="21"/>
          <w:highlight w:val="none"/>
        </w:rPr>
      </w:pPr>
      <w:r/>
      <w:bookmarkStart w:id="150" w:name="_Toc16938551"/>
      <w:r/>
      <w:bookmarkStart w:id="151" w:name="_Toc20823307"/>
      <w:r/>
      <w:bookmarkStart w:id="152" w:name="_Toc513029235"/>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rPr>
          <w:rFonts w:hint="eastAsia" w:ascii="宋体" w:hAnsi="宋体"/>
          <w:bCs/>
          <w:color w:val="000000"/>
          <w:sz w:val="24"/>
          <w:szCs w:val="21"/>
          <w:highlight w:val="none"/>
        </w:rPr>
      </w:r>
      <w:r/>
    </w:p>
    <w:p>
      <w:pPr>
        <w:pStyle w:val="690"/>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color w:val="000000"/>
          <w:sz w:val="24"/>
          <w:szCs w:val="21"/>
          <w:highlight w:val="none"/>
        </w:rPr>
        <w:t xml:space="preserve">同一</w:t>
      </w:r>
      <w:r>
        <w:rPr>
          <w:rFonts w:ascii="宋体" w:hAnsi="宋体"/>
          <w:bCs/>
          <w:color w:val="000000"/>
          <w:sz w:val="24"/>
          <w:szCs w:val="21"/>
          <w:highlight w:val="none"/>
        </w:rPr>
        <w:t xml:space="preserve">采购包</w:t>
      </w:r>
      <w:r>
        <w:rPr>
          <w:rFonts w:hint="eastAsia" w:ascii="宋体" w:hAnsi="宋体"/>
          <w:bCs/>
          <w:color w:val="000000"/>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690"/>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690"/>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690"/>
        <w:ind w:firstLine="36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Cs/>
          <w:i/>
          <w:color w:val="000000"/>
          <w:sz w:val="24"/>
          <w:szCs w:val="21"/>
          <w:highlight w:val="none"/>
          <w:u w:val="singl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690"/>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26.1.10 评标委员会按照本招标文件规定对投标人进行异常低价投标审查后，认为投标人不能证明其报价合理性的。</w:t>
      </w:r>
      <w:r>
        <w:rPr>
          <w:rFonts w:hint="eastAsia" w:ascii="宋体" w:hAnsi="宋体"/>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26.1.12 投标文件未按照招标文件要求加盖CA电子公章的。</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26.1.13 投标人所投标产品不符合招标文件中所列国家强制性标准的。</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.1.14其他法律、法规及本招标文件规定的属无效投标的情形。</w:t>
      </w:r>
      <w:r>
        <w:rPr>
          <w:rFonts w:hint="eastAsia" w:ascii="宋体" w:hAnsi="宋体"/>
          <w:bCs/>
          <w:color w:val="000000"/>
          <w:sz w:val="24"/>
          <w:szCs w:val="21"/>
          <w:highlight w:val="none"/>
        </w:rPr>
      </w:r>
      <w:r/>
    </w:p>
    <w:p>
      <w:pPr>
        <w:pStyle w:val="690"/>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.2废标条款 </w:t>
      </w:r>
      <w:r>
        <w:rPr>
          <w:rFonts w:hint="eastAsia" w:ascii="宋体" w:hAnsi="宋体"/>
          <w:bCs/>
          <w:color w:val="000000"/>
          <w:sz w:val="24"/>
          <w:szCs w:val="21"/>
          <w:highlight w:val="none"/>
        </w:rPr>
      </w:r>
      <w:r/>
    </w:p>
    <w:p>
      <w:pPr>
        <w:pStyle w:val="690"/>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rPr>
          <w:rFonts w:ascii="宋体" w:hAnsi="宋体"/>
          <w:bCs/>
          <w:color w:val="000000"/>
          <w:sz w:val="24"/>
          <w:szCs w:val="21"/>
          <w:highlight w:val="none"/>
        </w:rPr>
      </w:r>
      <w:r/>
    </w:p>
    <w:p>
      <w:pPr>
        <w:pStyle w:val="69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rPr>
          <w:rFonts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690"/>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690"/>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rPr>
          <w:rFonts w:ascii="宋体" w:hAnsi="宋体"/>
          <w:bCs/>
          <w:color w:val="000000"/>
          <w:sz w:val="24"/>
          <w:szCs w:val="21"/>
          <w:highlight w:val="none"/>
        </w:rPr>
      </w:r>
      <w:r/>
    </w:p>
    <w:p>
      <w:pPr>
        <w:pStyle w:val="69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rPr>
          <w:rFonts w:ascii="宋体" w:hAnsi="宋体"/>
          <w:bCs/>
          <w:color w:val="000000"/>
          <w:sz w:val="24"/>
          <w:szCs w:val="21"/>
          <w:highlight w:val="none"/>
        </w:rPr>
      </w:r>
      <w:r/>
    </w:p>
    <w:p>
      <w:pPr>
        <w:pStyle w:val="690"/>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.5 因</w:t>
      </w:r>
      <w:r>
        <w:rPr>
          <w:rFonts w:hint="eastAsia" w:ascii="宋体" w:hAnsi="宋体"/>
          <w:color w:val="000000"/>
          <w:sz w:val="24"/>
          <w:szCs w:val="24"/>
          <w:highlight w:val="none"/>
        </w:rPr>
        <w:t xml:space="preserve">苏采云</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  </w:t>
      </w:r>
      <w:r>
        <w:rPr>
          <w:rFonts w:ascii="宋体" w:hAnsi="宋体"/>
          <w:bCs/>
          <w:color w:val="000000"/>
          <w:sz w:val="24"/>
          <w:szCs w:val="21"/>
          <w:highlight w:val="none"/>
        </w:rPr>
      </w:r>
      <w:r/>
    </w:p>
    <w:p>
      <w:pPr>
        <w:pStyle w:val="690"/>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690"/>
        <w:ind w:firstLine="480"/>
        <w:keepLines/>
        <w:keepNext/>
        <w:spacing w:before="156" w:after="156" w:line="400" w:lineRule="exact"/>
        <w:rPr>
          <w:rFonts w:hint="eastAsia"/>
          <w:b/>
          <w:bCs/>
          <w:color w:val="000000"/>
          <w:sz w:val="32"/>
          <w:szCs w:val="32"/>
          <w:highlight w:val="none"/>
        </w:rPr>
        <w:outlineLvl w:val="2"/>
      </w:pPr>
      <w:r/>
      <w:bookmarkStart w:id="153" w:name="_Toc120614219"/>
      <w:r>
        <w:rPr>
          <w:rFonts w:hint="eastAsia"/>
          <w:b/>
          <w:bCs/>
          <w:color w:val="000000"/>
          <w:sz w:val="32"/>
          <w:szCs w:val="32"/>
          <w:highlight w:val="none"/>
        </w:rPr>
        <w:t xml:space="preserve">六、</w:t>
      </w:r>
      <w:bookmarkEnd w:id="150"/>
      <w:r/>
      <w:bookmarkEnd w:id="151"/>
      <w:r/>
      <w:bookmarkEnd w:id="152"/>
      <w:r>
        <w:rPr>
          <w:rFonts w:hint="eastAsia"/>
          <w:b/>
          <w:bCs/>
          <w:color w:val="000000"/>
          <w:sz w:val="32"/>
          <w:szCs w:val="32"/>
          <w:highlight w:val="none"/>
        </w:rPr>
        <w:t xml:space="preserve">定标</w:t>
      </w:r>
      <w:bookmarkEnd w:id="153"/>
      <w:r>
        <w:rPr>
          <w:rFonts w:hint="eastAsia"/>
          <w:b/>
          <w:bCs/>
          <w:color w:val="000000"/>
          <w:sz w:val="32"/>
          <w:szCs w:val="32"/>
          <w:highlight w:val="none"/>
        </w:rPr>
      </w:r>
      <w:r/>
    </w:p>
    <w:p>
      <w:pPr>
        <w:pStyle w:val="690"/>
        <w:ind w:firstLine="600"/>
        <w:keepLines/>
        <w:keepNext/>
        <w:spacing w:line="400" w:lineRule="exact"/>
        <w:rPr>
          <w:rFonts w:hint="eastAsia" w:ascii="黑体" w:hAnsi="宋体" w:eastAsia="黑体"/>
          <w:bCs/>
          <w:color w:val="000000"/>
          <w:sz w:val="30"/>
          <w:szCs w:val="30"/>
          <w:highlight w:val="none"/>
        </w:rPr>
        <w:outlineLvl w:val="3"/>
      </w:pPr>
      <w:r/>
      <w:bookmarkStart w:id="154" w:name="_Toc513029238"/>
      <w:r/>
      <w:bookmarkStart w:id="155" w:name="_Toc16938554"/>
      <w:r/>
      <w:bookmarkStart w:id="156"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4"/>
      <w:r>
        <w:rPr>
          <w:rFonts w:hint="eastAsia" w:ascii="黑体" w:hAnsi="宋体" w:eastAsia="黑体"/>
          <w:bCs/>
          <w:color w:val="000000"/>
          <w:sz w:val="30"/>
          <w:szCs w:val="30"/>
          <w:highlight w:val="none"/>
        </w:rPr>
        <w:t xml:space="preserve">确定</w:t>
      </w:r>
      <w:bookmarkEnd w:id="155"/>
      <w:r/>
      <w:bookmarkEnd w:id="156"/>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rPr>
          <w:rFonts w:hint="eastAsia" w:ascii="宋体" w:hAnsi="宋体"/>
          <w:bCs/>
          <w:color w:val="000000"/>
          <w:sz w:val="24"/>
          <w:szCs w:val="21"/>
          <w:highlight w:val="none"/>
        </w:rPr>
      </w:r>
      <w:r/>
    </w:p>
    <w:p>
      <w:pPr>
        <w:pStyle w:val="690"/>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 采购人应根据评委会推荐的中标候选人确定中标供应商。</w:t>
      </w:r>
      <w:r>
        <w:rPr>
          <w:rFonts w:hint="eastAsia" w:ascii="宋体" w:hAnsi="宋体"/>
          <w:bCs/>
          <w:color w:val="000000"/>
          <w:sz w:val="24"/>
          <w:szCs w:val="21"/>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招标代理将在“江苏政府采购网”发布中标公告，公告期限为1个工作日。</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27.4.2向采购人、招标代理行贿或者提供其他不正当利益的。</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bookmarkStart w:id="157"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690"/>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57"/>
      <w:r>
        <w:rPr>
          <w:rFonts w:hint="eastAsia" w:ascii="黑体" w:hAnsi="宋体" w:eastAsia="黑体"/>
          <w:bCs/>
          <w:color w:val="000000"/>
          <w:sz w:val="30"/>
          <w:szCs w:val="30"/>
          <w:highlight w:val="none"/>
        </w:rPr>
      </w:r>
      <w:r/>
    </w:p>
    <w:p>
      <w:pPr>
        <w:pStyle w:val="69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招标代理或采购人提出质疑。上述应知其权益受到损害之日，是指：</w:t>
      </w:r>
      <w:r>
        <w:rPr>
          <w:rFonts w:hint="eastAsia" w:ascii="宋体" w:hAnsi="宋体"/>
          <w:color w:val="000000"/>
          <w:sz w:val="24"/>
          <w:szCs w:val="24"/>
          <w:highlight w:val="none"/>
        </w:rPr>
      </w:r>
      <w:r/>
    </w:p>
    <w:p>
      <w:pPr>
        <w:pStyle w:val="690"/>
        <w:ind w:firstLine="480"/>
        <w:spacing w:line="400" w:lineRule="exact"/>
        <w:rPr>
          <w:rFonts w:hint="eastAsia"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690"/>
        <w:ind w:firstLine="48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供应商应当在法定质疑期内一次性提出针对同一采购程序环节的质疑。供应商如在法定期限内对同一采购程序环节提出多次质疑的，招标代理、</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690"/>
        <w:ind w:firstLine="480"/>
        <w:spacing w:line="400" w:lineRule="exact"/>
        <w:rPr>
          <w:rFonts w:ascii="宋体" w:hAnsi="宋体"/>
          <w:b/>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）对与</w:t>
      </w:r>
      <w:r>
        <w:rPr>
          <w:rFonts w:ascii="宋体" w:hAnsi="宋体"/>
          <w:color w:val="000000"/>
          <w:sz w:val="24"/>
          <w:szCs w:val="24"/>
          <w:highlight w:val="none"/>
        </w:rPr>
        <w:t xml:space="preserve">本项目</w:t>
      </w:r>
      <w:r>
        <w:rPr>
          <w:rFonts w:hint="eastAsia" w:ascii="宋体" w:hAnsi="宋体"/>
          <w:color w:val="000000"/>
          <w:sz w:val="24"/>
          <w:szCs w:val="24"/>
          <w:highlight w:val="none"/>
        </w:rPr>
        <w:t xml:space="preserve">有关的</w:t>
      </w:r>
      <w:r>
        <w:rPr>
          <w:rFonts w:ascii="宋体" w:hAnsi="宋体"/>
          <w:color w:val="000000"/>
          <w:sz w:val="24"/>
          <w:szCs w:val="24"/>
          <w:highlight w:val="none"/>
        </w:rPr>
        <w:t xml:space="preserve">所有询问、质疑</w:t>
      </w:r>
      <w:r>
        <w:rPr>
          <w:rFonts w:hint="eastAsia" w:ascii="宋体" w:hAnsi="宋体"/>
          <w:color w:val="000000"/>
          <w:sz w:val="24"/>
          <w:szCs w:val="24"/>
          <w:highlight w:val="none"/>
        </w:rPr>
        <w:t xml:space="preserve">均</w:t>
      </w:r>
      <w:r>
        <w:rPr>
          <w:rFonts w:ascii="宋体" w:hAnsi="宋体"/>
          <w:color w:val="000000"/>
          <w:sz w:val="24"/>
          <w:szCs w:val="24"/>
          <w:highlight w:val="none"/>
        </w:rPr>
        <w:t xml:space="preserve">请向采购人提出，由采购人负责答复。</w:t>
      </w:r>
      <w:r>
        <w:rPr>
          <w:rFonts w:ascii="宋体" w:hAnsi="宋体"/>
          <w:b/>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采购人及招标代理只接收以纸质原件形式送达的质疑,建议供应商尽量通过邮寄方式提交质疑（采购人和招标代理不接受无快递运</w:t>
      </w:r>
      <w:r>
        <w:rPr>
          <w:rFonts w:ascii="宋体" w:hAnsi="宋体"/>
          <w:color w:val="000000"/>
          <w:sz w:val="24"/>
          <w:szCs w:val="24"/>
          <w:highlight w:val="none"/>
        </w:rPr>
        <w:t xml:space="preserve">单号</w:t>
      </w:r>
      <w:r>
        <w:rPr>
          <w:rFonts w:hint="eastAsia" w:ascii="宋体" w:hAnsi="宋体"/>
          <w:color w:val="000000"/>
          <w:sz w:val="24"/>
          <w:szCs w:val="24"/>
          <w:highlight w:val="none"/>
        </w:rPr>
        <w:t xml:space="preserve">的快递）。</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招标代理质疑接收部门为质疑处理科（快递运单上的收件人填写“质疑处理科”即可），联系地址：南京市中华路50号弘业大厦10楼1008室，联系电话：18352665859。</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690"/>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690"/>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690"/>
        <w:ind w:firstLine="60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l中标结果确定后，招标代理将向中标供应商发出中标通知书。请中标供应商在中标结果公告届满之日起30日内,使用CA</w:t>
      </w:r>
      <w:r>
        <w:rPr>
          <w:rFonts w:hint="eastAsia" w:ascii="宋体" w:hAnsi="宋体"/>
          <w:color w:val="000000"/>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highlight w:val="none"/>
        </w:rPr>
      </w:r>
      <w:r/>
    </w:p>
    <w:p>
      <w:pPr>
        <w:pStyle w:val="690"/>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690"/>
        <w:keepLines/>
        <w:keepNext/>
        <w:spacing w:before="156" w:after="156" w:line="400" w:lineRule="exact"/>
        <w:rPr>
          <w:rFonts w:hint="eastAsia"/>
          <w:b/>
          <w:bCs/>
          <w:color w:val="000000"/>
          <w:sz w:val="32"/>
          <w:szCs w:val="32"/>
          <w:highlight w:val="none"/>
        </w:rPr>
        <w:outlineLvl w:val="2"/>
      </w:pPr>
      <w:r/>
      <w:bookmarkStart w:id="158" w:name="_Toc120614220"/>
      <w:r/>
      <w:bookmarkStart w:id="159" w:name="_Toc16938552"/>
      <w:r/>
      <w:bookmarkStart w:id="160" w:name="_Toc513029236"/>
      <w:r/>
      <w:bookmarkStart w:id="161" w:name="_Toc20823308"/>
      <w:r>
        <w:rPr>
          <w:rFonts w:hint="eastAsia"/>
          <w:b/>
          <w:bCs/>
          <w:color w:val="000000"/>
          <w:sz w:val="32"/>
          <w:szCs w:val="32"/>
          <w:highlight w:val="none"/>
        </w:rPr>
        <w:t xml:space="preserve">七、授予合同</w:t>
      </w:r>
      <w:bookmarkEnd w:id="158"/>
      <w:r>
        <w:rPr>
          <w:rFonts w:hint="eastAsia"/>
          <w:b/>
          <w:bCs/>
          <w:color w:val="000000"/>
          <w:sz w:val="32"/>
          <w:szCs w:val="32"/>
          <w:highlight w:val="none"/>
        </w:rPr>
      </w:r>
      <w:r/>
    </w:p>
    <w:p>
      <w:pPr>
        <w:pStyle w:val="690"/>
        <w:ind w:firstLine="600"/>
        <w:keepLines/>
        <w:keepNext/>
        <w:spacing w:line="400" w:lineRule="exact"/>
        <w:rPr>
          <w:rFonts w:hint="eastAsia" w:ascii="黑体" w:hAnsi="宋体" w:eastAsia="黑体"/>
          <w:bCs/>
          <w:color w:val="000000"/>
          <w:sz w:val="30"/>
          <w:szCs w:val="30"/>
          <w:highlight w:val="none"/>
        </w:rPr>
        <w:outlineLvl w:val="3"/>
      </w:pPr>
      <w:r/>
      <w:bookmarkEnd w:id="159"/>
      <w:r/>
      <w:bookmarkEnd w:id="160"/>
      <w:r/>
      <w:bookmarkEnd w:id="161"/>
      <w:r/>
      <w:bookmarkStart w:id="162" w:name="_Toc513029237"/>
      <w:r/>
      <w:bookmarkStart w:id="163" w:name="_Toc16938553"/>
      <w:r/>
      <w:bookmarkStart w:id="164"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p>
    <w:p>
      <w:pPr>
        <w:pStyle w:val="690"/>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olor w:val="000000"/>
          <w:sz w:val="24"/>
          <w:szCs w:val="24"/>
          <w:highlight w:val="none"/>
        </w:rPr>
      </w:r>
      <w:r/>
    </w:p>
    <w:p>
      <w:pPr>
        <w:pStyle w:val="690"/>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690"/>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highlight w:val="none"/>
        </w:rPr>
      </w:r>
      <w:r/>
    </w:p>
    <w:p>
      <w:pPr>
        <w:pStyle w:val="690"/>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highlight w:val="none"/>
        </w:rPr>
      </w:r>
      <w:r/>
    </w:p>
    <w:p>
      <w:pPr>
        <w:pStyle w:val="690"/>
        <w:ind w:firstLine="600"/>
        <w:keepLines/>
        <w:keepNext/>
        <w:spacing w:line="400" w:lineRule="exact"/>
        <w:rPr>
          <w:rFonts w:ascii="黑体" w:hAnsi="宋体" w:eastAsia="黑体"/>
          <w:bCs/>
          <w:color w:val="000000"/>
          <w:sz w:val="30"/>
          <w:szCs w:val="30"/>
          <w:highlight w:val="none"/>
        </w:rPr>
        <w:outlineLvl w:val="3"/>
      </w:pPr>
      <w:r/>
      <w:bookmarkEnd w:id="162"/>
      <w:r/>
      <w:bookmarkEnd w:id="163"/>
      <w:r/>
      <w:bookmarkEnd w:id="164"/>
      <w:r/>
      <w:bookmarkStart w:id="165" w:name="_Toc20823314"/>
      <w:r/>
      <w:bookmarkStart w:id="166" w:name="_Toc513029242"/>
      <w:r/>
      <w:bookmarkStart w:id="167" w:name="_Toc16938558"/>
      <w:r/>
      <w:bookmarkStart w:id="168" w:name="_Toc120614221"/>
      <w:r/>
      <w:bookmarkStart w:id="169" w:name="_Toc47975720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690"/>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690"/>
        <w:ind w:firstLine="420"/>
        <w:spacing w:line="400" w:lineRule="exact"/>
        <w:rPr>
          <w:rFonts w:hint="eastAsia"/>
          <w:color w:val="000000"/>
          <w:szCs w:val="21"/>
          <w:highlight w:val="none"/>
        </w:rPr>
      </w:pPr>
      <w:r>
        <w:rPr>
          <w:rFonts w:hint="eastAsia"/>
          <w:color w:val="000000"/>
          <w:szCs w:val="21"/>
          <w:highlight w:val="none"/>
        </w:rPr>
      </w:r>
      <w:r/>
    </w:p>
    <w:p>
      <w:pPr>
        <w:pStyle w:val="69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90"/>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690"/>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690"/>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690"/>
        <w:ind w:firstLine="2640"/>
        <w:jc w:val="left"/>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第三章  合同</w:t>
      </w:r>
      <w:bookmarkEnd w:id="165"/>
      <w:r/>
      <w:bookmarkEnd w:id="166"/>
      <w:r/>
      <w:bookmarkEnd w:id="167"/>
      <w:r/>
      <w:bookmarkEnd w:id="168"/>
      <w:r/>
      <w:bookmarkEnd w:id="169"/>
      <w:r>
        <w:rPr>
          <w:rFonts w:hint="eastAsia" w:ascii="黑体" w:eastAsia="黑体"/>
          <w:bCs/>
          <w:color w:val="000000"/>
          <w:sz w:val="44"/>
          <w:szCs w:val="28"/>
          <w:highlight w:val="none"/>
        </w:rPr>
        <w:t xml:space="preserve">文本</w:t>
      </w:r>
      <w:r>
        <w:rPr>
          <w:rFonts w:hint="eastAsia" w:ascii="黑体" w:eastAsia="黑体"/>
          <w:bCs/>
          <w:color w:val="000000"/>
          <w:sz w:val="44"/>
          <w:szCs w:val="28"/>
          <w:highlight w:val="none"/>
        </w:rPr>
      </w:r>
      <w:r/>
    </w:p>
    <w:p>
      <w:pPr>
        <w:pStyle w:val="690"/>
        <w:spacing w:line="400" w:lineRule="exact"/>
        <w:rPr>
          <w:rFonts w:ascii="宋体" w:hAnsi="宋体"/>
          <w:bCs/>
          <w:color w:val="000000"/>
          <w:sz w:val="24"/>
          <w:szCs w:val="24"/>
          <w:highlight w:val="none"/>
        </w:rPr>
      </w:pPr>
      <w:r/>
      <w:bookmarkStart w:id="170" w:name="_Toc513029243"/>
      <w:r/>
      <w:bookmarkStart w:id="171" w:name="_Toc20823315"/>
      <w:r/>
      <w:bookmarkStart w:id="172" w:name="_Toc16938559"/>
      <w:r/>
      <w:bookmarkStart w:id="173" w:name="_Toc3995"/>
      <w:r/>
      <w:bookmarkStart w:id="174" w:name="_Hlt16619350"/>
      <w:r/>
      <w:bookmarkStart w:id="175" w:name="_Toc120614244"/>
      <w:r/>
      <w:bookmarkStart w:id="176" w:name="_Toc16938590"/>
      <w:r/>
      <w:bookmarkStart w:id="177" w:name="_Toc20823346"/>
      <w:r/>
      <w:bookmarkStart w:id="178" w:name="_Toc479757211"/>
      <w:r/>
      <w:bookmarkStart w:id="179" w:name="_Toc462564139"/>
      <w:r>
        <w:rPr>
          <w:rFonts w:ascii="宋体" w:hAnsi="宋体"/>
          <w:bCs/>
          <w:color w:val="000000"/>
          <w:sz w:val="24"/>
          <w:szCs w:val="24"/>
          <w:highlight w:val="none"/>
        </w:rPr>
      </w:r>
      <w:r/>
    </w:p>
    <w:p>
      <w:pPr>
        <w:pStyle w:val="69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1"/>
        <w:jc w:val="center"/>
        <w:rPr>
          <w:rFonts w:ascii="宋体" w:hAnsi="宋体" w:eastAsia="宋体" w:cs="宋体"/>
          <w:b/>
          <w:bCs/>
          <w:color w:val="000000"/>
          <w:spacing w:val="-20"/>
          <w:sz w:val="32"/>
          <w:szCs w:val="32"/>
          <w:highlight w:val="none"/>
        </w:rPr>
      </w:pPr>
      <w:r/>
      <w:bookmarkEnd w:id="170"/>
      <w:r/>
      <w:bookmarkEnd w:id="171"/>
      <w:r/>
      <w:bookmarkEnd w:id="172"/>
      <w:r/>
      <w:bookmarkEnd w:id="173"/>
      <w:r>
        <w:rPr>
          <w:rFonts w:ascii="宋体" w:hAnsi="宋体" w:eastAsia="宋体" w:cs="宋体"/>
          <w:b/>
          <w:bCs/>
          <w:color w:val="000000"/>
          <w:spacing w:val="-20"/>
          <w:sz w:val="32"/>
          <w:szCs w:val="32"/>
          <w:highlight w:val="none"/>
        </w:rPr>
      </w:r>
      <w:r/>
    </w:p>
    <w:p>
      <w:pPr>
        <w:pStyle w:val="721"/>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721"/>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rPr>
          <w:rFonts w:ascii="宋体" w:hAnsi="宋体" w:eastAsia="宋体" w:cs="宋体"/>
          <w:b/>
          <w:bCs/>
          <w:color w:val="000000"/>
          <w:spacing w:val="-20"/>
          <w:sz w:val="32"/>
          <w:szCs w:val="32"/>
          <w:highlight w:val="none"/>
        </w:rPr>
      </w:r>
      <w:r/>
    </w:p>
    <w:p>
      <w:pPr>
        <w:pStyle w:val="721"/>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rPr>
          <w:rFonts w:ascii="宋体" w:hAnsi="宋体" w:eastAsia="宋体" w:cs="宋体"/>
          <w:b/>
          <w:bCs/>
          <w:color w:val="000000"/>
          <w:spacing w:val="-20"/>
          <w:sz w:val="32"/>
          <w:szCs w:val="32"/>
          <w:highlight w:val="none"/>
        </w:rPr>
      </w:r>
      <w:r/>
    </w:p>
    <w:p>
      <w:pPr>
        <w:pStyle w:val="690"/>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690"/>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690"/>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690"/>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rPr>
          <w:color w:val="000000"/>
          <w:sz w:val="28"/>
          <w:szCs w:val="28"/>
          <w:highlight w:val="none"/>
        </w:rPr>
      </w:r>
      <w:r/>
    </w:p>
    <w:p>
      <w:pPr>
        <w:pStyle w:val="690"/>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rPr>
          <w:color w:val="000000"/>
          <w:sz w:val="28"/>
          <w:szCs w:val="28"/>
          <w:highlight w:val="none"/>
          <w:u w:val="single"/>
        </w:rPr>
      </w:r>
      <w:r/>
    </w:p>
    <w:p>
      <w:pPr>
        <w:pStyle w:val="690"/>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rPr>
          <w:color w:val="000000"/>
          <w:sz w:val="28"/>
          <w:szCs w:val="28"/>
          <w:highlight w:val="none"/>
        </w:rPr>
      </w:r>
      <w:r/>
    </w:p>
    <w:p>
      <w:pPr>
        <w:pStyle w:val="690"/>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rPr>
          <w:color w:val="000000"/>
          <w:sz w:val="28"/>
          <w:szCs w:val="28"/>
          <w:highlight w:val="none"/>
          <w:u w:val="single"/>
        </w:rPr>
      </w:r>
      <w:r/>
    </w:p>
    <w:p>
      <w:pPr>
        <w:pStyle w:val="690"/>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rPr>
      </w:r>
      <w:r/>
    </w:p>
    <w:p>
      <w:pPr>
        <w:pStyle w:val="690"/>
        <w:rPr>
          <w:color w:val="000000"/>
          <w:highlight w:val="none"/>
        </w:rPr>
      </w:pPr>
      <w:r>
        <w:rPr>
          <w:color w:val="000000"/>
          <w:highlight w:val="none"/>
        </w:rPr>
      </w:r>
      <w:r/>
    </w:p>
    <w:p>
      <w:pPr>
        <w:pStyle w:val="690"/>
        <w:rPr>
          <w:rFonts w:eastAsia="黑体"/>
          <w:color w:val="000000"/>
          <w:sz w:val="44"/>
          <w:szCs w:val="44"/>
          <w:highlight w:val="none"/>
        </w:rPr>
      </w:pPr>
      <w:r>
        <w:rPr>
          <w:rFonts w:eastAsia="黑体"/>
          <w:color w:val="000000"/>
          <w:sz w:val="44"/>
          <w:szCs w:val="44"/>
          <w:highlight w:val="none"/>
        </w:rPr>
      </w:r>
      <w:r/>
    </w:p>
    <w:p>
      <w:pPr>
        <w:pStyle w:val="690"/>
        <w:rPr>
          <w:rFonts w:eastAsia="黑体"/>
          <w:color w:val="000000"/>
          <w:sz w:val="44"/>
          <w:szCs w:val="44"/>
          <w:highlight w:val="none"/>
        </w:rPr>
      </w:pPr>
      <w:r>
        <w:rPr>
          <w:rFonts w:eastAsia="黑体"/>
          <w:color w:val="000000"/>
          <w:sz w:val="44"/>
          <w:szCs w:val="44"/>
          <w:highlight w:val="none"/>
        </w:rPr>
      </w:r>
      <w:r/>
    </w:p>
    <w:p>
      <w:pPr>
        <w:pStyle w:val="690"/>
        <w:rPr>
          <w:rFonts w:eastAsia="黑体"/>
          <w:color w:val="000000"/>
          <w:sz w:val="44"/>
          <w:szCs w:val="44"/>
          <w:highlight w:val="none"/>
        </w:rPr>
      </w:pPr>
      <w:r>
        <w:rPr>
          <w:rFonts w:eastAsia="黑体"/>
          <w:color w:val="000000"/>
          <w:sz w:val="44"/>
          <w:szCs w:val="44"/>
          <w:highlight w:val="none"/>
        </w:rPr>
      </w:r>
      <w:r/>
    </w:p>
    <w:p>
      <w:pPr>
        <w:pStyle w:val="690"/>
        <w:rPr>
          <w:rFonts w:eastAsia="黑体"/>
          <w:color w:val="000000"/>
          <w:sz w:val="44"/>
          <w:szCs w:val="44"/>
          <w:highlight w:val="none"/>
        </w:rPr>
      </w:pPr>
      <w:r>
        <w:rPr>
          <w:rFonts w:eastAsia="黑体"/>
          <w:color w:val="000000"/>
          <w:sz w:val="44"/>
          <w:szCs w:val="44"/>
          <w:highlight w:val="none"/>
        </w:rPr>
      </w:r>
      <w:r/>
    </w:p>
    <w:p>
      <w:pPr>
        <w:pStyle w:val="690"/>
        <w:rPr>
          <w:rFonts w:eastAsia="黑体"/>
          <w:color w:val="000000"/>
          <w:sz w:val="44"/>
          <w:szCs w:val="44"/>
          <w:highlight w:val="none"/>
        </w:rPr>
      </w:pPr>
      <w:r>
        <w:rPr>
          <w:rFonts w:eastAsia="黑体"/>
          <w:color w:val="000000"/>
          <w:sz w:val="44"/>
          <w:szCs w:val="44"/>
          <w:highlight w:val="none"/>
        </w:rPr>
      </w:r>
      <w:r/>
    </w:p>
    <w:p>
      <w:pPr>
        <w:pStyle w:val="690"/>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rPr>
          <w:rFonts w:ascii="宋体" w:hAnsi="宋体"/>
          <w:color w:val="000000"/>
          <w:sz w:val="32"/>
          <w:szCs w:val="32"/>
          <w:highlight w:val="none"/>
        </w:rPr>
      </w:r>
      <w:r/>
    </w:p>
    <w:p>
      <w:pPr>
        <w:pStyle w:val="690"/>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pStyle w:val="690"/>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rPr>
          <w:rFonts w:ascii="宋体" w:hAnsi="宋体" w:cs="仿宋_GB2312"/>
          <w:color w:val="000000"/>
          <w:sz w:val="28"/>
          <w:szCs w:val="28"/>
          <w:highlight w:val="none"/>
        </w:rPr>
      </w:r>
      <w:r/>
    </w:p>
    <w:p>
      <w:pPr>
        <w:pStyle w:val="690"/>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rPr>
          <w:rFonts w:ascii="宋体" w:hAnsi="宋体"/>
          <w:color w:val="000000"/>
          <w:sz w:val="28"/>
          <w:szCs w:val="28"/>
          <w:highlight w:val="none"/>
        </w:rPr>
      </w:r>
      <w:r/>
    </w:p>
    <w:p>
      <w:pPr>
        <w:pStyle w:val="690"/>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highlight w:val="none"/>
        </w:rPr>
      </w:r>
      <w:r/>
    </w:p>
    <w:p>
      <w:pPr>
        <w:pStyle w:val="690"/>
        <w:ind w:firstLine="880"/>
        <w:rPr>
          <w:rFonts w:eastAsia="黑体"/>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highlight w:val="none"/>
        </w:rPr>
      </w:r>
      <w:r/>
    </w:p>
    <w:p>
      <w:pPr>
        <w:pStyle w:val="692"/>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rPr>
          <w:rFonts w:ascii="黑体" w:hAnsi="华文中宋" w:eastAsia="黑体"/>
          <w:b w:val="0"/>
          <w:bCs w:val="0"/>
          <w:color w:val="000000"/>
          <w:sz w:val="28"/>
          <w:szCs w:val="28"/>
          <w:highlight w:val="none"/>
        </w:rPr>
      </w:r>
      <w:r/>
    </w:p>
    <w:p>
      <w:pPr>
        <w:pStyle w:val="692"/>
        <w:spacing w:line="400" w:lineRule="exact"/>
        <w:rPr>
          <w:rFonts w:ascii="黑体" w:hAnsi="华文中宋" w:eastAsia="黑体"/>
          <w:b w:val="0"/>
          <w:bCs w:val="0"/>
          <w:color w:val="000000"/>
          <w:sz w:val="28"/>
          <w:szCs w:val="28"/>
          <w:highlight w:val="none"/>
        </w:rPr>
      </w:pPr>
      <w:r>
        <w:rPr>
          <w:rFonts w:ascii="黑体" w:hAnsi="华文中宋" w:eastAsia="黑体"/>
          <w:b w:val="0"/>
          <w:bCs w:val="0"/>
          <w:color w:val="000000"/>
          <w:sz w:val="28"/>
          <w:szCs w:val="28"/>
          <w:highlight w:val="none"/>
        </w:rPr>
      </w:r>
      <w:r/>
    </w:p>
    <w:p>
      <w:pPr>
        <w:pStyle w:val="690"/>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（采购人、受采购人委托签订合同的单位或采购文件约定的合同甲方）</w:t>
      </w:r>
      <w:r>
        <w:rPr>
          <w:rFonts w:ascii="宋体" w:hAnsi="宋体"/>
          <w:color w:val="000000"/>
          <w:szCs w:val="21"/>
          <w:highlight w:val="none"/>
        </w:rPr>
      </w:r>
      <w:r/>
    </w:p>
    <w:p>
      <w:pPr>
        <w:pStyle w:val="690"/>
        <w:spacing w:line="400" w:lineRule="exact"/>
        <w:rPr>
          <w:rFonts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rPr>
          <w:rFonts w:ascii="宋体" w:hAnsi="宋体"/>
          <w:color w:val="000000"/>
          <w:szCs w:val="21"/>
          <w:highlight w:val="none"/>
        </w:rPr>
      </w:r>
      <w:r/>
    </w:p>
    <w:p>
      <w:pPr>
        <w:pStyle w:val="690"/>
        <w:spacing w:line="400" w:lineRule="exact"/>
        <w:rPr>
          <w:rFonts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rPr>
          <w:rFonts w:ascii="宋体" w:hAnsi="宋体"/>
          <w:color w:val="000000"/>
          <w:szCs w:val="21"/>
          <w:highlight w:val="none"/>
        </w:rPr>
      </w:r>
      <w:r/>
    </w:p>
    <w:p>
      <w:pPr>
        <w:pStyle w:val="690"/>
        <w:spacing w:line="400" w:lineRule="exact"/>
        <w:rPr>
          <w:rFonts w:ascii="宋体" w:hAnsi="宋体"/>
          <w:color w:val="000000"/>
          <w:szCs w:val="21"/>
          <w:highlight w:val="none"/>
        </w:rPr>
      </w:pPr>
      <w:r>
        <w:rPr>
          <w:rFonts w:hint="eastAsia"/>
          <w:color w:val="000000"/>
          <w:highlight w:val="none"/>
        </w:rPr>
        <w:t xml:space="preserve">乙方</w:t>
      </w:r>
      <w:r>
        <w:rPr>
          <w:rFonts w:hint="eastAsia" w:ascii="宋体" w:hAnsi="宋体"/>
          <w:color w:val="000000"/>
          <w:szCs w:val="21"/>
          <w:highlight w:val="none"/>
        </w:rPr>
        <w:t xml:space="preserve">3</w:t>
      </w:r>
      <w:r>
        <w:rPr>
          <w:rFonts w:hint="eastAsia"/>
          <w:color w:val="000000"/>
          <w:highlight w:val="none"/>
        </w:rPr>
        <w:t xml:space="preserve">（全称）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rPr>
          <w:rFonts w:ascii="宋体" w:hAnsi="宋体"/>
          <w:color w:val="000000"/>
          <w:szCs w:val="21"/>
          <w:highlight w:val="none"/>
        </w:rPr>
      </w:r>
      <w:r/>
    </w:p>
    <w:p>
      <w:pPr>
        <w:pStyle w:val="690"/>
        <w:spacing w:line="400" w:lineRule="exact"/>
        <w:rPr>
          <w:color w:val="000000"/>
          <w:highlight w:val="none"/>
        </w:rPr>
      </w:pPr>
      <w:r>
        <w:rPr>
          <w:color w:val="000000"/>
          <w:highlight w:val="none"/>
        </w:rPr>
      </w:r>
      <w:r/>
    </w:p>
    <w:p>
      <w:pPr>
        <w:pStyle w:val="723"/>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highlight w:val="none"/>
        </w:rPr>
      </w:r>
      <w:r/>
    </w:p>
    <w:p>
      <w:pPr>
        <w:pStyle w:val="690"/>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rPr>
          <w:rFonts w:ascii="宋体" w:hAnsi="宋体"/>
          <w:b/>
          <w:color w:val="000000"/>
          <w:szCs w:val="21"/>
          <w:highlight w:val="none"/>
        </w:rPr>
      </w:r>
      <w:r/>
    </w:p>
    <w:p>
      <w:pPr>
        <w:pStyle w:val="723"/>
        <w:numPr>
          <w:ilvl w:val="0"/>
          <w:numId w:val="7"/>
        </w:numPr>
        <w:ind w:left="0" w:firstLine="420"/>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723"/>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采购项目编号：</w:t>
      </w:r>
      <w:r>
        <w:rPr>
          <w:rFonts w:ascii="宋体" w:hAnsi="宋体"/>
          <w:color w:val="000000"/>
          <w:szCs w:val="21"/>
          <w:highlight w:val="none"/>
          <w:u w:val="single"/>
        </w:rPr>
        <w:t xml:space="preserve">                                          </w:t>
      </w:r>
      <w:r>
        <w:rPr>
          <w:rFonts w:ascii="宋体" w:hAnsi="宋体"/>
          <w:color w:val="000000"/>
          <w:szCs w:val="21"/>
          <w:highlight w:val="none"/>
        </w:rPr>
      </w:r>
      <w:r/>
    </w:p>
    <w:p>
      <w:pPr>
        <w:pStyle w:val="723"/>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个</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架</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组等</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690"/>
        <w:ind w:firstLine="420"/>
        <w:spacing w:line="400" w:lineRule="exact"/>
        <w:rPr>
          <w:rFonts w:ascii="宋体" w:hAnsi="宋体" w:cs="宋体"/>
          <w:color w:val="000000"/>
          <w:szCs w:val="21"/>
          <w:highlight w:val="none"/>
          <w:lang w:val="en"/>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ascii="宋体" w:hAnsi="宋体" w:cs="宋体"/>
          <w:color w:val="000000"/>
          <w:szCs w:val="21"/>
          <w:highlight w:val="none"/>
          <w:lang w:val="en"/>
        </w:rPr>
      </w:r>
      <w:r/>
    </w:p>
    <w:p>
      <w:pPr>
        <w:pStyle w:val="690"/>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rPr>
          <w:rFonts w:ascii="宋体" w:hAnsi="宋体"/>
          <w:color w:val="000000"/>
          <w:szCs w:val="21"/>
          <w:highlight w:val="none"/>
          <w:u w:val="single"/>
        </w:rPr>
      </w:r>
      <w:r/>
    </w:p>
    <w:p>
      <w:pPr>
        <w:pStyle w:val="690"/>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rPr>
          <w:rFonts w:ascii="宋体" w:hAnsi="宋体" w:cs="宋体"/>
          <w:color w:val="000000"/>
          <w:szCs w:val="21"/>
          <w:highlight w:val="none"/>
        </w:rPr>
      </w:r>
      <w:r/>
    </w:p>
    <w:p>
      <w:pPr>
        <w:pStyle w:val="690"/>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690"/>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t xml:space="preserve">关键部件</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r>
      <w:r/>
    </w:p>
    <w:p>
      <w:pPr>
        <w:pStyle w:val="8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rPr>
      </w:r>
      <w:r/>
    </w:p>
    <w:p>
      <w:pPr>
        <w:pStyle w:val="804"/>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highlight w:val="none"/>
        </w:rPr>
      </w:r>
      <w:r/>
    </w:p>
    <w:p>
      <w:pPr>
        <w:pStyle w:val="804"/>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rPr>
          <w:rFonts w:ascii="宋体" w:hAnsi="宋体" w:eastAsia="宋体" w:cs="宋体"/>
          <w:color w:val="000000"/>
          <w:sz w:val="21"/>
          <w:highlight w:val="none"/>
        </w:rPr>
      </w:r>
      <w:r/>
    </w:p>
    <w:p>
      <w:pPr>
        <w:pStyle w:val="804"/>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r>
      <w:r/>
    </w:p>
    <w:p>
      <w:pPr>
        <w:pStyle w:val="804"/>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rPr>
          <w:rFonts w:ascii="宋体" w:hAnsi="宋体" w:eastAsia="宋体" w:cs="宋体"/>
          <w:color w:val="000000"/>
          <w:sz w:val="21"/>
          <w:highlight w:val="none"/>
        </w:rPr>
      </w:r>
      <w:r/>
    </w:p>
    <w:p>
      <w:pPr>
        <w:pStyle w:val="804"/>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rPr>
          <w:rFonts w:ascii="宋体" w:hAnsi="宋体" w:eastAsia="宋体" w:cs="宋体"/>
          <w:color w:val="000000"/>
          <w:sz w:val="21"/>
          <w:highlight w:val="none"/>
        </w:rPr>
      </w:r>
      <w:r/>
    </w:p>
    <w:p>
      <w:pPr>
        <w:pStyle w:val="8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ascii="宋体" w:hAnsi="宋体" w:eastAsia="宋体" w:cs="宋体"/>
          <w:color w:val="000000"/>
          <w:sz w:val="21"/>
          <w:highlight w:val="none"/>
        </w:rPr>
      </w:r>
      <w:r/>
    </w:p>
    <w:p>
      <w:pPr>
        <w:pStyle w:val="804"/>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u w:val="single"/>
        </w:rPr>
      </w:r>
      <w:r/>
    </w:p>
    <w:p>
      <w:pPr>
        <w:pStyle w:val="8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ascii="宋体" w:hAnsi="宋体" w:eastAsia="宋体" w:cs="宋体"/>
          <w:color w:val="000000"/>
          <w:sz w:val="21"/>
          <w:highlight w:val="none"/>
        </w:rPr>
      </w:r>
      <w:r/>
    </w:p>
    <w:p>
      <w:pPr>
        <w:pStyle w:val="804"/>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lang w:val="en"/>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eastAsia="宋体" w:cs="Times New Roman"/>
          <w:color w:val="000000"/>
          <w:sz w:val="21"/>
          <w:highlight w:val="none"/>
        </w:rPr>
      </w:r>
      <w:r/>
    </w:p>
    <w:p>
      <w:pPr>
        <w:pStyle w:val="690"/>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690"/>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690"/>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690"/>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color w:val="000000"/>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lang w:val="e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color w:val="000000"/>
          <w:szCs w:val="21"/>
          <w:highlight w:val="none"/>
        </w:rPr>
      </w:r>
      <w:r/>
    </w:p>
    <w:p>
      <w:pPr>
        <w:pStyle w:val="690"/>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690"/>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rPr>
          <w:rFonts w:ascii="宋体" w:hAnsi="宋体"/>
          <w:color w:val="000000"/>
          <w:szCs w:val="21"/>
          <w:highlight w:val="none"/>
        </w:rPr>
      </w:r>
      <w:r/>
    </w:p>
    <w:p>
      <w:pPr>
        <w:pStyle w:val="690"/>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690"/>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rPr>
          <w:rFonts w:ascii="宋体" w:hAnsi="宋体"/>
          <w:color w:val="000000"/>
          <w:szCs w:val="21"/>
          <w:highlight w:val="none"/>
        </w:rPr>
      </w:r>
      <w:r/>
    </w:p>
    <w:p>
      <w:pPr>
        <w:pStyle w:val="690"/>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rPr>
          <w:rFonts w:ascii="宋体" w:hAnsi="宋体"/>
          <w:iCs/>
          <w:color w:val="000000"/>
          <w:szCs w:val="21"/>
          <w:highlight w:val="none"/>
        </w:rPr>
      </w:r>
      <w:r/>
    </w:p>
    <w:p>
      <w:pPr>
        <w:pStyle w:val="690"/>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eastAsia="华文楷体"/>
          <w:color w:val="000000"/>
          <w:highlight w:val="none"/>
        </w:rPr>
      </w:r>
      <w:r/>
    </w:p>
    <w:p>
      <w:pPr>
        <w:pStyle w:val="690"/>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ascii="宋体" w:hAnsi="宋体" w:cs="宋体"/>
          <w:iCs/>
          <w:color w:val="000000"/>
          <w:szCs w:val="21"/>
          <w:highlight w:val="none"/>
        </w:rPr>
      </w:r>
      <w:r/>
    </w:p>
    <w:p>
      <w:pPr>
        <w:pStyle w:val="804"/>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ascii="宋体" w:hAnsi="宋体" w:eastAsia="宋体" w:cs="宋体"/>
          <w:color w:val="000000"/>
          <w:sz w:val="21"/>
          <w:highlight w:val="none"/>
          <w:u w:val="single"/>
        </w:rPr>
      </w:r>
      <w:r/>
    </w:p>
    <w:p>
      <w:pPr>
        <w:pStyle w:val="690"/>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rPr>
          <w:rFonts w:ascii="宋体" w:hAnsi="宋体" w:cs="宋体"/>
          <w:color w:val="000000"/>
          <w:szCs w:val="21"/>
          <w:highlight w:val="none"/>
        </w:rPr>
      </w:r>
      <w:r/>
    </w:p>
    <w:p>
      <w:pPr>
        <w:pStyle w:val="690"/>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690"/>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690"/>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690"/>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0</w:t>
      </w:r>
      <w:r>
        <w:rPr>
          <w:rFonts w:hint="eastAsia" w:ascii="宋体" w:hAnsi="宋体"/>
          <w:color w:val="000000"/>
          <w:szCs w:val="21"/>
          <w:highlight w:val="none"/>
        </w:rPr>
        <w:t xml:space="preserve">）是否涉及节能产品：</w:t>
      </w:r>
      <w:r>
        <w:rPr>
          <w:rFonts w:ascii="宋体" w:hAnsi="宋体"/>
          <w:color w:val="000000"/>
          <w:szCs w:val="21"/>
          <w:highlight w:val="none"/>
        </w:rPr>
      </w:r>
      <w:r/>
    </w:p>
    <w:p>
      <w:pPr>
        <w:pStyle w:val="690"/>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iCs/>
          <w:color w:val="000000"/>
          <w:szCs w:val="21"/>
          <w:highlight w:val="none"/>
        </w:rPr>
      </w:r>
      <w:r/>
    </w:p>
    <w:p>
      <w:pPr>
        <w:pStyle w:val="690"/>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690"/>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690"/>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rPr>
          <w:rFonts w:ascii="宋体" w:hAnsi="宋体"/>
          <w:color w:val="000000"/>
          <w:szCs w:val="21"/>
          <w:highlight w:val="none"/>
        </w:rPr>
      </w:r>
      <w:r/>
    </w:p>
    <w:p>
      <w:pPr>
        <w:pStyle w:val="690"/>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color w:val="000000"/>
          <w:szCs w:val="21"/>
          <w:highlight w:val="none"/>
        </w:rPr>
      </w:r>
      <w:r/>
    </w:p>
    <w:p>
      <w:pPr>
        <w:pStyle w:val="690"/>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690"/>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804"/>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rFonts w:ascii="宋体" w:hAnsi="宋体" w:eastAsia="宋体" w:cs="Times New Roman"/>
          <w:color w:val="000000"/>
          <w:sz w:val="21"/>
          <w:highlight w:val="none"/>
        </w:rPr>
      </w:r>
      <w:r/>
    </w:p>
    <w:p>
      <w:pPr>
        <w:pStyle w:val="804"/>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rPr>
          <w:rFonts w:ascii="宋体" w:hAnsi="宋体" w:eastAsia="宋体"/>
          <w:color w:val="000000"/>
          <w:highlight w:val="none"/>
          <w:u w:val="single"/>
        </w:rPr>
      </w:r>
      <w:r/>
    </w:p>
    <w:p>
      <w:pPr>
        <w:pStyle w:val="690"/>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804"/>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color w:val="000000"/>
          <w:sz w:val="21"/>
          <w:highlight w:val="none"/>
        </w:rPr>
      </w:r>
      <w:r/>
    </w:p>
    <w:p>
      <w:pPr>
        <w:pStyle w:val="690"/>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highlight w:val="none"/>
        </w:rPr>
      </w:r>
      <w:r/>
    </w:p>
    <w:p>
      <w:pPr>
        <w:pStyle w:val="690"/>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rPr>
          <w:rFonts w:ascii="宋体" w:hAnsi="宋体"/>
          <w:color w:val="000000"/>
          <w:szCs w:val="21"/>
          <w:highlight w:val="none"/>
        </w:rPr>
      </w:r>
      <w:r/>
    </w:p>
    <w:p>
      <w:pPr>
        <w:pStyle w:val="690"/>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rPr>
          <w:rFonts w:ascii="宋体" w:hAnsi="宋体"/>
          <w:b/>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9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690"/>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9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690"/>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rPr>
          <w:rFonts w:ascii="宋体" w:hAnsi="宋体"/>
          <w:color w:val="000000"/>
          <w:szCs w:val="21"/>
          <w:highlight w:val="none"/>
        </w:rPr>
      </w:r>
      <w:r/>
    </w:p>
    <w:p>
      <w:pPr>
        <w:pStyle w:val="690"/>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72"/>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rPr>
          <w:color w:val="000000"/>
          <w:sz w:val="21"/>
          <w:szCs w:val="21"/>
          <w:highlight w:val="none"/>
          <w:lang w:eastAsia="zh-CN"/>
        </w:rPr>
      </w:r>
      <w:r/>
    </w:p>
    <w:p>
      <w:pPr>
        <w:pStyle w:val="690"/>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rPr>
          <w:rFonts w:ascii="宋体" w:hAnsi="宋体"/>
          <w:color w:val="000000"/>
          <w:szCs w:val="21"/>
          <w:highlight w:val="none"/>
          <w:u w:val="single"/>
        </w:rPr>
      </w:r>
      <w:r/>
    </w:p>
    <w:p>
      <w:pPr>
        <w:pStyle w:val="690"/>
        <w:ind w:firstLine="630"/>
        <w:spacing w:line="400" w:lineRule="exact"/>
        <w:rPr>
          <w:color w:val="000000"/>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 xml:space="preserve">，其中涉及预付款的：</w:t>
      </w:r>
      <w:r>
        <w:rPr>
          <w:rFonts w:hint="eastAsia" w:ascii="宋体" w:hAnsi="宋体"/>
          <w:color w:val="000000"/>
          <w:szCs w:val="21"/>
          <w:highlight w:val="none"/>
          <w:u w:val="single"/>
        </w:rPr>
        <w:t xml:space="preserve"> （应明确预付款的支付比例和支付条件） </w:t>
      </w:r>
      <w:r>
        <w:rPr>
          <w:color w:val="000000"/>
          <w:highlight w:val="none"/>
        </w:rPr>
      </w:r>
      <w:r/>
    </w:p>
    <w:p>
      <w:pPr>
        <w:pStyle w:val="690"/>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rPr>
          <w:rFonts w:ascii="宋体" w:hAnsi="宋体"/>
          <w:color w:val="000000"/>
          <w:szCs w:val="21"/>
          <w:highlight w:val="none"/>
          <w:u w:val="single"/>
        </w:rPr>
      </w:r>
      <w:r/>
    </w:p>
    <w:p>
      <w:pPr>
        <w:pStyle w:val="690"/>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rPr>
          <w:rFonts w:ascii="宋体" w:hAnsi="宋体"/>
          <w:color w:val="000000"/>
          <w:szCs w:val="21"/>
          <w:highlight w:val="none"/>
          <w:u w:val="single"/>
        </w:rPr>
      </w:r>
      <w:r/>
    </w:p>
    <w:p>
      <w:pPr>
        <w:pStyle w:val="690"/>
        <w:numPr>
          <w:ilvl w:val="0"/>
          <w:numId w:val="6"/>
        </w:numPr>
        <w:ind w:firstLine="420"/>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rPr>
          <w:rFonts w:ascii="宋体" w:hAnsi="宋体"/>
          <w:b/>
          <w:color w:val="000000"/>
          <w:szCs w:val="21"/>
          <w:highlight w:val="none"/>
          <w:u w:val="single"/>
        </w:rPr>
      </w:r>
      <w:r/>
    </w:p>
    <w:p>
      <w:pPr>
        <w:pStyle w:val="690"/>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690"/>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690"/>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ascii="宋体" w:hAnsi="宋体" w:cs="宋体"/>
          <w:color w:val="000000"/>
          <w:szCs w:val="21"/>
          <w:highlight w:val="none"/>
        </w:rPr>
      </w:r>
      <w:r/>
    </w:p>
    <w:p>
      <w:pPr>
        <w:pStyle w:val="804"/>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rPr>
          <w:rFonts w:ascii="宋体" w:hAnsi="宋体" w:eastAsia="宋体" w:cs="宋体"/>
          <w:color w:val="000000"/>
          <w:sz w:val="21"/>
          <w:highlight w:val="none"/>
        </w:rPr>
      </w:r>
      <w:r/>
    </w:p>
    <w:p>
      <w:pPr>
        <w:pStyle w:val="8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rPr>
          <w:rFonts w:ascii="宋体" w:hAnsi="宋体" w:eastAsia="宋体" w:cs="宋体"/>
          <w:color w:val="000000"/>
          <w:sz w:val="21"/>
          <w:highlight w:val="none"/>
        </w:rPr>
      </w:r>
      <w:r/>
    </w:p>
    <w:p>
      <w:pPr>
        <w:pStyle w:val="690"/>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rPr>
          <w:rFonts w:ascii="宋体" w:hAnsi="宋体" w:cs="宋体"/>
          <w:color w:val="000000"/>
          <w:highlight w:val="none"/>
        </w:rPr>
      </w:r>
      <w:r/>
    </w:p>
    <w:p>
      <w:pPr>
        <w:pStyle w:val="690"/>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rPr>
      </w:r>
      <w:r/>
    </w:p>
    <w:p>
      <w:pPr>
        <w:pStyle w:val="690"/>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690"/>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rPr>
          <w:rFonts w:ascii="宋体" w:hAnsi="宋体"/>
          <w:b/>
          <w:color w:val="000000"/>
          <w:szCs w:val="21"/>
          <w:highlight w:val="none"/>
        </w:rPr>
      </w:r>
      <w:r/>
    </w:p>
    <w:p>
      <w:pPr>
        <w:pStyle w:val="690"/>
        <w:numPr>
          <w:ilvl w:val="0"/>
          <w:numId w:val="8"/>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rPr>
          <w:rFonts w:ascii="宋体" w:hAnsi="宋体"/>
          <w:bCs/>
          <w:color w:val="000000"/>
          <w:szCs w:val="21"/>
          <w:highlight w:val="none"/>
        </w:rPr>
      </w:r>
      <w:r/>
    </w:p>
    <w:p>
      <w:pPr>
        <w:pStyle w:val="690"/>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690"/>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9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9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9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90"/>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90"/>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rPr>
          <w:rFonts w:ascii="宋体" w:hAnsi="宋体"/>
          <w:bCs/>
          <w:color w:val="000000"/>
          <w:szCs w:val="21"/>
          <w:highlight w:val="none"/>
          <w:u w:val="single"/>
        </w:rPr>
      </w:r>
      <w:r/>
    </w:p>
    <w:p>
      <w:pPr>
        <w:pStyle w:val="690"/>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690"/>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690"/>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rPr>
          <w:rFonts w:ascii="宋体" w:hAnsi="宋体"/>
          <w:bCs/>
          <w:color w:val="000000"/>
          <w:szCs w:val="21"/>
          <w:highlight w:val="none"/>
          <w:u w:val="single"/>
        </w:rPr>
      </w:r>
      <w:r/>
    </w:p>
    <w:p>
      <w:pPr>
        <w:pStyle w:val="690"/>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rPr>
          <w:rFonts w:ascii="宋体" w:hAnsi="宋体"/>
          <w:bCs/>
          <w:color w:val="000000"/>
          <w:szCs w:val="21"/>
          <w:highlight w:val="none"/>
        </w:rPr>
      </w:r>
      <w:r/>
    </w:p>
    <w:p>
      <w:pPr>
        <w:pStyle w:val="690"/>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lang w:val="en"/>
        </w:rPr>
        <w:t xml:space="preserve">/</w:t>
      </w:r>
      <w:r>
        <w:rPr>
          <w:rFonts w:hint="eastAsia" w:ascii="宋体" w:hAnsi="宋体"/>
          <w:bCs/>
          <w:color w:val="000000"/>
          <w:szCs w:val="21"/>
          <w:highlight w:val="none"/>
          <w:u w:val="single"/>
          <w:lang w:val="en"/>
        </w:rPr>
        <w:t xml:space="preserve">分项验收的工作安排</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690"/>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690"/>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rPr>
          <w:rFonts w:ascii="宋体" w:hAnsi="宋体"/>
          <w:bCs/>
          <w:color w:val="000000"/>
          <w:szCs w:val="21"/>
          <w:highlight w:val="none"/>
          <w:u w:val="single"/>
        </w:rPr>
      </w:r>
      <w:r/>
    </w:p>
    <w:p>
      <w:pPr>
        <w:pStyle w:val="690"/>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804"/>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rPr>
          <w:rFonts w:ascii="宋体" w:hAnsi="宋体" w:eastAsia="宋体" w:cs="宋体"/>
          <w:color w:val="000000"/>
          <w:sz w:val="21"/>
          <w:highlight w:val="none"/>
        </w:rPr>
      </w:r>
      <w:r/>
    </w:p>
    <w:p>
      <w:pPr>
        <w:pStyle w:val="690"/>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rPr>
          <w:rFonts w:ascii="宋体" w:hAnsi="宋体" w:cs="宋体"/>
          <w:bCs/>
          <w:color w:val="000000"/>
          <w:szCs w:val="21"/>
          <w:highlight w:val="none"/>
          <w:u w:val="single"/>
        </w:rPr>
      </w:r>
      <w:r/>
    </w:p>
    <w:p>
      <w:pPr>
        <w:pStyle w:val="690"/>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rPr>
          <w:rFonts w:ascii="宋体" w:hAnsi="宋体"/>
          <w:b/>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rPr>
          <w:rFonts w:ascii="宋体" w:hAnsi="宋体"/>
          <w:color w:val="000000"/>
          <w:szCs w:val="21"/>
          <w:highlight w:val="none"/>
        </w:rPr>
      </w:r>
      <w:r/>
    </w:p>
    <w:p>
      <w:pPr>
        <w:pStyle w:val="8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ascii="宋体" w:hAnsi="宋体" w:eastAsia="宋体" w:cs="宋体"/>
          <w:color w:val="000000"/>
          <w:sz w:val="21"/>
          <w:highlight w:val="none"/>
        </w:rPr>
      </w:r>
      <w:r/>
    </w:p>
    <w:p>
      <w:pPr>
        <w:pStyle w:val="690"/>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rPr>
          <w:rFonts w:ascii="宋体" w:hAnsi="宋体"/>
          <w:b/>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rPr>
          <w:rFonts w:ascii="宋体" w:hAnsi="宋体"/>
          <w:color w:val="000000"/>
          <w:szCs w:val="21"/>
          <w:highlight w:val="none"/>
        </w:rPr>
      </w:r>
      <w:r/>
    </w:p>
    <w:p>
      <w:pPr>
        <w:pStyle w:val="690"/>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rPr>
          <w:rFonts w:ascii="宋体" w:hAnsi="宋体"/>
          <w:b/>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690"/>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90"/>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lang w:val="en"/>
        </w:rPr>
        <w:t xml:space="preserve">   </w:t>
      </w:r>
      <w:r>
        <w:rPr>
          <w:rFonts w:ascii="宋体" w:hAnsi="宋体"/>
          <w:b/>
          <w:bCs/>
          <w:color w:val="000000"/>
          <w:szCs w:val="21"/>
          <w:highlight w:val="none"/>
        </w:rPr>
      </w:r>
      <w:r/>
    </w:p>
    <w:p>
      <w:pPr>
        <w:pStyle w:val="772"/>
        <w:rPr>
          <w:color w:val="000000"/>
          <w:highlight w:val="none"/>
          <w:lang w:eastAsia="zh-CN"/>
        </w:rPr>
      </w:pPr>
      <w:r>
        <w:rPr>
          <w:color w:val="000000"/>
          <w:highlight w:val="none"/>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690"/>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rPr>
                <w:color w:val="000000"/>
                <w:highlight w:val="none"/>
              </w:rPr>
            </w:r>
            <w:r/>
          </w:p>
        </w:tc>
        <w:tc>
          <w:tcPr>
            <w:gridSpan w:val="2"/>
            <w:tcW w:w="4098" w:type="dxa"/>
            <w:vAlign w:val="center"/>
            <w:textDirection w:val="lrTb"/>
            <w:noWrap w:val="false"/>
          </w:tcPr>
          <w:p>
            <w:pPr>
              <w:pStyle w:val="690"/>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rPr>
                <w:color w:val="000000"/>
                <w:highlight w:val="none"/>
              </w:rPr>
            </w:r>
            <w:r/>
          </w:p>
        </w:tc>
      </w:tr>
      <w:tr>
        <w:trPr>
          <w:trHeight w:val="917"/>
        </w:trPr>
        <w:tc>
          <w:tcPr>
            <w:tcW w:w="112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6" w:type="dxa"/>
            <w:vAlign w:val="center"/>
            <w:vMerge w:val="restart"/>
            <w:textDirection w:val="lrTb"/>
            <w:noWrap w:val="false"/>
          </w:tcPr>
          <w:p>
            <w:pPr>
              <w:pStyle w:val="690"/>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690"/>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436" w:type="dxa"/>
            <w:vAlign w:val="center"/>
            <w:vMerge w:val="restart"/>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69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259"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r>
      <w:tr>
        <w:trPr>
          <w:trHeight w:val="483"/>
        </w:trPr>
        <w:tc>
          <w:tcPr>
            <w:tcW w:w="1126" w:type="dxa"/>
            <w:vAlign w:val="center"/>
            <w:vMerge w:val="continue"/>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rFonts w:hint="eastAsia"/>
                <w:color w:val="000000"/>
                <w:szCs w:val="21"/>
                <w:highlight w:val="none"/>
              </w:rPr>
              <w:t xml:space="preserve">拥有者性别</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90"/>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90"/>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90"/>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90"/>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开户名称</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开户银行</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690"/>
              <w:jc w:val="center"/>
              <w:spacing w:line="300" w:lineRule="exact"/>
              <w:rPr>
                <w:color w:val="000000"/>
                <w:szCs w:val="21"/>
                <w:highlight w:val="none"/>
              </w:rPr>
            </w:pPr>
            <w:r>
              <w:rPr>
                <w:color w:val="000000"/>
                <w:szCs w:val="21"/>
                <w:highlight w:val="none"/>
              </w:rPr>
              <w:t xml:space="preserve">银行账号</w:t>
            </w:r>
            <w:r>
              <w:rPr>
                <w:color w:val="000000"/>
                <w:szCs w:val="21"/>
                <w:highlight w:val="none"/>
              </w:rPr>
            </w:r>
            <w:r/>
          </w:p>
        </w:tc>
        <w:tc>
          <w:tcPr>
            <w:tcW w:w="1259" w:type="dxa"/>
            <w:vAlign w:val="center"/>
            <w:textDirection w:val="lrTb"/>
            <w:noWrap w:val="false"/>
          </w:tcPr>
          <w:p>
            <w:pPr>
              <w:pStyle w:val="690"/>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8403" w:type="dxa"/>
            <w:vAlign w:val="center"/>
            <w:textDirection w:val="lrTb"/>
            <w:noWrap w:val="false"/>
          </w:tcPr>
          <w:p>
            <w:pPr>
              <w:pStyle w:val="723"/>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rPr>
                <w:color w:val="000000"/>
                <w:spacing w:val="20"/>
                <w:szCs w:val="21"/>
                <w:highlight w:val="none"/>
              </w:rPr>
            </w:r>
            <w:r/>
          </w:p>
        </w:tc>
      </w:tr>
    </w:tbl>
    <w:p>
      <w:pPr>
        <w:pStyle w:val="692"/>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rPr>
          <w:rFonts w:ascii="黑体" w:hAnsi="黑体" w:eastAsia="黑体"/>
          <w:color w:val="000000"/>
          <w:sz w:val="28"/>
          <w:szCs w:val="28"/>
          <w:highlight w:val="none"/>
        </w:rPr>
      </w:r>
      <w:r/>
    </w:p>
    <w:p>
      <w:pPr>
        <w:pStyle w:val="690"/>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69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69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rPr>
          <w:rFonts w:ascii="宋体" w:hAnsi="宋体"/>
          <w:color w:val="000000"/>
          <w:szCs w:val="21"/>
          <w:highlight w:val="none"/>
        </w:rPr>
      </w:r>
      <w:r/>
    </w:p>
    <w:p>
      <w:pPr>
        <w:pStyle w:val="69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69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690"/>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690"/>
        <w:numPr>
          <w:ilvl w:val="0"/>
          <w:numId w:val="9"/>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690"/>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69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rPr>
          <w:rFonts w:ascii="宋体" w:hAnsi="宋体"/>
          <w:color w:val="000000"/>
          <w:szCs w:val="21"/>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690"/>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color w:val="000000"/>
          <w:highlight w:val="none"/>
        </w:rPr>
      </w:r>
      <w:r/>
    </w:p>
    <w:p>
      <w:pPr>
        <w:pStyle w:val="690"/>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rFonts w:ascii="宋体" w:hAnsi="宋体"/>
          <w:color w:val="000000"/>
          <w:szCs w:val="21"/>
          <w:highlight w:val="none"/>
        </w:rPr>
      </w:r>
      <w:r/>
    </w:p>
    <w:p>
      <w:pPr>
        <w:pStyle w:val="690"/>
        <w:numPr>
          <w:ilvl w:val="0"/>
          <w:numId w:val="10"/>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690"/>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804"/>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color w:val="000000"/>
          <w:sz w:val="21"/>
          <w:highlight w:val="none"/>
        </w:rPr>
      </w:r>
      <w:r/>
    </w:p>
    <w:p>
      <w:pPr>
        <w:pStyle w:val="69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728"/>
        <w:ind w:firstLine="420"/>
        <w:jc w:val="left"/>
        <w:spacing w:line="400" w:lineRule="exact"/>
        <w:rPr>
          <w:rFonts w:hAnsi="宋体"/>
          <w:b/>
          <w:color w:val="000000"/>
          <w:highlight w:val="none"/>
        </w:rPr>
      </w:pPr>
      <w:r>
        <w:rPr>
          <w:rFonts w:hint="eastAsia" w:hAnsi="宋体"/>
          <w:color w:val="000000"/>
          <w:highlight w:val="none"/>
        </w:rPr>
        <w:t xml:space="preserve">8.1 质量标准</w:t>
      </w:r>
      <w:r>
        <w:rPr>
          <w:rFonts w:hAnsi="宋体"/>
          <w:b/>
          <w:color w:val="000000"/>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color w:val="000000"/>
          <w:szCs w:val="21"/>
          <w:highlight w:val="none"/>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highlight w:val="none"/>
        </w:rPr>
      </w:r>
      <w:r/>
    </w:p>
    <w:p>
      <w:pPr>
        <w:pStyle w:val="728"/>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690"/>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color w:val="000000"/>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rPr>
          <w:rFonts w:ascii="宋体" w:hAnsi="宋体"/>
          <w:color w:val="000000"/>
          <w:szCs w:val="21"/>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rPr>
          <w:rFonts w:ascii="宋体" w:hAnsi="宋体"/>
          <w:b/>
          <w:bCs/>
          <w:color w:val="000000"/>
          <w:sz w:val="24"/>
          <w:highlight w:val="none"/>
        </w:rPr>
      </w:r>
      <w:r/>
    </w:p>
    <w:p>
      <w:pPr>
        <w:pStyle w:val="690"/>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rPr>
          <w:rFonts w:ascii="宋体" w:hAnsi="宋体" w:cs="宋体"/>
          <w:color w:val="000000"/>
          <w:szCs w:val="15"/>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rPr>
          <w:rFonts w:ascii="宋体" w:hAnsi="宋体"/>
          <w:color w:val="000000"/>
          <w:szCs w:val="21"/>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highlight w:val="none"/>
        </w:rPr>
      </w:r>
      <w:r/>
    </w:p>
    <w:p>
      <w:pPr>
        <w:pStyle w:val="690"/>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690"/>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rPr>
          <w:rFonts w:ascii="宋体" w:hAnsi="宋体"/>
          <w:color w:val="000000"/>
          <w:szCs w:val="21"/>
          <w:highlight w:val="none"/>
        </w:rPr>
      </w:r>
      <w:r/>
    </w:p>
    <w:p>
      <w:pPr>
        <w:pStyle w:val="8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ascii="宋体" w:hAnsi="宋体" w:eastAsia="宋体" w:cs="宋体"/>
          <w:color w:val="000000"/>
          <w:sz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rPr>
          <w:rFonts w:ascii="宋体" w:hAnsi="宋体"/>
          <w:color w:val="000000"/>
          <w:szCs w:val="21"/>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rPr>
          <w:rFonts w:ascii="宋体" w:hAnsi="宋体"/>
          <w:b/>
          <w:bCs/>
          <w:color w:val="000000"/>
          <w:sz w:val="24"/>
          <w:highlight w:val="none"/>
        </w:rPr>
      </w:r>
      <w:r/>
    </w:p>
    <w:p>
      <w:pPr>
        <w:pStyle w:val="690"/>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rPr>
          <w:rFonts w:ascii="宋体" w:hAnsi="宋体"/>
          <w:bCs/>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rPr>
          <w:rFonts w:ascii="宋体" w:hAnsi="宋体"/>
          <w:color w:val="000000"/>
          <w:szCs w:val="21"/>
          <w:highlight w:val="none"/>
        </w:rPr>
      </w:r>
      <w:r/>
    </w:p>
    <w:p>
      <w:pPr>
        <w:pStyle w:val="690"/>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rPr>
          <w:rFonts w:ascii="宋体" w:hAnsi="宋体"/>
          <w:bCs/>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690"/>
        <w:numPr>
          <w:ilvl w:val="0"/>
          <w:numId w:val="11"/>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rPr>
          <w:rFonts w:ascii="宋体" w:hAnsi="宋体"/>
          <w:b/>
          <w:color w:val="000000"/>
          <w:sz w:val="24"/>
          <w:highlight w:val="none"/>
        </w:rPr>
      </w:r>
      <w:r/>
    </w:p>
    <w:p>
      <w:pPr>
        <w:pStyle w:val="690"/>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highlight w:val="none"/>
        </w:rPr>
      </w:r>
      <w:r/>
    </w:p>
    <w:p>
      <w:pPr>
        <w:pStyle w:val="804"/>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highlight w:val="none"/>
        </w:rPr>
      </w:r>
      <w:r/>
    </w:p>
    <w:p>
      <w:pPr>
        <w:pStyle w:val="690"/>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rPr>
          <w:color w:val="000000"/>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690"/>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rPr>
          <w:rFonts w:ascii="宋体" w:hAnsi="宋体" w:cs="宋体"/>
          <w:color w:val="000000"/>
          <w:szCs w:val="21"/>
          <w:highlight w:val="none"/>
        </w:rPr>
      </w:r>
      <w:r/>
    </w:p>
    <w:p>
      <w:pPr>
        <w:pStyle w:val="804"/>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rPr>
          <w:rFonts w:ascii="宋体" w:hAnsi="宋体"/>
          <w:color w:val="000000"/>
          <w:highlight w:val="none"/>
        </w:rPr>
      </w:r>
      <w:r/>
    </w:p>
    <w:p>
      <w:pPr>
        <w:pStyle w:val="804"/>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rPr>
          <w:rFonts w:ascii="宋体" w:hAnsi="宋体"/>
          <w:b/>
          <w:bCs/>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highlight w:val="none"/>
        </w:rPr>
      </w:r>
      <w:r/>
    </w:p>
    <w:p>
      <w:pPr>
        <w:pStyle w:val="690"/>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rPr>
          <w:rFonts w:ascii="宋体" w:hAnsi="宋体"/>
          <w:b/>
          <w:bCs/>
          <w:color w:val="000000"/>
          <w:sz w:val="24"/>
          <w:highlight w:val="none"/>
        </w:rPr>
      </w:r>
      <w:r/>
    </w:p>
    <w:p>
      <w:pPr>
        <w:pStyle w:val="80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highlight w:val="none"/>
        </w:rPr>
      </w:r>
      <w:r/>
    </w:p>
    <w:p>
      <w:pPr>
        <w:pStyle w:val="80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color w:val="000000"/>
          <w:sz w:val="21"/>
          <w:highlight w:val="none"/>
        </w:rPr>
      </w:r>
      <w:r/>
    </w:p>
    <w:p>
      <w:pPr>
        <w:pStyle w:val="80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ascii="宋体" w:hAnsi="宋体" w:eastAsia="宋体" w:cs="宋体"/>
          <w:color w:val="000000"/>
          <w:sz w:val="21"/>
          <w:highlight w:val="none"/>
        </w:rPr>
      </w:r>
      <w:r/>
    </w:p>
    <w:p>
      <w:pPr>
        <w:pStyle w:val="690"/>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rPr>
          <w:rFonts w:ascii="宋体" w:hAnsi="宋体"/>
          <w:color w:val="000000"/>
          <w:sz w:val="24"/>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highlight w:val="none"/>
        </w:rPr>
      </w:r>
      <w:r/>
    </w:p>
    <w:p>
      <w:pPr>
        <w:pStyle w:val="69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rPr>
          <w:rFonts w:ascii="宋体" w:hAnsi="宋体"/>
          <w:b/>
          <w:color w:val="000000"/>
          <w:sz w:val="24"/>
          <w:highlight w:val="none"/>
        </w:rPr>
      </w:r>
      <w:r/>
    </w:p>
    <w:p>
      <w:pPr>
        <w:pStyle w:val="80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ascii="宋体" w:hAnsi="宋体" w:eastAsia="宋体" w:cs="宋体"/>
          <w:color w:val="000000"/>
          <w:sz w:val="21"/>
          <w:highlight w:val="none"/>
        </w:rPr>
      </w:r>
      <w:r/>
    </w:p>
    <w:p>
      <w:pPr>
        <w:pStyle w:val="80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highlight w:val="none"/>
        </w:rPr>
      </w:r>
      <w:r/>
    </w:p>
    <w:p>
      <w:pPr>
        <w:pStyle w:val="69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rPr>
          <w:rFonts w:ascii="宋体" w:hAnsi="宋体"/>
          <w:b/>
          <w:color w:val="000000"/>
          <w:sz w:val="24"/>
          <w:highlight w:val="none"/>
        </w:rPr>
      </w:r>
      <w:r/>
    </w:p>
    <w:p>
      <w:pPr>
        <w:pStyle w:val="80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highlight w:val="none"/>
        </w:rPr>
      </w:r>
      <w:r/>
    </w:p>
    <w:p>
      <w:pPr>
        <w:pStyle w:val="804"/>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sz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rPr>
          <w:rFonts w:ascii="宋体" w:hAnsi="宋体"/>
          <w:color w:val="000000"/>
          <w:szCs w:val="21"/>
          <w:highlight w:val="none"/>
        </w:rPr>
      </w:r>
      <w:r/>
    </w:p>
    <w:p>
      <w:pPr>
        <w:pStyle w:val="690"/>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rPr>
          <w:rFonts w:ascii="宋体" w:hAnsi="宋体"/>
          <w:color w:val="000000"/>
          <w:szCs w:val="21"/>
          <w:highlight w:val="none"/>
        </w:rPr>
      </w:r>
      <w:r/>
    </w:p>
    <w:p>
      <w:pPr>
        <w:pStyle w:val="690"/>
        <w:numPr>
          <w:ilvl w:val="0"/>
          <w:numId w:val="12"/>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690"/>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690"/>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rPr>
          <w:rFonts w:ascii="黑体" w:hAnsi="华文中宋" w:eastAsia="黑体"/>
          <w:color w:val="000000"/>
          <w:sz w:val="28"/>
          <w:szCs w:val="28"/>
          <w:highlight w:val="none"/>
        </w:rPr>
      </w:r>
      <w:r/>
    </w:p>
    <w:p>
      <w:pPr>
        <w:pStyle w:val="690"/>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rPr>
          <w:rFonts w:ascii="黑体" w:hAnsi="华文中宋" w:eastAsia="黑体"/>
          <w:b/>
          <w:bCs/>
          <w:color w:val="000000"/>
          <w:sz w:val="28"/>
          <w:szCs w:val="28"/>
          <w:highlight w:val="none"/>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第1.2（6）项</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联合体具体要求</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604"/>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第1.2（7）项</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其他术语解释</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第4.4款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第4.6款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color w:val="000000"/>
                <w:highlight w:val="none"/>
              </w:rPr>
            </w:pPr>
            <w:r>
              <w:rPr>
                <w:rFonts w:hint="eastAsia" w:ascii="宋体" w:hAnsi="宋体"/>
                <w:color w:val="000000"/>
                <w:szCs w:val="21"/>
                <w:highlight w:val="none"/>
              </w:rPr>
              <w:t xml:space="preserve">第5.4款</w:t>
            </w:r>
            <w:r>
              <w:rPr>
                <w:color w:val="000000"/>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第6.1款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667"/>
        </w:trPr>
        <w:tc>
          <w:tcPr>
            <w:tcW w:w="1607" w:type="dxa"/>
            <w:vAlign w:val="center"/>
            <w:vMerge w:val="restart"/>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第7.1款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包装特殊要求</w:t>
            </w:r>
            <w:r>
              <w:rPr>
                <w:rFonts w:ascii="宋体" w:hAnsi="宋体"/>
                <w:color w:val="000000"/>
                <w:szCs w:val="21"/>
                <w:highlight w:val="none"/>
              </w:rPr>
            </w:r>
            <w:r/>
          </w:p>
        </w:tc>
        <w:tc>
          <w:tcPr>
            <w:tcW w:w="5170" w:type="dxa"/>
            <w:vAlign w:val="center"/>
            <w:textDirection w:val="lrTb"/>
            <w:noWrap w:val="false"/>
          </w:tcPr>
          <w:p>
            <w:pPr>
              <w:pStyle w:val="690"/>
              <w:rPr>
                <w:color w:val="000000"/>
                <w:highlight w:val="none"/>
              </w:rPr>
            </w:pPr>
            <w:r>
              <w:rPr>
                <w:color w:val="000000"/>
                <w:highlight w:val="none"/>
              </w:rPr>
            </w:r>
            <w:r/>
          </w:p>
        </w:tc>
      </w:tr>
      <w:tr>
        <w:trPr>
          <w:trHeight w:val="667"/>
        </w:trPr>
        <w:tc>
          <w:tcPr>
            <w:tcW w:w="1607" w:type="dxa"/>
            <w:vAlign w:val="center"/>
            <w:vMerge w:val="continue"/>
            <w:textDirection w:val="lrTb"/>
            <w:noWrap w:val="false"/>
          </w:tcPr>
          <w:p>
            <w:pPr>
              <w:pStyle w:val="690"/>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指定现场</w:t>
            </w:r>
            <w:r>
              <w:rPr>
                <w:rFonts w:ascii="宋体" w:hAnsi="宋体"/>
                <w:color w:val="000000"/>
                <w:szCs w:val="21"/>
                <w:highlight w:val="none"/>
              </w:rPr>
            </w:r>
            <w:r/>
          </w:p>
        </w:tc>
        <w:tc>
          <w:tcPr>
            <w:tcW w:w="5170" w:type="dxa"/>
            <w:vAlign w:val="center"/>
            <w:textDirection w:val="lrTb"/>
            <w:noWrap w:val="false"/>
          </w:tcPr>
          <w:p>
            <w:pPr>
              <w:pStyle w:val="690"/>
              <w:rPr>
                <w:color w:val="000000"/>
                <w:highlight w:val="none"/>
              </w:rPr>
            </w:pPr>
            <w:r>
              <w:rPr>
                <w:color w:val="000000"/>
                <w:highlight w:val="none"/>
              </w:rPr>
            </w:r>
            <w:r/>
          </w:p>
        </w:tc>
      </w:tr>
      <w:tr>
        <w:trPr>
          <w:trHeight w:val="772"/>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第7.2款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运输特殊要求</w:t>
            </w:r>
            <w:r>
              <w:rPr>
                <w:rFonts w:ascii="宋体" w:hAnsi="宋体"/>
                <w:color w:val="000000"/>
                <w:szCs w:val="21"/>
                <w:highlight w:val="none"/>
              </w:rPr>
            </w:r>
            <w:r/>
          </w:p>
        </w:tc>
        <w:tc>
          <w:tcPr>
            <w:tcW w:w="5170" w:type="dxa"/>
            <w:vAlign w:val="center"/>
            <w:textDirection w:val="lrTb"/>
            <w:noWrap w:val="false"/>
          </w:tcPr>
          <w:p>
            <w:pPr>
              <w:pStyle w:val="690"/>
              <w:rPr>
                <w:color w:val="000000"/>
                <w:highlight w:val="none"/>
              </w:rPr>
            </w:pPr>
            <w:r>
              <w:rPr>
                <w:color w:val="000000"/>
                <w:highlight w:val="none"/>
              </w:rPr>
            </w:r>
            <w:r/>
          </w:p>
        </w:tc>
      </w:tr>
      <w:tr>
        <w:trPr>
          <w:trHeight w:val="667"/>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第7.3款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保险要求</w:t>
            </w:r>
            <w:r>
              <w:rPr>
                <w:rFonts w:ascii="宋体" w:hAnsi="宋体"/>
                <w:color w:val="000000"/>
                <w:szCs w:val="21"/>
                <w:highlight w:val="none"/>
              </w:rPr>
            </w:r>
            <w:r/>
          </w:p>
        </w:tc>
        <w:tc>
          <w:tcPr>
            <w:tcW w:w="5170" w:type="dxa"/>
            <w:vAlign w:val="center"/>
            <w:textDirection w:val="lrTb"/>
            <w:noWrap w:val="false"/>
          </w:tcPr>
          <w:p>
            <w:pPr>
              <w:pStyle w:val="690"/>
              <w:rPr>
                <w:color w:val="000000"/>
                <w:highlight w:val="none"/>
              </w:rPr>
            </w:pPr>
            <w:r>
              <w:rPr>
                <w:color w:val="000000"/>
                <w:highlight w:val="non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第8.2（1）项</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690"/>
              <w:ind w:firstLine="42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第8.2（3）项</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货物质量缺陷</w:t>
            </w:r>
            <w:r>
              <w:rPr>
                <w:rFonts w:ascii="宋体" w:hAnsi="宋体"/>
                <w:color w:val="000000"/>
                <w:szCs w:val="21"/>
                <w:highlight w:val="none"/>
              </w:rPr>
            </w:r>
            <w:r/>
          </w:p>
          <w:p>
            <w:pPr>
              <w:pStyle w:val="690"/>
              <w:jc w:val="left"/>
              <w:rPr>
                <w:rFonts w:ascii="宋体" w:hAnsi="宋体"/>
                <w:color w:val="000000"/>
                <w:szCs w:val="21"/>
                <w:highlight w:val="none"/>
              </w:rPr>
            </w:pPr>
            <w:r>
              <w:rPr>
                <w:rFonts w:hint="eastAsia" w:ascii="宋体" w:hAnsi="宋体"/>
                <w:color w:val="000000"/>
                <w:szCs w:val="21"/>
                <w:highlight w:val="none"/>
              </w:rPr>
              <w:t xml:space="preserve">响应时间</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690"/>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rPr>
                <w:rFonts w:ascii="宋体" w:hAnsi="宋体" w:cs="宋体"/>
                <w:color w:val="000000"/>
                <w:szCs w:val="21"/>
                <w:highlight w:val="none"/>
              </w:rPr>
            </w:r>
            <w:r/>
          </w:p>
          <w:p>
            <w:pPr>
              <w:pStyle w:val="804"/>
              <w:ind w:firstLine="0"/>
              <w:jc w:val="center"/>
              <w:rPr>
                <w:color w:val="000000"/>
                <w:highlight w:val="none"/>
              </w:rPr>
            </w:pPr>
            <w:r>
              <w:rPr>
                <w:rFonts w:hint="eastAsia" w:ascii="宋体" w:hAnsi="宋体" w:eastAsia="宋体" w:cs="宋体"/>
                <w:color w:val="000000"/>
                <w:highlight w:val="none"/>
              </w:rPr>
              <w:t xml:space="preserve">第11.1款</w:t>
            </w:r>
            <w:r>
              <w:rPr>
                <w:color w:val="000000"/>
                <w:highlight w:val="none"/>
              </w:rPr>
            </w:r>
            <w:r/>
          </w:p>
        </w:tc>
        <w:tc>
          <w:tcPr>
            <w:tcW w:w="1742" w:type="dxa"/>
            <w:vAlign w:val="center"/>
            <w:textDirection w:val="lrTb"/>
            <w:noWrap w:val="false"/>
          </w:tcPr>
          <w:p>
            <w:pPr>
              <w:pStyle w:val="690"/>
              <w:rPr>
                <w:rFonts w:ascii="宋体" w:hAnsi="宋体"/>
                <w:color w:val="000000"/>
                <w:szCs w:val="21"/>
                <w:highlight w:val="none"/>
              </w:rPr>
            </w:pPr>
            <w:r>
              <w:rPr>
                <w:rFonts w:hint="eastAsia" w:ascii="宋体" w:hAnsi="宋体"/>
                <w:color w:val="000000"/>
                <w:szCs w:val="21"/>
                <w:highlight w:val="none"/>
              </w:rPr>
              <w:t xml:space="preserve">其他应当保密的信息</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第12.2款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合同价款支付时间</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第13.2款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第13.3款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第14.1（3）项</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运行监督、维修期限</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第14.1（5）项</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货物回收的约定</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第14.1（6）项</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第15.1款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修理、重作、更换相关具体规定</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第15.2（2）项</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迟延交货赔偿费</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73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第15.3款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逾期付款利息</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876"/>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第15.4款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其他违约责任</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90"/>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第19.2款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color w:val="000000"/>
                <w:szCs w:val="21"/>
                <w:highlight w:val="none"/>
              </w:rPr>
              <w:t xml:space="preserve">解决争议的方法</w:t>
            </w:r>
            <w:r>
              <w:rPr>
                <w:rFonts w:ascii="宋体" w:hAnsi="宋体"/>
                <w:color w:val="000000"/>
                <w:szCs w:val="21"/>
                <w:highlight w:val="none"/>
              </w:rPr>
            </w:r>
            <w:r/>
          </w:p>
        </w:tc>
        <w:tc>
          <w:tcPr>
            <w:tcW w:w="5170" w:type="dxa"/>
            <w:vAlign w:val="center"/>
            <w:textDirection w:val="lrTb"/>
            <w:noWrap w:val="false"/>
          </w:tcPr>
          <w:p>
            <w:pPr>
              <w:pStyle w:val="690"/>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rPr>
                <w:rFonts w:ascii="宋体" w:hAnsi="宋体" w:cs="宋体"/>
                <w:iCs/>
                <w:color w:val="000000"/>
                <w:szCs w:val="21"/>
                <w:highlight w:val="none"/>
              </w:rPr>
            </w:r>
            <w:r/>
          </w:p>
          <w:p>
            <w:pPr>
              <w:pStyle w:val="690"/>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rPr>
                <w:rFonts w:ascii="宋体" w:hAnsi="宋体" w:cs="宋体"/>
                <w:iCs/>
                <w:color w:val="000000"/>
                <w:szCs w:val="21"/>
                <w:highlight w:val="none"/>
              </w:rPr>
            </w:r>
            <w:r/>
          </w:p>
          <w:p>
            <w:pPr>
              <w:pStyle w:val="690"/>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rPr>
                <w:rFonts w:ascii="宋体" w:hAnsi="宋体"/>
                <w:color w:val="000000"/>
                <w:szCs w:val="21"/>
                <w:highlight w:val="none"/>
                <w:u w:val="single"/>
              </w:rPr>
            </w:r>
            <w:r/>
          </w:p>
        </w:tc>
      </w:tr>
      <w:tr>
        <w:trPr>
          <w:trHeight w:val="770"/>
        </w:trPr>
        <w:tc>
          <w:tcPr>
            <w:tcW w:w="1607" w:type="dxa"/>
            <w:vAlign w:val="center"/>
            <w:textDirection w:val="lrTb"/>
            <w:noWrap w:val="false"/>
          </w:tcPr>
          <w:p>
            <w:pPr>
              <w:pStyle w:val="690"/>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690"/>
              <w:jc w:val="center"/>
              <w:rPr>
                <w:rFonts w:ascii="宋体" w:hAnsi="宋体"/>
                <w:color w:val="000000"/>
                <w:szCs w:val="21"/>
                <w:highlight w:val="none"/>
              </w:rPr>
            </w:pPr>
            <w:r>
              <w:rPr>
                <w:rFonts w:hint="eastAsia" w:ascii="宋体" w:hAnsi="宋体"/>
                <w:color w:val="000000"/>
                <w:szCs w:val="21"/>
                <w:highlight w:val="none"/>
              </w:rPr>
              <w:t xml:space="preserve">第23.1款</w:t>
            </w:r>
            <w:r>
              <w:rPr>
                <w:rFonts w:ascii="宋体" w:hAnsi="宋体"/>
                <w:color w:val="000000"/>
                <w:szCs w:val="21"/>
                <w:highlight w:val="none"/>
              </w:rPr>
            </w:r>
            <w:r/>
          </w:p>
        </w:tc>
        <w:tc>
          <w:tcPr>
            <w:tcW w:w="1742" w:type="dxa"/>
            <w:vAlign w:val="center"/>
            <w:textDirection w:val="lrTb"/>
            <w:noWrap w:val="false"/>
          </w:tcPr>
          <w:p>
            <w:pPr>
              <w:pStyle w:val="690"/>
              <w:jc w:val="left"/>
              <w:rPr>
                <w:rFonts w:ascii="宋体" w:hAnsi="宋体"/>
                <w:color w:val="000000"/>
                <w:szCs w:val="21"/>
                <w:highlight w:val="none"/>
              </w:rPr>
            </w:pPr>
            <w:r>
              <w:rPr>
                <w:rFonts w:hint="eastAsia" w:ascii="宋体" w:hAnsi="宋体"/>
                <w:bCs/>
                <w:color w:val="000000"/>
                <w:szCs w:val="21"/>
                <w:highlight w:val="none"/>
              </w:rPr>
              <w:t xml:space="preserve">其他专用条款</w:t>
            </w:r>
            <w:r>
              <w:rPr>
                <w:rFonts w:ascii="宋体" w:hAnsi="宋体"/>
                <w:color w:val="000000"/>
                <w:szCs w:val="21"/>
                <w:highlight w:val="none"/>
              </w:rPr>
            </w:r>
            <w:r/>
          </w:p>
        </w:tc>
        <w:tc>
          <w:tcPr>
            <w:tcW w:w="5170" w:type="dxa"/>
            <w:vAlign w:val="center"/>
            <w:textDirection w:val="lrTb"/>
            <w:noWrap w:val="false"/>
          </w:tcPr>
          <w:p>
            <w:pPr>
              <w:pStyle w:val="690"/>
              <w:jc w:val="left"/>
              <w:rPr>
                <w:rFonts w:ascii="宋体" w:hAnsi="宋体"/>
                <w:color w:val="000000"/>
                <w:szCs w:val="21"/>
                <w:highlight w:val="none"/>
              </w:rPr>
            </w:pPr>
            <w:r>
              <w:rPr>
                <w:rFonts w:ascii="宋体" w:hAnsi="宋体"/>
                <w:color w:val="000000"/>
                <w:szCs w:val="21"/>
                <w:highlight w:val="none"/>
              </w:rPr>
            </w:r>
            <w:r/>
          </w:p>
        </w:tc>
      </w:tr>
    </w:tbl>
    <w:p>
      <w:pPr>
        <w:pStyle w:val="721"/>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721"/>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690"/>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90"/>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90"/>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90"/>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90"/>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690"/>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690"/>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690"/>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690"/>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t xml:space="preserve">第</w:t>
      </w:r>
      <w:bookmarkEnd w:id="174"/>
      <w:r>
        <w:rPr>
          <w:rFonts w:hint="eastAsia" w:ascii="黑体" w:hAnsi="Courier New" w:eastAsia="黑体" w:cs="Courier New"/>
          <w:bCs/>
          <w:color w:val="000000"/>
          <w:sz w:val="44"/>
          <w:szCs w:val="21"/>
          <w:highlight w:val="none"/>
        </w:rPr>
        <w:t xml:space="preserve">四章 采购需求</w:t>
      </w:r>
      <w:bookmarkEnd w:id="175"/>
      <w:r/>
      <w:bookmarkEnd w:id="176"/>
      <w:r/>
      <w:bookmarkEnd w:id="177"/>
      <w:r>
        <w:rPr>
          <w:rFonts w:hint="eastAsia" w:ascii="黑体" w:hAnsi="Courier New" w:eastAsia="黑体" w:cs="Courier New"/>
          <w:bCs/>
          <w:color w:val="000000"/>
          <w:sz w:val="44"/>
          <w:szCs w:val="21"/>
          <w:highlight w:val="none"/>
        </w:rPr>
      </w:r>
      <w:r/>
    </w:p>
    <w:p>
      <w:pPr>
        <w:pStyle w:val="690"/>
        <w:spacing w:line="0" w:lineRule="atLeast"/>
        <w:rPr>
          <w:rFonts w:hint="eastAsia"/>
          <w:color w:val="000000"/>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hint="eastAsia"/>
          <w:color w:val="000000"/>
          <w:highlight w:val="none"/>
        </w:rPr>
      </w:r>
      <w:r/>
    </w:p>
    <w:tbl>
      <w:tblPr>
        <w:tblpPr w:horzAnchor="page" w:tblpX="1882" w:vertAnchor="text" w:tblpY="291" w:leftFromText="180" w:topFromText="0" w:rightFromText="180" w:bottomFromText="0"/>
        <w:tblW w:w="8641" w:type="dxa"/>
        <w:tblInd w:w="-108" w:type="dxa"/>
        <w:tblLayout w:type="fixed"/>
        <w:tblCellMar>
          <w:left w:w="108" w:type="dxa"/>
          <w:top w:w="0" w:type="dxa"/>
          <w:right w:w="108" w:type="dxa"/>
          <w:bottom w:w="0" w:type="dxa"/>
        </w:tblCellMar>
        <w:tblLook w:val="04A0" w:firstRow="1" w:lastRow="0" w:firstColumn="1" w:lastColumn="0" w:noHBand="0" w:noVBand="1"/>
      </w:tblPr>
      <w:tblGrid>
        <w:gridCol w:w="1795"/>
        <w:gridCol w:w="945"/>
        <w:gridCol w:w="3336"/>
        <w:gridCol w:w="2565"/>
      </w:tblGrid>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tcPr>
          <w:p>
            <w:pPr>
              <w:pStyle w:val="690"/>
              <w:jc w:val="center"/>
              <w:spacing w:line="240" w:lineRule="exact"/>
              <w:widowControl/>
              <w:rPr>
                <w:rFonts w:hint="eastAsia" w:ascii="宋体" w:hAnsi="宋体" w:cs="宋体"/>
                <w:b/>
                <w:bCs/>
                <w:color w:val="000000"/>
                <w:szCs w:val="21"/>
                <w:highlight w:val="none"/>
              </w:rPr>
              <w:framePr w:vAnchor="text" w:hAnchor="page" w:x="1882" w:y="291"/>
            </w:pPr>
            <w:r/>
            <w:bookmarkStart w:id="180" w:name="_Toc49090575"/>
            <w:r/>
            <w:bookmarkStart w:id="181" w:name="_Toc26554093"/>
            <w:r>
              <w:rPr>
                <w:rFonts w:hint="eastAsia" w:ascii="宋体" w:hAnsi="宋体" w:cs="宋体"/>
                <w:b/>
                <w:bCs/>
                <w:color w:val="000000"/>
                <w:szCs w:val="21"/>
                <w:highlight w:val="none"/>
                <w:lang w:bidi="ar"/>
              </w:rPr>
              <w:t xml:space="preserve">采购包</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690"/>
              <w:jc w:val="center"/>
              <w:spacing w:line="240" w:lineRule="exact"/>
              <w:widowControl/>
              <w:rPr>
                <w:rFonts w:hint="eastAsia" w:ascii="宋体" w:hAnsi="宋体" w:cs="宋体"/>
                <w:b/>
                <w:bCs/>
                <w:color w:val="000000"/>
                <w:szCs w:val="21"/>
                <w:highlight w:val="none"/>
              </w:rPr>
              <w:framePr w:vAnchor="text" w:hAnchor="page" w:x="1882" w:y="291"/>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vMerge w:val="restart"/>
            <w:textDirection w:val="lrTb"/>
            <w:noWrap w:val="false"/>
          </w:tcPr>
          <w:p>
            <w:pPr>
              <w:pStyle w:val="690"/>
              <w:jc w:val="center"/>
              <w:spacing w:line="240" w:lineRule="exact"/>
              <w:widowControl/>
              <w:rPr>
                <w:rFonts w:hint="eastAsia" w:ascii="宋体" w:hAnsi="宋体" w:cs="宋体"/>
                <w:b/>
                <w:bCs/>
                <w:color w:val="000000"/>
                <w:szCs w:val="21"/>
                <w:highlight w:val="none"/>
              </w:rPr>
              <w:framePr w:vAnchor="text" w:hAnchor="page" w:x="1882" w:y="291"/>
            </w:pPr>
            <w:r>
              <w:rPr>
                <w:rFonts w:hint="eastAsia" w:ascii="宋体" w:hAnsi="宋体" w:cs="宋体"/>
                <w:b/>
                <w:bCs/>
                <w:color w:val="000000"/>
                <w:szCs w:val="21"/>
                <w:highlight w:val="none"/>
                <w:lang w:bidi="ar"/>
              </w:rPr>
              <w:t xml:space="preserve">采购标的</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vMerge w:val="restart"/>
            <w:textDirection w:val="lrTb"/>
            <w:noWrap/>
          </w:tcPr>
          <w:p>
            <w:pPr>
              <w:pStyle w:val="690"/>
              <w:jc w:val="center"/>
              <w:spacing w:line="240" w:lineRule="exact"/>
              <w:widowControl/>
              <w:rPr>
                <w:rFonts w:hint="eastAsia" w:ascii="宋体" w:hAnsi="宋体" w:cs="宋体"/>
                <w:b/>
                <w:bCs/>
                <w:color w:val="000000"/>
                <w:szCs w:val="21"/>
                <w:highlight w:val="none"/>
              </w:rPr>
              <w:framePr w:vAnchor="text" w:hAnchor="page" w:x="1882" w:y="291"/>
            </w:pPr>
            <w:r>
              <w:rPr>
                <w:rFonts w:hint="eastAsia" w:ascii="宋体" w:hAnsi="宋体" w:cs="宋体"/>
                <w:b/>
                <w:bCs/>
                <w:color w:val="000000"/>
                <w:szCs w:val="21"/>
                <w:highlight w:val="none"/>
                <w:lang w:bidi="ar"/>
              </w:rPr>
              <w:t xml:space="preserve">对应中小企业划分标准所属行业</w:t>
            </w:r>
            <w:r>
              <w:rPr>
                <w:rFonts w:hint="eastAsia" w:ascii="宋体" w:hAnsi="宋体" w:cs="宋体"/>
                <w:b/>
                <w:bCs/>
                <w:color w:val="000000"/>
                <w:szCs w:val="21"/>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康复设备一批</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上肢评估与训练系统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动静态平衡评估与训练系统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语言障碍康复评估训练系统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冲击波治疗仪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高能红光治疗仪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直线偏振光治疗仪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电子生物反馈治疗仪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加压冷热仪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多关节主被动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10</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床旁下肢主被动运动康复机（床边卧位主被动训练仪）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脑电治疗仪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气动手套训练系统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四肢联动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吞咽神经和肌肉电刺激仪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超短波</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通络治疗仪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低周波治疗仪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压力治疗（上肢、下肢）</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19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高频治疗仪（微波治疗仪）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20</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呼吸评定与训练器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磁振热治疗仪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超声药物透入治疗仪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超声波治疗仪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艾灸仪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功能性肌肉电刺激器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（经皮神经电刺激仪）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减重支持训练系统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颈腰椎牵引床</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电动手法治疗床</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29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体外膈肌起搏器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30</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抗阻下肢屈伸膝训练器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抗阻上肢推举训练器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电动PT床</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多功能训练器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上肢CPM</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低频脉冲痉挛机治疗仪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下肢CPM</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低频神经肌肉刺激仪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墙垫地垫</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39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感应电疗仪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40</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平行杠（配矫正板）</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中频治疗仪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站立架</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肩关节旋转训练器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前臂旋转训练器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液压式踏步器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晃动平衡木（儿童款）</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重锤式手指肌力训练桌</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姿势矫正镜</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49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儿童肋木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50</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体操棒与抛接球</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握力计</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轮椅</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哑铃组合</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关节活动度评估</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上肢协调功能练习器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橡筋手指练习器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组合软垫</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模拟作业工具</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59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助行器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60</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多功能绕珠钟</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吞咽肌锻炼器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气囊测压仪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PT凳</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气垫床</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电麻仪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单头神灯</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平衡板</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运动平板</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69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滑轮吊环训练器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70</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秒表计时器</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71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巴氏球</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72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踝关节矫正板</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73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腋拐</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74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指夹式脉搏血氧仪</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75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肘拐</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1795" w:type="dxa"/>
            <w:vAlign w:val="center"/>
            <w:vMerge w:val="continue"/>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76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336" w:type="dxa"/>
            <w:vAlign w:val="center"/>
            <w:textDirection w:val="lrTb"/>
            <w:noWrap w:val="false"/>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四角手杖</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tcPr>
          <w:p>
            <w:pPr>
              <w:pStyle w:val="690"/>
              <w:jc w:val="center"/>
              <w:spacing w:line="240" w:lineRule="exact"/>
              <w:widowControl/>
              <w:rPr>
                <w:rFonts w:hint="eastAsia" w:ascii="宋体" w:hAnsi="宋体" w:cs="宋体"/>
                <w:color w:val="000000"/>
                <w:sz w:val="22"/>
                <w:highlight w:val="none"/>
              </w:rPr>
              <w:framePr w:vAnchor="text" w:hAnchor="page" w:x="1882" w:y="291"/>
            </w:pPr>
            <w:r>
              <w:rPr>
                <w:rFonts w:hint="eastAsia" w:ascii="宋体" w:hAnsi="宋体" w:cs="宋体"/>
                <w:color w:val="000000"/>
                <w:sz w:val="22"/>
                <w:highlight w:val="none"/>
                <w:lang w:bidi="ar"/>
              </w:rPr>
              <w:t xml:space="preserve">工业</w:t>
            </w:r>
            <w:r>
              <w:rPr>
                <w:rFonts w:hint="eastAsia" w:ascii="宋体" w:hAnsi="宋体" w:cs="宋体"/>
                <w:color w:val="000000"/>
                <w:sz w:val="22"/>
                <w:highlight w:val="none"/>
              </w:rPr>
            </w:r>
            <w:r/>
          </w:p>
        </w:tc>
      </w:tr>
    </w:tbl>
    <w:p>
      <w:pPr>
        <w:pStyle w:val="767"/>
        <w:ind w:firstLine="0"/>
        <w:rPr>
          <w:rFonts w:hint="eastAsia"/>
          <w:color w:val="000000"/>
          <w:highlight w:val="none"/>
        </w:rPr>
      </w:pPr>
      <w:r>
        <w:rPr>
          <w:rFonts w:hint="eastAsia"/>
          <w:color w:val="000000"/>
          <w:highlight w:val="none"/>
        </w:rPr>
      </w:r>
      <w:r/>
    </w:p>
    <w:p>
      <w:pPr>
        <w:pStyle w:val="690"/>
        <w:keepLines/>
        <w:keepNext/>
        <w:spacing w:line="400" w:lineRule="exact"/>
        <w:rPr>
          <w:rFonts w:hint="eastAsia" w:ascii="方正魏碑_GBK" w:hAnsi="方正魏碑_GBK" w:eastAsia="方正魏碑_GBK" w:cs="方正魏碑_GBK"/>
          <w:bCs/>
          <w:color w:val="000000"/>
          <w:sz w:val="24"/>
          <w:szCs w:val="24"/>
          <w:highlight w:val="none"/>
        </w:rPr>
        <w:outlineLvl w:val="3"/>
      </w:pPr>
      <w:r>
        <w:rPr>
          <w:rFonts w:hint="eastAsia" w:ascii="方正魏碑_GBK" w:hAnsi="方正魏碑_GBK" w:eastAsia="方正魏碑_GBK" w:cs="方正魏碑_GBK"/>
          <w:bCs/>
          <w:color w:val="000000"/>
          <w:sz w:val="24"/>
          <w:szCs w:val="24"/>
          <w:highlight w:val="none"/>
        </w:rPr>
        <w:t xml:space="preserve">二、政府采购中实施本国产品标准及相关政策</w:t>
      </w:r>
      <w:r>
        <w:rPr>
          <w:rFonts w:hint="eastAsia" w:ascii="方正魏碑_GBK" w:hAnsi="方正魏碑_GBK" w:eastAsia="方正魏碑_GBK" w:cs="方正魏碑_GBK"/>
          <w:bCs/>
          <w:color w:val="000000"/>
          <w:sz w:val="24"/>
          <w:szCs w:val="24"/>
          <w:highlight w:val="none"/>
        </w:rPr>
      </w:r>
      <w:r/>
    </w:p>
    <w:p>
      <w:pPr>
        <w:pStyle w:val="690"/>
        <w:ind w:firstLine="555"/>
        <w:spacing w:line="400" w:lineRule="exact"/>
        <w:rPr>
          <w:rFonts w:hint="eastAsia" w:ascii="方正魏碑_GBK" w:hAnsi="方正魏碑_GBK" w:eastAsia="方正魏碑_GBK" w:cs="方正魏碑_GBK"/>
          <w:bCs/>
          <w:color w:val="000000"/>
          <w:sz w:val="24"/>
          <w:szCs w:val="24"/>
          <w:highlight w:val="none"/>
        </w:rPr>
      </w:pPr>
      <w:r>
        <w:rPr>
          <w:rFonts w:hint="eastAsia" w:ascii="方正魏碑_GBK" w:hAnsi="方正魏碑_GBK" w:eastAsia="方正魏碑_GBK" w:cs="方正魏碑_GBK"/>
          <w:bCs/>
          <w:color w:val="000000"/>
          <w:sz w:val="24"/>
          <w:szCs w:val="24"/>
          <w:highlight w:val="none"/>
        </w:rPr>
        <w:t xml:space="preserve">1.本项目对采购本国产品给予政策支持，具体内容见招标文件“第五章 评标方法与评标标准”。</w:t>
      </w:r>
      <w:r>
        <w:rPr>
          <w:rFonts w:hint="eastAsia" w:ascii="方正魏碑_GBK" w:hAnsi="方正魏碑_GBK" w:eastAsia="方正魏碑_GBK" w:cs="方正魏碑_GBK"/>
          <w:bCs/>
          <w:color w:val="000000"/>
          <w:sz w:val="24"/>
          <w:szCs w:val="24"/>
          <w:highlight w:val="none"/>
        </w:rPr>
      </w:r>
      <w:r/>
    </w:p>
    <w:p>
      <w:pPr>
        <w:pStyle w:val="690"/>
        <w:ind w:firstLine="555"/>
        <w:spacing w:line="400" w:lineRule="exact"/>
        <w:rPr>
          <w:rFonts w:hint="eastAsia" w:ascii="方正魏碑_GBK" w:hAnsi="方正魏碑_GBK" w:eastAsia="方正魏碑_GBK" w:cs="方正魏碑_GBK"/>
          <w:bCs/>
          <w:color w:val="000000"/>
          <w:sz w:val="24"/>
          <w:szCs w:val="24"/>
          <w:highlight w:val="none"/>
        </w:rPr>
      </w:pPr>
      <w:r>
        <w:rPr>
          <w:rFonts w:hint="eastAsia" w:ascii="方正魏碑_GBK" w:hAnsi="方正魏碑_GBK" w:eastAsia="方正魏碑_GBK" w:cs="方正魏碑_GBK"/>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魏碑_GBK" w:hAnsi="方正魏碑_GBK" w:eastAsia="方正魏碑_GBK" w:cs="方正魏碑_GBK"/>
          <w:bCs/>
          <w:color w:val="000000"/>
          <w:sz w:val="24"/>
          <w:szCs w:val="24"/>
          <w:highlight w:val="none"/>
        </w:rPr>
      </w:r>
      <w:r/>
    </w:p>
    <w:p>
      <w:pPr>
        <w:pStyle w:val="690"/>
        <w:ind w:firstLine="555"/>
        <w:spacing w:line="400" w:lineRule="exact"/>
        <w:rPr>
          <w:rFonts w:ascii="方正魏碑_GBK" w:hAnsi="方正魏碑_GBK" w:eastAsia="方正魏碑_GBK" w:cs="方正魏碑_GBK"/>
          <w:bCs/>
          <w:color w:val="000000"/>
          <w:sz w:val="24"/>
          <w:szCs w:val="24"/>
          <w:highlight w:val="none"/>
        </w:rPr>
      </w:pPr>
      <w:r>
        <w:rPr>
          <w:rFonts w:hint="eastAsia" w:ascii="方正魏碑_GBK" w:hAnsi="方正魏碑_GBK" w:eastAsia="方正魏碑_GBK" w:cs="方正魏碑_GBK"/>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方正魏碑_GBK" w:hAnsi="方正魏碑_GBK" w:eastAsia="方正魏碑_GBK" w:cs="方正魏碑_GBK"/>
          <w:bCs/>
          <w:color w:val="000000"/>
          <w:sz w:val="24"/>
          <w:szCs w:val="24"/>
          <w:highlight w:val="none"/>
        </w:rPr>
      </w:r>
      <w:r/>
    </w:p>
    <w:p>
      <w:pPr>
        <w:pStyle w:val="690"/>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690"/>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、技术要求</w:t>
      </w:r>
      <w:r>
        <w:rPr>
          <w:rFonts w:ascii="宋体" w:hAnsi="宋体"/>
          <w:b/>
          <w:color w:val="000000"/>
          <w:sz w:val="24"/>
          <w:szCs w:val="24"/>
          <w:highlight w:val="none"/>
        </w:rPr>
      </w:r>
      <w:r/>
    </w:p>
    <w:tbl>
      <w:tblPr>
        <w:tblW w:w="9217" w:type="dxa"/>
        <w:tblInd w:w="-17" w:type="dxa"/>
        <w:tblLayout w:type="fixed"/>
        <w:tblCellMar>
          <w:left w:w="108" w:type="dxa"/>
          <w:top w:w="0" w:type="dxa"/>
          <w:right w:w="108" w:type="dxa"/>
          <w:bottom w:w="0" w:type="dxa"/>
        </w:tblCellMar>
        <w:tblLook w:val="04A0" w:firstRow="1" w:lastRow="0" w:firstColumn="1" w:lastColumn="0" w:noHBand="0" w:noVBand="1"/>
      </w:tblPr>
      <w:tblGrid>
        <w:gridCol w:w="602"/>
        <w:gridCol w:w="1022"/>
        <w:gridCol w:w="1132"/>
        <w:gridCol w:w="626"/>
        <w:gridCol w:w="5835"/>
      </w:tblGrid>
      <w:tr>
        <w:trPr>
          <w:trHeight w:val="288"/>
        </w:trPr>
        <w:tc>
          <w:tcPr>
            <w:tcBorders>
              <w:top w:val="single" w:color="000000" w:sz="4" w:space="0"/>
              <w:left w:val="single" w:color="000000" w:sz="4" w:space="0"/>
              <w:bottom w:val="single" w:color="000000" w:sz="4" w:space="0"/>
              <w:right w:val="single" w:color="000000" w:sz="4" w:space="0"/>
            </w:tcBorders>
            <w:tcW w:w="602" w:type="dxa"/>
            <w:vAlign w:val="center"/>
            <w:vMerge w:val="restart"/>
            <w:textDirection w:val="lrTb"/>
            <w:noWrap/>
          </w:tcPr>
          <w:p>
            <w:pPr>
              <w:pStyle w:val="690"/>
              <w:jc w:val="center"/>
              <w:spacing w:line="240" w:lineRule="exact"/>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序号</w:t>
            </w: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val="false"/>
          </w:tcPr>
          <w:p>
            <w:pPr>
              <w:pStyle w:val="690"/>
              <w:jc w:val="center"/>
              <w:spacing w:line="240" w:lineRule="exact"/>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部门</w:t>
            </w: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val="false"/>
          </w:tcPr>
          <w:p>
            <w:pPr>
              <w:pStyle w:val="690"/>
              <w:jc w:val="center"/>
              <w:spacing w:line="240" w:lineRule="exact"/>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设备名称</w:t>
            </w: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tcPr>
          <w:p>
            <w:pPr>
              <w:pStyle w:val="690"/>
              <w:jc w:val="center"/>
              <w:spacing w:line="240" w:lineRule="exact"/>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数量</w:t>
            </w: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vMerge w:val="restart"/>
            <w:textDirection w:val="lrTb"/>
            <w:noWrap/>
          </w:tcPr>
          <w:p>
            <w:pPr>
              <w:pStyle w:val="690"/>
              <w:jc w:val="center"/>
              <w:spacing w:line="240" w:lineRule="exact"/>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参数需求</w:t>
            </w:r>
            <w:r>
              <w:rPr>
                <w:rFonts w:hint="eastAsia" w:ascii="宋体" w:hAnsi="宋体" w:cs="宋体"/>
                <w:b/>
                <w:bCs/>
                <w:color w:val="000000"/>
                <w:sz w:val="18"/>
                <w:szCs w:val="18"/>
                <w:highlight w:val="none"/>
              </w:rPr>
            </w:r>
            <w:r/>
          </w:p>
        </w:tc>
      </w:tr>
      <w:tr>
        <w:trPr>
          <w:cantSplit/>
          <w:trHeight w:val="4995"/>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上肢评估与训练系统</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（核心产品）</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Style w:val="805"/>
                <w:rFonts w:ascii="宋体" w:hAnsi="宋体" w:eastAsia="宋体" w:cs="宋体"/>
                <w:color w:val="000000"/>
                <w:sz w:val="18"/>
                <w:szCs w:val="18"/>
                <w:highlight w:val="none"/>
                <w:lang w:bidi="ar"/>
              </w:rPr>
              <w:t xml:space="preserve">1.适用于脑卒中（脑梗塞、脑出血）上肢功能障碍的康复治疗。</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2.显示界面采用≥42寸LED液晶显示屏。</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3.电动升降调节：训练系统高度可电动调节，高度调节范围≥100mm，升降速度≥6mm/s，满足不同身高患者使用需求。</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4.软件可自动识别左右患侧，支持左右手快速切换侧，实现患者快速穿戴与固定。</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5.配备减重或重力补偿装置，可针对上臂、前臂进行重力调节，满足肌无力患者训练需求。</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6.阻力训练可调，可设置多种阻力等级。</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7.训练模式：设备具备多种标准化训练模式，可适配不同康复阶段、不同肌力患者训练需求。</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8.情景互动与游戏训练：内置≥15款情景互动康复训练游戏，游戏数量满足临床使用需求，游戏难度支持多档位调节，同时支持软件定期更新、游戏数量拓展，有效提升患者训练积极性。</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9.康复评估功能：可实现上肢功能智能评估，可完成关节活动度（ROM）、肌力等核心指标评估，能自动生成专业评估数据，支持历史评估数据查询、对比，支持评估报表打印。</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10.训练报告与管理：可自动生成康复训练评估报告，包含各项评估指标、训练时长、运动数据等内容，支持报告查看、导出、打印，具备患者信息、评估结果的存储与管理功能。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11.软件功能包含患者信息管理、用户管理，用户管理包含管理者、医师、设备使用者等等不同角色，权限分离，具备新增、修改、删除等功能。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12.</w:t>
            </w:r>
            <w:r>
              <w:rPr>
                <w:rStyle w:val="806"/>
                <w:rFonts w:hint="eastAsia" w:ascii="宋体" w:hAnsi="宋体" w:eastAsia="宋体" w:cs="宋体"/>
                <w:color w:val="000000"/>
                <w:sz w:val="18"/>
                <w:szCs w:val="18"/>
                <w:highlight w:val="none"/>
                <w:lang w:bidi="ar"/>
              </w:rPr>
              <w:t xml:space="preserve"> </w:t>
            </w:r>
            <w:r>
              <w:rPr>
                <w:rStyle w:val="805"/>
                <w:rFonts w:ascii="宋体" w:hAnsi="宋体" w:eastAsia="宋体" w:cs="宋体"/>
                <w:color w:val="000000"/>
                <w:sz w:val="18"/>
                <w:szCs w:val="18"/>
                <w:highlight w:val="none"/>
                <w:lang w:bidi="ar"/>
              </w:rPr>
              <w:t xml:space="preserve">设备应包含紧急停止开关。</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13.设备设计使用年限≥5年。</w:t>
            </w:r>
            <w:r>
              <w:rPr>
                <w:rStyle w:val="805"/>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▲1</w:t>
            </w:r>
            <w:r>
              <w:rPr>
                <w:rStyle w:val="807"/>
                <w:rFonts w:hint="eastAsia" w:ascii="宋体" w:hAnsi="宋体" w:eastAsia="宋体" w:cs="宋体"/>
                <w:color w:val="000000"/>
                <w:sz w:val="18"/>
                <w:szCs w:val="18"/>
                <w:highlight w:val="none"/>
                <w:lang w:val="en-US" w:eastAsia="zh-CN" w:bidi="ar"/>
              </w:rPr>
              <w:t xml:space="preserve">4</w:t>
            </w:r>
            <w:r>
              <w:rPr>
                <w:rStyle w:val="807"/>
                <w:rFonts w:ascii="宋体" w:hAnsi="宋体" w:eastAsia="宋体" w:cs="宋体"/>
                <w:color w:val="000000"/>
                <w:sz w:val="18"/>
                <w:szCs w:val="18"/>
                <w:highlight w:val="none"/>
                <w:lang w:bidi="ar"/>
              </w:rPr>
              <w:t xml:space="preserve">.肩部仿生设计安全保护。</w:t>
            </w:r>
            <w:r>
              <w:rPr>
                <w:rStyle w:val="807"/>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▲1</w:t>
            </w:r>
            <w:r>
              <w:rPr>
                <w:rStyle w:val="807"/>
                <w:rFonts w:hint="eastAsia" w:ascii="宋体" w:hAnsi="宋体" w:eastAsia="宋体" w:cs="宋体"/>
                <w:color w:val="000000"/>
                <w:sz w:val="18"/>
                <w:szCs w:val="18"/>
                <w:highlight w:val="none"/>
                <w:lang w:val="en-US" w:eastAsia="zh-CN" w:bidi="ar"/>
              </w:rPr>
              <w:t xml:space="preserve">5</w:t>
            </w:r>
            <w:r>
              <w:rPr>
                <w:rStyle w:val="807"/>
                <w:rFonts w:ascii="宋体" w:hAnsi="宋体" w:eastAsia="宋体" w:cs="宋体"/>
                <w:color w:val="000000"/>
                <w:sz w:val="18"/>
                <w:szCs w:val="18"/>
                <w:highlight w:val="none"/>
                <w:lang w:bidi="ar"/>
              </w:rPr>
              <w:t xml:space="preserve">.实现肩-肘-手全上肢训练。</w:t>
            </w:r>
            <w:r>
              <w:rPr>
                <w:rStyle w:val="807"/>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▲1</w:t>
            </w:r>
            <w:r>
              <w:rPr>
                <w:rStyle w:val="807"/>
                <w:rFonts w:hint="eastAsia" w:ascii="宋体" w:hAnsi="宋体" w:eastAsia="宋体" w:cs="宋体"/>
                <w:color w:val="000000"/>
                <w:sz w:val="18"/>
                <w:szCs w:val="18"/>
                <w:highlight w:val="none"/>
                <w:lang w:val="en-US" w:eastAsia="zh-CN" w:bidi="ar"/>
              </w:rPr>
              <w:t xml:space="preserve">6</w:t>
            </w:r>
            <w:r>
              <w:rPr>
                <w:rStyle w:val="807"/>
                <w:rFonts w:ascii="宋体" w:hAnsi="宋体" w:eastAsia="宋体" w:cs="宋体"/>
                <w:color w:val="000000"/>
                <w:sz w:val="18"/>
                <w:szCs w:val="18"/>
                <w:highlight w:val="none"/>
                <w:lang w:bidi="ar"/>
              </w:rPr>
              <w:t xml:space="preserve">.实现双侧协同与镜像训练。</w:t>
            </w:r>
            <w:r>
              <w:rPr>
                <w:rFonts w:hint="eastAsia" w:ascii="宋体" w:hAnsi="宋体" w:cs="宋体"/>
                <w:color w:val="000000"/>
                <w:sz w:val="18"/>
                <w:szCs w:val="18"/>
                <w:highlight w:val="none"/>
              </w:rPr>
            </w:r>
            <w:r/>
          </w:p>
        </w:tc>
      </w:tr>
      <w:tr>
        <w:trPr>
          <w:trHeight w:val="84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动静态平衡评估与训练系统（核心产品）</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Style w:val="805"/>
                <w:rFonts w:ascii="宋体" w:hAnsi="宋体" w:eastAsia="宋体" w:cs="宋体"/>
                <w:color w:val="000000"/>
                <w:sz w:val="18"/>
                <w:szCs w:val="18"/>
                <w:highlight w:val="none"/>
                <w:lang w:bidi="ar"/>
              </w:rPr>
              <w:t xml:space="preserve">1.支持多状态平衡能力测试评估，涵盖动态、静态站立位、坐位、睁眼、闭眼等多种测试场景，可全面检测患者平衡功能。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2.具备重心相关核心测试，可实时监测、分析平衡重心变化、站立摇摆倾角等数据；包含多方向稳定极限测试，可检测多方位身体最大倾斜偏离角度，对患者跌倒风险进行预测。</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3.搭载专业平衡评估体系，支持多种平衡能力测试类型，可完成电子化评估。 </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4.内置情景互动游戏化训练，提高训练趣味性。</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5.内置多种训练组合方案，可根据患者实际情况自由选择，适配不同康复阶段、不同病情患者的康复需求，支持个性化训练方案定制，长期保存、一键启动。 </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6.评估及训练完成后，自动生成专业报告，包含各项核心数据、评估结果、训练情况等内容，报告支持直接打印。</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7.系统具备完善的患者数据库与档案管理功能，可建立患者详细病历档案，实现数据备份与恢复，便于长期追踪患者康复进程。</w:t>
            </w:r>
            <w:r>
              <w:rPr>
                <w:rStyle w:val="805"/>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▲8.可拓展血氧脉搏进行训练保护，一旦检测到患者血样脉搏超过限值范围，设备自动停机保护。</w:t>
            </w:r>
            <w:r>
              <w:rPr>
                <w:rStyle w:val="807"/>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▲9.站位扶手上下高度可电动调节，满足不同身高的人群使用。</w:t>
            </w:r>
            <w:r>
              <w:rPr>
                <w:rFonts w:hint="eastAsia" w:ascii="宋体" w:hAnsi="宋体" w:cs="宋体"/>
                <w:color w:val="000000"/>
                <w:sz w:val="18"/>
                <w:szCs w:val="18"/>
                <w:highlight w:val="none"/>
              </w:rPr>
            </w:r>
            <w:r/>
          </w:p>
        </w:tc>
      </w:tr>
      <w:tr>
        <w:trPr>
          <w:trHeight w:val="38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C</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吞咽、言语治疗室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语言障碍康复评估训练系统（核心产品）</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Style w:val="805"/>
                <w:rFonts w:ascii="宋体" w:hAnsi="宋体" w:eastAsia="宋体" w:cs="宋体"/>
                <w:color w:val="000000"/>
                <w:sz w:val="18"/>
                <w:szCs w:val="18"/>
                <w:highlight w:val="none"/>
                <w:lang w:bidi="ar"/>
              </w:rPr>
              <w:t xml:space="preserve">1.功能用途：通过量表或评估体系对用户语言功能进行评估，评估后出具结果报告，可针对该报告制定个性化训练计划并进行训练。</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2.完整记录患者基本信息，包含编号、姓名、性别、出生日期、就诊号、文化程度、家庭地址、联系电话、首次学习语言、病例资料、既往评估/训练记录、诊断情况等信息。</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3.角色权限管理： 内置系统管理员、操作员、普通用户三种角色。系统管理员拥有系统全部操作权限，可新增、编辑、删除操作员与普通用户账号；操作员可管理普通用户信息，开展评估与训练操作、制定训练计划、查看报告；普通用户可参与评估、完成训练项目，查看个人训练相关内容。</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4.数据备份：系统自动对患者信息、评估训练数据进行数据库备份，保障数据安全。</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5.评估内容包含听检查（图匹配、指图、指数字、指字）、视检查（视图匹配、视执行检查）、语音检查（清浊音检查）、口语表达检查（跟读、记忆、看图讲名、看朗读、自己讲检查）。</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6.康复内容包含听训练、视训练、语音训练、发音器官训练、口语表达训练和学老师平台等6部分。</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听训练包含：听指令指图、听理解指图、听理解指字、听是否判断；</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视训练包含：看指令指图、看文字指图、看文字指字、认知是否判断；</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语音训练包含：发声训练、音量训练、音长训练、声调训练、跟读训练、清浊音训练、韵母轨迹；</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发音器官训练包含：松弛运动、呼吸运动、口部运动、唇部运动；</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口语表达训练包含：复述训练、阅读训练、命名训练、记忆训练、自发言语；</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学老师平台包含：复述、命名、判断、理解、阅读、组句。</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7.评估：选择评估题目或评估量表进行评估，支持语音读题和语音识别，系统可自动识别患者发音并评估结果正确性。</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8.</w:t>
            </w:r>
            <w:r>
              <w:rPr>
                <w:rStyle w:val="806"/>
                <w:rFonts w:hint="eastAsia" w:ascii="宋体" w:hAnsi="宋体" w:eastAsia="宋体" w:cs="宋体"/>
                <w:color w:val="000000"/>
                <w:sz w:val="18"/>
                <w:szCs w:val="18"/>
                <w:highlight w:val="none"/>
                <w:lang w:bidi="ar"/>
              </w:rPr>
              <w:t xml:space="preserve"> </w:t>
            </w:r>
            <w:r>
              <w:rPr>
                <w:rStyle w:val="805"/>
                <w:rFonts w:ascii="宋体" w:hAnsi="宋体" w:eastAsia="宋体" w:cs="宋体"/>
                <w:color w:val="000000"/>
                <w:sz w:val="18"/>
                <w:szCs w:val="18"/>
                <w:highlight w:val="none"/>
                <w:lang w:bidi="ar"/>
              </w:rPr>
              <w:t xml:space="preserve">评估记录：全程记录患者所有评估详情、结果数据，支持历史评估数据追溯。</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9.导入导出：可对量表和题目进行导入和导出。</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10. 内置海量专业训练项目，覆盖全阶段康复需求；涵盖≥5大类康复处方；包含≥8个专项康复游戏。</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11. 可生成评估报表并支持直接打印。</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12.硬件配置：操作显示≥21英寸液晶显示屏、外设包括不限于屏幕支架、鼠标键盘、音频设备、打印机等。</w:t>
            </w:r>
            <w:r>
              <w:rPr>
                <w:rFonts w:hint="eastAsia" w:ascii="宋体" w:hAnsi="宋体" w:cs="宋体"/>
                <w:color w:val="000000"/>
                <w:sz w:val="18"/>
                <w:szCs w:val="18"/>
                <w:highlight w:val="none"/>
              </w:rPr>
            </w:r>
            <w:r/>
          </w:p>
        </w:tc>
      </w:tr>
      <w:tr>
        <w:trPr>
          <w:trHeight w:val="326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冲击波治疗仪（核心产品）</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Style w:val="805"/>
                <w:rFonts w:ascii="宋体" w:hAnsi="宋体" w:eastAsia="宋体" w:cs="宋体"/>
                <w:color w:val="000000"/>
                <w:sz w:val="18"/>
                <w:szCs w:val="18"/>
                <w:highlight w:val="none"/>
                <w:lang w:bidi="ar"/>
              </w:rPr>
              <w:t xml:space="preserve">1.本设备为发散式冲击波治疗仪 ，适用于多种肌肉骨骼疼痛病症的辅助治疗。  </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2.便携台式机设计，机身小巧便携，可按需选配推车结合使用。</w:t>
            </w:r>
            <w:r>
              <w:rPr>
                <w:rStyle w:val="805"/>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▲3.频率范围0.5-35HZ（其中22-35HZ适用于按摩手柄），1HZ以内步进0.1HZ，1HZ以上步进1HZ；</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治疗能量压力：0～5Bar可调，步长0.1Bar；</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治疗频率：1～21Hz可调，步长1Hz；</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治疗计数范围：0～9999次，步长100%；</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最大能量密度：1.83mJ/mm</w:t>
            </w:r>
            <w:r>
              <w:rPr>
                <w:rStyle w:val="808"/>
                <w:rFonts w:hint="eastAsia" w:ascii="宋体" w:hAnsi="宋体" w:eastAsia="宋体" w:cs="宋体"/>
                <w:color w:val="000000"/>
                <w:sz w:val="18"/>
                <w:szCs w:val="18"/>
                <w:highlight w:val="none"/>
                <w:lang w:bidi="ar"/>
              </w:rPr>
              <w:t xml:space="preserve">²</w:t>
            </w:r>
            <w:r>
              <w:rPr>
                <w:rStyle w:val="805"/>
                <w:rFonts w:ascii="宋体" w:hAnsi="宋体" w:eastAsia="宋体" w:cs="宋体"/>
                <w:color w:val="000000"/>
                <w:sz w:val="18"/>
                <w:szCs w:val="18"/>
                <w:highlight w:val="none"/>
                <w:lang w:bidi="ar"/>
              </w:rPr>
              <w:t xml:space="preserve">；</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最大穿透深度：12mm。</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4.标配≥5种治疗头。</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5.内置人体彩色图谱，包含多种处方。</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6.冲击波释放方式：支持治疗手柄触发按键或脚踏开关触发方式。</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7.子弹体质保：使用次总数≥500万次。</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8.安全性能：具有过压安全装置 ，防止空气压缩机在正常和单一故障状态下发生压力突然增大。</w:t>
            </w:r>
            <w:r>
              <w:rPr>
                <w:rStyle w:val="805"/>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▲9.冲击波脉冲宽度：3.7-4.7μs，误差不超过±10%（提供检测报告）。</w:t>
            </w:r>
            <w:r>
              <w:rPr>
                <w:rFonts w:hint="eastAsia" w:ascii="宋体" w:hAnsi="宋体" w:cs="宋体"/>
                <w:color w:val="000000"/>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高能红光治疗仪（核心产品）</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1.适用范围：用于对疼痛和炎症的治疗，能改善血液循环，促进组织修复与再生，消除肿胀，加速创面愈合。</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2.操控方式：≥5英寸彩色触摸屏操作，触感敏捷流畅。</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3.出光口面积：出光口面积≥70cm2。</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4.光功率密度：出光口平面中心处光功率密度≥480mW/cm2。</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5.治疗高度可手动或电动升降，最大治疗高度≥1150mm。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6.治疗深度≥7cm。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7.安全保护：</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（1）设备光源具有过热保护装置，光源温度过高时自动熄灭，停止治疗；</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（2）设备具有皮肤过热报警功能，当皮肤温度≥45℃时，设备报警并熄灭光源，停止治疗；</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（3）设备具有倾倒断电保护功能：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（4）设备具有安全治疗距离指示的定距杆设计。</w:t>
            </w:r>
            <w:r>
              <w:rPr>
                <w:rFonts w:hint="eastAsia" w:ascii="宋体" w:hAnsi="宋体" w:cs="宋体"/>
                <w:color w:val="000000"/>
                <w:sz w:val="18"/>
                <w:szCs w:val="18"/>
                <w:highlight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直线偏振光治疗仪（核心产品）</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1.外观形态：立体柜式设备。</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2.偏振光输出部分配备多种治疗头，供使用者针对不同病症、不同部位的治疗进行选择。</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3.光谱范围：≥0.6μm。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4.输出通道：双通道独立控制输出。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5.工作模式：包含连续输出和脉冲输出。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6.配备万向轮并具有锁止功能。</w:t>
            </w:r>
            <w:r>
              <w:rPr>
                <w:rFonts w:hint="eastAsia" w:ascii="宋体" w:hAnsi="宋体" w:cs="宋体"/>
                <w:color w:val="000000"/>
                <w:sz w:val="18"/>
                <w:szCs w:val="18"/>
                <w:highlight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电子生物反馈治疗仪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1、≥独立4通道设备。</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2、内置软件：包含康复、基础康复和评估反馈三大工作模块，且可根据患者需求编辑个性化治疗方案。</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3、内置方案：包括：垂腕、垂足、吞咽、肩关节半脱位、促醒、镇痛等方案，可自定义治疗方案并可储存。</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4、具有神经肌肉电刺激功能。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5、具有肌电触发电刺激功能。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6、具备多媒体生物反馈训练功能，至少包含5大类动画反馈：可进行肌力放松、增强、耐力、协调、精准训练。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7、彩色液晶触摸屏。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8、配有推车，方便移动。</w:t>
            </w:r>
            <w:r>
              <w:rPr>
                <w:rFonts w:hint="eastAsia" w:ascii="宋体" w:hAnsi="宋体" w:cs="宋体"/>
                <w:color w:val="000000"/>
                <w:sz w:val="18"/>
                <w:szCs w:val="18"/>
                <w:highlight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加压冷热仪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1、冷敷、热敷、常压、脉动加压、计时和计次任意组合，各组可以分别或单独设置和工作。</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2、冷、热敷时间 、压力 、温度可根据患者病情需要选择调节。</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3、热敷温度可调，时间 、压力 、温度可根据患者病情需要选择调节，可进行时间设定。</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4、具有脉动压力功能，脉动加压和常压可任意切换。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5、全自动一键式操作，自动记忆和识别初次治疗模式。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6、具备液位探测传感装置、超限、超时、过载、过压、超温、缺水自动提示功能。</w:t>
            </w:r>
            <w:r>
              <w:rPr>
                <w:rFonts w:hint="eastAsia" w:ascii="宋体" w:hAnsi="宋体" w:cs="宋体"/>
                <w:color w:val="000000"/>
                <w:sz w:val="18"/>
                <w:szCs w:val="18"/>
                <w:highlight w:val="none"/>
              </w:rPr>
            </w:r>
            <w:r/>
          </w:p>
        </w:tc>
      </w:tr>
      <w:tr>
        <w:trPr>
          <w:trHeight w:val="364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9</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多关节主被动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Style w:val="807"/>
                <w:rFonts w:ascii="宋体" w:hAnsi="宋体" w:eastAsia="宋体" w:cs="宋体"/>
                <w:color w:val="000000"/>
                <w:sz w:val="18"/>
                <w:szCs w:val="18"/>
                <w:highlight w:val="none"/>
                <w:lang w:bidi="ar"/>
              </w:rPr>
              <w:t xml:space="preserve">▲</w:t>
            </w:r>
            <w:r>
              <w:rPr>
                <w:rStyle w:val="805"/>
                <w:rFonts w:ascii="宋体" w:hAnsi="宋体" w:eastAsia="宋体" w:cs="宋体"/>
                <w:color w:val="000000"/>
                <w:sz w:val="18"/>
                <w:szCs w:val="18"/>
                <w:highlight w:val="none"/>
                <w:lang w:bidi="ar"/>
              </w:rPr>
              <w:t xml:space="preserve">1、可提供上肢与下肢的运动康复训练；</w:t>
            </w:r>
            <w:r>
              <w:rPr>
                <w:rStyle w:val="807"/>
                <w:rFonts w:ascii="宋体" w:hAnsi="宋体" w:eastAsia="宋体" w:cs="宋体"/>
                <w:color w:val="000000"/>
                <w:sz w:val="18"/>
                <w:szCs w:val="18"/>
                <w:highlight w:val="none"/>
                <w:lang w:bidi="ar"/>
              </w:rPr>
              <w:t xml:space="preserve">上、下肢被动训练转数：0-60rmp，步距1rmp，允许误差±10%；</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2、定时设置范围可调；</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3、痉挛等级：高、中、低三档，根据使用者情况进行设定；</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4、电机等级：高、中、低三档；</w:t>
            </w:r>
            <w:r>
              <w:rPr>
                <w:rStyle w:val="805"/>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w:t>
            </w:r>
            <w:r>
              <w:rPr>
                <w:rStyle w:val="805"/>
                <w:rFonts w:ascii="宋体" w:hAnsi="宋体" w:eastAsia="宋体" w:cs="宋体"/>
                <w:color w:val="000000"/>
                <w:sz w:val="18"/>
                <w:szCs w:val="18"/>
                <w:highlight w:val="none"/>
                <w:lang w:bidi="ar"/>
              </w:rPr>
              <w:t xml:space="preserve">5、康复机上肢训练盘旋转面垂直调整角度90°；</w:t>
            </w:r>
            <w:r>
              <w:rPr>
                <w:rStyle w:val="807"/>
                <w:rFonts w:ascii="宋体" w:hAnsi="宋体" w:eastAsia="宋体" w:cs="宋体"/>
                <w:color w:val="000000"/>
                <w:sz w:val="18"/>
                <w:szCs w:val="18"/>
                <w:highlight w:val="none"/>
                <w:lang w:bidi="ar"/>
              </w:rPr>
              <w:t xml:space="preserve">训练期间显示：运动时间、运动阻力、运动速度、对称性、主被动及痉挛显示；</w:t>
            </w:r>
            <w:r>
              <w:rPr>
                <w:rStyle w:val="805"/>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w:t>
            </w:r>
            <w:r>
              <w:rPr>
                <w:rStyle w:val="805"/>
                <w:rFonts w:ascii="宋体" w:hAnsi="宋体" w:eastAsia="宋体" w:cs="宋体"/>
                <w:color w:val="000000"/>
                <w:sz w:val="18"/>
                <w:szCs w:val="18"/>
                <w:highlight w:val="none"/>
                <w:lang w:bidi="ar"/>
              </w:rPr>
              <w:t xml:space="preserve">6、上肢训练臂可进行水平方向</w:t>
            </w:r>
            <w:r>
              <w:rPr>
                <w:rStyle w:val="807"/>
                <w:rFonts w:ascii="宋体" w:hAnsi="宋体" w:eastAsia="宋体" w:cs="宋体"/>
                <w:color w:val="000000"/>
                <w:sz w:val="18"/>
                <w:szCs w:val="18"/>
                <w:highlight w:val="none"/>
                <w:lang w:bidi="ar"/>
              </w:rPr>
              <w:t xml:space="preserve">180°</w:t>
            </w:r>
            <w:r>
              <w:rPr>
                <w:rStyle w:val="805"/>
                <w:rFonts w:ascii="宋体" w:hAnsi="宋体" w:eastAsia="宋体" w:cs="宋体"/>
                <w:color w:val="000000"/>
                <w:sz w:val="18"/>
                <w:szCs w:val="18"/>
                <w:highlight w:val="none"/>
                <w:lang w:bidi="ar"/>
              </w:rPr>
              <w:t xml:space="preserve">旋转，为上、下肢训练提供舒适与便捷；</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7、显示屏：≥7寸彩色液晶触摸显示操作；</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8、上肢训练方式：上肢训练臂可进行垂直方向旋转，具有上肢垂直圆周运动与水平圆周运动变换功能；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9、机身高度调节范围：不低于10CM；</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10、对称性训练：具有左下肢和右下肢、左上肢和右上肢的对称性训练功能，实时显示两侧肢体运动百分比；</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11、具有训练时间、训练速度、训练阻力及训练模式的设定功能；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12、具有语音提示功能；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13、具有智能探测痉挛、缓解痉挛的功能；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14、训练期间显示：运动时间、运动阻力、运动速度、对称性、主被动及痉挛显示；</w:t>
            </w:r>
            <w:r>
              <w:rPr>
                <w:rFonts w:hint="eastAsia" w:ascii="宋体" w:hAnsi="宋体" w:cs="宋体"/>
                <w:color w:val="000000"/>
                <w:sz w:val="18"/>
                <w:szCs w:val="18"/>
                <w:highlight w:val="none"/>
              </w:rPr>
            </w:r>
            <w:r/>
          </w:p>
        </w:tc>
      </w:tr>
      <w:tr>
        <w:trPr>
          <w:trHeight w:val="307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F</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病房</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床旁下肢主被动运动康复机（床边卧位主被动训练仪）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Style w:val="805"/>
                <w:rFonts w:ascii="宋体" w:hAnsi="宋体" w:eastAsia="宋体" w:cs="宋体"/>
                <w:color w:val="000000"/>
                <w:sz w:val="18"/>
                <w:szCs w:val="18"/>
                <w:highlight w:val="none"/>
                <w:lang w:bidi="ar"/>
              </w:rPr>
              <w:t xml:space="preserve">1、支持床旁操作方式，可将设备推至床旁，用于卧床患者的康复训练。</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2、电机等级分为高、中、低三档。</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3、具有平稳驱动系统，当训练开始或结束时，设备缓慢加速或减速，此功能最大限度地保证患者的安全。</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4、设备高度可电动调节。</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5、横向直臂长度可以电动调节。</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6、下肢配件调节灵活，护腿板高度、腿围、悬吊绳长均可根据患者需求进行调节。</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7、≥6英寸液晶触摸屏。</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8、机身底部具有四个脚轮，脚轮可锁止，方便整机移动或固定。</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9、具有训练时间、训练速度、训练阻力、痉挛等级的设定功能。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10、训练结束后可以显示时间。</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11、设备具有手动急停开关。</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12、设备有智能检测患者肢体用力情况的功能。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13、设备开机时，自动检测运行，当设备出现故障时，可显示故障信息弹窗。</w:t>
            </w:r>
            <w:r>
              <w:rPr>
                <w:rStyle w:val="805"/>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▲14、具有智能探测痉挛、缓解痉挛的功能，痉挛探测可进行关闭或开启设置。</w:t>
            </w:r>
            <w:r>
              <w:rPr>
                <w:rFonts w:hint="eastAsia" w:ascii="宋体" w:hAnsi="宋体" w:cs="宋体"/>
                <w:color w:val="000000"/>
                <w:sz w:val="18"/>
                <w:szCs w:val="18"/>
                <w:highlight w:val="none"/>
              </w:rPr>
            </w:r>
            <w:r/>
          </w:p>
        </w:tc>
      </w:tr>
      <w:tr>
        <w:trPr>
          <w:trHeight w:val="249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E</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神经调控室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脑电治疗仪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1、柜式机型，液晶显示屏显示。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2、仪器单个通道具有两路电疗输出，一路磁疗输出。电疗和磁疗可独立操作。</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3、主极采用脑电仿生低频电输出，辅极采用肢体调制中频电输出，主、辅极独立控制。</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4、具有多种输出模式。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5、可以包含多种躯体电输出处方。</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6、有治疗强度显示及设定范围的功能。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7、定时精度：连续模式是0-99min，常规、夜间、脉冲模式下是0-30min，工作时间大于8H。</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8、磁场强度：治疗强度可分多档。</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9、振动按摩强度可调。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10、振动按摩频率可调。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11、磁疗帽有成人款和儿童款供选择。</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12、磁疗发生器数：成人款磁疗帽有≥7个磁疗器，儿童款磁疗帽有≥5个磁疗器。</w:t>
            </w:r>
            <w:r>
              <w:rPr>
                <w:rFonts w:hint="eastAsia" w:ascii="宋体" w:hAnsi="宋体" w:cs="宋体"/>
                <w:color w:val="000000"/>
                <w:sz w:val="18"/>
                <w:szCs w:val="18"/>
                <w:highlight w:val="none"/>
              </w:rPr>
            </w:r>
            <w:r/>
          </w:p>
        </w:tc>
      </w:tr>
      <w:tr>
        <w:trPr>
          <w:trHeight w:val="364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气动手套训练系统</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1、屏幕操控性：≥8寸触摸屏。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2、常规训练模式：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2.1抓握训练：五指齐动的抓握和背屈训练；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2.2手控训练，健侧手通过“手控开关”，发出指令带动患侧手训练；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2.3 ADL日常生活能力训练；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2.4特殊按摩训练：通过气压手套对手部肌肉挤压按摩促进血液循环快速消除手部水肿，压力可调；（响应文件中提供证明材料，未提供视为负偏离）</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2.5人机互动训练：患者或医生发出指定的语音指令，控制机器做手指训练；（响应文件中提供证明材料，未提供视为负偏离）</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2.6按摩功能：按摩功能具有故障自检功能、过压提示、欠压提示功能，当仪器发生过压时，仪器会有过压提示，并自动泄放腔体内气体，释压。</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3、设备标配手腕关节训练+脚腕关节训练。（产品注册证需有明确注明）</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4、主机输出最大正压为200kPa，最大负压为-95kPa。（响应文件中提供证明材料，未提供视为负偏离）</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5、核心配件：采用两个气泵独立控制，一个控制抓握，一个控制背屈，气泵的连续工作寿命≥1500小时。</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6、主机结构：ABS一体化成型。</w:t>
            </w:r>
            <w:r>
              <w:rPr>
                <w:rFonts w:hint="eastAsia" w:ascii="宋体" w:hAnsi="宋体" w:cs="宋体"/>
                <w:color w:val="000000"/>
                <w:sz w:val="18"/>
                <w:szCs w:val="18"/>
                <w:highlight w:val="none"/>
              </w:rPr>
            </w:r>
            <w:r/>
          </w:p>
        </w:tc>
      </w:tr>
      <w:tr>
        <w:trPr>
          <w:trHeight w:val="384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四肢联动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Style w:val="805"/>
                <w:rFonts w:ascii="宋体" w:hAnsi="宋体" w:eastAsia="宋体" w:cs="宋体"/>
                <w:color w:val="000000"/>
                <w:sz w:val="18"/>
                <w:szCs w:val="18"/>
                <w:highlight w:val="none"/>
                <w:lang w:bidi="ar"/>
              </w:rPr>
              <w:t xml:space="preserve">1、供电方式：内部、外部电源供电两种可自由转换。</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2、最大承重：200kg。</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3、操作显示：≥6英寸液晶触摸显示屏。</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4、操作屏幕显示内容至少包含：时间、功率、步频、新陈代谢率、步数、卡路里、阻力等级。</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5、座椅可前向后调节，可手动调节。</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6、把手长度可调节范围。</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7、座椅有自动锁定功能，座椅两侧扶手可折叠。</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8、座椅靠背可调节角度。</w:t>
            </w:r>
            <w:r>
              <w:rPr>
                <w:rStyle w:val="805"/>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▲9、结构要求：</w:t>
            </w:r>
            <w:r>
              <w:rPr>
                <w:rStyle w:val="807"/>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（1）把手长度手动最大可调节行程≮175mm，可调行程≥7段，每段调节行程24.5-25.5mm；</w:t>
            </w:r>
            <w:r>
              <w:rPr>
                <w:rStyle w:val="807"/>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（2）座椅的水平旋转角度为360°可调节，≥4个间隔。座椅前后手动最大可调节行程≮280mm，分级可调。</w:t>
            </w:r>
            <w:r>
              <w:rPr>
                <w:rStyle w:val="807"/>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▲10、上下肢训练</w:t>
            </w:r>
            <w:r>
              <w:rPr>
                <w:rStyle w:val="807"/>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（1）被动模式</w:t>
            </w:r>
            <w:r>
              <w:rPr>
                <w:rStyle w:val="807"/>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转速15-55r/min可调，调节步长为1r/min，康复器显示转速监测值；</w:t>
            </w:r>
            <w:r>
              <w:rPr>
                <w:rStyle w:val="807"/>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（2）主动模式</w:t>
            </w:r>
            <w:r>
              <w:rPr>
                <w:rStyle w:val="807"/>
                <w:rFonts w:ascii="宋体" w:hAnsi="宋体" w:eastAsia="宋体" w:cs="宋体"/>
                <w:color w:val="000000"/>
                <w:sz w:val="18"/>
                <w:szCs w:val="18"/>
                <w:highlight w:val="none"/>
                <w:lang w:bidi="ar"/>
              </w:rPr>
              <w:br w:type="textWrapping" w:clear="all"/>
            </w:r>
            <w:r>
              <w:rPr>
                <w:rStyle w:val="807"/>
                <w:rFonts w:ascii="宋体" w:hAnsi="宋体" w:eastAsia="宋体" w:cs="宋体"/>
                <w:color w:val="000000"/>
                <w:sz w:val="18"/>
                <w:szCs w:val="18"/>
                <w:highlight w:val="none"/>
                <w:lang w:bidi="ar"/>
              </w:rPr>
              <w:t xml:space="preserve">康复器的阻力扭矩0~20N·m可调，调节步长为1N·m，阻力控制分为自动，手动，自动＋手动3种模式。</w:t>
            </w:r>
            <w:r>
              <w:rPr>
                <w:rFonts w:hint="eastAsia" w:ascii="宋体" w:hAnsi="宋体" w:cs="宋体"/>
                <w:color w:val="000000"/>
                <w:sz w:val="18"/>
                <w:szCs w:val="18"/>
                <w:highlight w:val="none"/>
              </w:rPr>
            </w:r>
            <w:r/>
          </w:p>
        </w:tc>
      </w:tr>
      <w:tr>
        <w:trPr>
          <w:trHeight w:val="172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吞咽神经和肌肉电刺激仪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1、适用范围：对咽部非机械原因损伤引起的吞咽及构音障碍进行评估、治疗。</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2、主要构成：由主机、操作控制器及电极线组成。</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3、结构形式：挂壁、手提、台式三合一结构。</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4、显示方式：真彩液晶。</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5、按键方式一键操作功能。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6、治疗功能及输出路（线）数：同时具备评估、治疗及训练三种功能。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7、定时最小范围：1-99min。</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8、输出模式：包含成人、儿童、训练、评估模式。</w:t>
            </w:r>
            <w:r>
              <w:rPr>
                <w:rFonts w:hint="eastAsia" w:ascii="宋体" w:hAnsi="宋体" w:cs="宋体"/>
                <w:color w:val="000000"/>
                <w:sz w:val="18"/>
                <w:szCs w:val="18"/>
                <w:highlight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超短波</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1、操作显示：≥7英寸液晶触摸屏。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2、便携台式机，配台车。</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3、治疗结束后输出保护功能：有声音提示并断开输出。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4、具有手动调谐功能。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5、配备四个电子管。</w:t>
            </w:r>
            <w:r>
              <w:rPr>
                <w:rFonts w:hint="eastAsia" w:ascii="宋体" w:hAnsi="宋体" w:cs="宋体"/>
                <w:color w:val="000000"/>
                <w:sz w:val="18"/>
                <w:szCs w:val="18"/>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G</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中医治疗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通络治疗仪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1、有电疗、热疗功能。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2、通道：≥4路独立输出。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3、有定时功能。</w:t>
            </w:r>
            <w:r>
              <w:rPr>
                <w:rFonts w:hint="eastAsia" w:ascii="宋体" w:hAnsi="宋体" w:cs="宋体"/>
                <w:color w:val="000000"/>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17</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低周波治疗仪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1、彩色触摸屏。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2、三种治疗模式可选。</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3、内置多种治疗处方 ，有提供针对性治疗，操作简单。</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4、具有多种输出模式。 </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5、输出平衡手动可调。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6、温热功能分多档可调。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7、温度可调节。</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8、超温保护：温度升至46°时自动断电，停止加温。</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9、有多档负压调节功能。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10、连续工作时间≥3h。</w:t>
            </w:r>
            <w:r>
              <w:rPr>
                <w:rFonts w:hint="eastAsia" w:ascii="宋体" w:hAnsi="宋体" w:cs="宋体"/>
                <w:color w:val="000000"/>
                <w:sz w:val="18"/>
                <w:szCs w:val="18"/>
                <w:highlight w:val="none"/>
              </w:rPr>
            </w:r>
            <w:r/>
          </w:p>
        </w:tc>
      </w:tr>
      <w:tr>
        <w:trPr>
          <w:trHeight w:val="326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18</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压力治疗（上肢、下肢）</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1、操作显示：≥6英寸液晶触摸屏，设备显示屏可以显示当前程序下的工作压力、模式、治疗时间、治疗区域等参数。</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2、气囊腔数：单侧≥4腔气囊，双侧≥8腔气囊，配备双下肢、上肢气囊。</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3、设备可同时、间歇、按顺序充放气。</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4、可循环压力治疗压强范围：0kPa～36kPa（0mmHg～270mmHg）。</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5、压强单位显示方式可以切换。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6、单腔调压：可针对每个腔体单独调节压力设定。</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7、零压跳过：在有创面或压力治疗禁忌的部位，可选择关闭该位置的气囊压力。</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8、包含多种治疗模式。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9、可以逆序加压。</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10、过压保护：设备具有过压保护报警功能，当传递到肢体的最大治疗压强超过120%时自动报警，并立即停止治疗。</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11、自动泄压：达到阈值时、突然断电或中断治疗时，气囊可自动泄压。</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12、安全保护：配备紧急功能开关，遇到紧急情况可以进行紧急停止。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13、梯度治疗：支持对肢体形成梯度加压。</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14、设备为台式机，配台车。</w:t>
            </w:r>
            <w:r>
              <w:rPr>
                <w:rFonts w:hint="eastAsia" w:ascii="宋体" w:hAnsi="宋体" w:cs="宋体"/>
                <w:color w:val="000000"/>
                <w:sz w:val="18"/>
                <w:szCs w:val="18"/>
                <w:highlight w:val="none"/>
              </w:rPr>
            </w:r>
            <w:r/>
          </w:p>
        </w:tc>
      </w:tr>
      <w:tr>
        <w:trPr>
          <w:trHeight w:val="211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19</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高频治疗仪（微波治疗仪）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1、立式结构，双微波源。</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2、液晶触摸屏，微电脑控制，输出功率稳定。</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3、工作频率：2450MHz±30MHz。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4、输入功率；1800VA。</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5、输出功率：理疗模式0～80W连续可调，步长可调：1W或5W或10W。</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6、驻波比≤3。</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7、治疗模式：理疗模式。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8、工作时间：理疗模式0～30min。</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9、至少包含三种输出方式：连续式、间歇脉冲式、间歇集束式。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10、具有三维照射功能：理疗模式下同时开启两通道输出进行治疗。</w:t>
            </w:r>
            <w:r>
              <w:rPr>
                <w:rFonts w:hint="eastAsia" w:ascii="宋体" w:hAnsi="宋体" w:cs="宋体"/>
                <w:color w:val="000000"/>
                <w:sz w:val="18"/>
                <w:szCs w:val="18"/>
                <w:highlight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呼吸评定与训练器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1、训练强度可调节。</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2、液晶显示屏，训练过程数据实时显示。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3、训练过程中实时显示各项训练数据。</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4、训练历史记录—显示过去训练的历史记录，包括一组训练的训练次数、流速、吸气量等指标。</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5、数据可视化，综合评估训练结果及时调整训方案。</w:t>
            </w:r>
            <w:r>
              <w:rPr>
                <w:rFonts w:hint="eastAsia" w:ascii="宋体" w:hAnsi="宋体" w:cs="宋体"/>
                <w:color w:val="000000"/>
                <w:sz w:val="18"/>
                <w:szCs w:val="18"/>
                <w:highlight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磁振热治疗仪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1、适用范围：适用于慢性软组织损伤和颈肩腰腿痛的辅助治疗。</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2、主要构成：产品由一台主机和二个治疗导子组成。</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3、结构形式：不可分拆的柜机推车式。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4、显示方式：液晶屏幕显示界面。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5、操作方式：一键操作方式。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6、输出路数：双路、可同时连接二个治疗导子。</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7、导子种类：可提供四种不同形状的导子，以供用户选择其中的两种。</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8、功能输出方式：将磁疗、振动、热疗三种治疗方式相结合并由同一导子同时发出，实现三功同步治疗。</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9、功能调节方式：振动强度、治疗模式、热疗功能三项技术参数分别独立可调、互不关联。</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10、磁场强度：≤38mT。</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11、振动强度（频率）档位数：三档。</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12、治疗模式种数：四种。</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13、热疗功能档位：可选择关闭或开启。</w:t>
            </w:r>
            <w:r>
              <w:rPr>
                <w:rFonts w:hint="eastAsia" w:ascii="宋体" w:hAnsi="宋体" w:cs="宋体"/>
                <w:color w:val="000000"/>
                <w:sz w:val="18"/>
                <w:szCs w:val="18"/>
                <w:highlight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G</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中医治疗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超声药物透入治疗仪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1、超声频率：1MHz / 3MHz。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2、治疗模式：连续波、脉冲波。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3、电致孔（透药辅助）：电压30～80V，频率10～100Hz。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4、通道：2～4路独立输出。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5、定时：0～60分钟可调。</w:t>
            </w:r>
            <w:r>
              <w:rPr>
                <w:rFonts w:hint="eastAsia" w:ascii="宋体" w:hAnsi="宋体" w:cs="宋体"/>
                <w:color w:val="000000"/>
                <w:sz w:val="18"/>
                <w:szCs w:val="18"/>
                <w:highlight w:val="none"/>
              </w:rPr>
            </w:r>
            <w:r/>
          </w:p>
        </w:tc>
      </w:tr>
      <w:tr>
        <w:trPr>
          <w:trHeight w:val="345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超声波治疗仪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Style w:val="805"/>
                <w:rFonts w:ascii="宋体" w:hAnsi="宋体" w:eastAsia="宋体" w:cs="宋体"/>
                <w:color w:val="000000"/>
                <w:sz w:val="18"/>
                <w:szCs w:val="18"/>
                <w:highlight w:val="none"/>
                <w:lang w:bidi="ar"/>
              </w:rPr>
              <w:t xml:space="preserve">1、输入功率：50VA。</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2、输出通道：单路输出。</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3、显示方式：</w:t>
            </w:r>
            <w:r>
              <w:rPr>
                <w:rStyle w:val="805"/>
                <w:rFonts w:ascii="宋体" w:hAnsi="宋体" w:eastAsia="宋体" w:cs="宋体"/>
                <w:color w:val="000000"/>
                <w:sz w:val="18"/>
                <w:szCs w:val="18"/>
                <w:highlight w:val="none"/>
                <w:lang w:bidi="ar"/>
              </w:rPr>
              <w:t xml:space="preserve">不低于</w:t>
            </w:r>
            <w:r>
              <w:rPr>
                <w:rStyle w:val="805"/>
                <w:rFonts w:ascii="宋体" w:hAnsi="宋体" w:eastAsia="宋体" w:cs="宋体"/>
                <w:color w:val="000000"/>
                <w:sz w:val="18"/>
                <w:szCs w:val="18"/>
                <w:highlight w:val="none"/>
                <w:lang w:bidi="ar"/>
              </w:rPr>
              <w:t xml:space="preserve">5英寸液晶屏，支持一键飞梭。</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4、声工作频率：1MHz±10%。</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5、输出模式：四种，连续、断续1、断续2、断续3。</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a）、连续输出；</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b）、断续1：输出1s，间歇1s；</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c）、断续2：输出0.5s，间歇0.5s；</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d）、断续3：输出0.3s，间歇0.3s。</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6、有效声强：0～1.5W/cm</w:t>
            </w:r>
            <w:r>
              <w:rPr>
                <w:rStyle w:val="808"/>
                <w:rFonts w:hint="eastAsia" w:ascii="宋体" w:hAnsi="宋体" w:eastAsia="宋体" w:cs="宋体"/>
                <w:color w:val="000000"/>
                <w:sz w:val="18"/>
                <w:szCs w:val="18"/>
                <w:highlight w:val="none"/>
                <w:lang w:bidi="ar"/>
              </w:rPr>
              <w:t xml:space="preserve">²</w:t>
            </w:r>
            <w:r>
              <w:rPr>
                <w:rStyle w:val="805"/>
                <w:rFonts w:ascii="宋体" w:hAnsi="宋体" w:eastAsia="宋体" w:cs="宋体"/>
                <w:color w:val="000000"/>
                <w:sz w:val="18"/>
                <w:szCs w:val="18"/>
                <w:highlight w:val="none"/>
                <w:lang w:bidi="ar"/>
              </w:rPr>
              <w:t xml:space="preserve">。</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7、定时范围：1～30min，步进1min。</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8、最大输出功率：6W，允差±20%。</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9、有效辐射面积：4cm</w:t>
            </w:r>
            <w:r>
              <w:rPr>
                <w:rStyle w:val="808"/>
                <w:rFonts w:hint="eastAsia" w:ascii="宋体" w:hAnsi="宋体" w:eastAsia="宋体" w:cs="宋体"/>
                <w:color w:val="000000"/>
                <w:sz w:val="18"/>
                <w:szCs w:val="18"/>
                <w:highlight w:val="none"/>
                <w:lang w:bidi="ar"/>
              </w:rPr>
              <w:t xml:space="preserve">²</w:t>
            </w:r>
            <w:r>
              <w:rPr>
                <w:rStyle w:val="805"/>
                <w:rFonts w:ascii="宋体" w:hAnsi="宋体" w:eastAsia="宋体" w:cs="宋体"/>
                <w:color w:val="000000"/>
                <w:sz w:val="18"/>
                <w:szCs w:val="18"/>
                <w:highlight w:val="none"/>
                <w:lang w:bidi="ar"/>
              </w:rPr>
              <w:t xml:space="preserve">。</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10、波束不均匀性系数RBN：不超过8.0。</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11、波束类型：准直型。</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12、具有超温保护功能。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13、具有治疗头脱落检测功能。</w:t>
            </w:r>
            <w:r>
              <w:rPr>
                <w:rFonts w:hint="eastAsia" w:ascii="宋体" w:hAnsi="宋体" w:cs="宋体"/>
                <w:color w:val="000000"/>
                <w:sz w:val="18"/>
                <w:szCs w:val="18"/>
                <w:highlight w:val="none"/>
              </w:rPr>
            </w:r>
            <w:r/>
          </w:p>
        </w:tc>
      </w:tr>
      <w:tr>
        <w:trPr>
          <w:trHeight w:val="230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G</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中医治疗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艾灸仪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1、柜式一体机型，推车设计带锁止万向轮，各种角度灵活转动。</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2、一键操作模式。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3、具有温热艾灸、温针灸、电针灸、温热电针灸四功合一。</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4、双通道，艾灸治疗：12路24个灸头、温热电针：4路8个电极。</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5、每个输出通道能够独立启动和停止，输出强度能够独立调节。</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6、灸头具备加热功能，每个灸头独立控温。</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7、治疗温度＞60℃时，有高温输出指示。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8、温热电针具有加热功能。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9、具有独立于恒温器的非自动复位的超温保护装置，当灸头温度超过设备自身的报警值，</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超温保护装置启动，切断输出，降低温度。</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10、有手动停止功能，保障安全。</w:t>
            </w:r>
            <w:r>
              <w:rPr>
                <w:rFonts w:hint="eastAsia" w:ascii="宋体" w:hAnsi="宋体" w:cs="宋体"/>
                <w:color w:val="000000"/>
                <w:sz w:val="18"/>
                <w:szCs w:val="18"/>
                <w:highlight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功能性肌肉电刺激器</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（经皮神经电刺激仪）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1、输出波形：双向平衡/不对称方波、矩形波。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2、脉冲频率：0.5～150Hz 连续可调。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3、脉冲宽度：50μs～300ms（常用0.1～10ms）。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4、输出电流：0～100mA（可调，精度0.1～1mA）。</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5、通道：2～4路独立输出。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6、定时：0～60分钟连续可调。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7、模式：恒流、恒压；单刺激、循环、触发。</w:t>
            </w:r>
            <w:r>
              <w:rPr>
                <w:rFonts w:hint="eastAsia" w:ascii="宋体" w:hAnsi="宋体" w:cs="宋体"/>
                <w:color w:val="000000"/>
                <w:sz w:val="18"/>
                <w:szCs w:val="18"/>
                <w:highlight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减重支持训练系统</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1、减重范围：0%～100%。</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2、控制方式：电动升降。</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3、跑台速度：0.1～1.5m/s可调。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4、通道/模式：单/双轨；静态/动态减重。</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5、定时：0～60min可调。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6、承重：最大100～150kg。</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7、安全：防坠落、紧急停止。</w:t>
            </w:r>
            <w:r>
              <w:rPr>
                <w:rFonts w:hint="eastAsia" w:ascii="宋体" w:hAnsi="宋体" w:cs="宋体"/>
                <w:color w:val="000000"/>
                <w:sz w:val="18"/>
                <w:szCs w:val="18"/>
                <w:highlight w:val="none"/>
              </w:rPr>
            </w:r>
            <w:r/>
          </w:p>
        </w:tc>
      </w:tr>
      <w:tr>
        <w:trPr>
          <w:trHeight w:val="153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27</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颈腰椎牵引床</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1、颈椎牵引力：0～300N。</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2、腰椎牵引力：0～800N。</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3、牵引方式：持续、间歇、往复。</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4、牵引行程：0～200mm。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5、牵引时间：0～60min可调。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6、角度调节：颈椎、腰椎角度可调。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7、安全保护：超力保护、紧急停止。</w:t>
            </w:r>
            <w:r>
              <w:rPr>
                <w:rFonts w:hint="eastAsia" w:ascii="宋体" w:hAnsi="宋体" w:cs="宋体"/>
                <w:color w:val="000000"/>
                <w:sz w:val="18"/>
                <w:szCs w:val="18"/>
                <w:highlight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28</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电动手法治疗床</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1、升降高度可调。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2、床体分段：多段位可调。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3、调节方式：电动推杆控制。</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4、最大承重：≥135kg。</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5、定时功能：0～60min可选。</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6、安全配置：紧急停止、防夹手、断电自锁。</w:t>
            </w:r>
            <w:r>
              <w:rPr>
                <w:rFonts w:hint="eastAsia" w:ascii="宋体" w:hAnsi="宋体" w:cs="宋体"/>
                <w:color w:val="000000"/>
                <w:sz w:val="18"/>
                <w:szCs w:val="18"/>
                <w:highlight w:val="none"/>
              </w:rPr>
            </w:r>
            <w:r/>
          </w:p>
        </w:tc>
      </w:tr>
      <w:tr>
        <w:trPr>
          <w:trHeight w:val="250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29</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体外膈肌起搏器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Style w:val="805"/>
                <w:rFonts w:ascii="宋体" w:hAnsi="宋体" w:eastAsia="宋体" w:cs="宋体"/>
                <w:color w:val="000000"/>
                <w:sz w:val="18"/>
                <w:szCs w:val="18"/>
                <w:highlight w:val="none"/>
                <w:lang w:bidi="ar"/>
              </w:rPr>
              <w:t xml:space="preserve">1、设备用途 用于呼吸功能障碍辅助治疗。</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2、设备包含主机1台、治疗电极线2套、治疗电极片4包、台车1套。</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3、具备高清触摸屏，所有调节均可通过触控按压操作实现。</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4、主机输出通道≥2通道输出，每通道可单独调节，可同时治疗≥2位患者。</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5、治疗时间5～120分钟，可调节。</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6、脉冲宽度 200</w:t>
            </w:r>
            <w:r>
              <w:rPr>
                <w:rStyle w:val="809"/>
                <w:rFonts w:hint="eastAsia" w:ascii="宋体" w:hAnsi="宋体" w:cs="宋体"/>
                <w:color w:val="000000"/>
                <w:sz w:val="18"/>
                <w:szCs w:val="18"/>
                <w:highlight w:val="none"/>
                <w:lang w:bidi="ar"/>
              </w:rPr>
              <w:t xml:space="preserve">μ</w:t>
            </w:r>
            <w:r>
              <w:rPr>
                <w:rStyle w:val="805"/>
                <w:rFonts w:ascii="宋体" w:hAnsi="宋体" w:eastAsia="宋体" w:cs="宋体"/>
                <w:color w:val="000000"/>
                <w:sz w:val="18"/>
                <w:szCs w:val="18"/>
                <w:highlight w:val="none"/>
                <w:lang w:bidi="ar"/>
              </w:rPr>
              <w:t xml:space="preserve">s。</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7、脉冲频率 30Hz～50Hz。</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8、刺激强度 ≥30档可调。</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9、刺激次数 5～15次/分钟可调。</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10 具备开机提醒功能。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11 具备计时功能。</w:t>
            </w:r>
            <w:r>
              <w:rPr>
                <w:rStyle w:val="805"/>
                <w:rFonts w:ascii="宋体" w:hAnsi="宋体" w:eastAsia="宋体" w:cs="宋体"/>
                <w:color w:val="000000"/>
                <w:sz w:val="18"/>
                <w:szCs w:val="18"/>
                <w:highlight w:val="none"/>
                <w:lang w:bidi="ar"/>
              </w:rPr>
              <w:br w:type="textWrapping" w:clear="all"/>
            </w:r>
            <w:r>
              <w:rPr>
                <w:rStyle w:val="805"/>
                <w:rFonts w:ascii="宋体" w:hAnsi="宋体" w:eastAsia="宋体" w:cs="宋体"/>
                <w:color w:val="000000"/>
                <w:sz w:val="18"/>
                <w:szCs w:val="18"/>
                <w:highlight w:val="none"/>
                <w:lang w:bidi="ar"/>
              </w:rPr>
              <w:t xml:space="preserve">12 内置电池，具有电量提示功能。</w:t>
            </w:r>
            <w:r>
              <w:rPr>
                <w:rFonts w:hint="eastAsia" w:ascii="宋体" w:hAnsi="宋体" w:cs="宋体"/>
                <w:color w:val="000000"/>
                <w:sz w:val="18"/>
                <w:szCs w:val="18"/>
                <w:highlight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抗阻下肢屈伸膝训练器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1、输出波形：双向平衡/不对称方波、矩形波。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2、脉冲频率：0.5～150Hz连续可调。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3、脉冲宽度：50μs～300ms。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4、通道：2～4路独立输出。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5、定时：0～60分钟连续可调。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6、模式：恒流、恒压；单刺激、循环、触发。</w:t>
            </w:r>
            <w:r>
              <w:rPr>
                <w:rFonts w:hint="eastAsia" w:ascii="宋体" w:hAnsi="宋体" w:cs="宋体"/>
                <w:color w:val="000000"/>
                <w:sz w:val="18"/>
                <w:szCs w:val="18"/>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抗阻上肢推举训练器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1、阻力调节：0～150N连续可调。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2、训练行程：0～350mm。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3、训练模式：主动抗阻训练。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4、承重/负载：≥135kg。</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5、角度调节：多档位可调。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6、安全配置：限位保护、急停开关</w:t>
            </w:r>
            <w:r>
              <w:rPr>
                <w:rFonts w:hint="eastAsia" w:ascii="宋体" w:hAnsi="宋体" w:cs="宋体"/>
                <w:color w:val="000000"/>
                <w:sz w:val="18"/>
                <w:szCs w:val="18"/>
                <w:highlight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电动PT床</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1、床体升降：450～800mm。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2、靠背角度：0°～75°可调。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3、下肢角度：0°～45°可调。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4、最大承重：≥135kg。</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5、调节方式：电动多段控制。</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6、安全：急停开关、断电自锁。</w:t>
            </w:r>
            <w:r>
              <w:rPr>
                <w:rFonts w:hint="eastAsia" w:ascii="宋体" w:hAnsi="宋体" w:cs="宋体"/>
                <w:color w:val="000000"/>
                <w:sz w:val="18"/>
                <w:szCs w:val="18"/>
                <w:highlight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多功能训练器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1、训练功能：兼顾上肢、下肢、核心等多部位抗阻训练。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2、阻力调节：多档位可调。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3、调节方式：档位/配重块调节。</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4、最大承重：≥135kg。</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5、安全配置：限位防护、防滑握把与脚踏</w:t>
            </w:r>
            <w:r>
              <w:rPr>
                <w:rFonts w:hint="eastAsia" w:ascii="宋体" w:hAnsi="宋体" w:cs="宋体"/>
                <w:color w:val="000000"/>
                <w:sz w:val="18"/>
                <w:szCs w:val="18"/>
                <w:highlight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上肢CPM</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1、适用关节：肩关节、肘关节、腕关节。</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2、活动角度：0°～180°可调。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3、运行速度：低速连续可调。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4、定时范围：0～60分钟</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5、安全保护：角度限位、急停、过载保护。</w:t>
            </w:r>
            <w:r>
              <w:rPr>
                <w:rFonts w:hint="eastAsia" w:ascii="宋体" w:hAnsi="宋体" w:cs="宋体"/>
                <w:color w:val="000000"/>
                <w:sz w:val="18"/>
                <w:szCs w:val="18"/>
                <w:highlight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低频脉冲痉挛机治疗仪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1、输出频率：1～100Hz可调。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2、脉冲宽度：0.1～1ms。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3、通道：≥2路独立输出。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4、治疗模式：持续、间歇、节律刺激。</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5、定时：0～60min可调。</w:t>
            </w:r>
            <w:r>
              <w:rPr>
                <w:rFonts w:hint="eastAsia" w:ascii="宋体" w:hAnsi="宋体" w:cs="宋体"/>
                <w:color w:val="000000"/>
                <w:sz w:val="18"/>
                <w:szCs w:val="18"/>
                <w:highlight w:val="none"/>
              </w:rPr>
            </w:r>
            <w:r/>
          </w:p>
        </w:tc>
      </w:tr>
      <w:tr>
        <w:trPr>
          <w:trHeight w:val="134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下肢CPM</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1、适用关节：髋、膝、踝关节。</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2、屈伸角度：0°～120°可调。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3、运行速度：连续可调。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4、定时范围：0～60分钟。</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5、承重：≥135kg。</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6、安全：限位保护、急停、过载保护。</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7、提供医疗器械注册证。</w:t>
            </w:r>
            <w:r>
              <w:rPr>
                <w:rFonts w:hint="eastAsia" w:ascii="宋体" w:hAnsi="宋体" w:cs="宋体"/>
                <w:color w:val="000000"/>
                <w:sz w:val="18"/>
                <w:szCs w:val="18"/>
                <w:highlight w:val="none"/>
              </w:rPr>
            </w:r>
            <w:r/>
          </w:p>
        </w:tc>
      </w:tr>
      <w:tr>
        <w:trPr>
          <w:trHeight w:val="115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37</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低频神经肌肉刺激仪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1、输出频率：1～100Hz可调。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2、脉冲宽度：0.1～1ms。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3、通道：≥2路独立输出。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4、工作模式：连续、间歇、节律刺激。</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5、定时：0～60min可调。</w:t>
            </w:r>
            <w:r>
              <w:rPr>
                <w:rFonts w:hint="eastAsia" w:ascii="宋体" w:hAnsi="宋体" w:cs="宋体"/>
                <w:color w:val="000000"/>
                <w:sz w:val="18"/>
                <w:szCs w:val="18"/>
                <w:highlight w:val="none"/>
              </w:rPr>
            </w:r>
            <w:r/>
          </w:p>
        </w:tc>
      </w:tr>
      <w:tr>
        <w:trPr>
          <w:trHeight w:val="71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38</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H儿童康复区</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墙垫地垫</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材质：高密度EVA/发泡pvc、环保闭孔发泡</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常用厚度：25-30mm</w:t>
            </w:r>
            <w:r>
              <w:rPr>
                <w:rFonts w:hint="eastAsia" w:ascii="宋体" w:hAnsi="宋体" w:eastAsia="宋体" w:cs="宋体"/>
                <w:color w:val="000000"/>
                <w:sz w:val="18"/>
                <w:szCs w:val="18"/>
                <w:highlight w:val="none"/>
                <w:lang w:bidi="ar"/>
              </w:rPr>
            </w:r>
            <w:r/>
          </w:p>
        </w:tc>
      </w:tr>
      <w:tr>
        <w:trPr>
          <w:trHeight w:val="857"/>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39</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C吞咽、言语治疗室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感应电疗仪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1、直流输出：电流0～50mA，分强、弱二档，连续可调。</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2、感应输出：输出幅度0~60V，输出电压分强、 弱二档。</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3、时间可分档定时。</w:t>
            </w:r>
            <w:r>
              <w:rPr>
                <w:rFonts w:hint="eastAsia" w:ascii="宋体" w:hAnsi="宋体" w:eastAsia="宋体" w:cs="宋体"/>
                <w:color w:val="000000"/>
                <w:sz w:val="18"/>
                <w:szCs w:val="18"/>
                <w:highlight w:val="none"/>
                <w:lang w:bidi="ar"/>
              </w:rPr>
            </w:r>
            <w:r/>
          </w:p>
        </w:tc>
      </w:tr>
      <w:tr>
        <w:trPr>
          <w:trHeight w:val="79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平行杠（配矫正板）</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1、结构型式：杠杆、宽度调节支架、升降管柱、固定管柱、矫正板、底座</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2、材质：不锈钢扶手、静电喷塑架、木板、地毯</w:t>
            </w:r>
            <w:r>
              <w:rPr>
                <w:rFonts w:hint="eastAsia" w:ascii="宋体" w:hAnsi="宋体" w:eastAsia="宋体" w:cs="宋体"/>
                <w:color w:val="000000"/>
                <w:sz w:val="18"/>
                <w:szCs w:val="18"/>
                <w:highlight w:val="none"/>
                <w:lang w:bidi="ar"/>
              </w:rPr>
            </w:r>
            <w:r/>
          </w:p>
        </w:tc>
      </w:tr>
      <w:tr>
        <w:trPr>
          <w:trHeight w:val="707"/>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中频治疗仪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1、工作频率：1kHZ-10KHZ或2kHZ-8kHZ；</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2、调制频率：0～150Hz；</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3、调制波形：包括方波、正弦波、三角波、指数波等</w:t>
            </w:r>
            <w:r>
              <w:rPr>
                <w:rFonts w:hint="eastAsia" w:ascii="宋体" w:hAnsi="宋体" w:eastAsia="宋体" w:cs="宋体"/>
                <w:color w:val="000000"/>
                <w:sz w:val="18"/>
                <w:szCs w:val="18"/>
                <w:highlight w:val="none"/>
                <w:lang w:bidi="ar"/>
              </w:rPr>
            </w:r>
            <w:r/>
          </w:p>
        </w:tc>
      </w:tr>
      <w:tr>
        <w:trPr>
          <w:trHeight w:val="74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站立架</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1、结构形式：台面、肘部垫、臀部垫和绑带、膝部垫、支架</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2、材质：木板、静电喷塑架、PU面料内置高回弹海绵</w:t>
            </w:r>
            <w:r>
              <w:rPr>
                <w:rFonts w:hint="eastAsia" w:ascii="宋体" w:hAnsi="宋体" w:eastAsia="宋体" w:cs="宋体"/>
                <w:color w:val="000000"/>
                <w:sz w:val="18"/>
                <w:szCs w:val="18"/>
                <w:highlight w:val="none"/>
                <w:lang w:bidi="ar"/>
              </w:rPr>
            </w:r>
            <w:r/>
          </w:p>
        </w:tc>
      </w:tr>
      <w:tr>
        <w:trPr>
          <w:trHeight w:val="57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肩关节旋转训练器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高度调节范围0～64cm，转动臂长调节范围45～70cm。</w:t>
            </w:r>
            <w:r>
              <w:rPr>
                <w:rFonts w:hint="eastAsia" w:ascii="宋体" w:hAnsi="宋体" w:eastAsia="宋体" w:cs="宋体"/>
                <w:color w:val="000000"/>
                <w:sz w:val="18"/>
                <w:szCs w:val="18"/>
                <w:highlight w:val="none"/>
                <w:lang w:bidi="ar"/>
              </w:rPr>
            </w:r>
            <w:r/>
          </w:p>
        </w:tc>
      </w:tr>
      <w:tr>
        <w:trPr>
          <w:trHeight w:val="576"/>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前臂旋转训练器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高度调节范围0～60cm，托架前后调节范围40～64cm。</w:t>
            </w:r>
            <w:r>
              <w:rPr>
                <w:rFonts w:hint="eastAsia" w:ascii="宋体" w:hAnsi="宋体" w:eastAsia="宋体" w:cs="宋体"/>
                <w:color w:val="000000"/>
                <w:sz w:val="18"/>
                <w:szCs w:val="18"/>
                <w:highlight w:val="none"/>
                <w:lang w:bidi="ar"/>
              </w:rPr>
            </w:r>
            <w:r/>
          </w:p>
        </w:tc>
      </w:tr>
      <w:tr>
        <w:trPr>
          <w:trHeight w:val="61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D物理因子治疗室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液压式踏步器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外形尺寸（长*宽*高）约82-84*65-78*110-130cm；扶手：宽50-63、高95-100cm（可适配身高）。额定负载：135-150kg；液压阻力：12档可调节；力值范围200-1500N。</w:t>
            </w:r>
            <w:r>
              <w:rPr>
                <w:rFonts w:hint="eastAsia" w:ascii="宋体" w:hAnsi="宋体" w:eastAsia="宋体" w:cs="宋体"/>
                <w:color w:val="000000"/>
                <w:sz w:val="18"/>
                <w:szCs w:val="18"/>
                <w:highlight w:val="none"/>
                <w:lang w:bidi="ar"/>
              </w:rPr>
            </w:r>
            <w:r/>
          </w:p>
        </w:tc>
      </w:tr>
      <w:tr>
        <w:trPr>
          <w:trHeight w:val="65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H儿童康复区</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晃动平衡木（儿童款）</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平衡面宽度约30cm</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离地高度约25cm</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结构材质：主体板面：实木/多层实木板</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底部摇摆支架：加厚烤漆钢管</w:t>
            </w:r>
            <w:r>
              <w:rPr>
                <w:rFonts w:hint="eastAsia" w:ascii="宋体" w:hAnsi="宋体" w:eastAsia="宋体" w:cs="宋体"/>
                <w:color w:val="000000"/>
                <w:sz w:val="18"/>
                <w:szCs w:val="18"/>
                <w:highlight w:val="none"/>
                <w:lang w:bidi="ar"/>
              </w:rPr>
            </w:r>
            <w:r/>
          </w:p>
        </w:tc>
      </w:tr>
      <w:tr>
        <w:trPr>
          <w:trHeight w:val="6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47</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重锤式手指肌力训练桌</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由底架、指套、滑轮、绳索、桌面、重锤（四组）组成。其中每组重锤分别由质量为100g、200g、300g、500g的四件重锤组成。</w:t>
            </w:r>
            <w:r>
              <w:rPr>
                <w:rFonts w:hint="eastAsia" w:ascii="宋体" w:hAnsi="宋体" w:eastAsia="宋体" w:cs="宋体"/>
                <w:color w:val="000000"/>
                <w:sz w:val="18"/>
                <w:szCs w:val="18"/>
                <w:highlight w:val="none"/>
                <w:lang w:bidi="ar"/>
              </w:rPr>
            </w:r>
            <w:r/>
          </w:p>
        </w:tc>
      </w:tr>
      <w:tr>
        <w:trPr>
          <w:trHeight w:val="58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48</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姿势矫正镜</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镜面玻璃厚度5-10mm。</w:t>
            </w:r>
            <w:r>
              <w:rPr>
                <w:rFonts w:hint="eastAsia" w:ascii="宋体" w:hAnsi="宋体" w:eastAsia="宋体" w:cs="宋体"/>
                <w:color w:val="000000"/>
                <w:sz w:val="18"/>
                <w:szCs w:val="18"/>
                <w:highlight w:val="none"/>
                <w:lang w:bidi="ar"/>
              </w:rPr>
            </w:r>
            <w:r/>
          </w:p>
        </w:tc>
      </w:tr>
      <w:tr>
        <w:trPr>
          <w:trHeight w:val="62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49</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H儿童康复区</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儿童肋木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适用年龄：3-12岁</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材质：实木/高密度板＋静电喷塑钢管，环保水漆</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用途：平衡训练、肢体协调、前庭感统锻炼</w:t>
            </w:r>
            <w:r>
              <w:rPr>
                <w:rFonts w:hint="eastAsia" w:ascii="宋体" w:hAnsi="宋体" w:eastAsia="宋体" w:cs="宋体"/>
                <w:color w:val="000000"/>
                <w:sz w:val="18"/>
                <w:szCs w:val="18"/>
                <w:highlight w:val="none"/>
                <w:lang w:bidi="ar"/>
              </w:rPr>
            </w:r>
            <w:r/>
          </w:p>
        </w:tc>
      </w:tr>
      <w:tr>
        <w:trPr>
          <w:trHeight w:val="67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体操棒与抛接球</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结构型式：体操棒、抛接球、木架</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材质：木制</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体操棒数量：4个</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操棒侧向可承受最大荷载(n)：≥ 100</w:t>
            </w:r>
            <w:r>
              <w:rPr>
                <w:rFonts w:hint="eastAsia" w:ascii="宋体" w:hAnsi="宋体" w:eastAsia="宋体" w:cs="宋体"/>
                <w:color w:val="000000"/>
                <w:sz w:val="18"/>
                <w:szCs w:val="18"/>
                <w:highlight w:val="none"/>
                <w:lang w:bidi="ar"/>
              </w:rPr>
            </w:r>
            <w:r/>
          </w:p>
        </w:tc>
      </w:tr>
      <w:tr>
        <w:trPr>
          <w:trHeight w:val="59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握力计</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1、测力范围：0~1000牛顿（0~100公斤）；</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2、刻度值：10牛顿（N）（1公斤）；</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3、精度：±3%。</w:t>
            </w:r>
            <w:r>
              <w:rPr>
                <w:rFonts w:hint="eastAsia" w:ascii="宋体" w:hAnsi="宋体" w:eastAsia="宋体" w:cs="宋体"/>
                <w:color w:val="000000"/>
                <w:sz w:val="18"/>
                <w:szCs w:val="18"/>
                <w:highlight w:val="none"/>
                <w:lang w:bidi="ar"/>
              </w:rPr>
            </w:r>
            <w:r/>
          </w:p>
        </w:tc>
      </w:tr>
      <w:tr>
        <w:trPr>
          <w:trHeight w:val="59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G中医治疗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轮椅</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1、座位离地面高度约505mm；</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2、前轮直径约195mm  8寸；</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3、后轮直径约595mm  24寸；</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4、最大载荷不小于900kg。</w:t>
            </w:r>
            <w:r>
              <w:rPr>
                <w:rFonts w:hint="eastAsia" w:ascii="宋体" w:hAnsi="宋体" w:eastAsia="宋体" w:cs="宋体"/>
                <w:color w:val="000000"/>
                <w:sz w:val="18"/>
                <w:szCs w:val="18"/>
                <w:highlight w:val="none"/>
                <w:lang w:bidi="ar"/>
              </w:rPr>
            </w:r>
            <w:r/>
          </w:p>
        </w:tc>
      </w:tr>
      <w:tr>
        <w:trPr>
          <w:trHeight w:val="64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哑铃组合</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1、结构型式：哑铃、哑铃架</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2、材质：静电喷塑架、钢</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3、哑铃规格：1磅2件、2磅4件、3磅4件、4磅4件、5磅4件</w:t>
            </w:r>
            <w:r>
              <w:rPr>
                <w:rFonts w:hint="eastAsia" w:ascii="宋体" w:hAnsi="宋体" w:eastAsia="宋体" w:cs="宋体"/>
                <w:color w:val="000000"/>
                <w:sz w:val="18"/>
                <w:szCs w:val="18"/>
                <w:highlight w:val="none"/>
                <w:lang w:bidi="ar"/>
              </w:rPr>
            </w:r>
            <w:r/>
          </w:p>
        </w:tc>
      </w:tr>
      <w:tr>
        <w:trPr>
          <w:trHeight w:val="64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关节活动度评估</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表盘直径≥6.5cm,表盘旋转角度360°</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测量肘、手指等关节活动范围及脊柱弯曲程度</w:t>
            </w:r>
            <w:r>
              <w:rPr>
                <w:rFonts w:hint="eastAsia" w:ascii="宋体" w:hAnsi="宋体" w:eastAsia="宋体" w:cs="宋体"/>
                <w:color w:val="000000"/>
                <w:sz w:val="18"/>
                <w:szCs w:val="18"/>
                <w:highlight w:val="none"/>
                <w:lang w:bidi="ar"/>
              </w:rPr>
            </w:r>
            <w:r/>
          </w:p>
        </w:tc>
      </w:tr>
      <w:tr>
        <w:trPr>
          <w:trHeight w:val="58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上肢协调功能练习器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训练上肢稳定性、协调性功能，提高上肢的日常活动能力。</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材质：木质、钢丝</w:t>
            </w:r>
            <w:r>
              <w:rPr>
                <w:rFonts w:hint="eastAsia" w:ascii="宋体" w:hAnsi="宋体" w:eastAsia="宋体" w:cs="宋体"/>
                <w:color w:val="000000"/>
                <w:sz w:val="18"/>
                <w:szCs w:val="18"/>
                <w:highlight w:val="none"/>
                <w:lang w:bidi="ar"/>
              </w:rPr>
            </w:r>
            <w:r/>
          </w:p>
        </w:tc>
      </w:tr>
      <w:tr>
        <w:trPr>
          <w:trHeight w:val="59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橡筋手指练习器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材质：主体多为优质型钢，表面静电喷塑。</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用途：提高手指的主动屈伸活动能力。</w:t>
            </w:r>
            <w:r>
              <w:rPr>
                <w:rFonts w:hint="eastAsia" w:ascii="宋体" w:hAnsi="宋体" w:eastAsia="宋体" w:cs="宋体"/>
                <w:color w:val="000000"/>
                <w:sz w:val="18"/>
                <w:szCs w:val="18"/>
                <w:highlight w:val="none"/>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57</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组合软垫</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适用于各种垫上运动，包括关节活动度、座位平衡、卧位医疗体操及卧位肌力训练</w:t>
            </w:r>
            <w:r>
              <w:rPr>
                <w:rFonts w:hint="eastAsia" w:ascii="宋体" w:hAnsi="宋体" w:eastAsia="宋体" w:cs="宋体"/>
                <w:color w:val="000000"/>
                <w:sz w:val="18"/>
                <w:szCs w:val="18"/>
                <w:highlight w:val="none"/>
                <w:lang w:bidi="ar"/>
              </w:rPr>
            </w:r>
            <w:r/>
          </w:p>
        </w:tc>
      </w:tr>
      <w:tr>
        <w:trPr>
          <w:trHeight w:val="70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58</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模拟作业工具</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模拟工具：30个</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产品功能特点：</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通过手操作各种模拟工具，改善手指对指功能，提高手的协调性、灵活性。还可用于手的感觉功能练习。</w:t>
            </w:r>
            <w:r>
              <w:rPr>
                <w:rFonts w:hint="eastAsia" w:ascii="宋体" w:hAnsi="宋体" w:eastAsia="宋体" w:cs="宋体"/>
                <w:color w:val="000000"/>
                <w:sz w:val="18"/>
                <w:szCs w:val="18"/>
                <w:highlight w:val="none"/>
                <w:lang w:bidi="ar"/>
              </w:rPr>
            </w:r>
            <w:r/>
          </w:p>
        </w:tc>
      </w:tr>
      <w:tr>
        <w:trPr>
          <w:trHeight w:val="55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59</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助行器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1、结构特点：可折叠，带轮款配有万向轮及刹车装置</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2、扶手高度;70-96cm</w:t>
            </w:r>
            <w:r>
              <w:rPr>
                <w:rFonts w:hint="eastAsia" w:ascii="宋体" w:hAnsi="宋体" w:eastAsia="宋体" w:cs="宋体"/>
                <w:color w:val="000000"/>
                <w:sz w:val="18"/>
                <w:szCs w:val="18"/>
                <w:highlight w:val="none"/>
                <w:lang w:bidi="ar"/>
              </w:rPr>
            </w:r>
            <w:r/>
          </w:p>
        </w:tc>
      </w:tr>
      <w:tr>
        <w:trPr>
          <w:trHeight w:val="67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H儿童康复区</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多功能绕珠钟</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结构：六面体木质/高密度板</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主体：实木/环保密度板</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绕珠：原木＋彩色烤漆，直径3-4cm光滑无毛刺</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金属架：防锈镀铬钢丝，直径约8mm</w:t>
            </w:r>
            <w:r>
              <w:rPr>
                <w:rFonts w:hint="eastAsia" w:ascii="宋体" w:hAnsi="宋体" w:eastAsia="宋体" w:cs="宋体"/>
                <w:color w:val="000000"/>
                <w:sz w:val="18"/>
                <w:szCs w:val="18"/>
                <w:highlight w:val="none"/>
                <w:lang w:bidi="ar"/>
              </w:rPr>
            </w:r>
            <w:r/>
          </w:p>
        </w:tc>
      </w:tr>
      <w:tr>
        <w:trPr>
          <w:trHeight w:val="737"/>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C吞咽、言语治疗室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吞咽肌锻炼器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下巴下颌训练三挡调节，高中低可调。</w:t>
            </w:r>
            <w:r>
              <w:rPr>
                <w:rFonts w:hint="eastAsia" w:ascii="宋体" w:hAnsi="宋体" w:eastAsia="宋体" w:cs="宋体"/>
                <w:color w:val="000000"/>
                <w:sz w:val="18"/>
                <w:szCs w:val="18"/>
                <w:highlight w:val="none"/>
                <w:lang w:bidi="ar"/>
              </w:rPr>
            </w:r>
            <w:r/>
          </w:p>
        </w:tc>
      </w:tr>
      <w:tr>
        <w:trPr>
          <w:trHeight w:val="647"/>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C吞咽、言语治疗室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气囊测压仪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表盘大小：约50mm。</w:t>
            </w:r>
            <w:r>
              <w:rPr>
                <w:rFonts w:hint="eastAsia" w:ascii="宋体" w:hAnsi="宋体" w:eastAsia="宋体" w:cs="宋体"/>
                <w:color w:val="000000"/>
                <w:sz w:val="18"/>
                <w:szCs w:val="18"/>
                <w:highlight w:val="none"/>
                <w:lang w:bidi="ar"/>
              </w:rPr>
            </w:r>
            <w:r/>
          </w:p>
        </w:tc>
      </w:tr>
      <w:tr>
        <w:trPr>
          <w:trHeight w:val="58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PT凳</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凳面直径38-62cm</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高度调节：45-55cm(液压无极可调）</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底座直径：50-65cm5脚稳固结构</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框架：铝合金/优质钢材</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凳面：高密度海绵+PVC皮革</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升降系统：液压油缸，360°旋转，调节顺滑</w:t>
            </w:r>
            <w:r>
              <w:rPr>
                <w:rFonts w:hint="eastAsia" w:ascii="宋体" w:hAnsi="宋体" w:eastAsia="宋体" w:cs="宋体"/>
                <w:color w:val="000000"/>
                <w:sz w:val="18"/>
                <w:szCs w:val="18"/>
                <w:highlight w:val="none"/>
                <w:lang w:bidi="ar"/>
              </w:rPr>
            </w:r>
            <w:r/>
          </w:p>
        </w:tc>
      </w:tr>
      <w:tr>
        <w:trPr>
          <w:trHeight w:val="55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G中医治疗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气垫床</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1、面料材质：医用级PVC/植绒面料；</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2、气垫厚度：约8cm。</w:t>
            </w:r>
            <w:r>
              <w:rPr>
                <w:rFonts w:hint="eastAsia" w:ascii="宋体" w:hAnsi="宋体" w:eastAsia="宋体" w:cs="宋体"/>
                <w:color w:val="000000"/>
                <w:sz w:val="18"/>
                <w:szCs w:val="18"/>
                <w:highlight w:val="none"/>
                <w:lang w:bidi="ar"/>
              </w:rPr>
            </w:r>
            <w:r/>
          </w:p>
        </w:tc>
      </w:tr>
      <w:tr>
        <w:trPr>
          <w:trHeight w:val="58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G中医治疗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电麻仪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1、频率： 50Hz±1Hz。</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2、输入功率：≤8VA。</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3、输出脉冲波形：双向非对称脉冲波。</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4、输出模式：连续、疏密、断续。</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5、输出脉冲宽度:0.5ms ±（30%）。</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6、通过发光二极管显示输出。</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7、输出：5 路输出。</w:t>
            </w:r>
            <w:r>
              <w:rPr>
                <w:rFonts w:hint="eastAsia" w:ascii="宋体" w:hAnsi="宋体" w:eastAsia="宋体" w:cs="宋体"/>
                <w:color w:val="000000"/>
                <w:sz w:val="18"/>
                <w:szCs w:val="18"/>
                <w:highlight w:val="none"/>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G中医治疗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单头神灯</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1、产品式样：立式治疗头。</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2、计时方式：机械定时(0-60分钟或常通)。</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3、支臂提升范围:30-1200mm。</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4、治疗头方位角:0-360°。</w:t>
            </w:r>
            <w:r>
              <w:rPr>
                <w:rFonts w:hint="eastAsia" w:ascii="宋体" w:hAnsi="宋体" w:eastAsia="宋体" w:cs="宋体"/>
                <w:color w:val="000000"/>
                <w:sz w:val="18"/>
                <w:szCs w:val="18"/>
                <w:highlight w:val="none"/>
                <w:lang w:bidi="ar"/>
              </w:rPr>
            </w:r>
            <w:r/>
          </w:p>
        </w:tc>
      </w:tr>
      <w:tr>
        <w:trPr>
          <w:trHeight w:val="56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67</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平衡板</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材质：木制品</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面板摆动角度：-13°～+13°</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最大承载质量为：≥135kg</w:t>
            </w:r>
            <w:r>
              <w:rPr>
                <w:rFonts w:hint="eastAsia" w:ascii="宋体" w:hAnsi="宋体" w:eastAsia="宋体" w:cs="宋体"/>
                <w:color w:val="000000"/>
                <w:sz w:val="18"/>
                <w:szCs w:val="18"/>
                <w:highlight w:val="none"/>
                <w:lang w:bidi="ar"/>
              </w:rPr>
            </w:r>
            <w:r/>
          </w:p>
        </w:tc>
      </w:tr>
      <w:tr>
        <w:trPr>
          <w:trHeight w:val="65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68</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运动平板</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内置定时器，核心肌群训练</w:t>
            </w:r>
            <w:r>
              <w:rPr>
                <w:rFonts w:hint="eastAsia" w:ascii="宋体" w:hAnsi="宋体" w:eastAsia="宋体" w:cs="宋体"/>
                <w:color w:val="000000"/>
                <w:sz w:val="18"/>
                <w:szCs w:val="18"/>
                <w:highlight w:val="none"/>
                <w:lang w:bidi="ar"/>
              </w:rPr>
            </w:r>
            <w:r/>
          </w:p>
        </w:tc>
      </w:tr>
      <w:tr>
        <w:trPr>
          <w:trHeight w:val="61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69</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滑轮吊环训练器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1、升降支架调节范围0～50cm，                                                                                                          3、额定载荷约15kg。</w:t>
            </w:r>
            <w:r>
              <w:rPr>
                <w:rFonts w:hint="eastAsia" w:ascii="宋体" w:hAnsi="宋体" w:eastAsia="宋体" w:cs="宋体"/>
                <w:color w:val="000000"/>
                <w:sz w:val="18"/>
                <w:szCs w:val="18"/>
                <w:highlight w:val="none"/>
                <w:lang w:bidi="ar"/>
              </w:rPr>
            </w:r>
            <w:r/>
          </w:p>
        </w:tc>
      </w:tr>
      <w:tr>
        <w:trPr>
          <w:trHeight w:val="607"/>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C吞咽、言语治疗室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秒表计时器</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材料：塑料。</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用途：各种运动及测评计时用。</w:t>
            </w:r>
            <w:r>
              <w:rPr>
                <w:rFonts w:hint="eastAsia" w:ascii="宋体" w:hAnsi="宋体" w:eastAsia="宋体" w:cs="宋体"/>
                <w:color w:val="000000"/>
                <w:sz w:val="18"/>
                <w:szCs w:val="18"/>
                <w:highlight w:val="none"/>
                <w:lang w:bidi="ar"/>
              </w:rPr>
            </w:r>
            <w:r/>
          </w:p>
        </w:tc>
      </w:tr>
      <w:tr>
        <w:trPr>
          <w:trHeight w:val="52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A作业治疗室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巴氏球</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规格(cm)：Φ85cm左右，质量：2.1kg左右</w:t>
            </w:r>
            <w:r>
              <w:rPr>
                <w:rFonts w:hint="eastAsia" w:ascii="宋体" w:hAnsi="宋体" w:eastAsia="宋体" w:cs="宋体"/>
                <w:color w:val="000000"/>
                <w:sz w:val="18"/>
                <w:szCs w:val="18"/>
                <w:highlight w:val="none"/>
                <w:lang w:bidi="ar"/>
              </w:rPr>
            </w:r>
            <w:r/>
          </w:p>
        </w:tc>
      </w:tr>
      <w:tr>
        <w:trPr>
          <w:trHeight w:val="58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踝关节矫正板</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长*宽*高：37-39.5*31-34*11-21cm</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踏板面积：约37*31cm(成人）</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角度调节：5°、15°多档固定</w:t>
            </w:r>
            <w:r>
              <w:rPr>
                <w:rFonts w:hint="eastAsia" w:ascii="宋体" w:hAnsi="宋体" w:eastAsia="宋体" w:cs="宋体"/>
                <w:color w:val="000000"/>
                <w:sz w:val="18"/>
                <w:szCs w:val="18"/>
                <w:highlight w:val="none"/>
                <w:lang w:bidi="ar"/>
              </w:rPr>
            </w:r>
            <w:r/>
          </w:p>
        </w:tc>
      </w:tr>
      <w:tr>
        <w:trPr>
          <w:trHeight w:val="55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腋拐</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1、高强度铝合金管，表面阳极氧化处理，具有不掉色，抗老化、不生锈的功能；</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2、扶肩、握把：高档橡胶材质，脚垫：橡胶耐磨防滑脚垫，提供良好的地面摩擦力，内藏金属垫片，更加强其耐用性。</w:t>
            </w:r>
            <w:r>
              <w:rPr>
                <w:rFonts w:hint="eastAsia" w:ascii="宋体" w:hAnsi="宋体" w:eastAsia="宋体" w:cs="宋体"/>
                <w:color w:val="000000"/>
                <w:sz w:val="18"/>
                <w:szCs w:val="18"/>
                <w:highlight w:val="none"/>
                <w:lang w:bidi="ar"/>
              </w:rPr>
            </w:r>
            <w:r/>
          </w:p>
        </w:tc>
      </w:tr>
      <w:tr>
        <w:trPr>
          <w:trHeight w:val="63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C吞咽、言语治疗室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指夹式脉搏血氧仪</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1、OLED显示；</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2、血氧饱和度显示：0-100%，±2%；</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3、脉率显示：25-250BPM，±1%或±1BPM；</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4、功耗：≤40mA。</w:t>
            </w:r>
            <w:r>
              <w:rPr>
                <w:rFonts w:hint="eastAsia" w:ascii="宋体" w:hAnsi="宋体" w:eastAsia="宋体" w:cs="宋体"/>
                <w:color w:val="000000"/>
                <w:sz w:val="18"/>
                <w:szCs w:val="18"/>
                <w:highlight w:val="none"/>
                <w:lang w:bidi="ar"/>
              </w:rPr>
            </w:r>
            <w:r/>
          </w:p>
        </w:tc>
      </w:tr>
      <w:tr>
        <w:trPr>
          <w:trHeight w:val="58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75</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肘拐</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1、主体材料为铝合金，表面阳极氧化，强度高，承重量大；</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2、手柄为PVE高强度塑料，耐用，光滑，手感好，无毒，符合环保要求；</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3、拐杖高度可调。</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4、支脚垫为高品质橡塑材料，可替换，弹性好、耐磨擦、使用寿命长。</w:t>
            </w:r>
            <w:r>
              <w:rPr>
                <w:rFonts w:hint="eastAsia" w:ascii="宋体" w:hAnsi="宋体" w:eastAsia="宋体" w:cs="宋体"/>
                <w:color w:val="000000"/>
                <w:sz w:val="18"/>
                <w:szCs w:val="18"/>
                <w:highlight w:val="none"/>
                <w:lang w:bidi="ar"/>
              </w:rPr>
            </w:r>
            <w:r/>
          </w:p>
        </w:tc>
      </w:tr>
      <w:tr>
        <w:trPr>
          <w:trHeight w:val="6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B运动治疗室</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四角手杖</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90"/>
              <w:jc w:val="center"/>
              <w:spacing w:line="24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pStyle w:val="690"/>
              <w:jc w:val="left"/>
              <w:spacing w:line="24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1、高度可调节；</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2、高档铝合金材质，表面古铜氧化处理，永不生锈；底座钢管喷塑处理，更牢固；</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3、四个支脚和固定板为钢质材料，更平稳、更安全；</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4、拐杖四脚上配有防滑橡胶脚垫，提供良好的地面摩擦能力，内藏金属垫片，更加强其耐用性；</w:t>
            </w:r>
            <w:r>
              <w:rPr>
                <w:rFonts w:hint="eastAsia" w:ascii="宋体" w:hAnsi="宋体" w:eastAsia="宋体" w:cs="宋体"/>
                <w:color w:val="000000"/>
                <w:sz w:val="18"/>
                <w:szCs w:val="18"/>
                <w:highlight w:val="none"/>
                <w:lang w:val="en-US" w:eastAsia="zh-CN" w:bidi="ar"/>
              </w:rPr>
              <w:br w:type="textWrapping" w:clear="all"/>
            </w:r>
            <w:r>
              <w:rPr>
                <w:rFonts w:hint="eastAsia" w:ascii="宋体" w:hAnsi="宋体" w:eastAsia="宋体" w:cs="宋体"/>
                <w:color w:val="000000"/>
                <w:sz w:val="18"/>
                <w:szCs w:val="18"/>
                <w:highlight w:val="none"/>
                <w:lang w:val="en-US" w:eastAsia="zh-CN" w:bidi="ar"/>
              </w:rPr>
              <w:t xml:space="preserve">5、PVC拐杖头环保无毒、不吸汗、不易破损、变形，使用寿命长。</w:t>
            </w:r>
            <w:r>
              <w:rPr>
                <w:rFonts w:hint="eastAsia" w:ascii="宋体" w:hAnsi="宋体" w:eastAsia="宋体" w:cs="宋体"/>
                <w:color w:val="000000"/>
                <w:sz w:val="18"/>
                <w:szCs w:val="18"/>
                <w:highlight w:val="none"/>
                <w:lang w:bidi="ar"/>
              </w:rPr>
            </w:r>
            <w:r/>
          </w:p>
        </w:tc>
      </w:tr>
    </w:tbl>
    <w:p>
      <w:pPr>
        <w:pStyle w:val="690"/>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90"/>
        <w:spacing w:line="0" w:lineRule="atLeast"/>
        <w:rPr>
          <w:rFonts w:hint="eastAsia" w:ascii="宋体" w:hAnsi="宋体"/>
          <w:i/>
          <w:color w:val="000000"/>
          <w:sz w:val="24"/>
          <w:szCs w:val="24"/>
          <w:highlight w:val="none"/>
          <w:u w:val="single"/>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bCs/>
          <w:color w:val="000000"/>
          <w:sz w:val="24"/>
          <w:szCs w:val="24"/>
          <w:highlight w:val="none"/>
        </w:rPr>
        <w:t xml:space="preserve">其中</w:t>
      </w:r>
      <w:r>
        <w:rPr>
          <w:rFonts w:ascii="宋体" w:hAnsi="宋体" w:cs="宋体"/>
          <w:b/>
          <w:color w:val="000000"/>
          <w:sz w:val="24"/>
          <w:highlight w:val="none"/>
        </w:rPr>
        <w:t xml:space="preserve">★</w:t>
      </w:r>
      <w:r>
        <w:rPr>
          <w:rFonts w:hint="eastAsia" w:ascii="宋体" w:hAnsi="宋体"/>
          <w:b/>
          <w:bCs/>
          <w:color w:val="000000"/>
          <w:sz w:val="24"/>
          <w:szCs w:val="21"/>
          <w:highlight w:val="none"/>
        </w:rPr>
        <w:t xml:space="preserve">号条款为实质性要求，如不符合按无效投标处理。</w:t>
      </w:r>
      <w:r>
        <w:rPr>
          <w:rFonts w:hint="eastAsia" w:ascii="宋体" w:hAnsi="宋体" w:cs="宋体"/>
          <w:b/>
          <w:color w:val="000000"/>
          <w:sz w:val="24"/>
          <w:highlight w:val="none"/>
        </w:rPr>
        <w:t xml:space="preserve">“▲”代表重要参数指标，其他参数代表一般指标项。 如提供虚假响应材料，将被列入“江苏政府采购网”黑名单。</w:t>
      </w:r>
      <w:r>
        <w:rPr>
          <w:rFonts w:hint="eastAsia" w:ascii="宋体" w:hAnsi="宋体"/>
          <w:i/>
          <w:color w:val="000000"/>
          <w:sz w:val="24"/>
          <w:szCs w:val="24"/>
          <w:highlight w:val="none"/>
          <w:u w:val="single"/>
        </w:rPr>
      </w:r>
      <w:r/>
    </w:p>
    <w:p>
      <w:pPr>
        <w:pStyle w:val="690"/>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90"/>
        <w:spacing w:line="0" w:lineRule="atLeast"/>
        <w:rPr>
          <w:rFonts w:ascii="宋体" w:hAnsi="宋体"/>
          <w:b/>
          <w:bCs/>
          <w:color w:val="000000"/>
          <w:sz w:val="24"/>
          <w:szCs w:val="24"/>
          <w:highlight w:val="none"/>
        </w:rPr>
      </w:pPr>
      <w:r>
        <w:rPr>
          <w:rFonts w:ascii="宋体" w:hAnsi="宋体" w:cs="宋体"/>
          <w:b/>
          <w:color w:val="000000"/>
          <w:sz w:val="24"/>
          <w:highlight w:val="none"/>
        </w:rPr>
        <w:t xml:space="preserve">★</w:t>
      </w:r>
      <w:r>
        <w:rPr>
          <w:rFonts w:hint="eastAsia" w:ascii="宋体" w:hAnsi="宋体"/>
          <w:b/>
          <w:bCs/>
          <w:color w:val="000000"/>
          <w:sz w:val="24"/>
          <w:szCs w:val="24"/>
          <w:highlight w:val="none"/>
        </w:rPr>
        <w:t xml:space="preserve">四</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rPr>
          <w:rFonts w:ascii="宋体" w:hAnsi="宋体"/>
          <w:b/>
          <w:bCs/>
          <w:color w:val="000000"/>
          <w:sz w:val="24"/>
          <w:szCs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1.交货期：签订合同</w:t>
      </w:r>
      <w:r>
        <w:rPr>
          <w:rFonts w:ascii="宋体" w:hAnsi="宋体" w:cs="宋体"/>
          <w:color w:val="000000"/>
          <w:sz w:val="24"/>
          <w:highlight w:val="none"/>
        </w:rPr>
        <w:t xml:space="preserve"> </w:t>
      </w:r>
      <w:r>
        <w:rPr>
          <w:rFonts w:hint="eastAsia" w:ascii="宋体" w:hAnsi="宋体" w:cs="宋体"/>
          <w:color w:val="000000"/>
          <w:sz w:val="24"/>
          <w:highlight w:val="none"/>
        </w:rPr>
        <w:t xml:space="preserve">40日内完成设备的供货、安装、调试并交付给采购人正常使用。</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2.交货地点：采购人指定地点。</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3.质保期：</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4.服务要求：</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①设备方提供省级三甲医院康复医护进修名额5人次以上，每人次进修时间三个</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rPr>
        <w:t xml:space="preserve">以上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安排住宿。可根据院方具体情况调整。</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安排医院综合能力较强技术人员到国内康复医院进修学习，一方面提升个人的技术能力，另一方面引进创新技术，提升医院的康复服务能力。根据医院的自身状况和实际需求选择进修医院，协助医院对接选择到以下或其他培训基地进行深造。</w:t>
      </w:r>
      <w:r>
        <w:rPr>
          <w:rFonts w:hint="eastAsia" w:ascii="宋体" w:hAnsi="宋体" w:cs="宋体"/>
          <w:color w:val="000000"/>
          <w:sz w:val="24"/>
          <w:highlight w:val="none"/>
        </w:rPr>
      </w:r>
      <w:r/>
    </w:p>
    <w:tbl>
      <w:tblPr>
        <w:tblW w:w="8446" w:type="dxa"/>
        <w:tblInd w:w="-15" w:type="dxa"/>
        <w:tblLayout w:type="fixed"/>
        <w:tblCellMar>
          <w:left w:w="15" w:type="dxa"/>
          <w:top w:w="15" w:type="dxa"/>
          <w:right w:w="15" w:type="dxa"/>
          <w:bottom w:w="15" w:type="dxa"/>
        </w:tblCellMar>
        <w:tblLook w:val="04A0" w:firstRow="1" w:lastRow="0" w:firstColumn="1" w:lastColumn="0" w:noHBand="0" w:noVBand="1"/>
      </w:tblPr>
      <w:tblGrid>
        <w:gridCol w:w="4336"/>
        <w:gridCol w:w="4110"/>
      </w:tblGrid>
      <w:tr>
        <w:trPr>
          <w:trHeight w:val="370"/>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中国康复研究中心北京博爱医院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广东省工伤康复医院</w:t>
            </w:r>
            <w:r>
              <w:rPr>
                <w:rFonts w:hint="eastAsia" w:ascii="宋体" w:hAnsi="宋体" w:cs="宋体"/>
                <w:color w:val="000000"/>
                <w:sz w:val="24"/>
                <w:highlight w:val="none"/>
              </w:rPr>
            </w:r>
            <w:r/>
          </w:p>
        </w:tc>
      </w:tr>
      <w:tr>
        <w:trPr>
          <w:trHeight w:val="370"/>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郑州大学第一附属医院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江苏省人民医院</w:t>
            </w:r>
            <w:r>
              <w:rPr>
                <w:rFonts w:hint="eastAsia" w:ascii="宋体" w:hAnsi="宋体" w:cs="宋体"/>
                <w:color w:val="000000"/>
                <w:sz w:val="24"/>
                <w:highlight w:val="none"/>
              </w:rPr>
            </w:r>
            <w:r/>
          </w:p>
        </w:tc>
      </w:tr>
      <w:tr>
        <w:trPr>
          <w:trHeight w:val="394"/>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河南省人民医院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河南中医药大学第一附属医院</w:t>
            </w:r>
            <w:r>
              <w:rPr>
                <w:rFonts w:hint="eastAsia" w:ascii="宋体" w:hAnsi="宋体" w:cs="宋体"/>
                <w:color w:val="000000"/>
                <w:sz w:val="24"/>
                <w:highlight w:val="none"/>
              </w:rPr>
            </w:r>
            <w:r/>
          </w:p>
        </w:tc>
      </w:tr>
      <w:tr>
        <w:trPr>
          <w:trHeight w:val="394"/>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四川大学华西医院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北京中日友好医院</w:t>
            </w:r>
            <w:r>
              <w:rPr>
                <w:rFonts w:hint="eastAsia" w:ascii="宋体" w:hAnsi="宋体" w:cs="宋体"/>
                <w:color w:val="000000"/>
                <w:sz w:val="24"/>
                <w:highlight w:val="none"/>
              </w:rPr>
            </w:r>
            <w:r/>
          </w:p>
        </w:tc>
      </w:tr>
      <w:tr>
        <w:trPr>
          <w:trHeight w:val="407"/>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中国人民解放军武警总队医院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复旦大学附属华山医院</w:t>
            </w:r>
            <w:r>
              <w:rPr>
                <w:rFonts w:hint="eastAsia" w:ascii="宋体" w:hAnsi="宋体" w:cs="宋体"/>
                <w:color w:val="000000"/>
                <w:sz w:val="24"/>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中国人民解放军第106医院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南京医科大学附属逸夫医院</w:t>
            </w:r>
            <w:r>
              <w:rPr>
                <w:rFonts w:hint="eastAsia" w:ascii="宋体" w:hAnsi="宋体" w:cs="宋体"/>
                <w:color w:val="000000"/>
                <w:sz w:val="24"/>
                <w:highlight w:val="none"/>
              </w:rPr>
            </w:r>
            <w:r/>
          </w:p>
        </w:tc>
      </w:tr>
      <w:tr>
        <w:trPr>
          <w:trHeight w:val="382"/>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陕西省人民医院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南京医科大学附属医院</w:t>
            </w:r>
            <w:r>
              <w:rPr>
                <w:rFonts w:hint="eastAsia" w:ascii="宋体" w:hAnsi="宋体" w:cs="宋体"/>
                <w:color w:val="000000"/>
                <w:sz w:val="24"/>
                <w:highlight w:val="none"/>
              </w:rPr>
            </w:r>
            <w:r/>
          </w:p>
        </w:tc>
      </w:tr>
      <w:tr>
        <w:trPr>
          <w:trHeight w:val="382"/>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山东大学齐鲁医院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广州医科大学附属第一医院</w:t>
            </w:r>
            <w:r>
              <w:rPr>
                <w:rFonts w:hint="eastAsia" w:ascii="宋体" w:hAnsi="宋体" w:cs="宋体"/>
                <w:color w:val="000000"/>
                <w:sz w:val="24"/>
                <w:highlight w:val="none"/>
              </w:rPr>
            </w:r>
            <w:r/>
          </w:p>
        </w:tc>
      </w:tr>
      <w:tr>
        <w:trPr>
          <w:trHeight w:val="382"/>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上海第七人民医院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中南大学湘雅医院</w:t>
            </w:r>
            <w:r>
              <w:rPr>
                <w:rFonts w:hint="eastAsia" w:ascii="宋体" w:hAnsi="宋体" w:cs="宋体"/>
                <w:color w:val="000000"/>
                <w:sz w:val="24"/>
                <w:highlight w:val="none"/>
              </w:rPr>
            </w:r>
            <w:r/>
          </w:p>
        </w:tc>
      </w:tr>
      <w:tr>
        <w:trPr>
          <w:trHeight w:val="417"/>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首都医科大学北京世纪坛医院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江苏省第二中医院</w:t>
            </w:r>
            <w:r>
              <w:rPr>
                <w:rFonts w:hint="eastAsia" w:ascii="宋体" w:hAnsi="宋体" w:cs="宋体"/>
                <w:color w:val="000000"/>
                <w:sz w:val="24"/>
                <w:highlight w:val="none"/>
              </w:rPr>
            </w:r>
            <w:r/>
          </w:p>
        </w:tc>
      </w:tr>
      <w:tr>
        <w:trPr>
          <w:trHeight w:val="417"/>
        </w:trPr>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pStyle w:val="690"/>
              <w:ind w:left="17"/>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南京鼓楼医院</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10" w:type="dxa"/>
            <w:vAlign w:val="center"/>
            <w:textDirection w:val="lrTb"/>
            <w:noWrap w:val="false"/>
          </w:tcPr>
          <w:p>
            <w:pPr>
              <w:pStyle w:val="690"/>
              <w:ind w:left="17"/>
              <w:spacing w:line="50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东南大学附属中大医院</w:t>
            </w:r>
            <w:r>
              <w:rPr>
                <w:rFonts w:hint="eastAsia" w:ascii="宋体" w:hAnsi="宋体" w:cs="宋体"/>
                <w:b/>
                <w:bCs/>
                <w:color w:val="000000"/>
                <w:sz w:val="24"/>
                <w:highlight w:val="none"/>
              </w:rPr>
            </w:r>
            <w:r/>
          </w:p>
        </w:tc>
      </w:tr>
    </w:tbl>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③进修学习时间：不少于3个月，进修时长结合医院实际需求。</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④提供设备培训，设备方工程师配合医院按采购人要求驻场培训至临床熟练使用。部分较难熟练掌握的设备须按医院要求安排到相应医院进修学习。</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⑤设备安装培训后，设备方需提供一名从事五年以上职龄的康复医生和一</w:t>
      </w:r>
      <w:r>
        <w:rPr>
          <w:rFonts w:hint="eastAsia" w:ascii="宋体" w:hAnsi="宋体" w:cs="宋体"/>
          <w:color w:val="000000"/>
          <w:sz w:val="24"/>
          <w:highlight w:val="none"/>
          <w:lang w:val="zh-CN"/>
        </w:rPr>
        <w:t xml:space="preserve">名</w:t>
      </w:r>
      <w:r>
        <w:rPr>
          <w:rFonts w:hint="eastAsia" w:ascii="宋体" w:hAnsi="宋体" w:cs="宋体"/>
          <w:color w:val="000000"/>
          <w:sz w:val="24"/>
          <w:highlight w:val="none"/>
        </w:rPr>
        <w:t xml:space="preserve">中级及以上职称的治疗师进行技术帮扶带教六个月，前三个月全程驻场，此阶段强化科室运营框架搭建、引入康复学科管理制度。后三个月每月支持两周时间，治疗师每月支持两周时间，医师每周支持1天，此阶段强化培养其临床常见疾病康复诊疗能力，包括常见病种的康复评定与康复治疗。并且根据三级医院等级评审要求完善科室管理制度、诊疗流程及规范、康复质量控制、医保收费等。</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⑥设备方在一年内至少提供两种康复相关专项技术培训班以提高科室诊疗水平，如冲击波、肌骨超声、经颅磁治疗、中医外治疗法等特色技术培训，每种技术至少保证1次，每次保证2人次学习，掌握相关技术。</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⑦投标供应商可对接安排省市级专家团队进行科室帮扶指导工作，时间1年，频次每月1次。省市级专家支持服务要求</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设备方派专家团队</w:t>
      </w:r>
      <w:r>
        <w:rPr>
          <w:rFonts w:hint="eastAsia" w:ascii="宋体" w:hAnsi="宋体" w:cs="宋体"/>
          <w:color w:val="000000"/>
          <w:sz w:val="24"/>
          <w:highlight w:val="none"/>
          <w:lang w:val="zh-CN"/>
        </w:rPr>
        <w:t xml:space="preserve">中</w:t>
      </w:r>
      <w:r>
        <w:rPr>
          <w:rFonts w:hint="eastAsia" w:ascii="宋体" w:hAnsi="宋体" w:cs="宋体"/>
          <w:color w:val="000000"/>
          <w:sz w:val="24"/>
          <w:highlight w:val="none"/>
        </w:rPr>
        <w:t xml:space="preserve">至少有省康复医学会专业委员会副主任委员及以上专家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）派驻专家团队中有主任医师且相关从业经验1</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年以上的，</w:t>
      </w:r>
      <w:r>
        <w:rPr>
          <w:rFonts w:hint="eastAsia" w:ascii="宋体" w:hAnsi="宋体" w:cs="宋体"/>
          <w:color w:val="000000"/>
          <w:sz w:val="24"/>
          <w:highlight w:val="none"/>
        </w:rPr>
        <w:t xml:space="preserve">且支持服务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3次，每次半天或一天。</w:t>
      </w:r>
      <w:r>
        <w:rPr>
          <w:rFonts w:hint="eastAsia" w:ascii="宋体" w:hAnsi="宋体" w:cs="宋体"/>
          <w:color w:val="000000"/>
          <w:sz w:val="24"/>
          <w:highlight w:val="none"/>
          <w:lang w:val="zh-CN"/>
        </w:rPr>
        <w:t xml:space="preserve">提供派驻人员职称证明和工作经历证明材料、符合国家标准制定的证明材料等</w:t>
      </w:r>
      <w:r>
        <w:rPr>
          <w:rFonts w:hint="eastAsia" w:ascii="宋体" w:hAnsi="宋体" w:cs="宋体"/>
          <w:color w:val="000000"/>
          <w:sz w:val="24"/>
          <w:highlight w:val="none"/>
        </w:rPr>
        <w:t xml:space="preserve">。投标时供应商需提交详细方案。</w:t>
      </w:r>
      <w:bookmarkStart w:id="182" w:name="_Hlk213939857"/>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⑧一年内配合科室开展市级及以上继续教育学班1次。完成三级网络的覆盖，完善对接上下级医联体合作</w:t>
      </w:r>
      <w:bookmarkEnd w:id="182"/>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9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⑨供应商提供运营支付服务，投标时需提供具体方案。</w:t>
      </w:r>
      <w:r>
        <w:rPr>
          <w:rFonts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⑩根据医院的科研情况可助力医院建立脑机接口多中心临床研究协作网络，推动科研成果产出与技术标准化。协助医院申报课题与发表高水平论文，提升学术影响力。</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5.验收方式：</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②验收时，乙方必须参加，由双方签署验收单。</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③项目完成后，供方需提供所投产品生产厂家的授权书、质保书、保修证明等书面资料，并按国家制造和安装的标准要求检测验收。</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④验收标准：按本招标文件、供应商的投标文件、承诺及国家相关标准为准。如双方对验收结果有分歧，则以南通市</w:t>
      </w:r>
      <w:r>
        <w:rPr>
          <w:rFonts w:ascii="宋体" w:hAnsi="宋体" w:cs="宋体"/>
          <w:color w:val="000000"/>
          <w:sz w:val="24"/>
          <w:highlight w:val="none"/>
        </w:rPr>
        <w:t xml:space="preserve">海</w:t>
      </w:r>
      <w:r>
        <w:rPr>
          <w:rFonts w:hint="eastAsia" w:ascii="宋体" w:hAnsi="宋体" w:cs="宋体"/>
          <w:color w:val="000000"/>
          <w:sz w:val="24"/>
          <w:highlight w:val="none"/>
        </w:rPr>
        <w:t xml:space="preserve">门</w:t>
      </w:r>
      <w:r>
        <w:rPr>
          <w:rFonts w:ascii="宋体" w:hAnsi="宋体" w:cs="宋体"/>
          <w:color w:val="000000"/>
          <w:sz w:val="24"/>
          <w:highlight w:val="none"/>
        </w:rPr>
        <w:t xml:space="preserve">区</w:t>
      </w:r>
      <w:r>
        <w:rPr>
          <w:rFonts w:hint="eastAsia" w:ascii="宋体" w:hAnsi="宋体" w:cs="宋体"/>
          <w:color w:val="000000"/>
          <w:sz w:val="24"/>
          <w:highlight w:val="none"/>
        </w:rPr>
        <w:t xml:space="preserve">技术质量监督局的检验结果为准，检验费用由有过失的一方支付。</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⑤货物到达采购人后，投标人应有专人负责看护并派工程技术人员到达现场，在采购人技术人员在场的情况下开箱清点货物，组织安装、调试及操作培训，并承担因此发生的一切费用。</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⑥交货过程中如发现不符合本次采购文件所定产品，供方应无条件退换。</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6.售后服务：</w:t>
      </w:r>
      <w:r>
        <w:rPr>
          <w:rFonts w:hint="eastAsia" w:ascii="宋体" w:hAnsi="宋体" w:cs="宋体"/>
          <w:color w:val="000000"/>
          <w:sz w:val="24"/>
          <w:highlight w:val="none"/>
        </w:rPr>
      </w:r>
      <w:r/>
    </w:p>
    <w:p>
      <w:pPr>
        <w:pStyle w:val="690"/>
        <w:ind w:firstLine="480"/>
        <w:spacing w:line="360" w:lineRule="auto"/>
        <w:tabs>
          <w:tab w:val="left" w:pos="41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①中标供应商应明确负责本项目的合格的维修保养单位，并应有相当规模的备件库以满足日常检验及应急修理的需要。确保在接到采购单位通知后24小时内，将所需配件送达采购单位指定地点，并负责安装调试。</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质保期内发生的零部件不正常的磨损，或产成品质量不符合生产工艺要求，或非人为原因而损坏、失效的零部件、电子元器件和易损件，中标供应商须免费提供服务；并在接到采购单位通知后24小时内更换上述零部件、电子元器件、备品备件和易损件。</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在质保期内，因中标供应商所供设备制造质量问题出现设备故障时，中标供应商在接到甲方通知后，2小时内响应，在12小时内赶到甲方现场，并在24小时内免费予以排除故障、修复或更换零部件,并赔偿采购单位因此造成的直接损失。</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④中标供应商及时提供合同货物使用和维护方面的最新技术信息和资料。</w:t>
      </w:r>
      <w:r>
        <w:rPr>
          <w:rFonts w:hint="eastAsia" w:ascii="宋体" w:hAnsi="宋体" w:cs="宋体"/>
          <w:color w:val="000000"/>
          <w:sz w:val="24"/>
          <w:highlight w:val="none"/>
        </w:rPr>
      </w:r>
      <w:r/>
    </w:p>
    <w:p>
      <w:pPr>
        <w:pStyle w:val="690"/>
        <w:ind w:firstLine="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7.付款方式：</w:t>
      </w:r>
      <w:r>
        <w:rPr>
          <w:rFonts w:hint="eastAsia" w:ascii="宋体" w:hAnsi="宋体" w:cs="宋体"/>
          <w:b/>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第一阶段：采购康复设备全部到院，设备科验收设备，设备培训完成后支付设备款的40%。</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第二阶段：运营人员到院到开展运营工作，支付设备款的20%。 </w:t>
      </w:r>
      <w:r>
        <w:rPr>
          <w:rFonts w:hint="eastAsia" w:ascii="宋体" w:hAnsi="宋体" w:cs="宋体"/>
          <w:color w:val="000000"/>
          <w:sz w:val="24"/>
          <w:highlight w:val="none"/>
        </w:rPr>
      </w:r>
      <w:r/>
    </w:p>
    <w:p>
      <w:pPr>
        <w:pStyle w:val="69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第三阶段：设备款的40%作为后期运营的效果付费，合作周期一年后，科室总收入达到400万，支付剩余设备款的50%，年总收入达到600万，支付剩余所有的设备款。年收入未达400万，按年支付余款的15%、15%、10%。</w:t>
      </w:r>
      <w:r>
        <w:rPr>
          <w:rFonts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8.履约保证金：</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69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9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、其他要求</w:t>
      </w:r>
      <w:r>
        <w:rPr>
          <w:rFonts w:hint="eastAsia" w:ascii="宋体" w:hAnsi="宋体"/>
          <w:b/>
          <w:color w:val="000000"/>
          <w:sz w:val="24"/>
          <w:szCs w:val="24"/>
          <w:highlight w:val="none"/>
        </w:rPr>
      </w:r>
      <w:r/>
    </w:p>
    <w:p>
      <w:pPr>
        <w:pStyle w:val="69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 项目属性:货物类项目。</w:t>
      </w:r>
      <w:r>
        <w:rPr>
          <w:rFonts w:hint="eastAsia" w:ascii="宋体" w:hAnsi="宋体"/>
          <w:color w:val="000000"/>
          <w:sz w:val="24"/>
          <w:szCs w:val="24"/>
          <w:highlight w:val="none"/>
        </w:rPr>
      </w:r>
      <w:r/>
    </w:p>
    <w:p>
      <w:pPr>
        <w:pStyle w:val="69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．核心产</w:t>
      </w:r>
      <w:r>
        <w:rPr>
          <w:rFonts w:hint="eastAsia" w:ascii="宋体" w:hAnsi="宋体"/>
          <w:color w:val="000000"/>
          <w:sz w:val="24"/>
          <w:szCs w:val="24"/>
          <w:highlight w:val="none"/>
        </w:rPr>
        <w:t xml:space="preserve">品：上肢评估与训练系统</w:t>
      </w:r>
      <w:r>
        <w:rPr>
          <w:rFonts w:hint="eastAsia" w:ascii="宋体" w:hAnsi="宋体"/>
          <w:color w:val="000000"/>
          <w:sz w:val="24"/>
          <w:szCs w:val="24"/>
          <w:highlight w:val="none"/>
        </w:rPr>
      </w:r>
      <w:r/>
    </w:p>
    <w:p>
      <w:pPr>
        <w:pStyle w:val="69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 进口</w:t>
      </w:r>
      <w:r>
        <w:rPr>
          <w:rFonts w:ascii="宋体" w:hAnsi="宋体"/>
          <w:color w:val="000000"/>
          <w:sz w:val="24"/>
          <w:szCs w:val="24"/>
          <w:highlight w:val="none"/>
        </w:rPr>
        <w:t xml:space="preserve">产品</w:t>
      </w:r>
      <w:r>
        <w:rPr>
          <w:rFonts w:hint="eastAsia" w:ascii="宋体" w:hAnsi="宋体"/>
          <w:color w:val="000000"/>
          <w:sz w:val="24"/>
          <w:szCs w:val="24"/>
          <w:highlight w:val="none"/>
        </w:rPr>
        <w:t xml:space="preserve">投标：本项目不接受进口产品投标，供应商使用进口产品投标，</w:t>
      </w:r>
      <w:r>
        <w:rPr>
          <w:rFonts w:hint="eastAsia" w:ascii="宋体" w:hAnsi="宋体"/>
          <w:color w:val="000000"/>
          <w:sz w:val="24"/>
          <w:szCs w:val="24"/>
          <w:highlight w:val="none"/>
        </w:rPr>
        <w:t xml:space="preserve">则投标人作无效投标文件处理。</w:t>
      </w:r>
      <w:r>
        <w:rPr>
          <w:rFonts w:hint="eastAsia" w:ascii="宋体" w:hAnsi="宋体"/>
          <w:color w:val="000000"/>
          <w:sz w:val="24"/>
          <w:szCs w:val="24"/>
          <w:highlight w:val="none"/>
        </w:rPr>
      </w:r>
      <w:r/>
    </w:p>
    <w:p>
      <w:pPr>
        <w:pStyle w:val="690"/>
        <w:jc w:val="center"/>
        <w:keepNext/>
        <w:rPr>
          <w:rFonts w:hint="eastAsia" w:ascii="黑体" w:eastAsia="黑体"/>
          <w:bCs/>
          <w:color w:val="000000"/>
          <w:sz w:val="44"/>
          <w:szCs w:val="28"/>
          <w:highlight w:val="none"/>
        </w:rPr>
        <w:outlineLvl w:val="0"/>
      </w:pPr>
      <w:r/>
      <w:bookmarkStart w:id="183" w:name="_Toc120614281"/>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r>
        <w:rPr>
          <w:rFonts w:hint="eastAsia" w:ascii="黑体" w:eastAsia="黑体"/>
          <w:bCs/>
          <w:color w:val="000000"/>
          <w:sz w:val="44"/>
          <w:szCs w:val="28"/>
          <w:highlight w:val="none"/>
        </w:rPr>
      </w:r>
      <w:r/>
    </w:p>
    <w:p>
      <w:pPr>
        <w:pStyle w:val="690"/>
        <w:rPr>
          <w:rFonts w:hint="eastAsia"/>
          <w:color w:val="000000"/>
          <w:szCs w:val="21"/>
          <w:highlight w:val="none"/>
        </w:rPr>
      </w:pPr>
      <w:r>
        <w:rPr>
          <w:rFonts w:hint="eastAsia"/>
          <w:color w:val="000000"/>
          <w:szCs w:val="21"/>
          <w:highlight w:val="none"/>
        </w:rPr>
      </w:r>
      <w:r/>
    </w:p>
    <w:p>
      <w:pPr>
        <w:pStyle w:val="690"/>
        <w:ind w:firstLine="643"/>
        <w:spacing w:before="156" w:after="156"/>
        <w:rPr>
          <w:b/>
          <w:color w:val="000000"/>
          <w:sz w:val="32"/>
          <w:szCs w:val="32"/>
          <w:highlight w:val="none"/>
        </w:rPr>
        <w:outlineLvl w:val="1"/>
      </w:pPr>
      <w:r/>
      <w:bookmarkStart w:id="184" w:name="_Toc4647"/>
      <w:r/>
      <w:bookmarkStart w:id="185" w:name="_Toc24217_WPSOffice_Level2"/>
      <w:r>
        <w:rPr>
          <w:rFonts w:hint="eastAsia"/>
          <w:b/>
          <w:color w:val="000000"/>
          <w:sz w:val="32"/>
          <w:szCs w:val="32"/>
          <w:highlight w:val="none"/>
        </w:rPr>
        <w:t xml:space="preserve">一、资格审查</w:t>
      </w:r>
      <w:bookmarkEnd w:id="184"/>
      <w:r/>
      <w:bookmarkEnd w:id="185"/>
      <w:r>
        <w:rPr>
          <w:b/>
          <w:color w:val="000000"/>
          <w:sz w:val="32"/>
          <w:szCs w:val="32"/>
          <w:highlight w:val="none"/>
        </w:rPr>
      </w:r>
      <w:r/>
    </w:p>
    <w:p>
      <w:pPr>
        <w:pStyle w:val="690"/>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采购人按照下列指标对各投标人的资格进行审查，未通过审查的为无效标，不参与评标。</w:t>
      </w:r>
      <w:r>
        <w:rPr>
          <w:rFonts w:hint="eastAsia" w:ascii="宋体" w:hAnsi="宋体" w:cs="宋体"/>
          <w:color w:val="000000"/>
          <w:sz w:val="24"/>
          <w:highlight w:val="none"/>
        </w:rPr>
      </w:r>
      <w:r/>
    </w:p>
    <w:tbl>
      <w:tblPr>
        <w:tblW w:w="8430" w:type="dxa"/>
        <w:tblInd w:w="7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95"/>
        <w:gridCol w:w="3735"/>
      </w:tblGrid>
      <w:tr>
        <w:trPr>
          <w:trHeight w:val="381"/>
        </w:trPr>
        <w:tc>
          <w:tcPr>
            <w:tcW w:w="4695" w:type="dxa"/>
            <w:vAlign w:val="center"/>
            <w:textDirection w:val="lrTb"/>
            <w:noWrap w:val="false"/>
          </w:tcPr>
          <w:p>
            <w:pPr>
              <w:pStyle w:val="690"/>
              <w:jc w:val="center"/>
              <w:rPr>
                <w:rFonts w:cs="宋体"/>
                <w:color w:val="000000"/>
                <w:highlight w:val="none"/>
              </w:rPr>
            </w:pPr>
            <w:r>
              <w:rPr>
                <w:rFonts w:hint="eastAsia" w:cs="宋体"/>
                <w:color w:val="000000"/>
                <w:highlight w:val="none"/>
              </w:rPr>
              <w:t xml:space="preserve">资格审查因素</w:t>
            </w:r>
            <w:r>
              <w:rPr>
                <w:rFonts w:cs="宋体"/>
                <w:color w:val="000000"/>
                <w:highlight w:val="none"/>
              </w:rPr>
            </w:r>
            <w:r/>
          </w:p>
        </w:tc>
        <w:tc>
          <w:tcPr>
            <w:tcW w:w="3735" w:type="dxa"/>
            <w:vAlign w:val="center"/>
            <w:textDirection w:val="lrTb"/>
            <w:noWrap w:val="false"/>
          </w:tcPr>
          <w:p>
            <w:pPr>
              <w:pStyle w:val="690"/>
              <w:jc w:val="center"/>
              <w:rPr>
                <w:rFonts w:cs="宋体"/>
                <w:color w:val="000000"/>
                <w:highlight w:val="none"/>
              </w:rPr>
            </w:pPr>
            <w:r>
              <w:rPr>
                <w:rFonts w:hint="eastAsia" w:cs="宋体"/>
                <w:color w:val="000000"/>
                <w:highlight w:val="none"/>
              </w:rPr>
              <w:t xml:space="preserve">审查标准</w:t>
            </w:r>
            <w:r>
              <w:rPr>
                <w:rFonts w:cs="宋体"/>
                <w:color w:val="000000"/>
                <w:highlight w:val="none"/>
              </w:rPr>
            </w:r>
            <w:r/>
          </w:p>
        </w:tc>
      </w:tr>
      <w:tr>
        <w:trPr>
          <w:trHeight w:val="381"/>
        </w:trPr>
        <w:tc>
          <w:tcPr>
            <w:tcW w:w="469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具有独立承担民事责任的能力（企业“三证合一”营业执照副本（复印件）等）</w:t>
            </w:r>
            <w:r>
              <w:rPr>
                <w:rFonts w:hint="eastAsia" w:cs="宋体"/>
                <w:color w:val="000000"/>
                <w:highlight w:val="none"/>
              </w:rPr>
            </w:r>
            <w:r/>
          </w:p>
        </w:tc>
        <w:tc>
          <w:tcPr>
            <w:tcW w:w="373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381"/>
        </w:trPr>
        <w:tc>
          <w:tcPr>
            <w:tcW w:w="469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具有良好的商业信誉和健全的财务会计制度</w:t>
            </w:r>
            <w:r>
              <w:rPr>
                <w:rFonts w:hint="eastAsia" w:cs="宋体"/>
                <w:color w:val="000000"/>
                <w:highlight w:val="none"/>
              </w:rPr>
            </w:r>
            <w:r/>
          </w:p>
        </w:tc>
        <w:tc>
          <w:tcPr>
            <w:tcW w:w="373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381"/>
        </w:trPr>
        <w:tc>
          <w:tcPr>
            <w:tcW w:w="469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有依法缴纳税收和社会保障资金的良好记录</w:t>
            </w:r>
            <w:r>
              <w:rPr>
                <w:rFonts w:hint="eastAsia" w:cs="宋体"/>
                <w:color w:val="000000"/>
                <w:highlight w:val="none"/>
              </w:rPr>
            </w:r>
            <w:r/>
          </w:p>
        </w:tc>
        <w:tc>
          <w:tcPr>
            <w:tcW w:w="373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381"/>
        </w:trPr>
        <w:tc>
          <w:tcPr>
            <w:tcW w:w="469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具有履行合同所必需的设备和专业技术能力</w:t>
            </w:r>
            <w:r>
              <w:rPr>
                <w:rFonts w:hint="eastAsia" w:cs="宋体"/>
                <w:color w:val="000000"/>
                <w:highlight w:val="none"/>
              </w:rPr>
            </w:r>
            <w:r/>
          </w:p>
        </w:tc>
        <w:tc>
          <w:tcPr>
            <w:tcW w:w="373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381"/>
        </w:trPr>
        <w:tc>
          <w:tcPr>
            <w:tcW w:w="469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无重大违法行为声明</w:t>
            </w:r>
            <w:r>
              <w:rPr>
                <w:rFonts w:hint="eastAsia" w:cs="宋体"/>
                <w:color w:val="000000"/>
                <w:highlight w:val="none"/>
              </w:rPr>
            </w:r>
            <w:r/>
          </w:p>
        </w:tc>
        <w:tc>
          <w:tcPr>
            <w:tcW w:w="373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381"/>
        </w:trPr>
        <w:tc>
          <w:tcPr>
            <w:tcW w:w="469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法律、行政法规规定的其他条件</w:t>
            </w:r>
            <w:r>
              <w:rPr>
                <w:rFonts w:hint="eastAsia" w:cs="宋体"/>
                <w:color w:val="000000"/>
                <w:highlight w:val="none"/>
              </w:rPr>
            </w:r>
            <w:r/>
          </w:p>
        </w:tc>
        <w:tc>
          <w:tcPr>
            <w:tcW w:w="373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381"/>
        </w:trPr>
        <w:tc>
          <w:tcPr>
            <w:tcW w:w="469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信用信息</w:t>
            </w:r>
            <w:r>
              <w:rPr>
                <w:rFonts w:hint="eastAsia" w:cs="宋体"/>
                <w:color w:val="000000"/>
                <w:highlight w:val="none"/>
              </w:rPr>
            </w:r>
            <w:r/>
          </w:p>
        </w:tc>
        <w:tc>
          <w:tcPr>
            <w:tcW w:w="373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381"/>
        </w:trPr>
        <w:tc>
          <w:tcPr>
            <w:tcW w:w="469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投标人的关联性要求</w:t>
            </w:r>
            <w:r>
              <w:rPr>
                <w:rFonts w:hint="eastAsia" w:cs="宋体"/>
                <w:color w:val="000000"/>
                <w:highlight w:val="none"/>
              </w:rPr>
            </w:r>
            <w:r/>
          </w:p>
        </w:tc>
        <w:tc>
          <w:tcPr>
            <w:tcW w:w="373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381"/>
        </w:trPr>
        <w:tc>
          <w:tcPr>
            <w:tcW w:w="469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符合联合体规定</w:t>
            </w:r>
            <w:r>
              <w:rPr>
                <w:rFonts w:hint="eastAsia" w:cs="宋体"/>
                <w:color w:val="000000"/>
                <w:highlight w:val="none"/>
              </w:rPr>
            </w:r>
            <w:r/>
          </w:p>
        </w:tc>
        <w:tc>
          <w:tcPr>
            <w:tcW w:w="373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381"/>
        </w:trPr>
        <w:tc>
          <w:tcPr>
            <w:tcW w:w="469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特定资格要求（如有）</w:t>
            </w:r>
            <w:r>
              <w:rPr>
                <w:rFonts w:hint="eastAsia" w:cs="宋体"/>
                <w:color w:val="000000"/>
                <w:highlight w:val="none"/>
              </w:rPr>
            </w:r>
            <w:r/>
          </w:p>
        </w:tc>
        <w:tc>
          <w:tcPr>
            <w:tcW w:w="373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bl>
    <w:p>
      <w:pPr>
        <w:pStyle w:val="690"/>
        <w:ind w:firstLine="643"/>
        <w:spacing w:before="156" w:after="156"/>
        <w:rPr>
          <w:b/>
          <w:color w:val="000000"/>
          <w:sz w:val="32"/>
          <w:szCs w:val="32"/>
          <w:highlight w:val="none"/>
        </w:rPr>
        <w:outlineLvl w:val="1"/>
      </w:pPr>
      <w:r>
        <w:rPr>
          <w:rFonts w:hint="eastAsia"/>
          <w:b/>
          <w:color w:val="000000"/>
          <w:sz w:val="32"/>
          <w:szCs w:val="32"/>
          <w:highlight w:val="none"/>
        </w:rPr>
        <w:t xml:space="preserve">二、符合性审查</w:t>
      </w:r>
      <w:r>
        <w:rPr>
          <w:b/>
          <w:color w:val="000000"/>
          <w:sz w:val="32"/>
          <w:szCs w:val="32"/>
          <w:highlight w:val="none"/>
        </w:rPr>
      </w:r>
      <w:r/>
    </w:p>
    <w:p>
      <w:pPr>
        <w:pStyle w:val="690"/>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符合性审查是指依据招标文件的规定，从商务和技术角度对投标文件的有效性和完整性进行审查，以确定是否对招标文件的实质性要求做出响应。</w:t>
      </w:r>
      <w:r>
        <w:rPr>
          <w:rFonts w:hint="eastAsia" w:ascii="宋体" w:hAnsi="宋体" w:cs="宋体"/>
          <w:color w:val="000000"/>
          <w:sz w:val="24"/>
          <w:highlight w:val="none"/>
        </w:rPr>
      </w:r>
      <w:r/>
    </w:p>
    <w:p>
      <w:pPr>
        <w:pStyle w:val="690"/>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未通过审查的为无效标，不再参与评审。</w:t>
      </w:r>
      <w:r>
        <w:rPr>
          <w:rFonts w:hint="eastAsia" w:ascii="宋体" w:hAnsi="宋体" w:cs="宋体"/>
          <w:color w:val="000000"/>
          <w:sz w:val="24"/>
          <w:highlight w:val="none"/>
        </w:rPr>
      </w:r>
      <w:r/>
    </w:p>
    <w:tbl>
      <w:tblPr>
        <w:tblW w:w="8464" w:type="dxa"/>
        <w:tblInd w:w="45"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05"/>
        <w:gridCol w:w="3559"/>
      </w:tblGrid>
      <w:tr>
        <w:trPr/>
        <w:tc>
          <w:tcPr>
            <w:tcW w:w="4905" w:type="dxa"/>
            <w:vAlign w:val="center"/>
            <w:textDirection w:val="lrTb"/>
            <w:noWrap w:val="false"/>
          </w:tcPr>
          <w:p>
            <w:pPr>
              <w:pStyle w:val="690"/>
              <w:jc w:val="center"/>
              <w:rPr>
                <w:rFonts w:cs="宋体"/>
                <w:color w:val="000000"/>
                <w:highlight w:val="none"/>
              </w:rPr>
            </w:pPr>
            <w:r/>
            <w:bookmarkStart w:id="186" w:name="_Toc11959"/>
            <w:r>
              <w:rPr>
                <w:rFonts w:hint="eastAsia" w:cs="宋体"/>
                <w:color w:val="000000"/>
                <w:highlight w:val="none"/>
              </w:rPr>
              <w:t xml:space="preserve">符合性审查因素</w:t>
            </w:r>
            <w:r>
              <w:rPr>
                <w:rFonts w:cs="宋体"/>
                <w:color w:val="000000"/>
                <w:highlight w:val="none"/>
              </w:rPr>
            </w:r>
            <w:r/>
          </w:p>
        </w:tc>
        <w:tc>
          <w:tcPr>
            <w:tcW w:w="3559" w:type="dxa"/>
            <w:vAlign w:val="center"/>
            <w:textDirection w:val="lrTb"/>
            <w:noWrap w:val="false"/>
          </w:tcPr>
          <w:p>
            <w:pPr>
              <w:pStyle w:val="690"/>
              <w:jc w:val="center"/>
              <w:rPr>
                <w:rFonts w:cs="宋体"/>
                <w:color w:val="000000"/>
                <w:highlight w:val="none"/>
              </w:rPr>
            </w:pPr>
            <w:r>
              <w:rPr>
                <w:rFonts w:hint="eastAsia" w:cs="宋体"/>
                <w:color w:val="000000"/>
                <w:highlight w:val="none"/>
              </w:rPr>
              <w:t xml:space="preserve">审查标准</w:t>
            </w:r>
            <w:r>
              <w:rPr>
                <w:rFonts w:cs="宋体"/>
                <w:color w:val="000000"/>
                <w:highlight w:val="none"/>
              </w:rPr>
            </w:r>
            <w:r/>
          </w:p>
        </w:tc>
      </w:tr>
      <w:tr>
        <w:trPr>
          <w:trHeight w:val="302"/>
        </w:trPr>
        <w:tc>
          <w:tcPr>
            <w:tcW w:w="490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投标函</w:t>
            </w:r>
            <w:r>
              <w:rPr>
                <w:rFonts w:hint="eastAsia" w:cs="宋体"/>
                <w:color w:val="000000"/>
                <w:highlight w:val="none"/>
              </w:rPr>
            </w:r>
            <w:r/>
          </w:p>
        </w:tc>
        <w:tc>
          <w:tcPr>
            <w:tcW w:w="3559"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287"/>
        </w:trPr>
        <w:tc>
          <w:tcPr>
            <w:tcW w:w="4905"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法定代表人身份证明或法定代表人授权委托书（并按要求提供法定代表人或授权委托人居民身份证复印件并加盖公章；如为授权委托人参加投标的，须提供开标前至少一个月投标人单位为授权委托人缴纳的社保证明材料）</w:t>
            </w:r>
            <w:r>
              <w:rPr>
                <w:rFonts w:hint="eastAsia" w:cs="宋体"/>
                <w:color w:val="000000"/>
                <w:highlight w:val="none"/>
              </w:rPr>
            </w:r>
            <w:r/>
          </w:p>
        </w:tc>
        <w:tc>
          <w:tcPr>
            <w:tcW w:w="3559" w:type="dxa"/>
            <w:vAlign w:val="center"/>
            <w:textDirection w:val="lrTb"/>
            <w:noWrap w:val="false"/>
          </w:tcPr>
          <w:p>
            <w:pPr>
              <w:pStyle w:val="690"/>
              <w:ind w:left="210"/>
              <w:jc w:val="left"/>
              <w:rPr>
                <w:rFonts w:hint="eastAsia" w:cs="宋体"/>
                <w:color w:val="000000"/>
                <w:highlight w:val="none"/>
              </w:rPr>
            </w:pPr>
            <w:r>
              <w:rPr>
                <w:rFonts w:hint="eastAsia" w:cs="宋体"/>
                <w:color w:val="000000"/>
                <w:highlight w:val="none"/>
              </w:rPr>
              <w:t xml:space="preserve">符合招标文件规定</w:t>
            </w:r>
            <w:r>
              <w:rPr>
                <w:rFonts w:hint="eastAsia" w:cs="宋体"/>
                <w:color w:val="000000"/>
                <w:highlight w:val="none"/>
              </w:rPr>
            </w:r>
            <w:r/>
          </w:p>
        </w:tc>
      </w:tr>
      <w:tr>
        <w:trPr>
          <w:trHeight w:val="287"/>
        </w:trPr>
        <w:tc>
          <w:tcPr>
            <w:tcW w:w="4905" w:type="dxa"/>
            <w:vAlign w:val="center"/>
            <w:textDirection w:val="lrTb"/>
            <w:noWrap w:val="false"/>
          </w:tcPr>
          <w:p>
            <w:pPr>
              <w:pStyle w:val="690"/>
              <w:ind w:left="210"/>
              <w:jc w:val="left"/>
              <w:rPr>
                <w:rFonts w:cs="宋体"/>
                <w:color w:val="000000"/>
                <w:highlight w:val="none"/>
              </w:rPr>
            </w:pPr>
            <w:r>
              <w:rPr>
                <w:rFonts w:hint="eastAsia" w:cs="宋体"/>
                <w:color w:val="000000"/>
                <w:highlight w:val="none"/>
              </w:rPr>
              <w:t xml:space="preserve">签署和盖章符合要求</w:t>
            </w:r>
            <w:r>
              <w:rPr>
                <w:rFonts w:cs="宋体"/>
                <w:color w:val="000000"/>
                <w:highlight w:val="none"/>
              </w:rPr>
            </w:r>
            <w:r/>
          </w:p>
        </w:tc>
        <w:tc>
          <w:tcPr>
            <w:tcW w:w="3559" w:type="dxa"/>
            <w:vAlign w:val="center"/>
            <w:textDirection w:val="lrTb"/>
            <w:noWrap w:val="false"/>
          </w:tcPr>
          <w:p>
            <w:pPr>
              <w:pStyle w:val="690"/>
              <w:ind w:left="210"/>
              <w:jc w:val="left"/>
              <w:rPr>
                <w:rFonts w:cs="宋体"/>
                <w:color w:val="000000"/>
                <w:highlight w:val="none"/>
              </w:rPr>
            </w:pPr>
            <w:r>
              <w:rPr>
                <w:rFonts w:hint="eastAsia" w:cs="宋体"/>
                <w:color w:val="000000"/>
                <w:highlight w:val="none"/>
              </w:rPr>
              <w:t xml:space="preserve">符合招标文件规定</w:t>
            </w:r>
            <w:r>
              <w:rPr>
                <w:rFonts w:cs="宋体"/>
                <w:color w:val="000000"/>
                <w:highlight w:val="none"/>
              </w:rPr>
            </w:r>
            <w:r/>
          </w:p>
        </w:tc>
      </w:tr>
      <w:tr>
        <w:trPr/>
        <w:tc>
          <w:tcPr>
            <w:tcW w:w="4905" w:type="dxa"/>
            <w:vAlign w:val="center"/>
            <w:textDirection w:val="lrTb"/>
            <w:noWrap w:val="false"/>
          </w:tcPr>
          <w:p>
            <w:pPr>
              <w:pStyle w:val="690"/>
              <w:ind w:left="210"/>
              <w:jc w:val="left"/>
              <w:rPr>
                <w:rFonts w:cs="宋体"/>
                <w:color w:val="000000"/>
                <w:highlight w:val="none"/>
              </w:rPr>
            </w:pPr>
            <w:r>
              <w:rPr>
                <w:rFonts w:hint="eastAsia" w:cs="宋体"/>
                <w:color w:val="000000"/>
                <w:highlight w:val="none"/>
              </w:rPr>
              <w:t xml:space="preserve">开标一览表及投标报价 </w:t>
            </w:r>
            <w:r>
              <w:rPr>
                <w:rFonts w:cs="宋体"/>
                <w:color w:val="000000"/>
                <w:highlight w:val="none"/>
              </w:rPr>
            </w:r>
            <w:r/>
          </w:p>
        </w:tc>
        <w:tc>
          <w:tcPr>
            <w:tcW w:w="3559" w:type="dxa"/>
            <w:vAlign w:val="center"/>
            <w:textDirection w:val="lrTb"/>
            <w:noWrap w:val="false"/>
          </w:tcPr>
          <w:p>
            <w:pPr>
              <w:pStyle w:val="690"/>
              <w:ind w:left="210"/>
              <w:jc w:val="left"/>
              <w:rPr>
                <w:rFonts w:cs="宋体"/>
                <w:color w:val="000000"/>
                <w:highlight w:val="none"/>
              </w:rPr>
            </w:pPr>
            <w:r>
              <w:rPr>
                <w:rFonts w:hint="eastAsia" w:cs="宋体"/>
                <w:color w:val="000000"/>
                <w:highlight w:val="none"/>
              </w:rPr>
              <w:t xml:space="preserve">格式、填写要求符合招标文件规定（报价未超过预算或最高限价）</w:t>
            </w:r>
            <w:r>
              <w:rPr>
                <w:rFonts w:cs="宋体"/>
                <w:color w:val="000000"/>
                <w:highlight w:val="none"/>
              </w:rPr>
            </w:r>
            <w:r/>
          </w:p>
        </w:tc>
      </w:tr>
      <w:tr>
        <w:trPr/>
        <w:tc>
          <w:tcPr>
            <w:tcW w:w="4905" w:type="dxa"/>
            <w:vAlign w:val="center"/>
            <w:textDirection w:val="lrTb"/>
            <w:noWrap w:val="false"/>
          </w:tcPr>
          <w:p>
            <w:pPr>
              <w:pStyle w:val="690"/>
              <w:ind w:left="210"/>
              <w:jc w:val="left"/>
              <w:rPr>
                <w:rFonts w:cs="宋体"/>
                <w:color w:val="000000"/>
                <w:highlight w:val="none"/>
              </w:rPr>
            </w:pPr>
            <w:r>
              <w:rPr>
                <w:rFonts w:hint="eastAsia" w:cs="宋体"/>
                <w:color w:val="000000"/>
                <w:highlight w:val="none"/>
              </w:rPr>
              <w:t xml:space="preserve">投标文件对招标文件的实质性条款的响应性</w:t>
            </w:r>
            <w:r>
              <w:rPr>
                <w:rFonts w:cs="宋体"/>
                <w:color w:val="000000"/>
                <w:highlight w:val="none"/>
              </w:rPr>
            </w:r>
            <w:r/>
          </w:p>
        </w:tc>
        <w:tc>
          <w:tcPr>
            <w:tcW w:w="3559" w:type="dxa"/>
            <w:vAlign w:val="center"/>
            <w:textDirection w:val="lrTb"/>
            <w:noWrap w:val="false"/>
          </w:tcPr>
          <w:p>
            <w:pPr>
              <w:pStyle w:val="690"/>
              <w:ind w:left="210"/>
              <w:jc w:val="left"/>
              <w:rPr>
                <w:rFonts w:cs="宋体"/>
                <w:color w:val="000000"/>
                <w:highlight w:val="none"/>
              </w:rPr>
            </w:pPr>
            <w:r>
              <w:rPr>
                <w:rFonts w:hint="eastAsia" w:cs="宋体"/>
                <w:color w:val="000000"/>
                <w:highlight w:val="none"/>
              </w:rPr>
              <w:t xml:space="preserve">符合招标文件规定</w:t>
            </w:r>
            <w:r>
              <w:rPr>
                <w:rFonts w:cs="宋体"/>
                <w:color w:val="000000"/>
                <w:highlight w:val="none"/>
              </w:rPr>
            </w:r>
            <w:r/>
          </w:p>
        </w:tc>
      </w:tr>
    </w:tbl>
    <w:p>
      <w:pPr>
        <w:pStyle w:val="690"/>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t xml:space="preserve">三、评分办法—综合评分法</w:t>
      </w:r>
      <w:bookmarkEnd w:id="186"/>
      <w:r>
        <w:rPr>
          <w:rFonts w:hint="eastAsia" w:ascii="宋体" w:hAnsi="宋体" w:cs="宋体"/>
          <w:b/>
          <w:color w:val="000000"/>
          <w:sz w:val="32"/>
          <w:szCs w:val="32"/>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得分高者优先；得分、投标报价、技术响应得分均相同时，由评标委员会通过抽签方式排序。</w:t>
      </w:r>
      <w:r>
        <w:rPr>
          <w:rFonts w:hint="eastAsia" w:ascii="宋体" w:hAnsi="宋体" w:eastAsia="宋体" w:cs="宋体"/>
          <w:color w:val="000000"/>
          <w:sz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eastAsia="宋体" w:cs="宋体"/>
          <w:color w:val="000000"/>
          <w:sz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综合评分保留至小数点后两位。 </w:t>
      </w:r>
      <w:r>
        <w:rPr>
          <w:rFonts w:hint="eastAsia" w:ascii="宋体" w:hAnsi="宋体" w:eastAsia="宋体" w:cs="宋体"/>
          <w:color w:val="000000"/>
          <w:sz w:val="24"/>
          <w:highlight w:val="none"/>
        </w:rPr>
      </w:r>
      <w:r/>
    </w:p>
    <w:p>
      <w:pPr>
        <w:pStyle w:val="690"/>
        <w:numPr>
          <w:ilvl w:val="0"/>
          <w:numId w:val="13"/>
        </w:numPr>
        <w:ind w:left="0" w:firstLine="480"/>
        <w:jc w:val="left"/>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详细评审。评标委员会按照招标文件规定的评分标准，对各投标文件进行详细评审打分。评标委员会组长对各评审专家的打分情况进行复核无误后汇总，形成评审报告。</w:t>
      </w:r>
      <w:r>
        <w:rPr>
          <w:rFonts w:hint="eastAsia" w:ascii="宋体" w:hAnsi="宋体" w:eastAsia="宋体" w:cs="宋体"/>
          <w:color w:val="000000"/>
          <w:sz w:val="24"/>
          <w:highlight w:val="none"/>
        </w:rPr>
      </w:r>
      <w:r/>
    </w:p>
    <w:p>
      <w:pPr>
        <w:pStyle w:val="690"/>
        <w:ind w:left="0" w:firstLine="439"/>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b/>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本项目为专门面向中小微企业项目，供应商必须在响应文件中提供中小企业声明函，不再执行价格扣除政策。</w:t>
      </w:r>
      <w:r>
        <w:rPr>
          <w:rFonts w:hint="eastAsia" w:ascii="宋体" w:hAnsi="宋体" w:eastAsia="宋体" w:cs="宋体"/>
          <w:b/>
          <w:bCs/>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690"/>
        <w:ind w:left="0" w:firstLine="36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w:t>
      </w:r>
      <w:r>
        <w:rPr>
          <w:rFonts w:hint="eastAsia" w:ascii="宋体" w:hAnsi="宋体" w:eastAsia="宋体" w:cs="宋体"/>
          <w:color w:val="000000"/>
          <w:sz w:val="24"/>
          <w:szCs w:val="24"/>
          <w:highlight w:val="none"/>
        </w:rPr>
      </w:r>
      <w:r/>
    </w:p>
    <w:p>
      <w:pPr>
        <w:pStyle w:val="690"/>
        <w:ind w:left="0" w:firstLine="36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690"/>
        <w:ind w:left="0" w:firstLine="36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highlight w:val="none"/>
        </w:rPr>
        <w:t xml:space="preserve">供应商如不提供上述证明文件，价格将不做相应扣除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6.包装要求： </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6.1商品包装环保要求：应当按《关于印发〈商品包装政府采购需求标准（试行）〉、〈快递包装政府采购需求标准（试行）〉的通知》（财办库〔2020〕123号）文件执行。</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（1）商品包装层数不得超过 3 层，空隙率不大于 40%；</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（2）商品包装尽可能使用单一材质的包装材料，如因功能需求必需使用不同材质，不同材质间应便于分离；</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（3）商品包装中铅、汞、镉、六价铬的总含量应不大于100mg/kg；</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（4）商品包装印刷使用的油墨中挥发性有机化合物(VOCs)含量应不大于 5%（以重量计）；</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（5）塑料材质商品包装上呈现的印刷颜色不得超过6色；</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（6）纸质商品包装应使用75%以上的可再生纤维原料生产；</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（7）木质商品包装的原料应来源于可持续性森林。</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6.2快递包装环保要求：</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（1）快递包装中重金属（铅、汞、镉、六价铬）总量应不大于 100mg/kg；</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（2）快递包装印刷使用的油墨中不应添加邻苯二甲酸酯，其挥发性有机化合物(VOCs)含量应不大于5%（以重量计）；</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（3）快递包装中使用纸基材的包装材料，纸基材中的有机氯的含量应不大于 150 mg/kg；</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（5）快递中使用的塑料包装袋不得使用聚氯乙烯作为原料，且原料应为单一材质制成，生物分解率大于60%；</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（6）快递中使用的充气类填充物不得使用聚氯乙烯作为 原料，且原料为单一材质制成，生物分解率大于60%；</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（7）快递中使用的集装袋应为单一材质制成，其重复使用次数应不小于 80 次；</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（8）快递中应使用幅宽不大于45mm 的生物降解胶带；</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（9）快递包装中不得使用溶剂型胶粘剂；</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（11）快递应使用电子面单；</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（12）直接使用商品包装作为快递包装的商品，其商品包装满足《商品包装政府采购需求标准（试行）》即可；</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（13）快递包装产品质量和封装方式应符合相关国家或行业标准技术指标要求。</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690"/>
        <w:ind w:left="0"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绿色低碳管理目标和服务要求：在物业、合同能源管理等服务类采购项目需求中，要强化绿色低碳管理目标和服务要求，促进绿色产品和服务推广应用。</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10、采购本国产品的支持政策</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本项目政府采购活动中既有本国产品又有非本国产品参与竞争的，依法对本国产品给予价格评审优惠，对本国产品的报价给予  </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rPr>
        <w:t xml:space="preserve">80%</w:t>
      </w:r>
      <w:r>
        <w:rPr>
          <w:rFonts w:hint="eastAsia" w:ascii="宋体" w:hAnsi="宋体" w:eastAsia="宋体" w:cs="宋体"/>
          <w:color w:val="000000"/>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w:t>
      </w:r>
      <w:r>
        <w:rPr>
          <w:rFonts w:hint="eastAsia" w:ascii="宋体" w:hAnsi="宋体" w:eastAsia="宋体" w:cs="宋体"/>
          <w:color w:val="000000"/>
          <w:sz w:val="24"/>
          <w:szCs w:val="24"/>
          <w:highlight w:val="none"/>
        </w:rPr>
        <w:t xml:space="preserve">未达到</w:t>
      </w:r>
      <w:r>
        <w:rPr>
          <w:rFonts w:hint="eastAsia" w:ascii="宋体" w:hAnsi="宋体" w:eastAsia="宋体" w:cs="宋体"/>
          <w:color w:val="000000"/>
          <w:sz w:val="24"/>
          <w:szCs w:val="24"/>
          <w:highlight w:val="none"/>
        </w:rPr>
        <w:t xml:space="preserve">80%的，将不享受本国产品价格评审优惠。</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供应商需在《声明函》中逐一、准确填写产品名称、厂名、生产厂址三项信息（</w:t>
      </w:r>
      <w:r>
        <w:rPr>
          <w:rFonts w:hint="eastAsia" w:ascii="宋体" w:hAnsi="宋体" w:eastAsia="宋体" w:cs="宋体"/>
          <w:color w:val="000000"/>
          <w:sz w:val="24"/>
          <w:szCs w:val="24"/>
          <w:highlight w:val="none"/>
        </w:rPr>
        <w:t xml:space="preserve">《声明函》中用斜线划除的地方无需填写</w:t>
      </w:r>
      <w:r>
        <w:rPr>
          <w:rFonts w:hint="eastAsia" w:ascii="宋体" w:hAnsi="宋体" w:eastAsia="宋体" w:cs="宋体"/>
          <w:color w:val="000000"/>
          <w:sz w:val="24"/>
          <w:szCs w:val="24"/>
          <w:highlight w:val="none"/>
        </w:rPr>
        <w:t xml:space="preserve">），三项信息中任意一项未填写的视为该项产品不符合本国产品标准，不享受本国产品价格评审优惠。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690"/>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rPr>
      </w:r>
      <w:r/>
    </w:p>
    <w:p>
      <w:pPr>
        <w:pStyle w:val="690"/>
        <w:ind w:firstLine="413"/>
        <w:jc w:val="left"/>
        <w:spacing w:line="500" w:lineRule="exact"/>
        <w:rPr>
          <w:rFonts w:ascii="宋体" w:hAnsi="宋体" w:cs="宋体"/>
          <w:b/>
          <w:color w:val="000000"/>
          <w:sz w:val="24"/>
          <w:highlight w:val="none"/>
        </w:rPr>
      </w:pPr>
      <w:r>
        <w:rPr>
          <w:rFonts w:ascii="Calibri" w:hAnsi="Calibri" w:cs="Calibri"/>
          <w:b/>
          <w:color w:val="000000"/>
          <w:sz w:val="24"/>
          <w:highlight w:val="none"/>
          <w:lang w:val="zh-CN"/>
        </w:rPr>
        <w:t xml:space="preserve">①</w:t>
      </w:r>
      <w:r>
        <w:rPr>
          <w:rFonts w:hint="eastAsia" w:ascii="宋体" w:hAnsi="宋体" w:cs="宋体"/>
          <w:b/>
          <w:color w:val="000000"/>
          <w:sz w:val="24"/>
          <w:highlight w:val="none"/>
          <w:lang w:val="zh-CN"/>
        </w:rPr>
        <w:t xml:space="preserve">商务技术分：</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val="zh-CN"/>
        </w:rPr>
        <w:t xml:space="preserve">分</w:t>
      </w:r>
      <w:r>
        <w:rPr>
          <w:rFonts w:ascii="宋体" w:hAnsi="宋体" w:cs="宋体"/>
          <w:b/>
          <w:color w:val="000000"/>
          <w:sz w:val="24"/>
          <w:highlight w:val="none"/>
        </w:rPr>
      </w:r>
      <w:r/>
    </w:p>
    <w:tbl>
      <w:tblPr>
        <w:tblW w:w="91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326"/>
        <w:gridCol w:w="840"/>
        <w:gridCol w:w="6254"/>
      </w:tblGrid>
      <w:tr>
        <w:trPr>
          <w:trHeight w:val="515"/>
        </w:trPr>
        <w:tc>
          <w:tcPr>
            <w:tcW w:w="718" w:type="dxa"/>
            <w:vAlign w:val="center"/>
            <w:textDirection w:val="lrTb"/>
            <w:noWrap w:val="false"/>
          </w:tcPr>
          <w:p>
            <w:pPr>
              <w:pStyle w:val="690"/>
              <w:jc w:val="center"/>
              <w:keepLines w:val="0"/>
              <w:keepNext w:val="0"/>
              <w:pageBreakBefore w:val="0"/>
              <w:spacing w:line="240" w:lineRule="auto"/>
              <w:widowControl w:val="off"/>
              <w:rPr>
                <w:rFonts w:ascii="宋体" w:hAnsi="宋体"/>
                <w:b/>
                <w:bCs/>
                <w:color w:val="000000"/>
                <w:sz w:val="24"/>
                <w:szCs w:val="24"/>
                <w:highlight w:val="none"/>
              </w:rPr>
            </w:pPr>
            <w:r>
              <w:rPr>
                <w:rFonts w:hint="eastAsia" w:ascii="宋体" w:hAnsi="宋体"/>
                <w:b/>
                <w:bCs/>
                <w:color w:val="000000"/>
                <w:sz w:val="24"/>
                <w:szCs w:val="24"/>
                <w:highlight w:val="none"/>
                <w:lang w:val="zh-CN"/>
              </w:rPr>
              <w:t xml:space="preserve">序号</w:t>
            </w:r>
            <w:r>
              <w:rPr>
                <w:rFonts w:ascii="宋体" w:hAnsi="宋体"/>
                <w:b/>
                <w:bCs/>
                <w:color w:val="000000"/>
                <w:sz w:val="24"/>
                <w:szCs w:val="24"/>
                <w:highlight w:val="none"/>
              </w:rPr>
            </w:r>
            <w:r/>
          </w:p>
        </w:tc>
        <w:tc>
          <w:tcPr>
            <w:tcW w:w="1326" w:type="dxa"/>
            <w:vAlign w:val="center"/>
            <w:textDirection w:val="lrTb"/>
            <w:noWrap w:val="false"/>
          </w:tcPr>
          <w:p>
            <w:pPr>
              <w:pStyle w:val="690"/>
              <w:jc w:val="center"/>
              <w:keepLines w:val="0"/>
              <w:keepNext w:val="0"/>
              <w:pageBreakBefore w:val="0"/>
              <w:spacing w:line="240" w:lineRule="auto"/>
              <w:widowControl w:val="off"/>
              <w:rPr>
                <w:rFonts w:ascii="宋体" w:hAnsi="宋体"/>
                <w:b/>
                <w:bCs/>
                <w:color w:val="000000"/>
                <w:sz w:val="24"/>
                <w:szCs w:val="24"/>
                <w:highlight w:val="none"/>
              </w:rPr>
            </w:pPr>
            <w:r>
              <w:rPr>
                <w:rFonts w:hint="eastAsia" w:ascii="宋体" w:hAnsi="宋体"/>
                <w:b/>
                <w:bCs/>
                <w:color w:val="000000"/>
                <w:sz w:val="24"/>
                <w:szCs w:val="24"/>
                <w:highlight w:val="none"/>
                <w:lang w:val="zh-CN"/>
              </w:rPr>
              <w:t xml:space="preserve">评分点名称</w:t>
            </w:r>
            <w:r>
              <w:rPr>
                <w:rFonts w:ascii="宋体" w:hAnsi="宋体"/>
                <w:b/>
                <w:bCs/>
                <w:color w:val="000000"/>
                <w:sz w:val="24"/>
                <w:szCs w:val="24"/>
                <w:highlight w:val="none"/>
              </w:rPr>
            </w:r>
            <w:r/>
          </w:p>
        </w:tc>
        <w:tc>
          <w:tcPr>
            <w:tcW w:w="840" w:type="dxa"/>
            <w:vAlign w:val="center"/>
            <w:textDirection w:val="lrTb"/>
            <w:noWrap w:val="false"/>
          </w:tcPr>
          <w:p>
            <w:pPr>
              <w:pStyle w:val="690"/>
              <w:jc w:val="center"/>
              <w:keepLines w:val="0"/>
              <w:keepNext w:val="0"/>
              <w:pageBreakBefore w:val="0"/>
              <w:spacing w:line="240" w:lineRule="auto"/>
              <w:widowControl w:val="off"/>
              <w:rPr>
                <w:rFonts w:ascii="宋体" w:hAnsi="宋体"/>
                <w:b/>
                <w:bCs/>
                <w:color w:val="000000"/>
                <w:sz w:val="24"/>
                <w:szCs w:val="24"/>
                <w:highlight w:val="none"/>
              </w:rPr>
            </w:pPr>
            <w:r>
              <w:rPr>
                <w:rFonts w:hint="eastAsia" w:ascii="宋体" w:hAnsi="宋体"/>
                <w:b/>
                <w:bCs/>
                <w:color w:val="000000"/>
                <w:sz w:val="24"/>
                <w:szCs w:val="24"/>
                <w:highlight w:val="none"/>
                <w:lang w:val="zh-CN"/>
              </w:rPr>
              <w:t xml:space="preserve">分值</w:t>
            </w:r>
            <w:r>
              <w:rPr>
                <w:rFonts w:ascii="宋体" w:hAnsi="宋体"/>
                <w:b/>
                <w:bCs/>
                <w:color w:val="000000"/>
                <w:sz w:val="24"/>
                <w:szCs w:val="24"/>
                <w:highlight w:val="none"/>
              </w:rPr>
            </w:r>
            <w:r/>
          </w:p>
        </w:tc>
        <w:tc>
          <w:tcPr>
            <w:tcW w:w="6254" w:type="dxa"/>
            <w:vAlign w:val="center"/>
            <w:textDirection w:val="lrTb"/>
            <w:noWrap w:val="false"/>
          </w:tcPr>
          <w:p>
            <w:pPr>
              <w:pStyle w:val="690"/>
              <w:jc w:val="center"/>
              <w:keepLines w:val="0"/>
              <w:keepNext w:val="0"/>
              <w:pageBreakBefore w:val="0"/>
              <w:spacing w:line="240" w:lineRule="auto"/>
              <w:widowControl w:val="off"/>
              <w:rPr>
                <w:rFonts w:ascii="宋体" w:hAnsi="宋体"/>
                <w:b/>
                <w:bCs/>
                <w:color w:val="000000"/>
                <w:sz w:val="24"/>
                <w:szCs w:val="24"/>
                <w:highlight w:val="none"/>
              </w:rPr>
            </w:pPr>
            <w:r>
              <w:rPr>
                <w:rFonts w:hint="eastAsia" w:ascii="宋体" w:hAnsi="宋体"/>
                <w:b/>
                <w:bCs/>
                <w:color w:val="000000"/>
                <w:sz w:val="24"/>
                <w:szCs w:val="24"/>
                <w:highlight w:val="none"/>
                <w:lang w:val="zh-CN"/>
              </w:rPr>
              <w:t xml:space="preserve">评审标准</w:t>
            </w:r>
            <w:r>
              <w:rPr>
                <w:rFonts w:ascii="宋体" w:hAnsi="宋体"/>
                <w:b/>
                <w:bCs/>
                <w:color w:val="000000"/>
                <w:sz w:val="24"/>
                <w:szCs w:val="24"/>
                <w:highlight w:val="none"/>
              </w:rPr>
            </w:r>
            <w:r/>
          </w:p>
        </w:tc>
      </w:tr>
      <w:tr>
        <w:trPr/>
        <w:tc>
          <w:tcPr>
            <w:tcW w:w="718" w:type="dxa"/>
            <w:vAlign w:val="center"/>
            <w:textDirection w:val="lrTb"/>
            <w:noWrap w:val="false"/>
          </w:tcPr>
          <w:p>
            <w:pPr>
              <w:pStyle w:val="690"/>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ascii="宋体" w:hAnsi="宋体" w:cs="宋体"/>
                <w:color w:val="000000"/>
                <w:sz w:val="24"/>
                <w:szCs w:val="24"/>
                <w:highlight w:val="none"/>
                <w:lang w:val="zh-CN"/>
              </w:rPr>
            </w:r>
            <w:r/>
          </w:p>
        </w:tc>
        <w:tc>
          <w:tcPr>
            <w:tcW w:w="1326" w:type="dxa"/>
            <w:vAlign w:val="center"/>
            <w:textDirection w:val="lrTb"/>
            <w:noWrap w:val="false"/>
          </w:tcPr>
          <w:p>
            <w:pPr>
              <w:pStyle w:val="690"/>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技术参数响应评价</w:t>
            </w:r>
            <w:r>
              <w:rPr>
                <w:rFonts w:ascii="宋体" w:hAnsi="宋体" w:cs="宋体"/>
                <w:color w:val="000000"/>
                <w:sz w:val="24"/>
                <w:szCs w:val="24"/>
                <w:highlight w:val="none"/>
                <w:lang w:val="zh-CN"/>
              </w:rPr>
            </w:r>
            <w:r/>
          </w:p>
        </w:tc>
        <w:tc>
          <w:tcPr>
            <w:tcW w:w="840" w:type="dxa"/>
            <w:vAlign w:val="center"/>
            <w:textDirection w:val="lrTb"/>
            <w:noWrap w:val="false"/>
          </w:tcPr>
          <w:p>
            <w:pPr>
              <w:pStyle w:val="690"/>
              <w:ind w:firstLine="11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6254" w:type="dxa"/>
            <w:vAlign w:val="top"/>
            <w:textDirection w:val="lrTb"/>
            <w:noWrap w:val="false"/>
          </w:tcPr>
          <w:p>
            <w:pPr>
              <w:pStyle w:val="690"/>
              <w:keepLines w:val="0"/>
              <w:keepNext w:val="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根据招标文件对设备技术要求的描述，对投标文件的技术参数等的响应情况进行评分，</w:t>
            </w:r>
            <w:r>
              <w:rPr>
                <w:rFonts w:hint="eastAsia" w:ascii="宋体" w:hAnsi="宋体" w:cs="宋体"/>
                <w:color w:val="000000"/>
                <w:sz w:val="24"/>
                <w:szCs w:val="24"/>
                <w:highlight w:val="none"/>
                <w:lang w:val="zh-CN"/>
              </w:rPr>
              <w:t xml:space="preserve">全部响应满足招标文件技术要求的得3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CN"/>
              </w:rPr>
              <w:t xml:space="preserve">分。</w:t>
            </w:r>
            <w:r>
              <w:rPr>
                <w:rFonts w:hint="eastAsia" w:ascii="宋体" w:hAnsi="宋体" w:cs="宋体"/>
                <w:b/>
                <w:color w:val="000000"/>
                <w:sz w:val="24"/>
                <w:szCs w:val="24"/>
                <w:highlight w:val="none"/>
                <w:lang w:val="zh-CN"/>
              </w:rPr>
              <w:t xml:space="preserve">正偏离不加分。</w:t>
            </w:r>
            <w:r>
              <w:rPr>
                <w:rFonts w:ascii="宋体" w:hAnsi="宋体" w:cs="宋体"/>
                <w:color w:val="000000"/>
                <w:sz w:val="24"/>
                <w:szCs w:val="24"/>
                <w:highlight w:val="none"/>
              </w:rPr>
            </w:r>
            <w:r/>
          </w:p>
          <w:p>
            <w:pPr>
              <w:pStyle w:val="690"/>
              <w:keepLines w:val="0"/>
              <w:keepNext w:val="0"/>
              <w:pageBreakBefore w:val="0"/>
              <w:spacing w:line="240" w:lineRule="auto"/>
              <w:widowControl w:val="off"/>
              <w:rPr>
                <w:rFonts w:ascii="宋体" w:hAnsi="宋体" w:cs="宋体"/>
                <w:b/>
                <w:color w:val="000000"/>
                <w:sz w:val="24"/>
                <w:szCs w:val="24"/>
                <w:highlight w:val="none"/>
                <w:lang w:val="zh-CN"/>
              </w:rPr>
            </w:pPr>
            <w:r>
              <w:rPr>
                <w:rFonts w:ascii="宋体" w:hAnsi="宋体" w:cs="宋体"/>
                <w:b/>
                <w:color w:val="000000"/>
                <w:sz w:val="24"/>
                <w:szCs w:val="24"/>
                <w:highlight w:val="none"/>
                <w:lang w:val="zh-CN"/>
              </w:rPr>
              <w:t xml:space="preserve">1.</w:t>
            </w:r>
            <w:r>
              <w:rPr>
                <w:rFonts w:hint="eastAsia" w:ascii="宋体" w:hAnsi="宋体" w:cs="宋体"/>
                <w:b/>
                <w:color w:val="000000"/>
                <w:sz w:val="24"/>
                <w:szCs w:val="24"/>
                <w:highlight w:val="none"/>
                <w:lang w:val="zh-CN"/>
              </w:rPr>
              <w:t xml:space="preserve">“</w:t>
            </w:r>
            <w:r>
              <w:rPr>
                <w:rFonts w:ascii="宋体" w:hAnsi="宋体" w:cs="宋体"/>
                <w:b/>
                <w:color w:val="000000"/>
                <w:sz w:val="24"/>
                <w:szCs w:val="24"/>
                <w:highlight w:val="none"/>
                <w:lang w:val="zh-CN"/>
              </w:rPr>
              <w:t xml:space="preserve">★</w:t>
            </w:r>
            <w:r>
              <w:rPr>
                <w:rFonts w:hint="eastAsia" w:ascii="宋体" w:hAnsi="宋体" w:cs="宋体"/>
                <w:b/>
                <w:color w:val="000000"/>
                <w:sz w:val="24"/>
                <w:szCs w:val="24"/>
                <w:highlight w:val="none"/>
                <w:lang w:val="zh-CN"/>
              </w:rPr>
              <w:t xml:space="preserve">”条款必须满足，如不符合按无效投标处理。</w:t>
            </w:r>
            <w:r>
              <w:rPr>
                <w:rFonts w:ascii="宋体" w:hAnsi="宋体" w:cs="宋体"/>
                <w:b/>
                <w:color w:val="000000"/>
                <w:sz w:val="24"/>
                <w:szCs w:val="24"/>
                <w:highlight w:val="none"/>
                <w:lang w:val="zh-CN"/>
              </w:rPr>
            </w:r>
            <w:r/>
          </w:p>
          <w:p>
            <w:pPr>
              <w:pStyle w:val="690"/>
              <w:keepLines w:val="0"/>
              <w:keepNext w:val="0"/>
              <w:pageBreakBefore w:val="0"/>
              <w:spacing w:line="240" w:lineRule="auto"/>
              <w:widowControl w:val="off"/>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2.“▲”代表重要参数指标，每负偏离一项扣</w:t>
            </w:r>
            <w:r>
              <w:rPr>
                <w:rFonts w:hint="eastAsia" w:ascii="宋体" w:hAnsi="宋体" w:cs="宋体"/>
                <w:b/>
                <w:color w:val="000000"/>
                <w:sz w:val="24"/>
                <w:szCs w:val="24"/>
                <w:highlight w:val="none"/>
              </w:rPr>
              <w:t xml:space="preserve">3</w:t>
            </w:r>
            <w:r>
              <w:rPr>
                <w:rFonts w:hint="eastAsia" w:ascii="宋体" w:hAnsi="宋体" w:cs="宋体"/>
                <w:b/>
                <w:color w:val="000000"/>
                <w:sz w:val="24"/>
                <w:szCs w:val="24"/>
                <w:highlight w:val="none"/>
                <w:lang w:val="zh-CN"/>
              </w:rPr>
              <w:t xml:space="preserve">分,其他技术参数每负偏离一项扣1分，扣完为止。</w:t>
            </w:r>
            <w:r>
              <w:rPr>
                <w:rFonts w:ascii="宋体" w:hAnsi="宋体" w:cs="宋体"/>
                <w:b/>
                <w:color w:val="000000"/>
                <w:sz w:val="24"/>
                <w:szCs w:val="24"/>
                <w:highlight w:val="none"/>
                <w:lang w:val="zh-CN"/>
              </w:rPr>
            </w:r>
            <w:r/>
          </w:p>
          <w:p>
            <w:pPr>
              <w:pStyle w:val="690"/>
              <w:keepLines w:val="0"/>
              <w:keepNext w:val="0"/>
              <w:pageBreakBefore w:val="0"/>
              <w:spacing w:line="240" w:lineRule="auto"/>
              <w:widowControl w:val="off"/>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注：供应商对于“▲”技术参数的响应，需按招标文件相关要求提供证明材料；如出现虚假响应或所提供证明材料不足以认定符合采购需求的情形，经评标委员会评定可视为负偏离。</w:t>
            </w:r>
            <w:r>
              <w:rPr>
                <w:rFonts w:ascii="宋体" w:hAnsi="宋体" w:cs="宋体"/>
                <w:b/>
                <w:color w:val="000000"/>
                <w:sz w:val="24"/>
                <w:szCs w:val="24"/>
                <w:highlight w:val="none"/>
                <w:lang w:val="zh-CN"/>
              </w:rPr>
            </w:r>
            <w:r/>
          </w:p>
        </w:tc>
      </w:tr>
      <w:tr>
        <w:trPr/>
        <w:tc>
          <w:tcPr>
            <w:tcW w:w="718" w:type="dxa"/>
            <w:vAlign w:val="center"/>
            <w:textDirection w:val="lrTb"/>
            <w:noWrap w:val="false"/>
          </w:tcPr>
          <w:p>
            <w:pPr>
              <w:pStyle w:val="690"/>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ascii="宋体" w:hAnsi="宋体" w:cs="宋体"/>
                <w:color w:val="000000"/>
                <w:sz w:val="24"/>
                <w:szCs w:val="24"/>
                <w:highlight w:val="none"/>
                <w:lang w:val="zh-CN"/>
              </w:rPr>
            </w:r>
            <w:r/>
          </w:p>
        </w:tc>
        <w:tc>
          <w:tcPr>
            <w:tcW w:w="1326" w:type="dxa"/>
            <w:vAlign w:val="center"/>
            <w:textDirection w:val="lrTb"/>
            <w:noWrap w:val="false"/>
          </w:tcPr>
          <w:p>
            <w:pPr>
              <w:pStyle w:val="690"/>
              <w:jc w:val="center"/>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培训方案</w:t>
            </w:r>
            <w:r>
              <w:rPr>
                <w:rFonts w:ascii="宋体" w:hAnsi="宋体" w:cs="宋体"/>
                <w:color w:val="000000"/>
                <w:sz w:val="24"/>
                <w:szCs w:val="24"/>
                <w:highlight w:val="none"/>
                <w:lang w:val="zh-CN"/>
              </w:rPr>
            </w:r>
            <w:r/>
          </w:p>
        </w:tc>
        <w:tc>
          <w:tcPr>
            <w:tcW w:w="840" w:type="dxa"/>
            <w:vAlign w:val="center"/>
            <w:textDirection w:val="lrTb"/>
            <w:noWrap w:val="false"/>
          </w:tcPr>
          <w:p>
            <w:pPr>
              <w:pStyle w:val="690"/>
              <w:jc w:val="center"/>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w:t>
            </w:r>
            <w:r>
              <w:rPr>
                <w:rFonts w:ascii="宋体" w:hAnsi="宋体" w:cs="宋体"/>
                <w:color w:val="000000"/>
                <w:sz w:val="24"/>
                <w:szCs w:val="24"/>
                <w:highlight w:val="none"/>
                <w:lang w:val="zh-CN"/>
              </w:rPr>
            </w:r>
            <w:r/>
          </w:p>
        </w:tc>
        <w:tc>
          <w:tcPr>
            <w:tcW w:w="6254" w:type="dxa"/>
            <w:vAlign w:val="top"/>
            <w:textDirection w:val="lrTb"/>
            <w:noWrap w:val="false"/>
          </w:tcPr>
          <w:p>
            <w:pPr>
              <w:pStyle w:val="69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根据该项目提供符合采购方情况的培训服务方案及技术支持方案。根据其内容完善性、全面性、是否科学规范、可操作性、是否便于实施等具体内容进行综合评审。</w:t>
            </w:r>
            <w:r>
              <w:rPr>
                <w:rFonts w:hint="eastAsia" w:ascii="宋体" w:hAnsi="宋体" w:cs="宋体"/>
                <w:color w:val="000000"/>
                <w:sz w:val="24"/>
                <w:szCs w:val="24"/>
                <w:highlight w:val="none"/>
              </w:rPr>
            </w:r>
            <w:r/>
          </w:p>
          <w:p>
            <w:pPr>
              <w:pStyle w:val="690"/>
              <w:jc w:val="left"/>
              <w:keepLines w:val="0"/>
              <w:keepNext w:val="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要求：具备完善的</w:t>
            </w:r>
            <w:r>
              <w:rPr>
                <w:rFonts w:ascii="宋体" w:hAnsi="宋体" w:cs="宋体"/>
                <w:color w:val="000000"/>
                <w:sz w:val="24"/>
                <w:szCs w:val="24"/>
                <w:highlight w:val="none"/>
                <w:lang w:bidi="ar"/>
              </w:rPr>
              <w:t xml:space="preserve">培训体系</w:t>
            </w:r>
            <w:r>
              <w:rPr>
                <w:rFonts w:hint="eastAsia" w:ascii="宋体" w:hAnsi="宋体" w:cs="宋体"/>
                <w:color w:val="000000"/>
                <w:sz w:val="24"/>
                <w:szCs w:val="24"/>
                <w:highlight w:val="none"/>
                <w:lang w:bidi="ar"/>
              </w:rPr>
              <w:t xml:space="preserve">，可根据甲方需求</w:t>
            </w:r>
            <w:r>
              <w:rPr>
                <w:rFonts w:ascii="宋体" w:hAnsi="宋体" w:cs="宋体"/>
                <w:color w:val="000000"/>
                <w:sz w:val="24"/>
                <w:szCs w:val="24"/>
                <w:highlight w:val="none"/>
                <w:lang w:bidi="ar"/>
              </w:rPr>
              <w:t xml:space="preserve">制定差异化培训课程</w:t>
            </w:r>
            <w:r>
              <w:rPr>
                <w:rFonts w:hint="eastAsia" w:ascii="宋体" w:hAnsi="宋体" w:cs="宋体"/>
                <w:color w:val="000000"/>
                <w:sz w:val="24"/>
                <w:szCs w:val="24"/>
                <w:highlight w:val="none"/>
                <w:lang w:bidi="ar"/>
              </w:rPr>
              <w:t xml:space="preserve">，具备雄厚的</w:t>
            </w:r>
            <w:r>
              <w:rPr>
                <w:rFonts w:ascii="宋体" w:hAnsi="宋体" w:cs="宋体"/>
                <w:color w:val="000000"/>
                <w:sz w:val="24"/>
                <w:szCs w:val="24"/>
                <w:highlight w:val="none"/>
                <w:lang w:bidi="ar"/>
              </w:rPr>
              <w:t xml:space="preserve">培训师资</w:t>
            </w:r>
            <w:r>
              <w:rPr>
                <w:rFonts w:hint="eastAsia" w:ascii="宋体" w:hAnsi="宋体" w:cs="宋体"/>
                <w:color w:val="000000"/>
                <w:sz w:val="24"/>
                <w:szCs w:val="24"/>
                <w:highlight w:val="none"/>
                <w:lang w:bidi="ar"/>
              </w:rPr>
              <w:t xml:space="preserve">力量，提供</w:t>
            </w:r>
            <w:r>
              <w:rPr>
                <w:rFonts w:ascii="宋体" w:hAnsi="宋体" w:cs="宋体"/>
                <w:color w:val="000000"/>
                <w:sz w:val="24"/>
                <w:szCs w:val="24"/>
                <w:highlight w:val="none"/>
                <w:lang w:bidi="ar"/>
              </w:rPr>
              <w:t xml:space="preserve">原厂高级培训师授课</w:t>
            </w:r>
            <w:r>
              <w:rPr>
                <w:rFonts w:hint="eastAsia" w:ascii="宋体" w:hAnsi="宋体" w:cs="宋体"/>
                <w:color w:val="000000"/>
                <w:sz w:val="24"/>
                <w:szCs w:val="24"/>
                <w:highlight w:val="none"/>
                <w:lang w:bidi="ar"/>
              </w:rPr>
              <w:t xml:space="preserve">，提供</w:t>
            </w:r>
            <w:r>
              <w:rPr>
                <w:rFonts w:ascii="宋体" w:hAnsi="宋体" w:cs="宋体"/>
                <w:color w:val="000000"/>
                <w:sz w:val="24"/>
                <w:szCs w:val="24"/>
                <w:highlight w:val="none"/>
                <w:lang w:bidi="ar"/>
              </w:rPr>
              <w:t xml:space="preserve">技术支持</w:t>
            </w:r>
            <w:r>
              <w:rPr>
                <w:rFonts w:hint="eastAsia" w:ascii="宋体" w:hAnsi="宋体" w:cs="宋体"/>
                <w:color w:val="000000"/>
                <w:sz w:val="24"/>
                <w:szCs w:val="24"/>
                <w:highlight w:val="none"/>
                <w:lang w:bidi="ar"/>
              </w:rPr>
              <w:t xml:space="preserve">及</w:t>
            </w:r>
            <w:r>
              <w:rPr>
                <w:rFonts w:ascii="宋体" w:hAnsi="宋体" w:cs="宋体"/>
                <w:color w:val="000000"/>
                <w:sz w:val="24"/>
                <w:szCs w:val="24"/>
                <w:highlight w:val="none"/>
                <w:lang w:bidi="ar"/>
              </w:rPr>
              <w:t xml:space="preserve">远程协助通道</w:t>
            </w:r>
            <w:r>
              <w:rPr>
                <w:rFonts w:hint="eastAsia" w:ascii="宋体" w:hAnsi="宋体" w:cs="宋体"/>
                <w:color w:val="000000"/>
                <w:sz w:val="24"/>
                <w:szCs w:val="24"/>
                <w:highlight w:val="none"/>
                <w:lang w:bidi="ar"/>
              </w:rPr>
              <w:t xml:space="preserve">，提供</w:t>
            </w:r>
            <w:r>
              <w:rPr>
                <w:rFonts w:ascii="宋体" w:hAnsi="宋体" w:cs="宋体"/>
                <w:color w:val="000000"/>
                <w:sz w:val="24"/>
                <w:szCs w:val="24"/>
                <w:highlight w:val="none"/>
                <w:lang w:bidi="ar"/>
              </w:rPr>
              <w:t xml:space="preserve">学术支持</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联合制造商为医院提供相关学术交流、临床应用指导等资源</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t xml:space="preserve">方案涵盖</w:t>
            </w:r>
            <w:r>
              <w:rPr>
                <w:color w:val="000000"/>
                <w:sz w:val="24"/>
                <w:szCs w:val="24"/>
                <w:highlight w:val="none"/>
              </w:rPr>
              <w:t xml:space="preserve">产品介绍</w:t>
            </w:r>
            <w:r>
              <w:rPr>
                <w:rFonts w:hint="eastAsia"/>
                <w:color w:val="000000"/>
                <w:sz w:val="24"/>
                <w:szCs w:val="24"/>
                <w:highlight w:val="none"/>
              </w:rPr>
              <w:t xml:space="preserve">及操作说明、</w:t>
            </w:r>
            <w:r>
              <w:rPr>
                <w:color w:val="000000"/>
                <w:sz w:val="24"/>
                <w:szCs w:val="24"/>
                <w:highlight w:val="none"/>
              </w:rPr>
              <w:t xml:space="preserve">维护保养</w:t>
            </w:r>
            <w:r>
              <w:rPr>
                <w:rFonts w:hint="eastAsia"/>
                <w:color w:val="000000"/>
                <w:sz w:val="24"/>
                <w:szCs w:val="24"/>
                <w:highlight w:val="none"/>
              </w:rPr>
              <w:t xml:space="preserve">、</w:t>
            </w:r>
            <w:r>
              <w:rPr>
                <w:color w:val="000000"/>
                <w:sz w:val="24"/>
                <w:szCs w:val="24"/>
                <w:highlight w:val="none"/>
              </w:rPr>
              <w:t xml:space="preserve">常见故障的排除</w:t>
            </w:r>
            <w:r>
              <w:rPr>
                <w:rFonts w:hint="eastAsia"/>
                <w:color w:val="000000"/>
                <w:sz w:val="24"/>
                <w:szCs w:val="24"/>
                <w:highlight w:val="none"/>
              </w:rPr>
              <w:t xml:space="preserve">、</w:t>
            </w:r>
            <w:r>
              <w:rPr>
                <w:color w:val="000000"/>
                <w:sz w:val="24"/>
                <w:szCs w:val="24"/>
                <w:highlight w:val="none"/>
              </w:rPr>
              <w:t xml:space="preserve">紧急情况的处理</w:t>
            </w:r>
            <w:r>
              <w:rPr>
                <w:rFonts w:hint="eastAsia"/>
                <w:color w:val="000000"/>
                <w:sz w:val="24"/>
                <w:szCs w:val="24"/>
                <w:highlight w:val="none"/>
              </w:rPr>
              <w:t xml:space="preserve">、</w:t>
            </w:r>
            <w:r>
              <w:rPr>
                <w:rFonts w:hint="eastAsia" w:ascii="宋体" w:hAnsi="宋体" w:cs="宋体"/>
                <w:color w:val="000000"/>
                <w:sz w:val="24"/>
                <w:szCs w:val="24"/>
                <w:highlight w:val="none"/>
              </w:rPr>
              <w:t xml:space="preserve">人员的操作培训和采购方所需的技术和学术支持。</w:t>
            </w:r>
            <w:r>
              <w:rPr>
                <w:rFonts w:ascii="宋体" w:hAnsi="宋体" w:cs="宋体"/>
                <w:color w:val="000000"/>
                <w:sz w:val="24"/>
                <w:szCs w:val="24"/>
                <w:highlight w:val="none"/>
              </w:rPr>
            </w:r>
            <w:r/>
          </w:p>
          <w:p>
            <w:pPr>
              <w:pStyle w:val="69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1.方案详实具体、完善全面、科学规范、可操作性、可实施性强的得6分；</w:t>
            </w:r>
            <w:r>
              <w:rPr>
                <w:rFonts w:hint="eastAsia" w:ascii="宋体" w:hAnsi="宋体" w:cs="宋体"/>
                <w:color w:val="000000"/>
                <w:sz w:val="24"/>
                <w:szCs w:val="24"/>
                <w:highlight w:val="none"/>
              </w:rPr>
            </w:r>
            <w:r/>
          </w:p>
          <w:p>
            <w:pPr>
              <w:pStyle w:val="69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2.方案不够详细，针对性、可实施性一般的得3分；</w:t>
            </w:r>
            <w:r>
              <w:rPr>
                <w:rFonts w:hint="eastAsia" w:ascii="宋体" w:hAnsi="宋体" w:cs="宋体"/>
                <w:color w:val="000000"/>
                <w:sz w:val="24"/>
                <w:szCs w:val="24"/>
                <w:highlight w:val="none"/>
              </w:rPr>
            </w:r>
            <w:r/>
          </w:p>
          <w:p>
            <w:pPr>
              <w:pStyle w:val="69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3.方案不够详细，针对性、可实施性较差的得1分；</w:t>
            </w:r>
            <w:r>
              <w:rPr>
                <w:rFonts w:hint="eastAsia" w:ascii="宋体" w:hAnsi="宋体" w:cs="宋体"/>
                <w:color w:val="000000"/>
                <w:sz w:val="24"/>
                <w:szCs w:val="24"/>
                <w:highlight w:val="none"/>
              </w:rPr>
            </w:r>
            <w:r/>
          </w:p>
          <w:p>
            <w:pPr>
              <w:pStyle w:val="690"/>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4.未提供方案，或方案内容与本项目无关的不得分。</w:t>
            </w:r>
            <w:r>
              <w:rPr>
                <w:rFonts w:ascii="宋体" w:hAnsi="宋体" w:cs="宋体"/>
                <w:color w:val="000000"/>
                <w:sz w:val="24"/>
                <w:szCs w:val="24"/>
                <w:highlight w:val="none"/>
                <w:lang w:val="zh-CN"/>
              </w:rPr>
            </w:r>
            <w:r/>
          </w:p>
        </w:tc>
      </w:tr>
      <w:tr>
        <w:trPr/>
        <w:tc>
          <w:tcPr>
            <w:tcW w:w="718" w:type="dxa"/>
            <w:vAlign w:val="center"/>
            <w:textDirection w:val="lrTb"/>
            <w:noWrap w:val="false"/>
          </w:tcPr>
          <w:p>
            <w:pPr>
              <w:pStyle w:val="690"/>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w:t>
            </w:r>
            <w:r>
              <w:rPr>
                <w:rFonts w:ascii="宋体" w:hAnsi="宋体" w:cs="宋体"/>
                <w:color w:val="000000"/>
                <w:sz w:val="24"/>
                <w:szCs w:val="24"/>
                <w:highlight w:val="none"/>
                <w:lang w:val="zh-CN"/>
              </w:rPr>
            </w:r>
            <w:r/>
          </w:p>
        </w:tc>
        <w:tc>
          <w:tcPr>
            <w:tcW w:w="1326" w:type="dxa"/>
            <w:vAlign w:val="center"/>
            <w:textDirection w:val="lrTb"/>
            <w:noWrap w:val="false"/>
          </w:tcPr>
          <w:p>
            <w:pPr>
              <w:pStyle w:val="690"/>
              <w:jc w:val="center"/>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售后服务方案</w:t>
            </w:r>
            <w:r>
              <w:rPr>
                <w:rFonts w:ascii="宋体" w:hAnsi="宋体" w:cs="宋体"/>
                <w:color w:val="000000"/>
                <w:sz w:val="24"/>
                <w:szCs w:val="24"/>
                <w:highlight w:val="none"/>
                <w:lang w:val="zh-CN"/>
              </w:rPr>
            </w:r>
            <w:r/>
          </w:p>
        </w:tc>
        <w:tc>
          <w:tcPr>
            <w:tcW w:w="840" w:type="dxa"/>
            <w:vAlign w:val="center"/>
            <w:textDirection w:val="lrTb"/>
            <w:noWrap w:val="false"/>
          </w:tcPr>
          <w:p>
            <w:pPr>
              <w:pStyle w:val="690"/>
              <w:jc w:val="center"/>
              <w:keepLines w:val="0"/>
              <w:keepNext w:val="0"/>
              <w:pageBreakBefore w:val="0"/>
              <w:spacing w:line="24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r>
            <w:r/>
          </w:p>
        </w:tc>
        <w:tc>
          <w:tcPr>
            <w:tcW w:w="6254" w:type="dxa"/>
            <w:vAlign w:val="top"/>
            <w:textDirection w:val="lrTb"/>
            <w:noWrap w:val="false"/>
          </w:tcPr>
          <w:p>
            <w:pPr>
              <w:pStyle w:val="69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根据该项目提供符合采购人情况的售后服务方案及售后服务承诺。根据其完善性、可实施性、有效性等情况进行综合评审。</w:t>
            </w:r>
            <w:r>
              <w:rPr>
                <w:rFonts w:hint="eastAsia" w:ascii="宋体" w:hAnsi="宋体" w:cs="宋体"/>
                <w:color w:val="000000"/>
                <w:sz w:val="24"/>
                <w:szCs w:val="24"/>
                <w:highlight w:val="none"/>
              </w:rPr>
            </w:r>
            <w:r/>
          </w:p>
          <w:p>
            <w:pPr>
              <w:pStyle w:val="69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要求：有明确的售后服务范围，售后服务人员配备齐全，提供明确的响应电话，响应时效满</w:t>
            </w:r>
            <w:r>
              <w:rPr>
                <w:rFonts w:hint="eastAsia" w:ascii="宋体" w:hAnsi="宋体" w:cs="宋体"/>
                <w:color w:val="000000"/>
                <w:sz w:val="24"/>
                <w:szCs w:val="24"/>
                <w:highlight w:val="none"/>
              </w:rPr>
              <w:t xml:space="preserve">足2小时内电话</w:t>
            </w:r>
            <w:r>
              <w:rPr>
                <w:rFonts w:hint="eastAsia" w:ascii="宋体" w:hAnsi="宋体" w:cs="宋体"/>
                <w:color w:val="000000"/>
                <w:sz w:val="24"/>
                <w:szCs w:val="24"/>
                <w:highlight w:val="none"/>
              </w:rPr>
              <w:t xml:space="preserve">响应进行线上指导</w:t>
            </w:r>
            <w:r>
              <w:rPr>
                <w:rFonts w:hint="eastAsia" w:ascii="宋体" w:hAnsi="宋体" w:cs="宋体"/>
                <w:color w:val="000000"/>
                <w:sz w:val="24"/>
                <w:szCs w:val="24"/>
                <w:highlight w:val="none"/>
              </w:rPr>
              <w:t xml:space="preserve">、24小时</w:t>
            </w:r>
            <w:r>
              <w:rPr>
                <w:rFonts w:hint="eastAsia" w:ascii="宋体" w:hAnsi="宋体" w:cs="宋体"/>
                <w:color w:val="000000"/>
                <w:sz w:val="24"/>
                <w:szCs w:val="24"/>
                <w:highlight w:val="none"/>
              </w:rPr>
              <w:t xml:space="preserve">内到达现场，有明确的故障处理时间，并提供备用设备供临时使用，有额外免费延保服务，免费上门巡检服务，针对设备突发故障制定专项应急处理流程，配件供应服务等。售后服务机制、服务架构、响应时间等，以上要素完备齐全且适用于本项目并有利于所述方案具体落地实施操作。</w:t>
            </w:r>
            <w:r>
              <w:rPr>
                <w:rFonts w:hint="eastAsia" w:ascii="宋体" w:hAnsi="宋体" w:cs="宋体"/>
                <w:color w:val="000000"/>
                <w:sz w:val="24"/>
                <w:szCs w:val="24"/>
                <w:highlight w:val="none"/>
              </w:rPr>
            </w:r>
            <w:r/>
          </w:p>
          <w:p>
            <w:pPr>
              <w:pStyle w:val="69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1.售后服务内容详实完善具体科学可行合理性高，优于采购需求的得5分；</w:t>
            </w:r>
            <w:r>
              <w:rPr>
                <w:rFonts w:hint="eastAsia" w:ascii="宋体" w:hAnsi="宋体" w:cs="宋体"/>
                <w:color w:val="000000"/>
                <w:sz w:val="24"/>
                <w:szCs w:val="24"/>
                <w:highlight w:val="none"/>
              </w:rPr>
            </w:r>
            <w:r/>
          </w:p>
          <w:p>
            <w:pPr>
              <w:pStyle w:val="69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2.售后服务内容不够详细，合理性，可实施性，可行性一般的得3分；</w:t>
            </w:r>
            <w:r>
              <w:rPr>
                <w:rFonts w:hint="eastAsia" w:ascii="宋体" w:hAnsi="宋体" w:cs="宋体"/>
                <w:color w:val="000000"/>
                <w:sz w:val="24"/>
                <w:szCs w:val="24"/>
                <w:highlight w:val="none"/>
              </w:rPr>
            </w:r>
            <w:r/>
          </w:p>
          <w:p>
            <w:pPr>
              <w:pStyle w:val="69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3.售后服务内容不够详细，合理性，可实施性，可行性较差的得1分；</w:t>
            </w:r>
            <w:r>
              <w:rPr>
                <w:rFonts w:hint="eastAsia" w:ascii="宋体" w:hAnsi="宋体" w:cs="宋体"/>
                <w:color w:val="000000"/>
                <w:sz w:val="24"/>
                <w:szCs w:val="24"/>
                <w:highlight w:val="none"/>
              </w:rPr>
            </w:r>
            <w:r/>
          </w:p>
          <w:p>
            <w:pPr>
              <w:pStyle w:val="690"/>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4.未提供方案，或方案内容与本项目无关的不得分。</w:t>
            </w:r>
            <w:r>
              <w:rPr>
                <w:rFonts w:ascii="宋体" w:hAnsi="宋体" w:cs="宋体"/>
                <w:color w:val="000000"/>
                <w:sz w:val="24"/>
                <w:szCs w:val="24"/>
                <w:highlight w:val="none"/>
                <w:lang w:val="zh-CN"/>
              </w:rPr>
            </w:r>
            <w:r/>
          </w:p>
        </w:tc>
      </w:tr>
      <w:tr>
        <w:trPr>
          <w:trHeight w:val="505"/>
        </w:trPr>
        <w:tc>
          <w:tcPr>
            <w:tcW w:w="718" w:type="dxa"/>
            <w:vAlign w:val="center"/>
            <w:textDirection w:val="lrTb"/>
            <w:noWrap w:val="false"/>
          </w:tcPr>
          <w:p>
            <w:pPr>
              <w:pStyle w:val="690"/>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w:t>
            </w:r>
            <w:r>
              <w:rPr>
                <w:rFonts w:ascii="宋体" w:hAnsi="宋体" w:cs="宋体"/>
                <w:color w:val="000000"/>
                <w:sz w:val="24"/>
                <w:szCs w:val="24"/>
                <w:highlight w:val="none"/>
                <w:lang w:val="zh-CN"/>
              </w:rPr>
            </w:r>
            <w:r/>
          </w:p>
        </w:tc>
        <w:tc>
          <w:tcPr>
            <w:tcW w:w="1326" w:type="dxa"/>
            <w:vAlign w:val="center"/>
            <w:textDirection w:val="lrTb"/>
            <w:noWrap w:val="false"/>
          </w:tcPr>
          <w:p>
            <w:pPr>
              <w:pStyle w:val="690"/>
              <w:jc w:val="center"/>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质保期</w:t>
            </w:r>
            <w:r>
              <w:rPr>
                <w:rFonts w:ascii="宋体" w:hAnsi="宋体" w:cs="宋体"/>
                <w:color w:val="000000"/>
                <w:sz w:val="24"/>
                <w:szCs w:val="24"/>
                <w:highlight w:val="none"/>
                <w:lang w:val="zh-CN"/>
              </w:rPr>
            </w:r>
            <w:r/>
          </w:p>
        </w:tc>
        <w:tc>
          <w:tcPr>
            <w:tcW w:w="840" w:type="dxa"/>
            <w:vAlign w:val="center"/>
            <w:textDirection w:val="lrTb"/>
            <w:noWrap w:val="false"/>
          </w:tcPr>
          <w:p>
            <w:pPr>
              <w:pStyle w:val="690"/>
              <w:jc w:val="center"/>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w:t>
            </w:r>
            <w:r>
              <w:rPr>
                <w:rFonts w:ascii="宋体" w:hAnsi="宋体" w:cs="宋体"/>
                <w:color w:val="000000"/>
                <w:sz w:val="24"/>
                <w:szCs w:val="24"/>
                <w:highlight w:val="none"/>
                <w:lang w:val="zh-CN"/>
              </w:rPr>
            </w:r>
            <w:r/>
          </w:p>
        </w:tc>
        <w:tc>
          <w:tcPr>
            <w:tcW w:w="6254" w:type="dxa"/>
            <w:vAlign w:val="center"/>
            <w:textDirection w:val="lrTb"/>
            <w:noWrap w:val="false"/>
          </w:tcPr>
          <w:p>
            <w:pPr>
              <w:pStyle w:val="690"/>
              <w:jc w:val="both"/>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质保期每增加一年得1分，本项最多得3分。</w:t>
            </w:r>
            <w:r>
              <w:rPr>
                <w:rFonts w:ascii="宋体" w:hAnsi="宋体" w:cs="宋体"/>
                <w:color w:val="000000"/>
                <w:sz w:val="24"/>
                <w:szCs w:val="24"/>
                <w:highlight w:val="none"/>
                <w:lang w:val="zh-CN"/>
              </w:rPr>
            </w:r>
            <w:r/>
          </w:p>
        </w:tc>
      </w:tr>
      <w:tr>
        <w:trPr/>
        <w:tc>
          <w:tcPr>
            <w:tcW w:w="718" w:type="dxa"/>
            <w:vAlign w:val="center"/>
            <w:textDirection w:val="lrTb"/>
            <w:noWrap w:val="false"/>
          </w:tcPr>
          <w:p>
            <w:pPr>
              <w:pStyle w:val="690"/>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w:t>
            </w:r>
            <w:r>
              <w:rPr>
                <w:rFonts w:ascii="宋体" w:hAnsi="宋体" w:cs="宋体"/>
                <w:color w:val="000000"/>
                <w:sz w:val="24"/>
                <w:szCs w:val="24"/>
                <w:highlight w:val="none"/>
                <w:lang w:val="zh-CN"/>
              </w:rPr>
            </w:r>
            <w:r/>
          </w:p>
        </w:tc>
        <w:tc>
          <w:tcPr>
            <w:tcW w:w="1326" w:type="dxa"/>
            <w:vAlign w:val="center"/>
            <w:textDirection w:val="lrTb"/>
            <w:noWrap w:val="false"/>
          </w:tcPr>
          <w:p>
            <w:pPr>
              <w:pStyle w:val="690"/>
              <w:jc w:val="center"/>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业绩</w:t>
            </w:r>
            <w:r>
              <w:rPr>
                <w:rFonts w:ascii="宋体" w:hAnsi="宋体" w:cs="宋体"/>
                <w:color w:val="000000"/>
                <w:sz w:val="24"/>
                <w:szCs w:val="24"/>
                <w:highlight w:val="none"/>
                <w:lang w:val="zh-CN"/>
              </w:rPr>
            </w:r>
            <w:r/>
          </w:p>
        </w:tc>
        <w:tc>
          <w:tcPr>
            <w:tcW w:w="840" w:type="dxa"/>
            <w:vAlign w:val="center"/>
            <w:textDirection w:val="lrTb"/>
            <w:noWrap w:val="false"/>
          </w:tcPr>
          <w:p>
            <w:pPr>
              <w:pStyle w:val="690"/>
              <w:jc w:val="center"/>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ascii="宋体" w:hAnsi="宋体" w:cs="宋体"/>
                <w:color w:val="000000"/>
                <w:sz w:val="24"/>
                <w:szCs w:val="24"/>
                <w:highlight w:val="none"/>
                <w:lang w:val="zh-CN"/>
              </w:rPr>
            </w:r>
            <w:r/>
          </w:p>
        </w:tc>
        <w:tc>
          <w:tcPr>
            <w:tcW w:w="6254" w:type="dxa"/>
            <w:vAlign w:val="top"/>
            <w:textDirection w:val="lrTb"/>
            <w:noWrap w:val="false"/>
          </w:tcPr>
          <w:p>
            <w:pPr>
              <w:pStyle w:val="690"/>
              <w:keepLines w:val="0"/>
              <w:keepNext w:val="0"/>
              <w:pageBreakBefore w:val="0"/>
              <w:spacing w:line="24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供应商提供2021年1月1日以来</w:t>
            </w:r>
            <w:bookmarkStart w:id="187" w:name="OLE_LINK2"/>
            <w:r/>
            <w:bookmarkStart w:id="188" w:name="OLE_LINK1"/>
            <w:r>
              <w:rPr>
                <w:rFonts w:hint="eastAsia" w:ascii="宋体" w:hAnsi="宋体" w:cs="宋体"/>
                <w:color w:val="000000"/>
                <w:sz w:val="24"/>
                <w:szCs w:val="24"/>
                <w:highlight w:val="none"/>
                <w:lang w:val="en-US" w:eastAsia="zh-CN"/>
              </w:rPr>
              <w:t xml:space="preserve">任意核心产品</w:t>
            </w:r>
            <w:r>
              <w:rPr>
                <w:rFonts w:hint="eastAsia" w:ascii="宋体" w:hAnsi="宋体" w:cs="宋体"/>
                <w:color w:val="000000"/>
                <w:sz w:val="24"/>
                <w:szCs w:val="24"/>
                <w:highlight w:val="none"/>
                <w:lang w:val="zh-CN"/>
              </w:rPr>
              <w:t xml:space="preserve">业绩</w:t>
            </w:r>
            <w:bookmarkEnd w:id="187"/>
            <w:r/>
            <w:bookmarkEnd w:id="188"/>
            <w:r>
              <w:rPr>
                <w:rFonts w:hint="eastAsia" w:ascii="宋体" w:hAnsi="宋体" w:cs="宋体"/>
                <w:color w:val="000000"/>
                <w:sz w:val="24"/>
                <w:szCs w:val="24"/>
                <w:highlight w:val="none"/>
                <w:lang w:val="zh-CN"/>
              </w:rPr>
              <w:t xml:space="preserve">合同，每提供1份得1分，最多得2分（提供合同复印件及用户单位质量服务评价表复印件，如提供虚假材料作废标处理）未提供的不得分。</w:t>
            </w:r>
            <w:r>
              <w:rPr>
                <w:rFonts w:ascii="宋体" w:hAnsi="宋体" w:cs="宋体"/>
                <w:color w:val="000000"/>
                <w:sz w:val="24"/>
                <w:szCs w:val="24"/>
                <w:highlight w:val="none"/>
                <w:lang w:val="zh-CN"/>
              </w:rPr>
            </w:r>
            <w:r/>
          </w:p>
        </w:tc>
      </w:tr>
    </w:tbl>
    <w:p>
      <w:pPr>
        <w:pStyle w:val="690"/>
        <w:spacing w:line="360" w:lineRule="auto"/>
        <w:rPr>
          <w:rFonts w:ascii="宋体" w:hAnsi="宋体" w:cs="宋体"/>
          <w:b/>
          <w:color w:val="000000"/>
          <w:sz w:val="24"/>
          <w:highlight w:val="none"/>
        </w:rPr>
      </w:pPr>
      <w:r>
        <w:rPr>
          <w:rFonts w:hint="eastAsia" w:ascii="宋体" w:hAnsi="宋体" w:cs="宋体"/>
          <w:b/>
          <w:color w:val="000000"/>
          <w:sz w:val="24"/>
          <w:highlight w:val="none"/>
          <w:lang w:val="zh-CN"/>
        </w:rPr>
        <w:t xml:space="preserve">注：①请供应商根据评分标准制作评分索引并放在评审内容的前面，评分</w:t>
      </w:r>
      <w:r>
        <w:rPr>
          <w:rFonts w:hint="eastAsia" w:ascii="宋体" w:hAnsi="宋体" w:cs="宋体"/>
          <w:b/>
          <w:color w:val="000000"/>
          <w:sz w:val="24"/>
          <w:highlight w:val="none"/>
        </w:rPr>
        <w:t xml:space="preserve">索引中应标明每个评分点的页码范围，如响应文件内容顺序混乱，导致评委无法查看，后果自负。 </w:t>
      </w:r>
      <w:r>
        <w:rPr>
          <w:rFonts w:ascii="宋体" w:hAnsi="宋体" w:cs="宋体"/>
          <w:b/>
          <w:color w:val="000000"/>
          <w:sz w:val="24"/>
          <w:highlight w:val="none"/>
        </w:rPr>
      </w:r>
      <w:r/>
    </w:p>
    <w:p>
      <w:pPr>
        <w:pStyle w:val="690"/>
        <w:ind w:firstLine="56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②请供应商制作响应文件的时保证图片、文字材料的完整、清晰可辨，任何原因导致评委看不清楚或无法查看，后果由供应商自负。</w:t>
      </w:r>
      <w:r>
        <w:rPr>
          <w:rFonts w:ascii="宋体" w:hAnsi="宋体" w:cs="宋体"/>
          <w:b/>
          <w:color w:val="000000"/>
          <w:sz w:val="24"/>
          <w:highlight w:val="none"/>
        </w:rPr>
      </w:r>
      <w:r/>
    </w:p>
    <w:p>
      <w:pPr>
        <w:pStyle w:val="690"/>
        <w:ind w:firstLine="56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③供应商制作响应文件时所用的所有原件材料均须准备好，签订合同前被采购人核查，如核查时供应商不能提供相关原件材料作弄虚作假处理，供应商自行承担相应法律后果。</w:t>
      </w:r>
      <w:r>
        <w:rPr>
          <w:rFonts w:ascii="宋体" w:hAnsi="宋体" w:cs="宋体"/>
          <w:b/>
          <w:color w:val="000000"/>
          <w:sz w:val="24"/>
          <w:highlight w:val="none"/>
        </w:rPr>
      </w:r>
      <w:r/>
    </w:p>
    <w:p>
      <w:pPr>
        <w:pStyle w:val="690"/>
        <w:ind w:firstLine="560"/>
        <w:spacing w:line="500" w:lineRule="exact"/>
        <w:rPr>
          <w:rFonts w:ascii="宋体" w:hAnsi="宋体" w:cs="宋体"/>
          <w:color w:val="000000"/>
          <w:sz w:val="24"/>
          <w:highlight w:val="none"/>
        </w:rPr>
      </w:pPr>
      <w:r>
        <w:rPr>
          <w:rFonts w:ascii="Calibri" w:hAnsi="Calibri" w:cs="Calibri"/>
          <w:b/>
          <w:color w:val="000000"/>
          <w:sz w:val="24"/>
          <w:highlight w:val="none"/>
        </w:rPr>
        <w:t xml:space="preserve">②</w:t>
      </w:r>
      <w:r>
        <w:rPr>
          <w:rFonts w:hint="eastAsia" w:ascii="宋体" w:hAnsi="宋体" w:cs="宋体"/>
          <w:b/>
          <w:color w:val="000000"/>
          <w:sz w:val="24"/>
          <w:highlight w:val="none"/>
          <w:lang w:val="zh-CN"/>
        </w:rPr>
        <w:t xml:space="preserve">价格分</w:t>
      </w:r>
      <w:r>
        <w:rPr>
          <w:rFonts w:hint="eastAsia" w:ascii="宋体" w:hAnsi="宋体" w:cs="宋体"/>
          <w:b/>
          <w:color w:val="000000"/>
          <w:sz w:val="24"/>
          <w:highlight w:val="none"/>
        </w:rPr>
        <w:t xml:space="preserve">：</w:t>
      </w:r>
      <w:r>
        <w:rPr>
          <w:rFonts w:ascii="宋体" w:hAnsi="宋体" w:cs="宋体"/>
          <w:b/>
          <w:color w:val="000000"/>
          <w:sz w:val="24"/>
          <w:highlight w:val="none"/>
        </w:rPr>
        <w:t xml:space="preserve">50</w:t>
      </w:r>
      <w:r>
        <w:rPr>
          <w:rFonts w:hint="eastAsia" w:ascii="宋体" w:hAnsi="宋体" w:cs="宋体"/>
          <w:b/>
          <w:color w:val="000000"/>
          <w:sz w:val="24"/>
          <w:highlight w:val="none"/>
          <w:lang w:val="zh-CN"/>
        </w:rPr>
        <w:t xml:space="preserve">分</w:t>
      </w:r>
      <w:r>
        <w:rPr>
          <w:rFonts w:ascii="宋体" w:hAnsi="宋体" w:cs="宋体"/>
          <w:color w:val="000000"/>
          <w:sz w:val="24"/>
          <w:highlight w:val="none"/>
        </w:rPr>
      </w:r>
      <w:r/>
    </w:p>
    <w:p>
      <w:pPr>
        <w:pStyle w:val="690"/>
        <w:ind w:firstLine="56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价格分统一采用低价优先法计算，即满足招标文件要求且投标价格最低的投标报价为评标基准价，其价格分为满分。其他投标人的价格分统一按照下列公式计算：</w:t>
      </w:r>
      <w:r>
        <w:rPr>
          <w:rFonts w:ascii="宋体" w:hAnsi="宋体" w:cs="宋体"/>
          <w:color w:val="000000"/>
          <w:sz w:val="24"/>
          <w:highlight w:val="none"/>
        </w:rPr>
      </w:r>
      <w:r/>
    </w:p>
    <w:p>
      <w:pPr>
        <w:pStyle w:val="752"/>
        <w:spacing w:before="0" w:beforeAutospacing="0" w:after="0" w:afterAutospacing="0" w:line="0" w:lineRule="atLeast"/>
        <w:rPr>
          <w:rFonts w:hint="eastAsia"/>
          <w:color w:val="000000"/>
          <w:highlight w:val="none"/>
        </w:rPr>
      </w:pPr>
      <w:r>
        <w:rPr>
          <w:rFonts w:hint="eastAsia"/>
          <w:color w:val="000000"/>
          <w:highlight w:val="none"/>
        </w:rPr>
        <w:t xml:space="preserve">投标报价得分=（评标基准价/投标报价）×价格权值×100</w:t>
      </w:r>
      <w:r>
        <w:rPr>
          <w:rFonts w:hint="eastAsia"/>
          <w:color w:val="000000"/>
          <w:highlight w:val="none"/>
        </w:rPr>
      </w:r>
      <w:r/>
    </w:p>
    <w:p>
      <w:pPr>
        <w:pStyle w:val="690"/>
        <w:ind w:firstLine="560"/>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90"/>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690"/>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690"/>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690"/>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690"/>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第六章  投标</w:t>
      </w:r>
      <w:bookmarkEnd w:id="180"/>
      <w:r/>
      <w:bookmarkEnd w:id="181"/>
      <w:r/>
      <w:bookmarkEnd w:id="183"/>
      <w:r>
        <w:rPr>
          <w:rFonts w:hint="eastAsia" w:ascii="黑体" w:eastAsia="黑体"/>
          <w:bCs/>
          <w:color w:val="000000"/>
          <w:sz w:val="44"/>
          <w:szCs w:val="28"/>
          <w:highlight w:val="none"/>
        </w:rPr>
        <w:t xml:space="preserve">文件格式</w:t>
      </w:r>
      <w:r>
        <w:rPr>
          <w:rFonts w:hint="eastAsia" w:ascii="黑体" w:eastAsia="黑体"/>
          <w:bCs/>
          <w:color w:val="000000"/>
          <w:sz w:val="44"/>
          <w:szCs w:val="28"/>
          <w:highlight w:val="none"/>
        </w:rPr>
      </w:r>
      <w:r/>
    </w:p>
    <w:p>
      <w:pPr>
        <w:pStyle w:val="690"/>
        <w:jc w:val="center"/>
        <w:rPr>
          <w:rFonts w:hint="eastAsia" w:ascii="宋体" w:hAnsi="宋体"/>
          <w:b/>
          <w:color w:val="000000"/>
          <w:sz w:val="72"/>
          <w:szCs w:val="21"/>
          <w:highlight w:val="none"/>
        </w:rPr>
      </w:pPr>
      <w:r/>
      <w:bookmarkStart w:id="189" w:name="_Hlt26671244"/>
      <w:r/>
      <w:bookmarkEnd w:id="189"/>
      <w:r/>
      <w:bookmarkStart w:id="190" w:name="_Hlt26955039"/>
      <w:r/>
      <w:bookmarkEnd w:id="190"/>
      <w:r/>
      <w:bookmarkStart w:id="191" w:name="_Toc49090576"/>
      <w:r/>
      <w:bookmarkStart w:id="192" w:name="_Toc120614282"/>
      <w:r/>
      <w:bookmarkStart w:id="193" w:name="_Toc26554094"/>
      <w:r>
        <w:rPr>
          <w:rFonts w:hint="eastAsia" w:ascii="宋体" w:hAnsi="宋体"/>
          <w:b/>
          <w:color w:val="000000"/>
          <w:sz w:val="72"/>
          <w:szCs w:val="21"/>
          <w:highlight w:val="none"/>
        </w:rPr>
      </w:r>
      <w:r/>
    </w:p>
    <w:p>
      <w:pPr>
        <w:pStyle w:val="690"/>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69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9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9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90"/>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690"/>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9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69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90"/>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hint="eastAsia" w:ascii="宋体" w:hAnsi="宋体"/>
          <w:b/>
          <w:bCs/>
          <w:color w:val="000000"/>
          <w:sz w:val="32"/>
          <w:szCs w:val="32"/>
          <w:highlight w:val="none"/>
        </w:rPr>
      </w:r>
      <w:r/>
    </w:p>
    <w:p>
      <w:pPr>
        <w:pStyle w:val="6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90"/>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rPr>
          <w:rFonts w:ascii="宋体" w:hAnsi="宋体"/>
          <w:b/>
          <w:color w:val="000000"/>
          <w:sz w:val="24"/>
          <w:szCs w:val="21"/>
          <w:highlight w:val="none"/>
        </w:rPr>
      </w:r>
      <w:r/>
    </w:p>
    <w:p>
      <w:pPr>
        <w:pStyle w:val="690"/>
        <w:ind w:left="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开标一览表（格式见附件</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投标分项报价表（格式见</w:t>
      </w:r>
      <w:r>
        <w:rPr>
          <w:rFonts w:ascii="宋体" w:hAnsi="宋体"/>
          <w:color w:val="000000"/>
          <w:sz w:val="24"/>
          <w:szCs w:val="21"/>
          <w:highlight w:val="none"/>
        </w:rPr>
        <w:t xml:space="preserve">附件2</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90"/>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技术要求响应及偏离表（格式见</w:t>
      </w:r>
      <w:r>
        <w:rPr>
          <w:rFonts w:ascii="宋体" w:hAnsi="宋体"/>
          <w:color w:val="000000"/>
          <w:sz w:val="24"/>
          <w:szCs w:val="21"/>
          <w:highlight w:val="none"/>
        </w:rPr>
        <w:t xml:space="preserve">附件3</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90"/>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商务要求响应及偏离表（格式见</w:t>
      </w:r>
      <w:r>
        <w:rPr>
          <w:rFonts w:ascii="宋体" w:hAnsi="宋体"/>
          <w:color w:val="000000"/>
          <w:sz w:val="24"/>
          <w:szCs w:val="21"/>
          <w:highlight w:val="none"/>
        </w:rPr>
        <w:t xml:space="preserve">附件4</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90"/>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5.其他认为需要提供的材料（格式自拟）</w:t>
      </w:r>
      <w:r>
        <w:rPr>
          <w:rFonts w:ascii="宋体" w:hAnsi="宋体"/>
          <w:color w:val="000000"/>
          <w:sz w:val="24"/>
          <w:szCs w:val="21"/>
          <w:highlight w:val="none"/>
        </w:rPr>
      </w:r>
      <w:r/>
    </w:p>
    <w:p>
      <w:pPr>
        <w:pStyle w:val="690"/>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rPr>
          <w:rFonts w:hint="eastAsia" w:ascii="宋体" w:hAnsi="宋体"/>
          <w:b/>
          <w:color w:val="000000"/>
          <w:sz w:val="24"/>
          <w:szCs w:val="21"/>
          <w:highlight w:val="none"/>
        </w:rPr>
      </w:r>
      <w:r/>
    </w:p>
    <w:p>
      <w:pPr>
        <w:pStyle w:val="690"/>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法人或者其他组织的营业执照等证明文件，自然人的身份证明</w:t>
      </w:r>
      <w:r>
        <w:rPr>
          <w:rFonts w:hint="eastAsia" w:ascii="宋体" w:hAnsi="宋体"/>
          <w:color w:val="000000"/>
          <w:sz w:val="24"/>
          <w:szCs w:val="21"/>
          <w:highlight w:val="none"/>
        </w:rPr>
      </w:r>
      <w:r/>
    </w:p>
    <w:p>
      <w:pPr>
        <w:pStyle w:val="690"/>
        <w:ind w:left="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w:t>
      </w:r>
      <w:r>
        <w:rPr>
          <w:rFonts w:hint="eastAsia" w:ascii="宋体" w:hAnsi="宋体"/>
          <w:color w:val="000000"/>
          <w:sz w:val="24"/>
          <w:szCs w:val="24"/>
          <w:highlight w:val="none"/>
        </w:rPr>
        <w:t xml:space="preserve">上一年度的财务状况报告，至少包括资产负债表和利润表（成立不满一年无需提供）；</w:t>
      </w:r>
      <w:r>
        <w:rPr>
          <w:rFonts w:hint="eastAsia" w:ascii="宋体" w:hAnsi="宋体"/>
          <w:color w:val="000000"/>
          <w:sz w:val="24"/>
          <w:szCs w:val="24"/>
          <w:highlight w:val="none"/>
        </w:rPr>
      </w:r>
      <w:r/>
    </w:p>
    <w:p>
      <w:pPr>
        <w:pStyle w:val="690"/>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依法缴纳税收和社会保障资金的相关材料（提供提交投标文件截止时间</w:t>
      </w:r>
      <w:r>
        <w:rPr>
          <w:rFonts w:ascii="宋体" w:hAnsi="宋体"/>
          <w:color w:val="000000"/>
          <w:sz w:val="24"/>
          <w:szCs w:val="21"/>
          <w:highlight w:val="none"/>
        </w:rPr>
      </w:r>
      <w:r/>
    </w:p>
    <w:p>
      <w:pPr>
        <w:pStyle w:val="69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color w:val="000000"/>
          <w:sz w:val="24"/>
          <w:szCs w:val="21"/>
          <w:highlight w:val="none"/>
        </w:rPr>
      </w:r>
      <w:r/>
    </w:p>
    <w:p>
      <w:pPr>
        <w:pStyle w:val="690"/>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具备履行合同所必需的设备和专业技术能力的书面声明（格式见</w:t>
      </w:r>
      <w:r>
        <w:rPr>
          <w:rFonts w:ascii="宋体" w:hAnsi="宋体"/>
          <w:color w:val="000000"/>
          <w:sz w:val="24"/>
          <w:szCs w:val="21"/>
          <w:highlight w:val="none"/>
        </w:rPr>
        <w:t xml:space="preserve">附件5</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90"/>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5.参加政府采购活动前 3 年内在经营活动中没有重大违法记录的书面声</w:t>
      </w:r>
      <w:r>
        <w:rPr>
          <w:rFonts w:ascii="宋体" w:hAnsi="宋体"/>
          <w:color w:val="000000"/>
          <w:sz w:val="24"/>
          <w:szCs w:val="21"/>
          <w:highlight w:val="none"/>
        </w:rPr>
      </w:r>
      <w:r/>
    </w:p>
    <w:p>
      <w:pPr>
        <w:pStyle w:val="69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明（格式见</w:t>
      </w:r>
      <w:r>
        <w:rPr>
          <w:rFonts w:ascii="宋体" w:hAnsi="宋体"/>
          <w:color w:val="000000"/>
          <w:sz w:val="24"/>
          <w:szCs w:val="21"/>
          <w:highlight w:val="none"/>
        </w:rPr>
        <w:t xml:space="preserve">附件6</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特定资格要求的证明文件（如果本项目对投标人</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，必须提供）</w:t>
      </w:r>
      <w:r>
        <w:rPr>
          <w:rFonts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7.</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8.</w:t>
      </w:r>
      <w:r>
        <w:rPr>
          <w:rFonts w:hint="eastAsia" w:ascii="宋体" w:hAnsi="宋体"/>
          <w:color w:val="000000"/>
          <w:sz w:val="24"/>
          <w:szCs w:val="21"/>
          <w:highlight w:val="none"/>
        </w:rPr>
        <w:t xml:space="preserve">法人授权书（格式见附件</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投标函（格式见附件</w:t>
      </w:r>
      <w:r>
        <w:rPr>
          <w:rFonts w:ascii="宋体" w:hAnsi="宋体"/>
          <w:color w:val="000000"/>
          <w:sz w:val="24"/>
          <w:szCs w:val="21"/>
          <w:highlight w:val="none"/>
        </w:rPr>
        <w:t xml:space="preserve">8</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firstLine="480"/>
        <w:spacing w:line="400" w:lineRule="exact"/>
        <w:rPr>
          <w:rFonts w:hint="eastAsia" w:ascii="宋体" w:hAnsi="宋体"/>
          <w:b/>
          <w:bCs/>
          <w:color w:val="000000"/>
          <w:sz w:val="24"/>
          <w:szCs w:val="21"/>
          <w:highlight w:val="none"/>
        </w:rPr>
      </w:pPr>
      <w:r>
        <w:rPr>
          <w:rFonts w:ascii="宋体" w:hAnsi="宋体"/>
          <w:color w:val="000000"/>
          <w:sz w:val="24"/>
          <w:szCs w:val="21"/>
          <w:highlight w:val="none"/>
        </w:rPr>
        <w:t xml:space="preserve">10.</w:t>
      </w:r>
      <w:r>
        <w:rPr>
          <w:rFonts w:hint="eastAsia" w:ascii="宋体" w:hAnsi="宋体"/>
          <w:color w:val="000000"/>
          <w:sz w:val="24"/>
          <w:szCs w:val="21"/>
          <w:highlight w:val="none"/>
        </w:rPr>
        <w:t xml:space="preserve">中小微企业声明函</w:t>
      </w:r>
      <w:r>
        <w:rPr>
          <w:rFonts w:hint="eastAsia" w:ascii="宋体" w:hAnsi="宋体"/>
          <w:b/>
          <w:bCs/>
          <w:color w:val="000000"/>
          <w:sz w:val="24"/>
          <w:szCs w:val="21"/>
          <w:highlight w:val="none"/>
        </w:rPr>
        <w:t xml:space="preserve">（本项目</w:t>
      </w:r>
      <w:r>
        <w:rPr>
          <w:rFonts w:ascii="宋体" w:hAnsi="宋体"/>
          <w:b/>
          <w:bCs/>
          <w:color w:val="000000"/>
          <w:sz w:val="24"/>
          <w:szCs w:val="21"/>
          <w:highlight w:val="none"/>
        </w:rPr>
        <w:t xml:space="preserve">专门面向中小微型企业采购，必须提供</w:t>
      </w:r>
      <w:r>
        <w:rPr>
          <w:rFonts w:hint="eastAsia" w:ascii="宋体" w:hAnsi="宋体"/>
          <w:b/>
          <w:bCs/>
          <w:color w:val="000000"/>
          <w:sz w:val="24"/>
          <w:szCs w:val="21"/>
          <w:highlight w:val="none"/>
        </w:rPr>
        <w:t xml:space="preserve">，否则作无效投标文件处理。</w:t>
      </w:r>
      <w:r>
        <w:rPr>
          <w:rFonts w:ascii="宋体" w:hAnsi="宋体"/>
          <w:b/>
          <w:bCs/>
          <w:color w:val="000000"/>
          <w:sz w:val="24"/>
          <w:szCs w:val="21"/>
          <w:highlight w:val="none"/>
        </w:rPr>
        <w:t xml:space="preserve">格式</w:t>
      </w:r>
      <w:r>
        <w:rPr>
          <w:rFonts w:hint="eastAsia" w:ascii="宋体" w:hAnsi="宋体"/>
          <w:b/>
          <w:bCs/>
          <w:color w:val="000000"/>
          <w:sz w:val="24"/>
          <w:szCs w:val="21"/>
          <w:highlight w:val="none"/>
        </w:rPr>
        <w:t xml:space="preserve">见</w:t>
      </w:r>
      <w:r>
        <w:rPr>
          <w:rFonts w:ascii="宋体" w:hAnsi="宋体"/>
          <w:b/>
          <w:bCs/>
          <w:color w:val="000000"/>
          <w:sz w:val="24"/>
          <w:szCs w:val="21"/>
          <w:highlight w:val="none"/>
        </w:rPr>
        <w:t xml:space="preserve">附件9</w:t>
      </w:r>
      <w:r>
        <w:rPr>
          <w:rFonts w:hint="eastAsia" w:ascii="宋体" w:hAnsi="宋体"/>
          <w:b/>
          <w:bCs/>
          <w:color w:val="000000"/>
          <w:sz w:val="24"/>
          <w:szCs w:val="21"/>
          <w:highlight w:val="none"/>
        </w:rPr>
        <w:t xml:space="preserve">）</w:t>
      </w:r>
      <w:r>
        <w:rPr>
          <w:rFonts w:hint="eastAsia" w:ascii="宋体" w:hAnsi="宋体"/>
          <w:b/>
          <w:bCs/>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残疾人福利性单位声明函（如果本项目</w:t>
      </w:r>
      <w:r>
        <w:rPr>
          <w:rFonts w:ascii="宋体" w:hAnsi="宋体"/>
          <w:color w:val="000000"/>
          <w:sz w:val="24"/>
          <w:szCs w:val="21"/>
          <w:highlight w:val="none"/>
        </w:rPr>
        <w:t xml:space="preserve">专门面向中小微型企业采购，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.联合体协议（如果本项目接受联合体</w:t>
      </w:r>
      <w:r>
        <w:rPr>
          <w:rFonts w:ascii="宋体" w:hAnsi="宋体"/>
          <w:color w:val="000000"/>
          <w:sz w:val="24"/>
          <w:szCs w:val="21"/>
          <w:highlight w:val="none"/>
        </w:rPr>
        <w:t xml:space="preserve">参加投标，</w:t>
      </w:r>
      <w:r>
        <w:rPr>
          <w:rFonts w:hint="eastAsia" w:ascii="宋体" w:hAnsi="宋体"/>
          <w:color w:val="000000"/>
          <w:sz w:val="24"/>
          <w:szCs w:val="21"/>
          <w:highlight w:val="none"/>
        </w:rPr>
        <w:t xml:space="preserve">投标人是联合体的，</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附件11</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总备注：上述“资格审查内容”中1-5条、</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、9条投标人必须在投标文件</w:t>
      </w:r>
      <w:r>
        <w:rPr>
          <w:rFonts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中提供相关材料，否则作无效投标处理；6、10、11、12条如招标文件要求必须提供相关材料而未提供的，作无效投标处理。</w:t>
      </w:r>
      <w:r>
        <w:rPr>
          <w:rFonts w:ascii="宋体" w:hAnsi="宋体"/>
          <w:color w:val="000000"/>
          <w:sz w:val="24"/>
          <w:szCs w:val="24"/>
          <w:highlight w:val="none"/>
        </w:rPr>
      </w:r>
      <w:r/>
    </w:p>
    <w:p>
      <w:pPr>
        <w:pStyle w:val="690"/>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rPr>
          <w:rFonts w:hint="eastAsia" w:ascii="宋体" w:hAnsi="宋体"/>
          <w:b/>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hint="eastAsia" w:ascii="宋体" w:hAnsi="宋体"/>
          <w:b/>
          <w:bCs/>
          <w:color w:val="000000"/>
          <w:sz w:val="24"/>
          <w:szCs w:val="21"/>
          <w:highlight w:val="none"/>
        </w:rPr>
        <w:t xml:space="preserve">加</w:t>
      </w:r>
      <w:r>
        <w:rPr>
          <w:rFonts w:ascii="宋体" w:hAnsi="宋体" w:cs="宋体"/>
          <w:b/>
          <w:color w:val="000000"/>
          <w:sz w:val="22"/>
          <w:szCs w:val="28"/>
          <w:highlight w:val="none"/>
          <w:lang w:val="zh-CN"/>
        </w:rPr>
        <w:t xml:space="preserve">★</w:t>
      </w:r>
      <w:r>
        <w:rPr>
          <w:rFonts w:hint="eastAsia" w:ascii="宋体" w:hAnsi="宋体"/>
          <w:b/>
          <w:bCs/>
          <w:color w:val="000000"/>
          <w:sz w:val="24"/>
          <w:szCs w:val="21"/>
          <w:highlight w:val="none"/>
        </w:rPr>
        <w:t xml:space="preserve">号条款</w:t>
      </w:r>
      <w:r>
        <w:rPr>
          <w:rFonts w:ascii="宋体" w:hAnsi="宋体"/>
          <w:color w:val="000000"/>
          <w:sz w:val="24"/>
          <w:szCs w:val="21"/>
          <w:highlight w:val="none"/>
        </w:rPr>
        <w:t xml:space="preserve">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，否则作无效投标处理。（格式见</w:t>
      </w:r>
      <w:r>
        <w:rPr>
          <w:rFonts w:ascii="宋体" w:hAnsi="宋体"/>
          <w:color w:val="000000"/>
          <w:sz w:val="24"/>
          <w:szCs w:val="21"/>
          <w:highlight w:val="none"/>
        </w:rPr>
        <w:t xml:space="preserve">附件12</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firstLine="480"/>
        <w:rPr>
          <w:rFonts w:ascii="宋体" w:hAnsi="宋体"/>
          <w:b/>
          <w:color w:val="000000"/>
          <w:sz w:val="24"/>
          <w:szCs w:val="21"/>
          <w:highlight w:val="none"/>
        </w:rPr>
      </w:pPr>
      <w:r>
        <w:rPr>
          <w:rFonts w:hint="eastAsia" w:ascii="宋体" w:hAnsi="宋体"/>
          <w:b/>
          <w:color w:val="000000"/>
          <w:sz w:val="24"/>
          <w:szCs w:val="21"/>
          <w:highlight w:val="none"/>
        </w:rPr>
        <w:t xml:space="preserve">四、价格</w:t>
      </w:r>
      <w:r>
        <w:rPr>
          <w:rFonts w:ascii="宋体" w:hAnsi="宋体"/>
          <w:b/>
          <w:color w:val="000000"/>
          <w:sz w:val="24"/>
          <w:szCs w:val="21"/>
          <w:highlight w:val="none"/>
        </w:rPr>
        <w:t xml:space="preserve">扣除证明文件</w:t>
      </w:r>
      <w:r>
        <w:rPr>
          <w:rFonts w:ascii="宋体" w:hAnsi="宋体"/>
          <w:b/>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中小微企业声明函（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残疾人福利性单位声明函（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 关于符合本国产品标准的声明函（格式见附件13）</w:t>
      </w:r>
      <w:r>
        <w:rPr>
          <w:rFonts w:hint="eastAsia" w:ascii="方正魏碑_GBK" w:hAnsi="方正魏碑_GBK" w:eastAsia="方正魏碑_GBK" w:cs="方正魏碑_GBK"/>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90"/>
        <w:ind w:left="480"/>
        <w:rPr>
          <w:rFonts w:ascii="宋体" w:hAnsi="宋体"/>
          <w:b/>
          <w:color w:val="000000"/>
          <w:sz w:val="24"/>
          <w:szCs w:val="21"/>
          <w:highlight w:val="none"/>
        </w:rPr>
      </w:pPr>
      <w:r>
        <w:rPr>
          <w:rFonts w:ascii="宋体" w:hAnsi="宋体"/>
          <w:b/>
          <w:color w:val="000000"/>
          <w:sz w:val="24"/>
          <w:szCs w:val="21"/>
          <w:highlight w:val="none"/>
        </w:rPr>
      </w:r>
      <w:r/>
    </w:p>
    <w:p>
      <w:pPr>
        <w:pStyle w:val="690"/>
        <w:rPr>
          <w:rFonts w:hint="eastAsia" w:eastAsia="仿宋_GB2312"/>
          <w:color w:val="000000"/>
          <w:sz w:val="24"/>
          <w:szCs w:val="20"/>
          <w:highlight w:val="none"/>
        </w:rPr>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 </w:t>
      </w:r>
      <w:r>
        <w:rPr>
          <w:rFonts w:hint="eastAsia" w:ascii="宋体" w:hAnsi="宋体"/>
          <w:b/>
          <w:color w:val="000000"/>
          <w:sz w:val="24"/>
          <w:szCs w:val="24"/>
          <w:highlight w:val="none"/>
        </w:rPr>
        <w:t xml:space="preserve">开标一览表</w:t>
      </w:r>
      <w:r>
        <w:rPr>
          <w:rFonts w:hint="eastAsia" w:eastAsia="仿宋_GB2312"/>
          <w:color w:val="000000"/>
          <w:sz w:val="24"/>
          <w:szCs w:val="20"/>
          <w:highlight w:val="none"/>
        </w:rPr>
      </w:r>
      <w:r/>
    </w:p>
    <w:p>
      <w:pPr>
        <w:pStyle w:val="690"/>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690"/>
        <w:ind w:firstLine="482"/>
        <w:spacing w:line="400" w:lineRule="exact"/>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690"/>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项目编号：                                   </w:t>
      </w:r>
      <w:r>
        <w:rPr>
          <w:rFonts w:ascii="宋体" w:hAnsi="宋体"/>
          <w:color w:val="000000"/>
          <w:sz w:val="24"/>
          <w:szCs w:val="24"/>
          <w:highlight w:val="none"/>
        </w:rPr>
      </w:r>
      <w:r/>
    </w:p>
    <w:p>
      <w:pPr>
        <w:pStyle w:val="690"/>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采购包号：</w:t>
      </w:r>
      <w:r>
        <w:rPr>
          <w:rFonts w:ascii="宋体" w:hAnsi="宋体"/>
          <w:color w:val="000000"/>
          <w:sz w:val="24"/>
          <w:szCs w:val="24"/>
          <w:highlight w:val="none"/>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90"/>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690"/>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690"/>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产品品牌</w:t>
            </w:r>
            <w:r>
              <w:rPr>
                <w:rFonts w:hint="eastAsia" w:ascii="宋体" w:hAnsi="宋体" w:cs="宋体"/>
                <w:color w:val="000000"/>
                <w:sz w:val="24"/>
                <w:szCs w:val="24"/>
                <w:highlight w:val="none"/>
              </w:rPr>
            </w:r>
            <w:r/>
          </w:p>
        </w:tc>
        <w:tc>
          <w:tcPr>
            <w:tcW w:w="6405" w:type="dxa"/>
            <w:vAlign w:val="center"/>
            <w:textDirection w:val="lrTb"/>
            <w:noWrap w:val="false"/>
          </w:tcPr>
          <w:p>
            <w:pPr>
              <w:pStyle w:val="69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0"/>
        <w:rPr>
          <w:rFonts w:ascii="宋体" w:hAnsi="宋体"/>
          <w:color w:val="000000"/>
          <w:sz w:val="24"/>
          <w:szCs w:val="24"/>
          <w:highlight w:val="none"/>
        </w:rPr>
      </w:pPr>
      <w:r>
        <w:rPr>
          <w:rFonts w:ascii="宋体" w:hAnsi="宋体"/>
          <w:color w:val="000000"/>
          <w:sz w:val="24"/>
          <w:szCs w:val="24"/>
          <w:highlight w:val="none"/>
        </w:rPr>
      </w:r>
      <w:r/>
    </w:p>
    <w:p>
      <w:pPr>
        <w:pStyle w:val="690"/>
        <w:rPr>
          <w:rFonts w:ascii="宋体" w:hAnsi="宋体"/>
          <w:color w:val="000000"/>
          <w:sz w:val="24"/>
          <w:szCs w:val="24"/>
          <w:highlight w:val="none"/>
        </w:rPr>
      </w:pPr>
      <w:r>
        <w:rPr>
          <w:rFonts w:ascii="宋体" w:hAnsi="宋体"/>
          <w:color w:val="000000"/>
          <w:sz w:val="24"/>
          <w:szCs w:val="24"/>
          <w:highlight w:val="none"/>
        </w:rPr>
      </w:r>
      <w:r/>
    </w:p>
    <w:p>
      <w:pPr>
        <w:pStyle w:val="69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90"/>
        <w:jc w:val="center"/>
        <w:rPr>
          <w:rFonts w:ascii="宋体" w:hAnsi="宋体"/>
          <w:b/>
          <w:color w:val="000000"/>
          <w:sz w:val="24"/>
          <w:szCs w:val="24"/>
          <w:highlight w:val="none"/>
        </w:rPr>
      </w:pPr>
      <w:r>
        <w:rPr>
          <w:rFonts w:ascii="宋体" w:hAnsi="宋体"/>
          <w:b/>
          <w:color w:val="000000"/>
          <w:sz w:val="24"/>
          <w:szCs w:val="24"/>
          <w:highlight w:val="none"/>
        </w:rPr>
      </w:r>
      <w:r/>
    </w:p>
    <w:p>
      <w:pPr>
        <w:pStyle w:val="690"/>
        <w:jc w:val="center"/>
        <w:rPr>
          <w:rFonts w:hint="eastAsia" w:ascii="宋体" w:hAnsi="宋体"/>
          <w:b/>
          <w:color w:val="000000"/>
          <w:sz w:val="24"/>
          <w:szCs w:val="24"/>
          <w:highlight w:val="none"/>
        </w:rPr>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 投标分项报价表（采购包号：***）</w:t>
      </w:r>
      <w:r>
        <w:rPr>
          <w:rFonts w:hint="eastAsia" w:ascii="宋体" w:hAnsi="宋体"/>
          <w:b/>
          <w:color w:val="000000"/>
          <w:sz w:val="24"/>
          <w:szCs w:val="24"/>
          <w:highlight w:val="none"/>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3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980"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106"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r>
            <w:r/>
          </w:p>
        </w:tc>
        <w:tc>
          <w:tcPr>
            <w:tcW w:w="1385"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924"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00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966"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p>
        </w:tc>
      </w:tr>
      <w:tr>
        <w:trPr>
          <w:cantSplit/>
          <w:trHeight w:val="294"/>
        </w:trPr>
        <w:tc>
          <w:tcPr>
            <w:tcW w:w="500"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93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980"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制造商名称</w:t>
            </w:r>
            <w:r>
              <w:rPr>
                <w:rFonts w:hint="eastAsia" w:ascii="宋体" w:hAnsi="宋体"/>
                <w:color w:val="000000"/>
                <w:sz w:val="24"/>
                <w:szCs w:val="24"/>
                <w:highlight w:val="none"/>
              </w:rPr>
            </w:r>
            <w:r/>
          </w:p>
        </w:tc>
        <w:tc>
          <w:tcPr>
            <w:tcW w:w="1106"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385"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924"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008" w:type="dxa"/>
            <w:vAlign w:val="center"/>
            <w:textDirection w:val="lrTb"/>
            <w:noWrap w:val="false"/>
          </w:tcPr>
          <w:p>
            <w:pPr>
              <w:pStyle w:val="69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966" w:type="dxa"/>
            <w:vAlign w:val="center"/>
            <w:textDirection w:val="lrTb"/>
            <w:noWrap w:val="false"/>
          </w:tcPr>
          <w:p>
            <w:pPr>
              <w:pStyle w:val="69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96"/>
        </w:trPr>
        <w:tc>
          <w:tcPr>
            <w:tcW w:w="500"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90"/>
              <w:jc w:val="center"/>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u w:val="single"/>
              </w:rPr>
            </w:r>
            <w:r/>
          </w:p>
        </w:tc>
        <w:tc>
          <w:tcPr>
            <w:tcW w:w="924"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00"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00"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00" w:type="dxa"/>
            <w:vAlign w:val="center"/>
            <w:textDirection w:val="lrTb"/>
            <w:noWrap w:val="false"/>
          </w:tcPr>
          <w:p>
            <w:pPr>
              <w:pStyle w:val="690"/>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2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34"/>
        </w:trPr>
        <w:tc>
          <w:tcPr>
            <w:gridSpan w:val="10"/>
            <w:tcW w:w="9263" w:type="dxa"/>
            <w:vAlign w:val="top"/>
            <w:textDirection w:val="lrTb"/>
            <w:noWrap w:val="false"/>
          </w:tcPr>
          <w:p>
            <w:pPr>
              <w:pStyle w:val="690"/>
              <w:rPr>
                <w:rFonts w:ascii="宋体" w:hAnsi="宋体"/>
                <w:color w:val="000000"/>
                <w:sz w:val="24"/>
                <w:szCs w:val="24"/>
                <w:highlight w:val="none"/>
                <w:u w:val="singl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tc>
      </w:tr>
      <w:tr>
        <w:trPr>
          <w:cantSplit/>
          <w:trHeight w:val="767"/>
        </w:trPr>
        <w:tc>
          <w:tcPr>
            <w:gridSpan w:val="10"/>
            <w:tcW w:w="9263" w:type="dxa"/>
            <w:vAlign w:val="top"/>
            <w:textDirection w:val="lrTb"/>
            <w:noWrap w:val="false"/>
          </w:tcPr>
          <w:p>
            <w:pPr>
              <w:pStyle w:val="752"/>
              <w:spacing w:before="0" w:beforeAutospacing="0" w:after="0" w:afterAutospacing="0" w:line="0" w:lineRule="atLeast"/>
              <w:rPr>
                <w:rFonts w:hint="eastAsia"/>
                <w:color w:val="000000"/>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w:t>
            </w:r>
            <w:r>
              <w:rPr>
                <w:rFonts w:hint="eastAsia" w:ascii="方正魏碑_GBK" w:hAnsi="方正魏碑_GBK" w:eastAsia="方正魏碑_GBK" w:cs="方正魏碑_GBK"/>
                <w:color w:val="000000"/>
                <w:sz w:val="28"/>
                <w:szCs w:val="28"/>
                <w:highlight w:val="none"/>
              </w:rPr>
              <w:t xml:space="preserve">%。</w:t>
            </w:r>
            <w:r>
              <w:rPr>
                <w:rFonts w:hint="eastAsia"/>
                <w:color w:val="000000"/>
                <w:highlight w:val="none"/>
              </w:rPr>
            </w:r>
            <w:r/>
          </w:p>
        </w:tc>
      </w:tr>
    </w:tbl>
    <w:p>
      <w:pPr>
        <w:pStyle w:val="69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690"/>
        <w:spacing w:line="400" w:lineRule="exact"/>
        <w:rPr>
          <w:rFonts w:hint="eastAsia"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）及其他有关的为完成本项目发生的所有费用，招标文件中另有规定的除外。“投标总报价”数额为各“分项总价”之和。</w:t>
      </w:r>
      <w:r>
        <w:rPr>
          <w:rFonts w:hint="eastAsia" w:ascii="宋体" w:hAnsi="宋体"/>
          <w:color w:val="000000"/>
          <w:sz w:val="24"/>
          <w:szCs w:val="21"/>
          <w:highlight w:val="none"/>
        </w:rPr>
      </w:r>
      <w:r/>
    </w:p>
    <w:p>
      <w:pPr>
        <w:pStyle w:val="69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690"/>
        <w:spacing w:line="400" w:lineRule="exact"/>
        <w:rPr>
          <w:rFonts w:hint="eastAsia" w:ascii="宋体" w:hAnsi="宋体"/>
          <w:color w:val="000000"/>
          <w:sz w:val="24"/>
          <w:szCs w:val="21"/>
          <w:highlight w:val="none"/>
        </w:rPr>
      </w:pPr>
      <w:r>
        <w:rPr>
          <w:rFonts w:hint="eastAsia" w:ascii="方正魏碑_GBK" w:hAnsi="方正魏碑_GBK" w:eastAsia="方正魏碑_GBK" w:cs="方正魏碑_GBK"/>
          <w:color w:val="000000"/>
          <w:sz w:val="28"/>
          <w:szCs w:val="28"/>
          <w:highlight w:val="none"/>
        </w:rPr>
        <w:t xml:space="preserve">3</w:t>
      </w:r>
      <w:r>
        <w:rPr>
          <w:rFonts w:ascii="方正魏碑_GBK" w:hAnsi="方正魏碑_GBK" w:eastAsia="方正魏碑_GBK" w:cs="方正魏碑_GBK"/>
          <w:color w:val="000000"/>
          <w:sz w:val="28"/>
          <w:szCs w:val="28"/>
          <w:highlight w:val="none"/>
        </w:rPr>
        <w:t xml:space="preserve">.</w:t>
      </w:r>
      <w:r>
        <w:rPr>
          <w:rFonts w:hint="eastAsia" w:ascii="方正魏碑_GBK" w:hAnsi="方正魏碑_GBK" w:eastAsia="方正魏碑_GBK" w:cs="方正魏碑_GBK"/>
          <w:color w:val="00000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olor w:val="000000"/>
          <w:sz w:val="24"/>
          <w:szCs w:val="21"/>
          <w:highlight w:val="none"/>
        </w:rPr>
      </w:r>
      <w:r/>
    </w:p>
    <w:p>
      <w:pPr>
        <w:pStyle w:val="690"/>
        <w:spacing w:line="400" w:lineRule="exact"/>
        <w:rPr>
          <w:rFonts w:hint="eastAsia" w:ascii="方正黑体_GBK" w:hAnsi="宋体" w:eastAsia="方正黑体_GBK"/>
          <w:b/>
          <w:color w:val="000000"/>
          <w:sz w:val="32"/>
          <w:szCs w:val="32"/>
          <w:highlight w:val="none"/>
        </w:rPr>
      </w:pPr>
      <w:r>
        <w:rPr>
          <w:rFonts w:hint="eastAsia" w:ascii="方正黑体_GBK" w:hAnsi="宋体" w:eastAsia="方正黑体_GBK"/>
          <w:b/>
          <w:color w:val="000000"/>
          <w:sz w:val="32"/>
          <w:szCs w:val="32"/>
          <w:highlight w:val="none"/>
        </w:rPr>
        <w:t xml:space="preserve">4.投标人需认真填写本报价表，尤其注意规格型号的准确填写。</w:t>
      </w:r>
      <w:r>
        <w:rPr>
          <w:rFonts w:hint="eastAsia" w:ascii="方正黑体_GBK" w:hAnsi="宋体" w:eastAsia="方正黑体_GBK"/>
          <w:b/>
          <w:color w:val="000000"/>
          <w:sz w:val="32"/>
          <w:szCs w:val="32"/>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5.项目</w:t>
      </w:r>
      <w:r>
        <w:rPr>
          <w:rFonts w:ascii="宋体" w:hAnsi="宋体"/>
          <w:color w:val="000000"/>
          <w:sz w:val="24"/>
          <w:szCs w:val="21"/>
          <w:highlight w:val="none"/>
        </w:rPr>
        <w:t xml:space="preserve">经办人可以根据</w:t>
      </w:r>
      <w:r>
        <w:rPr>
          <w:rFonts w:hint="eastAsia" w:ascii="宋体" w:hAnsi="宋体"/>
          <w:color w:val="000000"/>
          <w:sz w:val="24"/>
          <w:szCs w:val="21"/>
          <w:highlight w:val="none"/>
        </w:rPr>
        <w:t xml:space="preserve">项目</w:t>
      </w:r>
      <w:r>
        <w:rPr>
          <w:rFonts w:ascii="宋体" w:hAnsi="宋体"/>
          <w:color w:val="000000"/>
          <w:sz w:val="24"/>
          <w:szCs w:val="21"/>
          <w:highlight w:val="none"/>
        </w:rPr>
        <w:t xml:space="preserve">实际需要</w:t>
      </w:r>
      <w:r>
        <w:rPr>
          <w:rFonts w:hint="eastAsia" w:ascii="宋体" w:hAnsi="宋体"/>
          <w:color w:val="000000"/>
          <w:sz w:val="24"/>
          <w:szCs w:val="21"/>
          <w:highlight w:val="none"/>
        </w:rPr>
        <w:t xml:space="preserve">对</w:t>
      </w:r>
      <w:r>
        <w:rPr>
          <w:rFonts w:ascii="宋体" w:hAnsi="宋体"/>
          <w:color w:val="000000"/>
          <w:sz w:val="24"/>
          <w:szCs w:val="21"/>
          <w:highlight w:val="none"/>
        </w:rPr>
        <w:t xml:space="preserve">表格结构进行</w:t>
      </w:r>
      <w:r>
        <w:rPr>
          <w:rFonts w:hint="eastAsia" w:ascii="宋体" w:hAnsi="宋体"/>
          <w:color w:val="000000"/>
          <w:sz w:val="24"/>
          <w:szCs w:val="21"/>
          <w:highlight w:val="none"/>
        </w:rPr>
        <w:t xml:space="preserve">调整</w:t>
      </w:r>
      <w:r>
        <w:rPr>
          <w:rFonts w:ascii="宋体" w:hAnsi="宋体"/>
          <w:color w:val="000000"/>
          <w:sz w:val="24"/>
          <w:szCs w:val="21"/>
          <w:highlight w:val="none"/>
        </w:rPr>
        <w:t xml:space="preserve">。</w:t>
      </w:r>
      <w:r>
        <w:rPr>
          <w:rFonts w:hint="eastAsia" w:ascii="宋体" w:hAnsi="宋体"/>
          <w:color w:val="000000"/>
          <w:sz w:val="24"/>
          <w:szCs w:val="24"/>
          <w:highlight w:val="none"/>
        </w:rPr>
      </w:r>
      <w:r/>
    </w:p>
    <w:p>
      <w:pPr>
        <w:pStyle w:val="69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9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9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9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90"/>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90"/>
        <w:jc w:val="center"/>
        <w:rPr>
          <w:rFonts w:hint="eastAsia" w:ascii="宋体" w:hAnsi="宋体"/>
          <w:b/>
          <w:color w:val="000000"/>
          <w:sz w:val="24"/>
          <w:szCs w:val="24"/>
          <w:highlight w:val="none"/>
        </w:rPr>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技术要求响应及偏离表</w:t>
      </w:r>
      <w:r>
        <w:rPr>
          <w:rFonts w:hint="eastAsia" w:ascii="宋体" w:hAnsi="宋体"/>
          <w:b/>
          <w:color w:val="000000"/>
          <w:sz w:val="24"/>
          <w:szCs w:val="24"/>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技术要求</w:t>
            </w:r>
            <w:r>
              <w:rPr>
                <w:rFonts w:hint="eastAsia" w:ascii="宋体" w:hAnsi="宋体"/>
                <w:color w:val="000000"/>
                <w:sz w:val="24"/>
                <w:szCs w:val="24"/>
                <w:highlight w:val="none"/>
              </w:rPr>
            </w:r>
            <w:r/>
          </w:p>
        </w:tc>
        <w:tc>
          <w:tcPr>
            <w:tcW w:w="3191"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1.投标人需对招标文件技术要求中非实质性要求（</w:t>
      </w:r>
      <w:r>
        <w:rPr>
          <w:rFonts w:hint="eastAsia" w:ascii="宋体" w:hAnsi="宋体" w:cs="宋体"/>
          <w:b/>
          <w:color w:val="000000"/>
          <w:sz w:val="24"/>
          <w:szCs w:val="24"/>
          <w:highlight w:val="none"/>
        </w:rPr>
        <w:t xml:space="preserve">未加</w:t>
      </w:r>
      <w:r>
        <w:rPr>
          <w:rFonts w:ascii="宋体" w:hAnsi="宋体" w:cs="宋体"/>
          <w:b/>
          <w:color w:val="000000"/>
          <w:sz w:val="22"/>
          <w:szCs w:val="28"/>
          <w:highlight w:val="none"/>
          <w:lang w:val="zh-CN"/>
        </w:rPr>
        <w:t xml:space="preserve">★</w:t>
      </w:r>
      <w:r>
        <w:rPr>
          <w:rFonts w:hint="eastAsia" w:ascii="宋体" w:hAnsi="宋体" w:cs="宋体"/>
          <w:b/>
          <w:color w:val="000000"/>
          <w:sz w:val="24"/>
          <w:szCs w:val="24"/>
          <w:highlight w:val="none"/>
        </w:rPr>
        <w:t xml:space="preserve">号条款</w:t>
      </w:r>
      <w:r>
        <w:rPr>
          <w:rFonts w:hint="eastAsia" w:ascii="宋体" w:hAnsi="宋体" w:cs="宋体"/>
          <w:color w:val="000000"/>
          <w:sz w:val="24"/>
          <w:szCs w:val="24"/>
          <w:highlight w:val="non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4 </w:t>
      </w:r>
      <w:r>
        <w:rPr>
          <w:rFonts w:hint="eastAsia" w:ascii="宋体" w:hAnsi="宋体"/>
          <w:b/>
          <w:color w:val="000000"/>
          <w:sz w:val="24"/>
          <w:szCs w:val="24"/>
          <w:highlight w:val="none"/>
        </w:rPr>
        <w:t xml:space="preserve">商务要求响应及偏离表</w:t>
      </w:r>
      <w:r>
        <w:rPr>
          <w:rFonts w:hint="eastAsia" w:ascii="宋体" w:hAnsi="宋体"/>
          <w:b/>
          <w:color w:val="000000"/>
          <w:sz w:val="24"/>
          <w:szCs w:val="24"/>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商务要求</w:t>
            </w:r>
            <w:r>
              <w:rPr>
                <w:rFonts w:hint="eastAsia" w:ascii="宋体" w:hAnsi="宋体"/>
                <w:color w:val="000000"/>
                <w:sz w:val="24"/>
                <w:szCs w:val="24"/>
                <w:highlight w:val="none"/>
              </w:rPr>
            </w:r>
            <w:r/>
          </w:p>
        </w:tc>
        <w:tc>
          <w:tcPr>
            <w:tcW w:w="3191"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1.投标人需对招标文件商务要求中非实质性要求（</w:t>
      </w:r>
      <w:r>
        <w:rPr>
          <w:rFonts w:hint="eastAsia" w:ascii="宋体" w:hAnsi="宋体" w:cs="宋体"/>
          <w:b/>
          <w:color w:val="000000"/>
          <w:sz w:val="24"/>
          <w:szCs w:val="24"/>
          <w:highlight w:val="none"/>
        </w:rPr>
        <w:t xml:space="preserve">未加</w:t>
      </w:r>
      <w:r>
        <w:rPr>
          <w:rFonts w:ascii="宋体" w:hAnsi="宋体" w:cs="宋体"/>
          <w:b/>
          <w:color w:val="000000"/>
          <w:sz w:val="22"/>
          <w:szCs w:val="28"/>
          <w:highlight w:val="none"/>
          <w:lang w:val="zh-CN"/>
        </w:rPr>
        <w:t xml:space="preserve">★</w:t>
      </w:r>
      <w:r>
        <w:rPr>
          <w:rFonts w:hint="eastAsia" w:ascii="宋体" w:hAnsi="宋体" w:cs="宋体"/>
          <w:b/>
          <w:color w:val="000000"/>
          <w:sz w:val="24"/>
          <w:szCs w:val="24"/>
          <w:highlight w:val="none"/>
        </w:rPr>
        <w:t xml:space="preserve">号条款</w:t>
      </w:r>
      <w:r>
        <w:rPr>
          <w:rFonts w:hint="eastAsia" w:ascii="宋体" w:hAnsi="宋体" w:cs="宋体"/>
          <w:color w:val="000000"/>
          <w:sz w:val="24"/>
          <w:szCs w:val="24"/>
          <w:highlight w:val="non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hint="eastAsia" w:ascii="宋体" w:hAnsi="宋体"/>
          <w:color w:val="000000"/>
          <w:sz w:val="24"/>
          <w:szCs w:val="24"/>
          <w:highlight w:val="none"/>
        </w:rPr>
      </w:r>
      <w:r/>
    </w:p>
    <w:p>
      <w:pPr>
        <w:pStyle w:val="69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90"/>
        <w:ind w:left="480"/>
        <w:rPr>
          <w:rFonts w:ascii="宋体" w:hAnsi="宋体"/>
          <w:b/>
          <w:color w:val="000000"/>
          <w:sz w:val="24"/>
          <w:szCs w:val="21"/>
          <w:highlight w:val="none"/>
        </w:rPr>
      </w:pPr>
      <w:r>
        <w:rPr>
          <w:rFonts w:ascii="宋体" w:hAnsi="宋体"/>
          <w:b/>
          <w:color w:val="000000"/>
          <w:sz w:val="24"/>
          <w:szCs w:val="21"/>
          <w:highlight w:val="none"/>
        </w:rPr>
      </w:r>
      <w:r/>
    </w:p>
    <w:p>
      <w:pPr>
        <w:pStyle w:val="690"/>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90"/>
        <w:ind w:left="480"/>
        <w:rPr>
          <w:rFonts w:hint="eastAsia" w:ascii="宋体" w:hAnsi="宋体"/>
          <w:b/>
          <w:color w:val="000000"/>
          <w:sz w:val="24"/>
          <w:szCs w:val="21"/>
          <w:highlight w:val="none"/>
        </w:rPr>
      </w:pPr>
      <w:r>
        <w:rPr>
          <w:rFonts w:hint="eastAsia" w:ascii="宋体" w:hAnsi="宋体"/>
          <w:b/>
          <w:color w:val="000000"/>
          <w:sz w:val="24"/>
          <w:szCs w:val="21"/>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rPr>
          <w:rFonts w:hint="eastAsia" w:ascii="宋体" w:hAnsi="宋体"/>
          <w:b/>
          <w:color w:val="000000"/>
          <w:sz w:val="24"/>
          <w:szCs w:val="21"/>
          <w:highlight w:val="none"/>
        </w:rPr>
      </w:r>
      <w:r/>
    </w:p>
    <w:p>
      <w:pPr>
        <w:pStyle w:val="690"/>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690"/>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90"/>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9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90"/>
        <w:ind w:left="480"/>
        <w:rPr>
          <w:rFonts w:ascii="宋体" w:hAnsi="宋体"/>
          <w:b/>
          <w:color w:val="000000"/>
          <w:sz w:val="24"/>
          <w:szCs w:val="21"/>
          <w:highlight w:val="none"/>
        </w:rPr>
      </w:pPr>
      <w:r>
        <w:rPr>
          <w:rFonts w:ascii="宋体" w:hAnsi="宋体"/>
          <w:b/>
          <w:color w:val="000000"/>
          <w:sz w:val="24"/>
          <w:szCs w:val="21"/>
          <w:highlight w:val="none"/>
        </w:rPr>
      </w:r>
      <w:r/>
    </w:p>
    <w:p>
      <w:pPr>
        <w:pStyle w:val="690"/>
        <w:ind w:left="480"/>
        <w:rPr>
          <w:rFonts w:ascii="宋体" w:hAnsi="宋体"/>
          <w:b/>
          <w:color w:val="000000"/>
          <w:sz w:val="24"/>
          <w:szCs w:val="21"/>
          <w:highlight w:val="none"/>
        </w:rPr>
      </w:pPr>
      <w:r>
        <w:rPr>
          <w:rFonts w:ascii="宋体" w:hAnsi="宋体"/>
          <w:b/>
          <w:color w:val="000000"/>
          <w:sz w:val="24"/>
          <w:szCs w:val="21"/>
          <w:highlight w:val="none"/>
        </w:rPr>
      </w:r>
      <w:r/>
    </w:p>
    <w:p>
      <w:pPr>
        <w:pStyle w:val="690"/>
        <w:ind w:left="480"/>
        <w:rPr>
          <w:rFonts w:ascii="宋体" w:hAnsi="宋体"/>
          <w:b/>
          <w:color w:val="000000"/>
          <w:sz w:val="24"/>
          <w:szCs w:val="21"/>
          <w:highlight w:val="none"/>
        </w:rPr>
      </w:pPr>
      <w:r>
        <w:rPr>
          <w:rFonts w:ascii="宋体" w:hAnsi="宋体"/>
          <w:b/>
          <w:color w:val="000000"/>
          <w:sz w:val="24"/>
          <w:szCs w:val="21"/>
          <w:highlight w:val="none"/>
        </w:rPr>
      </w:r>
      <w:r/>
    </w:p>
    <w:p>
      <w:pPr>
        <w:pStyle w:val="690"/>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90"/>
        <w:ind w:left="480"/>
        <w:rPr>
          <w:rFonts w:ascii="宋体" w:hAnsi="宋体"/>
          <w:b/>
          <w:color w:val="000000"/>
          <w:sz w:val="24"/>
          <w:szCs w:val="21"/>
          <w:highlight w:val="none"/>
        </w:rPr>
      </w:pPr>
      <w:r>
        <w:rPr>
          <w:rFonts w:hint="eastAsia" w:ascii="宋体" w:hAnsi="宋体"/>
          <w:b/>
          <w:color w:val="000000"/>
          <w:sz w:val="24"/>
          <w:szCs w:val="21"/>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w:t>
      </w:r>
      <w:r>
        <w:rPr>
          <w:rFonts w:ascii="宋体" w:hAnsi="宋体"/>
          <w:b/>
          <w:color w:val="000000"/>
          <w:sz w:val="24"/>
          <w:szCs w:val="21"/>
          <w:highlight w:val="none"/>
        </w:rPr>
      </w:r>
      <w:r/>
    </w:p>
    <w:p>
      <w:pPr>
        <w:pStyle w:val="690"/>
        <w:rPr>
          <w:rFonts w:hint="eastAsia" w:ascii="宋体" w:hAnsi="宋体"/>
          <w:b/>
          <w:color w:val="000000"/>
          <w:sz w:val="24"/>
          <w:szCs w:val="21"/>
          <w:highlight w:val="none"/>
        </w:rPr>
      </w:pPr>
      <w:r>
        <w:rPr>
          <w:rFonts w:hint="eastAsia" w:ascii="宋体" w:hAnsi="宋体"/>
          <w:b/>
          <w:color w:val="000000"/>
          <w:sz w:val="24"/>
          <w:szCs w:val="21"/>
          <w:highlight w:val="none"/>
        </w:rPr>
        <w:t xml:space="preserve">面声明</w:t>
      </w:r>
      <w:r>
        <w:rPr>
          <w:rFonts w:hint="eastAsia" w:ascii="宋体" w:hAnsi="宋体"/>
          <w:b/>
          <w:color w:val="000000"/>
          <w:sz w:val="24"/>
          <w:szCs w:val="21"/>
          <w:highlight w:val="none"/>
        </w:rPr>
      </w:r>
      <w:r/>
    </w:p>
    <w:p>
      <w:pPr>
        <w:pStyle w:val="690"/>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91"/>
      <w:r/>
      <w:bookmarkEnd w:id="192"/>
      <w:r/>
      <w:bookmarkEnd w:id="193"/>
      <w:r/>
      <w:bookmarkStart w:id="194" w:name="_Toc120614284"/>
      <w:r>
        <w:rPr>
          <w:rFonts w:hint="eastAsia" w:ascii="宋体" w:hAnsi="宋体"/>
          <w:bCs/>
          <w:color w:val="000000"/>
          <w:sz w:val="24"/>
          <w:szCs w:val="21"/>
          <w:highlight w:val="none"/>
        </w:rPr>
      </w:r>
      <w:r/>
    </w:p>
    <w:p>
      <w:pPr>
        <w:pStyle w:val="690"/>
        <w:spacing w:line="460" w:lineRule="exact"/>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90"/>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690"/>
        <w:ind w:firstLine="480"/>
        <w:spacing w:line="460" w:lineRule="exact"/>
        <w:rPr>
          <w:rFonts w:hint="eastAsia" w:ascii="宋体" w:hAnsi="宋体"/>
          <w:bCs/>
          <w:color w:val="000000"/>
          <w:sz w:val="24"/>
          <w:szCs w:val="21"/>
          <w:highlight w:val="none"/>
        </w:rPr>
      </w:pPr>
      <w:r>
        <w:rPr>
          <w:rFonts w:hint="eastAsia" w:ascii="宋体" w:hAnsi="宋体"/>
          <w:b/>
          <w:color w:val="000000"/>
          <w:sz w:val="24"/>
          <w:szCs w:val="21"/>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法人授权书</w:t>
      </w:r>
      <w:r>
        <w:rPr>
          <w:rFonts w:hint="eastAsia" w:ascii="宋体" w:hAnsi="宋体"/>
          <w:bCs/>
          <w:color w:val="000000"/>
          <w:sz w:val="24"/>
          <w:szCs w:val="21"/>
          <w:highlight w:val="none"/>
        </w:rPr>
      </w:r>
      <w:r/>
    </w:p>
    <w:p>
      <w:pPr>
        <w:pStyle w:val="690"/>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690"/>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69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9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90"/>
        <w:ind w:firstLine="120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被授权人电子邮箱：</w:t>
      </w:r>
      <w:r>
        <w:rPr>
          <w:rFonts w:hint="eastAsia"/>
          <w:color w:val="000000"/>
          <w:sz w:val="24"/>
          <w:szCs w:val="24"/>
          <w:highlight w:val="none"/>
          <w:u w:val="single"/>
        </w:rPr>
        <w:t xml:space="preserve">                </w:t>
      </w:r>
      <w:r>
        <w:rPr>
          <w:color w:val="000000"/>
          <w:sz w:val="24"/>
          <w:szCs w:val="24"/>
          <w:highlight w:val="none"/>
          <w:u w:val="single"/>
        </w:rPr>
      </w:r>
      <w:r/>
    </w:p>
    <w:p>
      <w:pPr>
        <w:pStyle w:val="690"/>
        <w:ind w:firstLine="120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690"/>
        <w:ind w:firstLine="48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90"/>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195" w:name="_Hlt26955070"/>
      <w:r/>
      <w:bookmarkEnd w:id="195"/>
      <w:r/>
      <w:bookmarkStart w:id="196" w:name="_格式3__银行出具的资信证明"/>
      <w:r/>
      <w:bookmarkEnd w:id="196"/>
      <w:r/>
      <w:bookmarkStart w:id="197" w:name="_Hlt26671380"/>
      <w:r/>
      <w:bookmarkEnd w:id="197"/>
      <w:r>
        <w:rPr>
          <w:rFonts w:hint="eastAsia"/>
          <w:color w:val="000000"/>
          <w:sz w:val="24"/>
          <w:szCs w:val="24"/>
          <w:highlight w:val="none"/>
          <w:u w:val="single"/>
        </w:rPr>
        <w:t xml:space="preserve">                                         </w:t>
      </w:r>
      <w:r>
        <w:rPr>
          <w:rFonts w:hint="eastAsia"/>
          <w:color w:val="000000"/>
          <w:sz w:val="24"/>
          <w:szCs w:val="24"/>
          <w:highlight w:val="none"/>
        </w:rPr>
      </w:r>
      <w:r/>
    </w:p>
    <w:p>
      <w:pPr>
        <w:pStyle w:val="690"/>
        <w:ind w:firstLine="360"/>
        <w:spacing w:line="400" w:lineRule="exact"/>
        <w:rPr>
          <w:color w:val="000000"/>
          <w:sz w:val="24"/>
          <w:szCs w:val="24"/>
          <w:highlight w:val="none"/>
        </w:rPr>
      </w:pPr>
      <w:r>
        <w:rPr>
          <w:color w:val="000000"/>
          <w:sz w:val="24"/>
          <w:szCs w:val="24"/>
          <w:highlight w:val="none"/>
        </w:rPr>
      </w:r>
      <w:r/>
    </w:p>
    <w:p>
      <w:pPr>
        <w:pStyle w:val="690"/>
        <w:ind w:firstLine="360"/>
        <w:spacing w:line="400" w:lineRule="exact"/>
        <w:rPr>
          <w:rFonts w:hint="eastAsia"/>
          <w:color w:val="000000"/>
          <w:sz w:val="24"/>
          <w:szCs w:val="24"/>
          <w:highlight w:val="none"/>
        </w:rPr>
      </w:pPr>
      <w:r>
        <w:rPr>
          <w:rFonts w:hint="eastAsia"/>
          <w:color w:val="000000"/>
          <w:sz w:val="24"/>
          <w:szCs w:val="24"/>
          <w:highlight w:val="none"/>
        </w:rPr>
        <w:t xml:space="preserve">备注 我公司（单位）委托进行现场演示的人员为</w:t>
      </w:r>
      <w:r>
        <w:rPr>
          <w:rFonts w:hint="eastAsia"/>
          <w:color w:val="000000"/>
          <w:sz w:val="24"/>
          <w:szCs w:val="24"/>
          <w:highlight w:val="none"/>
          <w:u w:val="single"/>
        </w:rPr>
        <w:t xml:space="preserve">     </w:t>
      </w:r>
      <w:r>
        <w:rPr>
          <w:rFonts w:hint="eastAsia"/>
          <w:color w:val="000000"/>
          <w:sz w:val="24"/>
          <w:szCs w:val="24"/>
          <w:highlight w:val="none"/>
        </w:rPr>
        <w:t xml:space="preserve">（本项目如果无现场演示要求，请项目经办人自行删除备注）</w:t>
      </w:r>
      <w:r>
        <w:rPr>
          <w:rFonts w:hint="eastAsia"/>
          <w:color w:val="000000"/>
          <w:sz w:val="24"/>
          <w:szCs w:val="24"/>
          <w:highlight w:val="none"/>
        </w:rPr>
      </w:r>
      <w:r/>
    </w:p>
    <w:p>
      <w:pPr>
        <w:pStyle w:val="690"/>
        <w:ind w:firstLine="480"/>
        <w:spacing w:line="400" w:lineRule="exact"/>
        <w:rPr>
          <w:rFonts w:hint="eastAsia"/>
          <w:color w:val="000000"/>
          <w:sz w:val="24"/>
          <w:szCs w:val="24"/>
          <w:highlight w:val="none"/>
        </w:rPr>
      </w:pPr>
      <w:r>
        <w:rPr>
          <w:rFonts w:hint="eastAsia"/>
          <w:color w:val="000000"/>
          <w:sz w:val="24"/>
          <w:szCs w:val="24"/>
          <w:highlight w:val="none"/>
          <w:u w:val="single"/>
        </w:rPr>
        <w:t xml:space="preserve">        </w:t>
      </w:r>
      <w:r>
        <w:rPr>
          <w:rFonts w:hint="eastAsia"/>
          <w:color w:val="000000"/>
          <w:sz w:val="24"/>
          <w:szCs w:val="24"/>
          <w:highlight w:val="none"/>
        </w:rPr>
        <w:t xml:space="preserve">（人员姓名），身份证号</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t xml:space="preserve">……</w:t>
      </w:r>
      <w:r>
        <w:rPr>
          <w:rFonts w:hint="eastAsia"/>
          <w:color w:val="000000"/>
          <w:sz w:val="24"/>
          <w:szCs w:val="24"/>
          <w:highlight w:val="none"/>
        </w:rPr>
      </w:r>
      <w:r/>
    </w:p>
    <w:p>
      <w:pPr>
        <w:pStyle w:val="690"/>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                            </w:t>
      </w:r>
      <w:r>
        <w:rPr>
          <w:rFonts w:hint="eastAsia" w:ascii="宋体" w:hAnsi="宋体"/>
          <w:b/>
          <w:color w:val="000000"/>
          <w:sz w:val="24"/>
          <w:szCs w:val="21"/>
          <w:highlight w:val="none"/>
        </w:rPr>
        <w:t xml:space="preserve">投标函</w:t>
      </w:r>
      <w:r>
        <w:rPr>
          <w:rFonts w:ascii="黑体" w:hAnsi="黑体" w:eastAsia="黑体"/>
          <w:b/>
          <w:i/>
          <w:color w:val="000000"/>
          <w:sz w:val="32"/>
          <w:szCs w:val="32"/>
          <w:highlight w:val="none"/>
          <w:u w:val="single"/>
        </w:rPr>
      </w:r>
      <w:r/>
    </w:p>
    <w:p>
      <w:pPr>
        <w:pStyle w:val="69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致：江苏弘业国际技术工程有限公司</w:t>
      </w:r>
      <w:r>
        <w:rPr>
          <w:rFonts w:hint="eastAsia" w:ascii="宋体" w:hAnsi="宋体"/>
          <w:color w:val="000000"/>
          <w:sz w:val="24"/>
          <w:szCs w:val="21"/>
          <w:highlight w:val="none"/>
        </w:rPr>
      </w:r>
      <w:r/>
    </w:p>
    <w:p>
      <w:pPr>
        <w:pStyle w:val="69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号招标文件，正式授权下述签字人_____(姓名)代表我方_______（投标人的名称），全权处理本次项目投标的有关事宜。</w:t>
      </w:r>
      <w:r>
        <w:rPr>
          <w:rFonts w:hint="eastAsia" w:ascii="宋体" w:hAnsi="宋体"/>
          <w:color w:val="000000"/>
          <w:sz w:val="24"/>
          <w:szCs w:val="21"/>
          <w:highlight w:val="none"/>
        </w:rPr>
      </w:r>
      <w:r/>
    </w:p>
    <w:p>
      <w:pPr>
        <w:pStyle w:val="69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69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69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69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69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69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69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690"/>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69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69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69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69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69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69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69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690"/>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90"/>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90"/>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90"/>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690"/>
        <w:spacing w:line="560" w:lineRule="exact"/>
        <w:rPr>
          <w:rFonts w:ascii="宋体" w:hAnsi="宋体"/>
          <w:b/>
          <w:color w:val="000000"/>
          <w:sz w:val="24"/>
          <w:szCs w:val="21"/>
          <w:highlight w:val="none"/>
        </w:rPr>
      </w:pPr>
      <w:r>
        <w:rPr>
          <w:rFonts w:ascii="宋体" w:hAnsi="宋体"/>
          <w:b/>
          <w:color w:val="000000"/>
          <w:sz w:val="24"/>
          <w:szCs w:val="21"/>
          <w:highlight w:val="none"/>
        </w:rPr>
      </w:r>
      <w:r/>
    </w:p>
    <w:p>
      <w:pPr>
        <w:pStyle w:val="690"/>
        <w:ind w:firstLine="240"/>
        <w:jc w:val="center"/>
        <w:spacing w:line="56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9</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中小微企业声明函（货物类项目）</w:t>
      </w:r>
      <w:r>
        <w:rPr>
          <w:rFonts w:hint="eastAsia" w:ascii="宋体" w:hAnsi="宋体"/>
          <w:b/>
          <w:color w:val="000000"/>
          <w:sz w:val="24"/>
          <w:szCs w:val="21"/>
          <w:highlight w:val="none"/>
        </w:rPr>
      </w:r>
      <w:r/>
    </w:p>
    <w:p>
      <w:pPr>
        <w:pStyle w:val="69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本公司（联合体）郑重声明，根据《政府采购促进中小企业发展管理办法》(财库〔2020〕46号)的规定，本公司（联合体）参加江苏弘业国际技术工程有限公司组织的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采购编号为JSZC</w:t>
      </w:r>
      <w:r>
        <w:rPr>
          <w:rFonts w:ascii="宋体" w:hAnsi="宋体"/>
          <w:color w:val="000000"/>
          <w:sz w:val="24"/>
          <w:szCs w:val="24"/>
          <w:highlight w:val="none"/>
        </w:rPr>
        <w:t xml:space="preserve">-320000-</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（项目名称）（采购包号：**）</w:t>
      </w:r>
      <w:r>
        <w:rPr>
          <w:rFonts w:hint="eastAsia" w:ascii="宋体" w:hAnsi="宋体"/>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color w:val="000000"/>
          <w:sz w:val="24"/>
          <w:szCs w:val="24"/>
          <w:highlight w:val="none"/>
        </w:rPr>
      </w:r>
      <w:r/>
    </w:p>
    <w:p>
      <w:pPr>
        <w:pStyle w:val="690"/>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690"/>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69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9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690"/>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690"/>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690"/>
        <w:ind w:right="480" w:firstLine="48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69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69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690"/>
        <w:ind w:left="540" w:hanging="1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3.供应商应对照《工业和信息化部、国家统计局、国家发展和改革委员会、</w:t>
      </w:r>
      <w:r>
        <w:rPr>
          <w:rFonts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制造商</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宋体" w:hAnsi="宋体"/>
          <w:color w:val="00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10</w:t>
      </w:r>
      <w:r>
        <w:rPr>
          <w:rFonts w:hint="eastAsia" w:ascii="宋体" w:hAnsi="宋体"/>
          <w:b/>
          <w:color w:val="000000"/>
          <w:sz w:val="24"/>
          <w:szCs w:val="24"/>
          <w:highlight w:val="none"/>
        </w:rPr>
        <w:t xml:space="preserve">残疾人福利性单位声明函（货物类项目）</w:t>
      </w:r>
      <w:r>
        <w:rPr>
          <w:rFonts w:hint="eastAsia" w:ascii="宋体" w:hAnsi="宋体"/>
          <w:color w:val="000000"/>
          <w:sz w:val="24"/>
          <w:szCs w:val="24"/>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sz w:val="24"/>
          <w:szCs w:val="21"/>
          <w:highlight w:val="none"/>
        </w:rPr>
        <w:t xml:space="preserve">JSZC-320000-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项目（采购包号：**）采购活动提供本单位制造的货物，或者提供其他残疾人福利性单位制造的货物（不包括使用非残疾人福利性单位注册商标的货物）。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690"/>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hint="eastAsia" w:ascii="宋体" w:hAnsi="宋体"/>
          <w:color w:val="000000"/>
          <w:sz w:val="24"/>
          <w:szCs w:val="21"/>
          <w:highlight w:val="none"/>
        </w:rPr>
      </w:r>
      <w:r/>
    </w:p>
    <w:p>
      <w:pPr>
        <w:pStyle w:val="690"/>
        <w:ind w:firstLine="480"/>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690"/>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w:t>
      </w:r>
      <w:r>
        <w:rPr>
          <w:rFonts w:ascii="宋体" w:hAnsi="宋体"/>
          <w:color w:val="000000"/>
          <w:sz w:val="24"/>
          <w:szCs w:val="21"/>
          <w:highlight w:val="none"/>
        </w:rPr>
      </w:r>
      <w:r/>
    </w:p>
    <w:p>
      <w:pPr>
        <w:pStyle w:val="690"/>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，供应商为残疾人福利性单位并提供本单位制造的货物，或者提供其他残疾人福利性单位制造的货物，必须提供此</w:t>
      </w:r>
      <w:r>
        <w:rPr>
          <w:rFonts w:ascii="宋体" w:hAnsi="宋体"/>
          <w:color w:val="000000"/>
          <w:sz w:val="24"/>
          <w:szCs w:val="21"/>
          <w:highlight w:val="none"/>
        </w:rPr>
        <w:t xml:space="preserve">声明函</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否则将</w:t>
      </w:r>
      <w:r>
        <w:rPr>
          <w:rFonts w:hint="eastAsia" w:ascii="宋体" w:hAnsi="宋体"/>
          <w:color w:val="000000"/>
          <w:sz w:val="24"/>
          <w:szCs w:val="21"/>
          <w:highlight w:val="none"/>
        </w:rPr>
        <w:t xml:space="preserve">不能</w:t>
      </w:r>
      <w:r>
        <w:rPr>
          <w:rFonts w:ascii="宋体" w:hAnsi="宋体"/>
          <w:color w:val="000000"/>
          <w:sz w:val="24"/>
          <w:szCs w:val="21"/>
          <w:highlight w:val="none"/>
        </w:rPr>
        <w:t xml:space="preserve">通过资格审查</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90"/>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 非专门面向中小微型企业采购的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，供应商如不提供此声明函，价格将不做相应扣除。</w:t>
      </w:r>
      <w:r>
        <w:rPr>
          <w:rFonts w:ascii="宋体" w:hAnsi="宋体"/>
          <w:color w:val="000000"/>
          <w:sz w:val="24"/>
          <w:szCs w:val="21"/>
          <w:highlight w:val="none"/>
        </w:rPr>
      </w:r>
      <w:r/>
    </w:p>
    <w:p>
      <w:pPr>
        <w:pStyle w:val="690"/>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.中标/成交供应商为残疾人福利性单位的，此声明函将随中标/成交结果同时公告，接受社会监督。</w:t>
      </w:r>
      <w:r>
        <w:rPr>
          <w:rFonts w:ascii="宋体" w:hAnsi="宋体"/>
          <w:color w:val="000000"/>
          <w:sz w:val="24"/>
          <w:szCs w:val="21"/>
          <w:highlight w:val="none"/>
        </w:rPr>
      </w:r>
      <w:r/>
    </w:p>
    <w:p>
      <w:pPr>
        <w:pStyle w:val="690"/>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690"/>
        <w:ind w:right="1559" w:firstLine="624"/>
        <w:jc w:val="center"/>
        <w:spacing w:line="400" w:lineRule="exact"/>
        <w:tabs>
          <w:tab w:val="left" w:pos="4860" w:leader="none"/>
        </w:tabs>
        <w:rPr>
          <w:rFonts w:ascii="宋体" w:hAnsi="宋体"/>
          <w:color w:val="000000"/>
          <w:sz w:val="24"/>
          <w:szCs w:val="21"/>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p>
    <w:p>
      <w:pPr>
        <w:pStyle w:val="690"/>
        <w:ind w:right="1559" w:firstLine="480"/>
        <w:jc w:val="center"/>
        <w:spacing w:line="400"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rFonts w:ascii="宋体" w:hAnsi="宋体"/>
          <w:color w:val="000000"/>
          <w:sz w:val="24"/>
          <w:szCs w:val="21"/>
          <w:highlight w:val="none"/>
        </w:rPr>
      </w:r>
      <w:r/>
    </w:p>
    <w:p>
      <w:pPr>
        <w:pStyle w:val="6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jc w:val="center"/>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11</w:t>
      </w:r>
      <w:r>
        <w:rPr>
          <w:rFonts w:hint="eastAsia" w:ascii="宋体" w:hAnsi="宋体"/>
          <w:b/>
          <w:color w:val="000000"/>
          <w:sz w:val="24"/>
          <w:szCs w:val="24"/>
          <w:highlight w:val="none"/>
        </w:rPr>
        <w:t xml:space="preserve"> 联合体协议（参考格式）</w:t>
      </w:r>
      <w:r>
        <w:rPr>
          <w:rFonts w:ascii="宋体" w:hAnsi="宋体"/>
          <w:b/>
          <w:color w:val="000000"/>
          <w:sz w:val="24"/>
          <w:szCs w:val="24"/>
          <w:highlight w:val="none"/>
        </w:rPr>
      </w:r>
      <w:r/>
    </w:p>
    <w:p>
      <w:pPr>
        <w:pStyle w:val="69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690"/>
        <w:ind w:firstLine="645"/>
        <w:spacing w:line="4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自愿组成联合体，参加江苏弘业国际技术工程有限公司组织的采购编号为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项目（采购包号：**）的政府采购活动，我联合体指定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690"/>
        <w:ind w:firstLine="645"/>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690"/>
        <w:ind w:firstLine="645"/>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90"/>
        <w:ind w:firstLine="645"/>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90"/>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690"/>
        <w:ind w:firstLine="646"/>
        <w:jc w:val="right"/>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690"/>
        <w:ind w:firstLine="646"/>
        <w:spacing w:line="40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690"/>
        <w:ind w:firstLine="645"/>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690"/>
        <w:ind w:firstLine="645"/>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690"/>
        <w:ind w:firstLine="645"/>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690"/>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color w:val="000000"/>
          <w:szCs w:val="21"/>
          <w:highlight w:val="none"/>
        </w:rPr>
      </w:pPr>
      <w:r>
        <w:rPr>
          <w:color w:val="000000"/>
          <w:szCs w:val="21"/>
          <w:highlight w:val="none"/>
        </w:rPr>
      </w:r>
      <w:r/>
    </w:p>
    <w:p>
      <w:pPr>
        <w:pStyle w:val="690"/>
        <w:rPr>
          <w:rFonts w:hint="eastAsia"/>
          <w:color w:val="000000"/>
          <w:szCs w:val="21"/>
          <w:highlight w:val="none"/>
        </w:rPr>
      </w:pPr>
      <w:r>
        <w:rPr>
          <w:rFonts w:hint="eastAsia"/>
          <w:color w:val="000000"/>
          <w:szCs w:val="21"/>
          <w:highlight w:val="none"/>
        </w:rPr>
      </w:r>
      <w:r/>
    </w:p>
    <w:p>
      <w:pPr>
        <w:pStyle w:val="690"/>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12</w:t>
      </w:r>
      <w:r>
        <w:rPr>
          <w:rFonts w:hint="eastAsia" w:ascii="宋体" w:hAnsi="宋体"/>
          <w:b/>
          <w:color w:val="000000"/>
          <w:sz w:val="24"/>
          <w:szCs w:val="24"/>
          <w:highlight w:val="none"/>
        </w:rPr>
        <w:t xml:space="preserve">实质性要求响应及偏离表</w:t>
      </w:r>
      <w:r>
        <w:rPr>
          <w:rFonts w:hint="eastAsia" w:ascii="宋体" w:hAnsi="宋体"/>
          <w:b/>
          <w:color w:val="000000"/>
          <w:sz w:val="24"/>
          <w:szCs w:val="24"/>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609"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ascii="宋体" w:hAnsi="宋体"/>
                <w:color w:val="000000"/>
                <w:sz w:val="24"/>
                <w:szCs w:val="24"/>
                <w:highlight w:val="none"/>
              </w:rPr>
              <w:t xml:space="preserve">的实质性要求</w:t>
            </w:r>
            <w:r>
              <w:rPr>
                <w:rFonts w:hint="eastAsia" w:ascii="宋体" w:hAnsi="宋体"/>
                <w:b/>
                <w:bCs/>
                <w:color w:val="000000"/>
                <w:sz w:val="24"/>
                <w:szCs w:val="24"/>
                <w:highlight w:val="none"/>
              </w:rPr>
              <w:t xml:space="preserve">（</w:t>
            </w:r>
            <w:r>
              <w:rPr>
                <w:rFonts w:hint="eastAsia" w:ascii="宋体" w:hAnsi="宋体"/>
                <w:b/>
                <w:bCs/>
                <w:color w:val="000000"/>
                <w:sz w:val="24"/>
                <w:szCs w:val="21"/>
                <w:highlight w:val="none"/>
              </w:rPr>
              <w:t xml:space="preserve">加</w:t>
            </w:r>
            <w:r>
              <w:rPr>
                <w:rFonts w:ascii="宋体" w:hAnsi="宋体" w:cs="宋体"/>
                <w:b/>
                <w:color w:val="000000"/>
                <w:sz w:val="22"/>
                <w:szCs w:val="28"/>
                <w:highlight w:val="none"/>
                <w:lang w:val="zh-CN"/>
              </w:rPr>
              <w:t xml:space="preserve">★</w:t>
            </w:r>
            <w:r>
              <w:rPr>
                <w:rFonts w:hint="eastAsia" w:ascii="宋体" w:hAnsi="宋体"/>
                <w:b/>
                <w:bCs/>
                <w:color w:val="000000"/>
                <w:sz w:val="24"/>
                <w:szCs w:val="21"/>
                <w:highlight w:val="none"/>
              </w:rPr>
              <w:t xml:space="preserve">号条款）</w:t>
            </w:r>
            <w:r>
              <w:rPr>
                <w:rFonts w:hint="eastAsia" w:ascii="宋体" w:hAnsi="宋体"/>
                <w:color w:val="000000"/>
                <w:sz w:val="24"/>
                <w:szCs w:val="24"/>
                <w:highlight w:val="none"/>
              </w:rPr>
            </w:r>
            <w:r/>
          </w:p>
        </w:tc>
        <w:tc>
          <w:tcPr>
            <w:tcW w:w="3317"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26" w:type="dxa"/>
            <w:vAlign w:val="center"/>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609"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3609"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609"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317"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69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9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ascii="宋体" w:hAnsi="宋体"/>
          <w:color w:val="000000"/>
          <w:sz w:val="24"/>
          <w:szCs w:val="24"/>
          <w:highlight w:val="none"/>
        </w:rPr>
        <w:t xml:space="preserve">的实质性要求</w:t>
      </w:r>
      <w:r>
        <w:rPr>
          <w:rFonts w:hint="eastAsia" w:ascii="宋体" w:hAnsi="宋体"/>
          <w:b/>
          <w:bCs/>
          <w:color w:val="000000"/>
          <w:sz w:val="24"/>
          <w:szCs w:val="24"/>
          <w:highlight w:val="none"/>
        </w:rPr>
        <w:t xml:space="preserve">（</w:t>
      </w:r>
      <w:r>
        <w:rPr>
          <w:rFonts w:hint="eastAsia" w:ascii="宋体" w:hAnsi="宋体"/>
          <w:b/>
          <w:bCs/>
          <w:color w:val="000000"/>
          <w:sz w:val="24"/>
          <w:szCs w:val="21"/>
          <w:highlight w:val="none"/>
        </w:rPr>
        <w:t xml:space="preserve">加</w:t>
      </w:r>
      <w:r>
        <w:rPr>
          <w:rFonts w:ascii="宋体" w:hAnsi="宋体" w:cs="宋体"/>
          <w:b/>
          <w:color w:val="000000"/>
          <w:sz w:val="22"/>
          <w:szCs w:val="28"/>
          <w:highlight w:val="none"/>
          <w:lang w:val="zh-CN"/>
        </w:rPr>
        <w:t xml:space="preserve">★</w:t>
      </w:r>
      <w:r>
        <w:rPr>
          <w:rFonts w:hint="eastAsia" w:ascii="宋体" w:hAnsi="宋体"/>
          <w:b/>
          <w:bCs/>
          <w:color w:val="000000"/>
          <w:sz w:val="24"/>
          <w:szCs w:val="21"/>
          <w:highlight w:val="none"/>
        </w:rPr>
        <w:t xml:space="preserve">号条款）</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9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3.投标人未对实质性要求逐条作出明确响应的，或未按招标文件要求提供证明材料的，该采购包作无效投标处理。</w:t>
      </w: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90"/>
        <w:jc w:val="center"/>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b/>
          <w:color w:val="000000"/>
          <w:sz w:val="24"/>
          <w:szCs w:val="24"/>
          <w:highlight w:val="none"/>
        </w:rPr>
        <w:t xml:space="preserve">附件13  关于符合本国产品标准的声明函（采购包号：**）</w:t>
      </w:r>
      <w:r>
        <w:rPr>
          <w:rFonts w:hint="eastAsia" w:ascii="方正魏碑_GBK" w:hAnsi="方正魏碑_GBK" w:eastAsia="方正魏碑_GBK" w:cs="方正魏碑_GBK"/>
          <w:color w:val="000000"/>
          <w:sz w:val="24"/>
          <w:szCs w:val="24"/>
          <w:highlight w:val="none"/>
        </w:rPr>
      </w:r>
      <w:r/>
    </w:p>
    <w:p>
      <w:pPr>
        <w:pStyle w:val="752"/>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75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75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764"/>
          <w:rFonts w:hint="eastAsia" w:ascii="方正魏碑_GBK" w:hAnsi="方正魏碑_GBK" w:eastAsia="方正魏碑_GBK" w:cs="方正魏碑_GBK"/>
          <w:i w:val="0"/>
          <w:color w:val="000000"/>
          <w:highlight w:val="none"/>
          <w:u w:val="single"/>
          <w:shd w:val="clear" w:color="auto" w:fill="ffffff"/>
        </w:rPr>
        <w:t xml:space="preserve">（产品名称1）</w:t>
      </w:r>
      <w:r>
        <w:rPr>
          <w:rStyle w:val="764"/>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764"/>
          <w:rFonts w:hint="eastAsia" w:ascii="方正魏碑_GBK" w:hAnsi="方正魏碑_GBK" w:eastAsia="方正魏碑_GBK" w:cs="方正魏碑_GBK"/>
          <w:i w:val="0"/>
          <w:color w:val="000000"/>
          <w:highlight w:val="none"/>
          <w:u w:val="single"/>
          <w:shd w:val="clear" w:color="auto" w:fill="ffffff"/>
        </w:rPr>
        <w:t xml:space="preserve">（厂名）</w:t>
      </w:r>
      <w:r>
        <w:rPr>
          <w:rStyle w:val="764"/>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764"/>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764"/>
          <w:rFonts w:hint="eastAsia" w:ascii="方正魏碑_GBK" w:hAnsi="方正魏碑_GBK" w:eastAsia="方正魏碑_GBK" w:cs="方正魏碑_GBK"/>
          <w:i w:val="0"/>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764"/>
          <w:rFonts w:hint="eastAsia" w:ascii="方正魏碑_GBK" w:hAnsi="方正魏碑_GBK" w:eastAsia="方正魏碑_GBK" w:cs="方正魏碑_GBK"/>
          <w:i w:val="0"/>
          <w:color w:val="000000"/>
          <w:highlight w:val="none"/>
          <w:u w:val="single"/>
          <w:shd w:val="clear" w:color="auto" w:fill="ffffff"/>
        </w:rPr>
        <w:t xml:space="preserve">（规定</w:t>
      </w:r>
      <w:r>
        <w:rPr>
          <w:rStyle w:val="764"/>
          <w:rFonts w:ascii="方正魏碑_GBK" w:hAnsi="方正魏碑_GBK" w:eastAsia="方正魏碑_GBK" w:cs="方正魏碑_GBK"/>
          <w:i w:val="0"/>
          <w:color w:val="000000"/>
          <w:highlight w:val="none"/>
          <w:u w:val="single"/>
          <w:shd w:val="clear" w:color="auto" w:fill="ffffff"/>
        </w:rPr>
        <w:t xml:space="preserve">比例</w:t>
      </w:r>
      <w:r>
        <w:rPr>
          <w:rStyle w:val="764"/>
          <w:rFonts w:hint="eastAsia" w:ascii="方正魏碑_GBK" w:hAnsi="方正魏碑_GBK" w:eastAsia="方正魏碑_GBK" w:cs="方正魏碑_GBK"/>
          <w:i w:val="0"/>
          <w:color w:val="000000"/>
          <w:highlight w:val="none"/>
          <w:u w:val="single"/>
          <w:shd w:val="clear" w:color="auto" w:fill="ffffff"/>
        </w:rPr>
        <w:t xml:space="preserve">）</w:t>
      </w:r>
      <w:r>
        <w:rPr>
          <w:rStyle w:val="764"/>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764"/>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64"/>
          <w:rFonts w:hint="eastAsia" w:ascii="方正魏碑_GBK" w:hAnsi="方正魏碑_GBK" w:eastAsia="方正魏碑_GBK" w:cs="方正魏碑_GBK"/>
          <w:i w:val="0"/>
          <w:color w:val="000000"/>
          <w:highlight w:val="none"/>
          <w:u w:val="single"/>
          <w:shd w:val="clear" w:color="auto" w:fill="ffffff"/>
        </w:rPr>
        <w:t xml:space="preserve">（关键</w:t>
      </w:r>
      <w:r>
        <w:rPr>
          <w:rStyle w:val="764"/>
          <w:rFonts w:ascii="方正魏碑_GBK" w:hAnsi="方正魏碑_GBK" w:eastAsia="方正魏碑_GBK" w:cs="方正魏碑_GBK"/>
          <w:i w:val="0"/>
          <w:color w:val="000000"/>
          <w:highlight w:val="none"/>
          <w:u w:val="single"/>
          <w:shd w:val="clear" w:color="auto" w:fill="ffffff"/>
        </w:rPr>
        <w:t xml:space="preserve">组件</w:t>
      </w:r>
      <w:r>
        <w:rPr>
          <w:rStyle w:val="764"/>
          <w:rFonts w:hint="eastAsia" w:ascii="方正魏碑_GBK" w:hAnsi="方正魏碑_GBK" w:eastAsia="方正魏碑_GBK" w:cs="方正魏碑_GBK"/>
          <w:i w:val="0"/>
          <w:color w:val="000000"/>
          <w:highlight w:val="none"/>
          <w:u w:val="single"/>
          <w:shd w:val="clear" w:color="auto" w:fill="ffffff"/>
        </w:rPr>
        <w:t xml:space="preserve">）</w:t>
      </w:r>
      <w:r>
        <w:rPr>
          <w:rStyle w:val="764"/>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764"/>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64"/>
          <w:rFonts w:hint="eastAsia" w:ascii="方正魏碑_GBK" w:hAnsi="方正魏碑_GBK" w:eastAsia="方正魏碑_GBK" w:cs="方正魏碑_GBK"/>
          <w:i w:val="0"/>
          <w:color w:val="000000"/>
          <w:highlight w:val="none"/>
          <w:u w:val="single"/>
          <w:shd w:val="clear" w:color="auto" w:fill="ffffff"/>
        </w:rPr>
        <w:t xml:space="preserve">（关键工序）</w:t>
      </w:r>
      <w:r>
        <w:rPr>
          <w:rStyle w:val="764"/>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75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764"/>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764"/>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764"/>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764"/>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764"/>
          <w:rFonts w:hint="eastAsia" w:ascii="方正魏碑_GBK" w:hAnsi="方正魏碑_GBK" w:eastAsia="方正魏碑_GBK" w:cs="方正魏碑_GBK"/>
          <w:i w:val="0"/>
          <w:color w:val="000000"/>
          <w:highlight w:val="none"/>
          <w:u w:val="single"/>
          <w:shd w:val="clear" w:color="auto" w:fill="ffffff"/>
        </w:rPr>
        <w:t xml:space="preserve">（规定</w:t>
      </w:r>
      <w:r>
        <w:rPr>
          <w:rStyle w:val="764"/>
          <w:rFonts w:ascii="方正魏碑_GBK" w:hAnsi="方正魏碑_GBK" w:eastAsia="方正魏碑_GBK" w:cs="方正魏碑_GBK"/>
          <w:i w:val="0"/>
          <w:color w:val="000000"/>
          <w:highlight w:val="none"/>
          <w:u w:val="single"/>
          <w:shd w:val="clear" w:color="auto" w:fill="ffffff"/>
        </w:rPr>
        <w:t xml:space="preserve">比例</w:t>
      </w:r>
      <w:r>
        <w:rPr>
          <w:rStyle w:val="764"/>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764"/>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764"/>
          <w:rFonts w:hint="eastAsia" w:ascii="方正魏碑_GBK" w:hAnsi="方正魏碑_GBK" w:eastAsia="方正魏碑_GBK" w:cs="方正魏碑_GBK"/>
          <w:i w:val="0"/>
          <w:color w:val="000000"/>
          <w:highlight w:val="none"/>
          <w:u w:val="single"/>
          <w:shd w:val="clear" w:color="auto" w:fill="ffffff"/>
        </w:rPr>
        <w:t xml:space="preserve">（关键</w:t>
      </w:r>
      <w:r>
        <w:rPr>
          <w:rStyle w:val="764"/>
          <w:rFonts w:ascii="方正魏碑_GBK" w:hAnsi="方正魏碑_GBK" w:eastAsia="方正魏碑_GBK" w:cs="方正魏碑_GBK"/>
          <w:i w:val="0"/>
          <w:color w:val="000000"/>
          <w:highlight w:val="none"/>
          <w:u w:val="single"/>
          <w:shd w:val="clear" w:color="auto" w:fill="ffffff"/>
        </w:rPr>
        <w:t xml:space="preserve">组件</w:t>
      </w:r>
      <w:r>
        <w:rPr>
          <w:rStyle w:val="764"/>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764"/>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64"/>
          <w:rFonts w:hint="eastAsia" w:ascii="方正魏碑_GBK" w:hAnsi="方正魏碑_GBK" w:eastAsia="方正魏碑_GBK" w:cs="方正魏碑_GBK"/>
          <w:i w:val="0"/>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75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75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75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75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752"/>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75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75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75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75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75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75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75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690"/>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90"/>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90"/>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90"/>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0"/>
        <w:rPr>
          <w:rFonts w:hint="eastAsia" w:ascii="宋体" w:hAnsi="宋体" w:cs="仿宋"/>
          <w:b/>
          <w:bCs/>
          <w:color w:val="000000"/>
          <w:sz w:val="32"/>
          <w:szCs w:val="32"/>
          <w:highlight w:val="none"/>
        </w:rPr>
      </w:pPr>
      <w:r/>
      <w:bookmarkEnd w:id="178"/>
      <w:r/>
      <w:bookmarkEnd w:id="179"/>
      <w:r/>
      <w:bookmarkEnd w:id="194"/>
      <w:r>
        <w:rPr>
          <w:rFonts w:hint="eastAsia" w:ascii="宋体" w:hAnsi="宋体" w:cs="仿宋"/>
          <w:b/>
          <w:bCs/>
          <w:color w:val="000000"/>
          <w:sz w:val="32"/>
          <w:szCs w:val="32"/>
          <w:highlight w:val="none"/>
        </w:rPr>
      </w:r>
      <w:r/>
    </w:p>
    <w:p>
      <w:pPr>
        <w:pStyle w:val="69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90"/>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90"/>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6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9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6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9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6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9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6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90"/>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90"/>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9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690"/>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华文新魏">
    <w:panose1 w:val="02010800040101010101"/>
  </w:font>
  <w:font w:name="Showcard Gothic">
    <w:panose1 w:val="04020904020102020604"/>
  </w:font>
  <w:font w:name="Symbol">
    <w:panose1 w:val="05050102010706020507"/>
  </w:font>
  <w:font w:name="DejaVu Sans">
    <w:panose1 w:val="020B0603030804020204"/>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方正书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73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4153" w:leader="none"/>
        <w:tab w:val="right" w:pos="8306" w:leader="none"/>
      </w:tabs>
      <w:rPr>
        <w:rStyle w:val="762"/>
        <w:rFonts w:ascii="宋体" w:hAnsi="宋体"/>
      </w:rPr>
      <w:framePr w:wrap="around" w:vAnchor="text" w:hAnchor="margin" w:xAlign="center" w:y="1"/>
    </w:pPr>
    <w:r>
      <w:rPr>
        <w:rFonts w:ascii="宋体" w:hAnsi="宋体"/>
      </w:rPr>
      <w:fldChar w:fldCharType="begin"/>
    </w:r>
    <w:r>
      <w:rPr>
        <w:rStyle w:val="762"/>
        <w:rFonts w:ascii="宋体" w:hAnsi="宋体"/>
      </w:rPr>
      <w:instrText xml:space="preserve">PAGE  </w:instrText>
    </w:r>
    <w:r>
      <w:rPr>
        <w:rFonts w:ascii="宋体" w:hAnsi="宋体"/>
      </w:rPr>
      <w:fldChar w:fldCharType="separate"/>
    </w:r>
    <w:r>
      <w:rPr>
        <w:rStyle w:val="762"/>
        <w:rFonts w:ascii="宋体" w:hAnsi="宋体"/>
      </w:rPr>
      <w:t xml:space="preserve">32</w:t>
    </w:r>
    <w:r>
      <w:rPr>
        <w:rFonts w:ascii="宋体" w:hAnsi="宋体"/>
      </w:rPr>
      <w:fldChar w:fldCharType="end"/>
    </w:r>
    <w:r>
      <w:rPr>
        <w:rStyle w:val="762"/>
        <w:rFonts w:ascii="宋体" w:hAnsi="宋体"/>
      </w:rPr>
    </w:r>
    <w:r/>
  </w:p>
  <w:p>
    <w:pPr>
      <w:pStyle w:val="73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4153" w:leader="none"/>
        <w:tab w:val="right" w:pos="8306" w:leader="none"/>
      </w:tabs>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rPr>
        <w:rStyle w:val="762"/>
      </w:rPr>
    </w:r>
    <w:r/>
  </w:p>
  <w:p>
    <w:pPr>
      <w:pStyle w:val="7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690"/>
      </w:pPr>
    </w:lvl>
    <w:lvl w:ilvl="1">
      <w:start w:val="1"/>
      <w:numFmt w:val="bullet"/>
      <w:isLgl w:val="false"/>
      <w:suff w:val="tab"/>
      <w:lvlText w:val="o"/>
      <w:lvlJc w:val="left"/>
      <w:pPr>
        <w:pStyle w:val="690"/>
        <w:ind w:left="1440" w:hanging="360"/>
      </w:pPr>
      <w:rPr>
        <w:rFonts w:ascii="Courier New" w:hAnsi="Courier New" w:eastAsia="Courier New" w:cs="Courier New"/>
      </w:rPr>
    </w:lvl>
    <w:lvl w:ilvl="2">
      <w:start w:val="1"/>
      <w:numFmt w:val="bullet"/>
      <w:isLgl w:val="false"/>
      <w:suff w:val="tab"/>
      <w:lvlText w:val="§"/>
      <w:lvlJc w:val="left"/>
      <w:pPr>
        <w:pStyle w:val="690"/>
        <w:ind w:left="2160" w:hanging="360"/>
      </w:pPr>
      <w:rPr>
        <w:rFonts w:ascii="Wingdings" w:hAnsi="Wingdings" w:eastAsia="Wingdings" w:cs="Wingdings"/>
      </w:rPr>
    </w:lvl>
    <w:lvl w:ilvl="3">
      <w:start w:val="1"/>
      <w:numFmt w:val="bullet"/>
      <w:isLgl w:val="false"/>
      <w:suff w:val="tab"/>
      <w:lvlText w:val="·"/>
      <w:lvlJc w:val="left"/>
      <w:pPr>
        <w:pStyle w:val="690"/>
        <w:ind w:left="2880" w:hanging="360"/>
      </w:pPr>
      <w:rPr>
        <w:rFonts w:ascii="Symbol" w:hAnsi="Symbol" w:eastAsia="Symbol" w:cs="Symbol"/>
      </w:rPr>
    </w:lvl>
    <w:lvl w:ilvl="4">
      <w:start w:val="1"/>
      <w:numFmt w:val="bullet"/>
      <w:isLgl w:val="false"/>
      <w:suff w:val="tab"/>
      <w:lvlText w:val="o"/>
      <w:lvlJc w:val="left"/>
      <w:pPr>
        <w:pStyle w:val="690"/>
        <w:ind w:left="3600" w:hanging="360"/>
      </w:pPr>
      <w:rPr>
        <w:rFonts w:ascii="Courier New" w:hAnsi="Courier New" w:eastAsia="Courier New" w:cs="Courier New"/>
      </w:rPr>
    </w:lvl>
    <w:lvl w:ilvl="5">
      <w:start w:val="1"/>
      <w:numFmt w:val="bullet"/>
      <w:isLgl w:val="false"/>
      <w:suff w:val="tab"/>
      <w:lvlText w:val="§"/>
      <w:lvlJc w:val="left"/>
      <w:pPr>
        <w:pStyle w:val="690"/>
        <w:ind w:left="4320" w:hanging="360"/>
      </w:pPr>
      <w:rPr>
        <w:rFonts w:ascii="Wingdings" w:hAnsi="Wingdings" w:eastAsia="Wingdings" w:cs="Wingdings"/>
      </w:rPr>
    </w:lvl>
    <w:lvl w:ilvl="6">
      <w:start w:val="1"/>
      <w:numFmt w:val="bullet"/>
      <w:isLgl w:val="false"/>
      <w:suff w:val="tab"/>
      <w:lvlText w:val="·"/>
      <w:lvlJc w:val="left"/>
      <w:pPr>
        <w:pStyle w:val="690"/>
        <w:ind w:left="5040" w:hanging="360"/>
      </w:pPr>
      <w:rPr>
        <w:rFonts w:ascii="Symbol" w:hAnsi="Symbol" w:eastAsia="Symbol" w:cs="Symbol"/>
      </w:rPr>
    </w:lvl>
    <w:lvl w:ilvl="7">
      <w:start w:val="1"/>
      <w:numFmt w:val="bullet"/>
      <w:isLgl w:val="false"/>
      <w:suff w:val="tab"/>
      <w:lvlText w:val="o"/>
      <w:lvlJc w:val="left"/>
      <w:pPr>
        <w:pStyle w:val="690"/>
        <w:ind w:left="5760" w:hanging="360"/>
      </w:pPr>
      <w:rPr>
        <w:rFonts w:ascii="Courier New" w:hAnsi="Courier New" w:eastAsia="Courier New" w:cs="Courier New"/>
      </w:rPr>
    </w:lvl>
    <w:lvl w:ilvl="8">
      <w:start w:val="1"/>
      <w:numFmt w:val="bullet"/>
      <w:isLgl w:val="false"/>
      <w:suff w:val="tab"/>
      <w:lvlText w:val="§"/>
      <w:lvlJc w:val="left"/>
      <w:pPr>
        <w:pStyle w:val="690"/>
        <w:ind w:left="6480" w:hanging="360"/>
      </w:pPr>
      <w:rPr>
        <w:rFonts w:ascii="Wingdings" w:hAnsi="Wingdings" w:eastAsia="Wingdings" w:cs="Wingdings"/>
      </w:rPr>
    </w:lvl>
  </w:abstractNum>
  <w:abstractNum w:abstractNumId="7">
    <w:multiLevelType w:val="hybridMultilevel"/>
    <w:lvl w:ilvl="0">
      <w:start w:val="1"/>
      <w:numFmt w:val="upperLetter"/>
      <w:pStyle w:val="770"/>
      <w:isLgl w:val="false"/>
      <w:suff w:val="tab"/>
      <w:lvlText w:val="附录%1."/>
      <w:lvlJc w:val="left"/>
      <w:pPr>
        <w:pStyle w:val="69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tab"/>
      <w:lvlText w:val="%1."/>
      <w:lvlJc w:val="left"/>
      <w:pPr>
        <w:pStyle w:val="6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87"/>
      <w:isLgl w:val="false"/>
      <w:suff w:val="tab"/>
      <w:lvlText w:val="%1."/>
      <w:lvlJc w:val="left"/>
      <w:pPr>
        <w:pStyle w:val="690"/>
        <w:ind w:left="709" w:hanging="709"/>
        <w:tabs>
          <w:tab w:val="num" w:pos="709" w:leader="none"/>
        </w:tabs>
      </w:pPr>
      <w:rPr>
        <w:rFonts w:hint="eastAsia"/>
      </w:rPr>
    </w:lvl>
    <w:lvl w:ilvl="1">
      <w:start w:val="1"/>
      <w:numFmt w:val="decimal"/>
      <w:isLgl w:val="false"/>
      <w:suff w:val="tab"/>
      <w:lvlText w:val="%1.%2"/>
      <w:lvlJc w:val="left"/>
      <w:pPr>
        <w:pStyle w:val="690"/>
        <w:ind w:left="709" w:hanging="709"/>
        <w:tabs>
          <w:tab w:val="num" w:pos="709" w:leader="none"/>
        </w:tabs>
      </w:pPr>
      <w:rPr>
        <w:rFonts w:hint="eastAsia"/>
      </w:rPr>
    </w:lvl>
    <w:lvl w:ilvl="2">
      <w:start w:val="1"/>
      <w:numFmt w:val="decimal"/>
      <w:isLgl w:val="false"/>
      <w:suff w:val="tab"/>
      <w:lvlText w:val="%1.%2.%3."/>
      <w:lvlJc w:val="left"/>
      <w:pPr>
        <w:pStyle w:val="690"/>
        <w:ind w:left="425" w:hanging="425"/>
        <w:tabs>
          <w:tab w:val="num" w:pos="425" w:leader="none"/>
        </w:tabs>
      </w:pPr>
      <w:rPr>
        <w:rFonts w:hint="eastAsia"/>
      </w:rPr>
    </w:lvl>
    <w:lvl w:ilvl="3">
      <w:start w:val="1"/>
      <w:numFmt w:val="decimal"/>
      <w:isLgl w:val="false"/>
      <w:suff w:val="tab"/>
      <w:lvlText w:val="%1.%2.%3.%4."/>
      <w:lvlJc w:val="left"/>
      <w:pPr>
        <w:pStyle w:val="690"/>
        <w:ind w:left="851" w:hanging="851"/>
        <w:tabs>
          <w:tab w:val="num" w:pos="851" w:leader="none"/>
        </w:tabs>
      </w:pPr>
      <w:rPr>
        <w:rFonts w:hint="eastAsia"/>
      </w:rPr>
    </w:lvl>
    <w:lvl w:ilvl="4">
      <w:start w:val="1"/>
      <w:numFmt w:val="decimal"/>
      <w:isLgl w:val="false"/>
      <w:suff w:val="tab"/>
      <w:lvlText w:val="%1.%2.%3.%4.%5."/>
      <w:lvlJc w:val="left"/>
      <w:pPr>
        <w:pStyle w:val="690"/>
        <w:ind w:left="992" w:hanging="992"/>
        <w:tabs>
          <w:tab w:val="num" w:pos="992" w:leader="none"/>
        </w:tabs>
      </w:pPr>
      <w:rPr>
        <w:rFonts w:hint="eastAsia"/>
      </w:rPr>
    </w:lvl>
    <w:lvl w:ilvl="5">
      <w:start w:val="1"/>
      <w:numFmt w:val="decimal"/>
      <w:isLgl w:val="false"/>
      <w:suff w:val="tab"/>
      <w:lvlText w:val="%1.%2.%3.%4.%5.%6."/>
      <w:lvlJc w:val="left"/>
      <w:pPr>
        <w:pStyle w:val="690"/>
        <w:ind w:left="1134" w:hanging="1134"/>
        <w:tabs>
          <w:tab w:val="num" w:pos="1134" w:leader="none"/>
        </w:tabs>
      </w:pPr>
      <w:rPr>
        <w:rFonts w:hint="eastAsia"/>
      </w:rPr>
    </w:lvl>
    <w:lvl w:ilvl="6">
      <w:start w:val="1"/>
      <w:numFmt w:val="decimal"/>
      <w:isLgl w:val="false"/>
      <w:suff w:val="tab"/>
      <w:lvlText w:val="%1.%2.%3.%4.%5.%6.%7."/>
      <w:lvlJc w:val="left"/>
      <w:pPr>
        <w:pStyle w:val="690"/>
        <w:ind w:left="1276" w:hanging="1276"/>
        <w:tabs>
          <w:tab w:val="num" w:pos="1276" w:leader="none"/>
        </w:tabs>
      </w:pPr>
      <w:rPr>
        <w:rFonts w:hint="eastAsia"/>
      </w:rPr>
    </w:lvl>
    <w:lvl w:ilvl="7">
      <w:start w:val="1"/>
      <w:numFmt w:val="decimal"/>
      <w:isLgl w:val="false"/>
      <w:suff w:val="tab"/>
      <w:lvlText w:val="%1.%2.%3.%4.%5.%6.%7.%8."/>
      <w:lvlJc w:val="left"/>
      <w:pPr>
        <w:pStyle w:val="690"/>
        <w:ind w:left="1418" w:hanging="1418"/>
        <w:tabs>
          <w:tab w:val="num" w:pos="1418" w:leader="none"/>
        </w:tabs>
      </w:pPr>
      <w:rPr>
        <w:rFonts w:hint="eastAsia"/>
      </w:rPr>
    </w:lvl>
    <w:lvl w:ilvl="8">
      <w:start w:val="1"/>
      <w:numFmt w:val="decimal"/>
      <w:isLgl w:val="false"/>
      <w:suff w:val="tab"/>
      <w:lvlText w:val="%1.%2.%3.%4.%5.%6.%7.%8.%9."/>
      <w:lvlJc w:val="left"/>
      <w:pPr>
        <w:pStyle w:val="690"/>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690"/>
        <w:ind w:left="0" w:firstLine="0"/>
      </w:pPr>
      <w:rPr>
        <w:rFonts w:hint="eastAsia"/>
      </w:rPr>
    </w:lvl>
    <w:lvl w:ilvl="1">
      <w:start w:val="1"/>
      <w:numFmt w:val="decimal"/>
      <w:isLgl w:val="false"/>
      <w:suff w:val="nothing"/>
      <w:lvlText w:val="%2、"/>
      <w:lvlJc w:val="left"/>
      <w:pPr>
        <w:pStyle w:val="690"/>
        <w:ind w:left="0" w:firstLine="0"/>
      </w:pPr>
      <w:rPr>
        <w:rFonts w:hint="eastAsia"/>
      </w:rPr>
    </w:lvl>
    <w:lvl w:ilvl="2">
      <w:start w:val="1"/>
      <w:numFmt w:val="decimal"/>
      <w:isLgl w:val="false"/>
      <w:suff w:val="nothing"/>
      <w:lvlText w:val="%2.%3 "/>
      <w:lvlJc w:val="left"/>
      <w:pPr>
        <w:pStyle w:val="690"/>
        <w:ind w:left="0" w:firstLine="0"/>
      </w:pPr>
      <w:rPr>
        <w:rFonts w:hint="eastAsia"/>
      </w:rPr>
    </w:lvl>
    <w:lvl w:ilvl="3">
      <w:start w:val="1"/>
      <w:numFmt w:val="decimal"/>
      <w:isLgl w:val="false"/>
      <w:suff w:val="nothing"/>
      <w:lvlText w:val="%2.%3.%4 "/>
      <w:lvlJc w:val="left"/>
      <w:pPr>
        <w:pStyle w:val="690"/>
        <w:ind w:left="0" w:firstLine="0"/>
      </w:pPr>
      <w:rPr>
        <w:rFonts w:hint="eastAsia"/>
      </w:rPr>
    </w:lvl>
    <w:lvl w:ilvl="4">
      <w:start w:val="1"/>
      <w:numFmt w:val="decimal"/>
      <w:isLgl w:val="false"/>
      <w:suff w:val="nothing"/>
      <w:lvlText w:val="%2.%3.%4.%5 "/>
      <w:lvlJc w:val="left"/>
      <w:pPr>
        <w:pStyle w:val="690"/>
        <w:ind w:left="0" w:firstLine="0"/>
      </w:pPr>
      <w:rPr>
        <w:rFonts w:hint="eastAsia"/>
      </w:rPr>
    </w:lvl>
    <w:lvl w:ilvl="5">
      <w:start w:val="1"/>
      <w:numFmt w:val="decimal"/>
      <w:pStyle w:val="696"/>
      <w:isLgl w:val="false"/>
      <w:suff w:val="nothing"/>
      <w:lvlText w:val=""/>
      <w:lvlJc w:val="left"/>
      <w:pPr>
        <w:pStyle w:val="690"/>
        <w:ind w:left="0" w:firstLine="0"/>
      </w:pPr>
      <w:rPr>
        <w:rFonts w:hint="eastAsia"/>
      </w:rPr>
    </w:lvl>
    <w:lvl w:ilvl="6">
      <w:start w:val="1"/>
      <w:numFmt w:val="decimal"/>
      <w:pStyle w:val="697"/>
      <w:isLgl w:val="false"/>
      <w:suff w:val="nothing"/>
      <w:lvlText w:val=""/>
      <w:lvlJc w:val="left"/>
      <w:pPr>
        <w:pStyle w:val="690"/>
        <w:ind w:left="0" w:firstLine="0"/>
      </w:pPr>
      <w:rPr>
        <w:rFonts w:hint="eastAsia"/>
      </w:rPr>
    </w:lvl>
    <w:lvl w:ilvl="7">
      <w:start w:val="1"/>
      <w:numFmt w:val="decimal"/>
      <w:pStyle w:val="698"/>
      <w:isLgl w:val="false"/>
      <w:suff w:val="nothing"/>
      <w:lvlText w:val=""/>
      <w:lvlJc w:val="left"/>
      <w:pPr>
        <w:pStyle w:val="690"/>
        <w:ind w:left="0" w:firstLine="0"/>
      </w:pPr>
      <w:rPr>
        <w:rFonts w:hint="eastAsia"/>
      </w:rPr>
    </w:lvl>
    <w:lvl w:ilvl="8">
      <w:start w:val="1"/>
      <w:numFmt w:val="decimal"/>
      <w:pStyle w:val="699"/>
      <w:isLgl w:val="false"/>
      <w:suff w:val="nothing"/>
      <w:lvlText w:val=""/>
      <w:lvlJc w:val="left"/>
      <w:pPr>
        <w:pStyle w:val="690"/>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69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8"/>
  </w:num>
  <w:num w:numId="6">
    <w:abstractNumId w:val="12"/>
  </w:num>
  <w:num w:numId="7">
    <w:abstractNumId w:val="1"/>
  </w:num>
  <w:num w:numId="8">
    <w:abstractNumId w:val="5"/>
  </w:num>
  <w:num w:numId="9">
    <w:abstractNumId w:val="3"/>
  </w:num>
  <w:num w:numId="10">
    <w:abstractNumId w:val="2"/>
  </w:num>
  <w:num w:numId="11">
    <w:abstractNumId w:val="0"/>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0"/>
    <w:next w:val="69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0"/>
    <w:next w:val="69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0"/>
    <w:next w:val="6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0"/>
    <w:next w:val="6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0"/>
    <w:next w:val="6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0"/>
    <w:next w:val="6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0"/>
    <w:next w:val="6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0"/>
    <w:next w:val="6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0"/>
    <w:next w:val="6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0"/>
    <w:next w:val="69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0"/>
    <w:next w:val="690"/>
    <w:uiPriority w:val="39"/>
    <w:unhideWhenUsed/>
    <w:pPr>
      <w:ind w:left="0" w:right="0" w:firstLine="0"/>
      <w:spacing w:after="57"/>
    </w:pPr>
  </w:style>
  <w:style w:type="paragraph" w:styleId="181">
    <w:name w:val="toc 2"/>
    <w:basedOn w:val="690"/>
    <w:next w:val="690"/>
    <w:uiPriority w:val="39"/>
    <w:unhideWhenUsed/>
    <w:pPr>
      <w:ind w:left="283" w:right="0" w:firstLine="0"/>
      <w:spacing w:after="57"/>
    </w:pPr>
  </w:style>
  <w:style w:type="paragraph" w:styleId="182">
    <w:name w:val="toc 3"/>
    <w:basedOn w:val="690"/>
    <w:next w:val="690"/>
    <w:uiPriority w:val="39"/>
    <w:unhideWhenUsed/>
    <w:pPr>
      <w:ind w:left="567" w:right="0" w:firstLine="0"/>
      <w:spacing w:after="57"/>
    </w:pPr>
  </w:style>
  <w:style w:type="paragraph" w:styleId="183">
    <w:name w:val="toc 4"/>
    <w:basedOn w:val="690"/>
    <w:next w:val="690"/>
    <w:uiPriority w:val="39"/>
    <w:unhideWhenUsed/>
    <w:pPr>
      <w:ind w:left="850" w:right="0" w:firstLine="0"/>
      <w:spacing w:after="57"/>
    </w:pPr>
  </w:style>
  <w:style w:type="paragraph" w:styleId="184">
    <w:name w:val="toc 5"/>
    <w:basedOn w:val="690"/>
    <w:next w:val="690"/>
    <w:uiPriority w:val="39"/>
    <w:unhideWhenUsed/>
    <w:pPr>
      <w:ind w:left="1134" w:right="0" w:firstLine="0"/>
      <w:spacing w:after="57"/>
    </w:pPr>
  </w:style>
  <w:style w:type="paragraph" w:styleId="185">
    <w:name w:val="toc 6"/>
    <w:basedOn w:val="690"/>
    <w:next w:val="690"/>
    <w:uiPriority w:val="39"/>
    <w:unhideWhenUsed/>
    <w:pPr>
      <w:ind w:left="1417" w:right="0" w:firstLine="0"/>
      <w:spacing w:after="57"/>
    </w:pPr>
  </w:style>
  <w:style w:type="paragraph" w:styleId="186">
    <w:name w:val="toc 7"/>
    <w:basedOn w:val="690"/>
    <w:next w:val="690"/>
    <w:uiPriority w:val="39"/>
    <w:unhideWhenUsed/>
    <w:pPr>
      <w:ind w:left="1701" w:right="0" w:firstLine="0"/>
      <w:spacing w:after="57"/>
    </w:pPr>
  </w:style>
  <w:style w:type="paragraph" w:styleId="187">
    <w:name w:val="toc 8"/>
    <w:basedOn w:val="690"/>
    <w:next w:val="690"/>
    <w:uiPriority w:val="39"/>
    <w:unhideWhenUsed/>
    <w:pPr>
      <w:ind w:left="1984" w:right="0" w:firstLine="0"/>
      <w:spacing w:after="57"/>
    </w:pPr>
  </w:style>
  <w:style w:type="paragraph" w:styleId="188">
    <w:name w:val="toc 9"/>
    <w:basedOn w:val="690"/>
    <w:next w:val="6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next w:val="690"/>
    <w:link w:val="690"/>
    <w:qFormat/>
    <w:pPr>
      <w:jc w:val="both"/>
      <w:widowControl w:val="off"/>
    </w:pPr>
    <w:rPr>
      <w:sz w:val="21"/>
      <w:szCs w:val="22"/>
      <w:lang w:val="en-US" w:eastAsia="zh-CN" w:bidi="ar-SA"/>
    </w:rPr>
  </w:style>
  <w:style w:type="paragraph" w:styleId="691">
    <w:name w:val="标题 1"/>
    <w:basedOn w:val="690"/>
    <w:next w:val="690"/>
    <w:link w:val="702"/>
    <w:qFormat/>
    <w:pPr>
      <w:jc w:val="center"/>
      <w:keepNext/>
      <w:outlineLvl w:val="0"/>
    </w:pPr>
    <w:rPr>
      <w:rFonts w:ascii="楷体_GB2312" w:hAnsi="Times New Roman" w:eastAsia="楷体_GB2312" w:cs="Times New Roman"/>
      <w:sz w:val="28"/>
      <w:szCs w:val="28"/>
    </w:rPr>
  </w:style>
  <w:style w:type="paragraph" w:styleId="692">
    <w:name w:val="标题 2"/>
    <w:basedOn w:val="690"/>
    <w:next w:val="704"/>
    <w:link w:val="703"/>
    <w:qFormat/>
    <w:pPr>
      <w:jc w:val="center"/>
      <w:keepLines/>
      <w:keepNext/>
      <w:spacing w:before="260" w:after="260" w:line="416" w:lineRule="auto"/>
      <w:outlineLvl w:val="1"/>
    </w:pPr>
    <w:rPr>
      <w:rFonts w:ascii="Arial" w:hAnsi="Arial" w:eastAsia="幼圆" w:cs="Arial"/>
      <w:b/>
      <w:bCs/>
      <w:sz w:val="44"/>
      <w:szCs w:val="44"/>
    </w:rPr>
  </w:style>
  <w:style w:type="paragraph" w:styleId="693">
    <w:name w:val="标题 3"/>
    <w:basedOn w:val="690"/>
    <w:next w:val="704"/>
    <w:link w:val="70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4">
    <w:name w:val="标题 4"/>
    <w:basedOn w:val="690"/>
    <w:next w:val="704"/>
    <w:link w:val="707"/>
    <w:qFormat/>
    <w:pPr>
      <w:keepLines/>
      <w:keepNext/>
      <w:spacing w:before="280" w:after="290" w:line="376" w:lineRule="auto"/>
      <w:outlineLvl w:val="3"/>
    </w:pPr>
    <w:rPr>
      <w:rFonts w:ascii="Arial" w:hAnsi="Arial" w:eastAsia="黑体" w:cs="Arial"/>
      <w:b/>
      <w:bCs/>
      <w:sz w:val="28"/>
      <w:szCs w:val="28"/>
    </w:rPr>
  </w:style>
  <w:style w:type="paragraph" w:styleId="695">
    <w:name w:val="标题 5"/>
    <w:basedOn w:val="690"/>
    <w:next w:val="704"/>
    <w:link w:val="708"/>
    <w:qFormat/>
    <w:pPr>
      <w:keepNext/>
      <w:outlineLvl w:val="4"/>
    </w:pPr>
    <w:rPr>
      <w:rFonts w:ascii="宋体" w:hAnsi="Times New Roman" w:eastAsia="宋体" w:cs="Times New Roman"/>
      <w:color w:val="000000"/>
      <w:sz w:val="28"/>
      <w:szCs w:val="28"/>
    </w:rPr>
  </w:style>
  <w:style w:type="paragraph" w:styleId="696">
    <w:name w:val="标题 6"/>
    <w:basedOn w:val="690"/>
    <w:next w:val="690"/>
    <w:link w:val="70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7">
    <w:name w:val="标题 7"/>
    <w:basedOn w:val="690"/>
    <w:next w:val="690"/>
    <w:link w:val="71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8">
    <w:name w:val="标题 8"/>
    <w:basedOn w:val="690"/>
    <w:next w:val="690"/>
    <w:link w:val="71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9">
    <w:name w:val="标题 9"/>
    <w:basedOn w:val="690"/>
    <w:next w:val="690"/>
    <w:link w:val="712"/>
    <w:qFormat/>
    <w:pPr>
      <w:numPr>
        <w:ilvl w:val="8"/>
        <w:numId w:val="1"/>
      </w:numPr>
      <w:keepLines/>
      <w:keepNext/>
      <w:spacing w:before="240" w:after="64" w:line="320" w:lineRule="auto"/>
      <w:outlineLvl w:val="8"/>
    </w:pPr>
    <w:rPr>
      <w:rFonts w:ascii="Arial" w:hAnsi="Arial" w:eastAsia="黑体" w:cs="Times New Roman"/>
      <w:szCs w:val="21"/>
    </w:rPr>
  </w:style>
  <w:style w:type="character" w:styleId="700">
    <w:name w:val="默认段落字体"/>
    <w:next w:val="700"/>
    <w:link w:val="690"/>
    <w:uiPriority w:val="1"/>
    <w:unhideWhenUsed/>
  </w:style>
  <w:style w:type="table" w:styleId="701">
    <w:name w:val="普通表格"/>
    <w:next w:val="701"/>
    <w:link w:val="690"/>
    <w:uiPriority w:val="99"/>
    <w:unhideWhenUsed/>
    <w:tblPr/>
  </w:style>
  <w:style w:type="character" w:styleId="702">
    <w:name w:val="标题 1 字符"/>
    <w:next w:val="702"/>
    <w:link w:val="691"/>
    <w:rPr>
      <w:rFonts w:ascii="楷体_GB2312" w:hAnsi="Times New Roman" w:eastAsia="楷体_GB2312" w:cs="Times New Roman"/>
      <w:sz w:val="28"/>
      <w:szCs w:val="28"/>
    </w:rPr>
  </w:style>
  <w:style w:type="character" w:styleId="703">
    <w:name w:val="标题 2 字符"/>
    <w:next w:val="703"/>
    <w:link w:val="692"/>
    <w:rPr>
      <w:rFonts w:ascii="Arial" w:hAnsi="Arial" w:eastAsia="幼圆" w:cs="Arial"/>
      <w:b/>
      <w:bCs/>
      <w:sz w:val="44"/>
      <w:szCs w:val="44"/>
    </w:rPr>
  </w:style>
  <w:style w:type="paragraph" w:styleId="704">
    <w:name w:val="正文缩进"/>
    <w:basedOn w:val="690"/>
    <w:next w:val="704"/>
    <w:link w:val="705"/>
    <w:pPr>
      <w:ind w:firstLine="420"/>
    </w:pPr>
    <w:rPr>
      <w:szCs w:val="21"/>
    </w:rPr>
  </w:style>
  <w:style w:type="character" w:styleId="705">
    <w:name w:val="正文缩进 字符"/>
    <w:next w:val="705"/>
    <w:link w:val="704"/>
    <w:rPr>
      <w:szCs w:val="21"/>
    </w:rPr>
  </w:style>
  <w:style w:type="character" w:styleId="706">
    <w:name w:val="标题 3 字符"/>
    <w:next w:val="706"/>
    <w:link w:val="693"/>
    <w:rPr>
      <w:rFonts w:ascii="Times New Roman" w:hAnsi="Times New Roman" w:eastAsia="宋体" w:cs="Times New Roman"/>
      <w:b/>
      <w:bCs/>
      <w:sz w:val="32"/>
      <w:szCs w:val="32"/>
    </w:rPr>
  </w:style>
  <w:style w:type="character" w:styleId="707">
    <w:name w:val="标题 4 字符"/>
    <w:next w:val="707"/>
    <w:link w:val="694"/>
    <w:rPr>
      <w:rFonts w:ascii="Arial" w:hAnsi="Arial" w:eastAsia="黑体" w:cs="Arial"/>
      <w:b/>
      <w:bCs/>
      <w:sz w:val="28"/>
      <w:szCs w:val="28"/>
    </w:rPr>
  </w:style>
  <w:style w:type="character" w:styleId="708">
    <w:name w:val="标题 5 字符"/>
    <w:next w:val="708"/>
    <w:link w:val="695"/>
    <w:rPr>
      <w:rFonts w:ascii="宋体" w:hAnsi="Times New Roman" w:eastAsia="宋体" w:cs="Times New Roman"/>
      <w:color w:val="000000"/>
      <w:sz w:val="28"/>
      <w:szCs w:val="28"/>
    </w:rPr>
  </w:style>
  <w:style w:type="character" w:styleId="709">
    <w:name w:val="标题 6 字符"/>
    <w:next w:val="709"/>
    <w:link w:val="696"/>
    <w:rPr>
      <w:rFonts w:ascii="Arial" w:hAnsi="Arial" w:eastAsia="黑体" w:cs="Times New Roman"/>
      <w:b/>
      <w:bCs/>
      <w:sz w:val="24"/>
      <w:szCs w:val="24"/>
    </w:rPr>
  </w:style>
  <w:style w:type="character" w:styleId="710">
    <w:name w:val="标题 7 字符"/>
    <w:next w:val="710"/>
    <w:link w:val="697"/>
    <w:rPr>
      <w:rFonts w:ascii="Times New Roman" w:hAnsi="Times New Roman" w:eastAsia="宋体" w:cs="Times New Roman"/>
      <w:b/>
      <w:bCs/>
      <w:sz w:val="24"/>
      <w:szCs w:val="24"/>
    </w:rPr>
  </w:style>
  <w:style w:type="character" w:styleId="711">
    <w:name w:val="标题 8 字符"/>
    <w:next w:val="711"/>
    <w:link w:val="698"/>
    <w:rPr>
      <w:rFonts w:ascii="Arial" w:hAnsi="Arial" w:eastAsia="黑体" w:cs="Times New Roman"/>
      <w:sz w:val="24"/>
      <w:szCs w:val="24"/>
    </w:rPr>
  </w:style>
  <w:style w:type="character" w:styleId="712">
    <w:name w:val="标题 9 字符"/>
    <w:next w:val="712"/>
    <w:link w:val="699"/>
    <w:rPr>
      <w:rFonts w:ascii="Arial" w:hAnsi="Arial" w:eastAsia="黑体" w:cs="Times New Roman"/>
      <w:szCs w:val="21"/>
    </w:rPr>
  </w:style>
  <w:style w:type="paragraph" w:styleId="713">
    <w:name w:val="列表 3"/>
    <w:basedOn w:val="690"/>
    <w:next w:val="713"/>
    <w:link w:val="690"/>
    <w:pPr>
      <w:ind w:left="100" w:hanging="200"/>
    </w:pPr>
    <w:rPr>
      <w:rFonts w:ascii="Times New Roman" w:hAnsi="Times New Roman" w:eastAsia="宋体" w:cs="Times New Roman"/>
      <w:szCs w:val="21"/>
    </w:rPr>
  </w:style>
  <w:style w:type="paragraph" w:styleId="714">
    <w:name w:val="目录 7"/>
    <w:basedOn w:val="690"/>
    <w:next w:val="690"/>
    <w:link w:val="690"/>
    <w:semiHidden/>
    <w:pPr>
      <w:ind w:left="1260"/>
      <w:jc w:val="left"/>
    </w:pPr>
    <w:rPr>
      <w:rFonts w:ascii="Times New Roman" w:hAnsi="Times New Roman" w:eastAsia="宋体" w:cs="Times New Roman"/>
      <w:szCs w:val="21"/>
    </w:rPr>
  </w:style>
  <w:style w:type="paragraph" w:styleId="715">
    <w:name w:val="文档结构图"/>
    <w:basedOn w:val="690"/>
    <w:next w:val="715"/>
    <w:link w:val="716"/>
    <w:semiHidden/>
    <w:pPr>
      <w:shd w:val="clear" w:color="auto" w:fill="000080"/>
    </w:pPr>
    <w:rPr>
      <w:rFonts w:ascii="Times New Roman" w:hAnsi="Times New Roman" w:eastAsia="宋体" w:cs="Times New Roman"/>
      <w:szCs w:val="21"/>
    </w:rPr>
  </w:style>
  <w:style w:type="character" w:styleId="716">
    <w:name w:val="文档结构图 字符"/>
    <w:next w:val="716"/>
    <w:link w:val="715"/>
    <w:semiHidden/>
    <w:rPr>
      <w:rFonts w:ascii="Times New Roman" w:hAnsi="Times New Roman" w:eastAsia="宋体" w:cs="Times New Roman"/>
      <w:szCs w:val="21"/>
      <w:shd w:val="clear" w:color="auto" w:fill="000080"/>
    </w:rPr>
  </w:style>
  <w:style w:type="paragraph" w:styleId="717">
    <w:name w:val="批注文字"/>
    <w:basedOn w:val="690"/>
    <w:next w:val="717"/>
    <w:link w:val="718"/>
    <w:unhideWhenUsed/>
    <w:pPr>
      <w:jc w:val="left"/>
    </w:pPr>
  </w:style>
  <w:style w:type="character" w:styleId="718">
    <w:name w:val="批注文字 字符"/>
    <w:next w:val="718"/>
    <w:link w:val="717"/>
    <w:uiPriority w:val="99"/>
    <w:semiHidden/>
  </w:style>
  <w:style w:type="paragraph" w:styleId="719">
    <w:name w:val="正文文本 3"/>
    <w:basedOn w:val="690"/>
    <w:next w:val="719"/>
    <w:link w:val="720"/>
    <w:rPr>
      <w:rFonts w:ascii="仿宋_GB2312" w:hAnsi="Arial" w:eastAsia="仿宋_GB2312" w:cs="Times New Roman"/>
      <w:sz w:val="32"/>
      <w:szCs w:val="32"/>
    </w:rPr>
  </w:style>
  <w:style w:type="character" w:styleId="720">
    <w:name w:val="正文文本 3 字符"/>
    <w:next w:val="720"/>
    <w:link w:val="719"/>
    <w:rPr>
      <w:rFonts w:ascii="仿宋_GB2312" w:hAnsi="Arial" w:eastAsia="仿宋_GB2312" w:cs="Times New Roman"/>
      <w:sz w:val="32"/>
      <w:szCs w:val="32"/>
    </w:rPr>
  </w:style>
  <w:style w:type="paragraph" w:styleId="721">
    <w:name w:val="正文文本"/>
    <w:basedOn w:val="690"/>
    <w:next w:val="721"/>
    <w:link w:val="722"/>
    <w:rPr>
      <w:rFonts w:ascii="楷体_GB2312" w:hAnsi="Arial" w:eastAsia="楷体_GB2312" w:cs="Times New Roman"/>
      <w:sz w:val="28"/>
      <w:szCs w:val="28"/>
    </w:rPr>
  </w:style>
  <w:style w:type="character" w:styleId="722">
    <w:name w:val="正文文本 字符"/>
    <w:next w:val="722"/>
    <w:link w:val="721"/>
    <w:rPr>
      <w:rFonts w:ascii="楷体_GB2312" w:hAnsi="Arial" w:eastAsia="楷体_GB2312" w:cs="Times New Roman"/>
      <w:sz w:val="28"/>
      <w:szCs w:val="28"/>
    </w:rPr>
  </w:style>
  <w:style w:type="paragraph" w:styleId="723">
    <w:name w:val="正文文本缩进"/>
    <w:basedOn w:val="690"/>
    <w:next w:val="723"/>
    <w:link w:val="724"/>
    <w:unhideWhenUsed/>
    <w:pPr>
      <w:ind w:left="420"/>
      <w:spacing w:after="120"/>
    </w:pPr>
  </w:style>
  <w:style w:type="character" w:styleId="724">
    <w:name w:val="正文文本缩进 字符"/>
    <w:next w:val="724"/>
    <w:link w:val="723"/>
    <w:uiPriority w:val="99"/>
    <w:semiHidden/>
  </w:style>
  <w:style w:type="paragraph" w:styleId="725">
    <w:name w:val="列表 2"/>
    <w:basedOn w:val="690"/>
    <w:next w:val="725"/>
    <w:link w:val="690"/>
    <w:pPr>
      <w:ind w:left="100" w:hanging="200"/>
    </w:pPr>
    <w:rPr>
      <w:rFonts w:ascii="Times New Roman" w:hAnsi="Times New Roman" w:eastAsia="宋体" w:cs="Times New Roman"/>
      <w:szCs w:val="21"/>
    </w:rPr>
  </w:style>
  <w:style w:type="paragraph" w:styleId="726">
    <w:name w:val="目录 5"/>
    <w:basedOn w:val="690"/>
    <w:next w:val="690"/>
    <w:link w:val="690"/>
    <w:semiHidden/>
    <w:pPr>
      <w:ind w:left="840"/>
      <w:jc w:val="left"/>
    </w:pPr>
    <w:rPr>
      <w:rFonts w:ascii="Times New Roman" w:hAnsi="Times New Roman" w:eastAsia="宋体" w:cs="Times New Roman"/>
      <w:szCs w:val="21"/>
    </w:rPr>
  </w:style>
  <w:style w:type="paragraph" w:styleId="727">
    <w:name w:val="目录 3"/>
    <w:basedOn w:val="690"/>
    <w:next w:val="690"/>
    <w:link w:val="690"/>
    <w:semiHidden/>
    <w:pPr>
      <w:ind w:left="420"/>
      <w:jc w:val="left"/>
    </w:pPr>
    <w:rPr>
      <w:rFonts w:ascii="Times New Roman" w:hAnsi="Times New Roman" w:eastAsia="宋体" w:cs="Times New Roman"/>
      <w:i/>
      <w:iCs/>
      <w:szCs w:val="24"/>
    </w:rPr>
  </w:style>
  <w:style w:type="paragraph" w:styleId="728">
    <w:name w:val="纯文本"/>
    <w:basedOn w:val="690"/>
    <w:next w:val="728"/>
    <w:link w:val="729"/>
    <w:qFormat/>
    <w:rPr>
      <w:rFonts w:ascii="宋体" w:hAnsi="Courier New" w:eastAsia="宋体" w:cs="Courier New"/>
      <w:szCs w:val="21"/>
    </w:rPr>
  </w:style>
  <w:style w:type="character" w:styleId="729">
    <w:name w:val="纯文本 字符"/>
    <w:next w:val="729"/>
    <w:link w:val="728"/>
    <w:rPr>
      <w:rFonts w:ascii="宋体" w:hAnsi="Courier New" w:eastAsia="宋体" w:cs="Courier New"/>
      <w:szCs w:val="21"/>
    </w:rPr>
  </w:style>
  <w:style w:type="paragraph" w:styleId="730">
    <w:name w:val="目录 8"/>
    <w:basedOn w:val="690"/>
    <w:next w:val="690"/>
    <w:link w:val="690"/>
    <w:semiHidden/>
    <w:pPr>
      <w:ind w:left="1470"/>
      <w:jc w:val="left"/>
    </w:pPr>
    <w:rPr>
      <w:rFonts w:ascii="Times New Roman" w:hAnsi="Times New Roman" w:eastAsia="宋体" w:cs="Times New Roman"/>
      <w:szCs w:val="21"/>
    </w:rPr>
  </w:style>
  <w:style w:type="paragraph" w:styleId="731">
    <w:name w:val="日期"/>
    <w:basedOn w:val="690"/>
    <w:next w:val="690"/>
    <w:link w:val="732"/>
    <w:rPr>
      <w:rFonts w:ascii="Times New Roman" w:hAnsi="Times New Roman" w:eastAsia="宋体" w:cs="Times New Roman"/>
      <w:sz w:val="24"/>
      <w:szCs w:val="24"/>
    </w:rPr>
  </w:style>
  <w:style w:type="character" w:styleId="732">
    <w:name w:val="日期 字符"/>
    <w:next w:val="732"/>
    <w:link w:val="731"/>
    <w:rPr>
      <w:rFonts w:ascii="Times New Roman" w:hAnsi="Times New Roman" w:eastAsia="宋体" w:cs="Times New Roman"/>
      <w:sz w:val="24"/>
      <w:szCs w:val="24"/>
    </w:rPr>
  </w:style>
  <w:style w:type="paragraph" w:styleId="733">
    <w:name w:val="正文文本缩进 2"/>
    <w:basedOn w:val="690"/>
    <w:next w:val="733"/>
    <w:link w:val="734"/>
    <w:pPr>
      <w:ind w:left="630" w:firstLine="645"/>
    </w:pPr>
    <w:rPr>
      <w:rFonts w:ascii="Arial" w:hAnsi="Arial" w:eastAsia="仿宋_GB2312" w:cs="Arial"/>
      <w:sz w:val="32"/>
      <w:szCs w:val="32"/>
    </w:rPr>
  </w:style>
  <w:style w:type="character" w:styleId="734">
    <w:name w:val="正文文本缩进 2 字符"/>
    <w:next w:val="734"/>
    <w:link w:val="733"/>
    <w:rPr>
      <w:rFonts w:ascii="Arial" w:hAnsi="Arial" w:eastAsia="仿宋_GB2312" w:cs="Arial"/>
      <w:sz w:val="32"/>
      <w:szCs w:val="32"/>
    </w:rPr>
  </w:style>
  <w:style w:type="paragraph" w:styleId="735">
    <w:name w:val="批注框文本"/>
    <w:basedOn w:val="690"/>
    <w:next w:val="735"/>
    <w:link w:val="736"/>
    <w:semiHidden/>
    <w:rPr>
      <w:rFonts w:ascii="Times New Roman" w:hAnsi="Times New Roman" w:eastAsia="宋体" w:cs="Times New Roman"/>
      <w:sz w:val="18"/>
      <w:szCs w:val="18"/>
    </w:rPr>
  </w:style>
  <w:style w:type="character" w:styleId="736">
    <w:name w:val="批注框文本 字符"/>
    <w:next w:val="736"/>
    <w:link w:val="735"/>
    <w:semiHidden/>
    <w:rPr>
      <w:rFonts w:ascii="Times New Roman" w:hAnsi="Times New Roman" w:eastAsia="宋体" w:cs="Times New Roman"/>
      <w:sz w:val="18"/>
      <w:szCs w:val="18"/>
    </w:rPr>
  </w:style>
  <w:style w:type="paragraph" w:styleId="737">
    <w:name w:val="页脚"/>
    <w:basedOn w:val="690"/>
    <w:next w:val="737"/>
    <w:link w:val="73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8">
    <w:name w:val="页脚 字符"/>
    <w:next w:val="738"/>
    <w:link w:val="737"/>
    <w:uiPriority w:val="99"/>
    <w:rPr>
      <w:rFonts w:ascii="Times New Roman" w:hAnsi="Times New Roman" w:eastAsia="宋体" w:cs="Times New Roman"/>
      <w:sz w:val="18"/>
      <w:szCs w:val="18"/>
    </w:rPr>
  </w:style>
  <w:style w:type="paragraph" w:styleId="739">
    <w:name w:val="页眉"/>
    <w:basedOn w:val="690"/>
    <w:next w:val="739"/>
    <w:link w:val="74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0">
    <w:name w:val="页眉 字符"/>
    <w:next w:val="740"/>
    <w:link w:val="739"/>
    <w:rPr>
      <w:rFonts w:ascii="Times New Roman" w:hAnsi="Times New Roman" w:eastAsia="宋体" w:cs="Times New Roman"/>
      <w:sz w:val="18"/>
      <w:szCs w:val="18"/>
    </w:rPr>
  </w:style>
  <w:style w:type="paragraph" w:styleId="741">
    <w:name w:val="目录 1"/>
    <w:basedOn w:val="690"/>
    <w:next w:val="690"/>
    <w:link w:val="69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2">
    <w:name w:val="目录 4"/>
    <w:basedOn w:val="690"/>
    <w:next w:val="690"/>
    <w:link w:val="690"/>
    <w:semiHidden/>
    <w:pPr>
      <w:ind w:left="630"/>
      <w:jc w:val="left"/>
    </w:pPr>
    <w:rPr>
      <w:rFonts w:ascii="Times New Roman" w:hAnsi="Times New Roman" w:eastAsia="宋体" w:cs="Times New Roman"/>
      <w:szCs w:val="21"/>
    </w:rPr>
  </w:style>
  <w:style w:type="paragraph" w:styleId="743">
    <w:name w:val="列表"/>
    <w:basedOn w:val="690"/>
    <w:next w:val="743"/>
    <w:link w:val="690"/>
    <w:pPr>
      <w:ind w:left="200" w:hanging="200"/>
    </w:pPr>
    <w:rPr>
      <w:rFonts w:ascii="Times New Roman" w:hAnsi="Times New Roman" w:eastAsia="宋体" w:cs="Times New Roman"/>
      <w:szCs w:val="21"/>
    </w:rPr>
  </w:style>
  <w:style w:type="paragraph" w:styleId="744">
    <w:name w:val="目录 6"/>
    <w:basedOn w:val="690"/>
    <w:next w:val="690"/>
    <w:link w:val="690"/>
    <w:semiHidden/>
    <w:pPr>
      <w:ind w:left="1050"/>
      <w:jc w:val="left"/>
    </w:pPr>
    <w:rPr>
      <w:rFonts w:ascii="Times New Roman" w:hAnsi="Times New Roman" w:eastAsia="宋体" w:cs="Times New Roman"/>
      <w:szCs w:val="21"/>
    </w:rPr>
  </w:style>
  <w:style w:type="paragraph" w:styleId="745">
    <w:name w:val="正文文本缩进 3"/>
    <w:basedOn w:val="690"/>
    <w:next w:val="745"/>
    <w:link w:val="746"/>
    <w:pPr>
      <w:ind w:left="645" w:firstLine="645"/>
    </w:pPr>
    <w:rPr>
      <w:rFonts w:ascii="Arial" w:hAnsi="Arial" w:eastAsia="仿宋_GB2312" w:cs="Arial"/>
      <w:color w:val="ffff00"/>
      <w:sz w:val="32"/>
      <w:szCs w:val="32"/>
    </w:rPr>
  </w:style>
  <w:style w:type="character" w:styleId="746">
    <w:name w:val="正文文本缩进 3 字符"/>
    <w:next w:val="746"/>
    <w:link w:val="745"/>
    <w:rPr>
      <w:rFonts w:ascii="Arial" w:hAnsi="Arial" w:eastAsia="仿宋_GB2312" w:cs="Arial"/>
      <w:color w:val="ffff00"/>
      <w:sz w:val="32"/>
      <w:szCs w:val="32"/>
    </w:rPr>
  </w:style>
  <w:style w:type="paragraph" w:styleId="747">
    <w:name w:val="图表目录"/>
    <w:basedOn w:val="690"/>
    <w:next w:val="690"/>
    <w:link w:val="690"/>
    <w:semiHidden/>
    <w:pPr>
      <w:ind w:left="840" w:hanging="420"/>
    </w:pPr>
    <w:rPr>
      <w:rFonts w:ascii="Times New Roman" w:hAnsi="Times New Roman" w:eastAsia="宋体" w:cs="Times New Roman"/>
      <w:szCs w:val="21"/>
    </w:rPr>
  </w:style>
  <w:style w:type="paragraph" w:styleId="748">
    <w:name w:val="目录 2"/>
    <w:basedOn w:val="690"/>
    <w:next w:val="690"/>
    <w:link w:val="690"/>
    <w:semiHidden/>
    <w:pPr>
      <w:ind w:left="210"/>
      <w:jc w:val="left"/>
    </w:pPr>
    <w:rPr>
      <w:rFonts w:ascii="Times New Roman" w:hAnsi="Times New Roman" w:eastAsia="宋体" w:cs="Times New Roman"/>
      <w:smallCaps/>
      <w:szCs w:val="24"/>
    </w:rPr>
  </w:style>
  <w:style w:type="paragraph" w:styleId="749">
    <w:name w:val="目录 9"/>
    <w:basedOn w:val="690"/>
    <w:next w:val="690"/>
    <w:link w:val="690"/>
    <w:semiHidden/>
    <w:pPr>
      <w:ind w:left="1680"/>
      <w:jc w:val="left"/>
    </w:pPr>
    <w:rPr>
      <w:rFonts w:ascii="Times New Roman" w:hAnsi="Times New Roman" w:eastAsia="宋体" w:cs="Times New Roman"/>
      <w:szCs w:val="21"/>
    </w:rPr>
  </w:style>
  <w:style w:type="paragraph" w:styleId="750">
    <w:name w:val="正文文本 2"/>
    <w:basedOn w:val="690"/>
    <w:next w:val="750"/>
    <w:link w:val="751"/>
    <w:pPr>
      <w:jc w:val="center"/>
      <w:widowControl/>
    </w:pPr>
    <w:rPr>
      <w:rFonts w:ascii="楷体_GB2312" w:hAnsi="Times New Roman" w:eastAsia="楷体_GB2312" w:cs="Times New Roman"/>
      <w:sz w:val="28"/>
      <w:szCs w:val="28"/>
    </w:rPr>
  </w:style>
  <w:style w:type="character" w:styleId="751">
    <w:name w:val="正文文本 2 字符"/>
    <w:next w:val="751"/>
    <w:link w:val="750"/>
    <w:rPr>
      <w:rFonts w:ascii="楷体_GB2312" w:hAnsi="Times New Roman" w:eastAsia="楷体_GB2312" w:cs="Times New Roman"/>
      <w:sz w:val="28"/>
      <w:szCs w:val="28"/>
    </w:rPr>
  </w:style>
  <w:style w:type="paragraph" w:styleId="752">
    <w:name w:val="普通(网站)"/>
    <w:basedOn w:val="690"/>
    <w:next w:val="752"/>
    <w:link w:val="690"/>
    <w:uiPriority w:val="99"/>
    <w:pPr>
      <w:jc w:val="left"/>
      <w:spacing w:before="100" w:beforeAutospacing="1" w:after="100" w:afterAutospacing="1"/>
      <w:widowControl/>
    </w:pPr>
    <w:rPr>
      <w:rFonts w:ascii="宋体" w:hAnsi="宋体" w:eastAsia="宋体" w:cs="宋体"/>
      <w:sz w:val="24"/>
      <w:szCs w:val="24"/>
    </w:rPr>
  </w:style>
  <w:style w:type="paragraph" w:styleId="753">
    <w:name w:val="索引 1"/>
    <w:basedOn w:val="690"/>
    <w:next w:val="690"/>
    <w:link w:val="690"/>
    <w:semiHidden/>
    <w:pPr>
      <w:spacing w:line="240" w:lineRule="atLeast"/>
    </w:pPr>
    <w:rPr>
      <w:rFonts w:ascii="Times New Roman" w:hAnsi="Times New Roman" w:eastAsia="宋体" w:cs="Times New Roman"/>
      <w:b/>
      <w:bCs/>
      <w:szCs w:val="21"/>
    </w:rPr>
  </w:style>
  <w:style w:type="paragraph" w:styleId="754">
    <w:name w:val="批注主题"/>
    <w:basedOn w:val="717"/>
    <w:next w:val="717"/>
    <w:link w:val="755"/>
    <w:semiHidden/>
    <w:rPr>
      <w:rFonts w:ascii="Times New Roman" w:hAnsi="Times New Roman" w:eastAsia="宋体" w:cs="Times New Roman"/>
      <w:b/>
      <w:bCs/>
      <w:szCs w:val="21"/>
    </w:rPr>
  </w:style>
  <w:style w:type="character" w:styleId="755">
    <w:name w:val="批注主题 字符"/>
    <w:next w:val="755"/>
    <w:link w:val="754"/>
    <w:semiHidden/>
    <w:rPr>
      <w:rFonts w:ascii="Times New Roman" w:hAnsi="Times New Roman" w:eastAsia="宋体" w:cs="Times New Roman"/>
      <w:b/>
      <w:bCs/>
      <w:szCs w:val="21"/>
    </w:rPr>
  </w:style>
  <w:style w:type="paragraph" w:styleId="756">
    <w:name w:val="正文首行缩进"/>
    <w:basedOn w:val="690"/>
    <w:next w:val="756"/>
    <w:link w:val="757"/>
    <w:pPr>
      <w:ind w:firstLine="200"/>
      <w:spacing w:line="360" w:lineRule="auto"/>
    </w:pPr>
    <w:rPr>
      <w:rFonts w:ascii="仿宋_GB2312" w:hAnsi="Times New Roman" w:eastAsia="仿宋_GB2312" w:cs="Times New Roman"/>
      <w:sz w:val="30"/>
      <w:szCs w:val="30"/>
    </w:rPr>
  </w:style>
  <w:style w:type="character" w:styleId="757">
    <w:name w:val="正文首行缩进 字符"/>
    <w:next w:val="757"/>
    <w:link w:val="756"/>
    <w:rPr>
      <w:rFonts w:ascii="仿宋_GB2312" w:hAnsi="Times New Roman" w:eastAsia="仿宋_GB2312" w:cs="Times New Roman"/>
      <w:sz w:val="30"/>
      <w:szCs w:val="30"/>
    </w:rPr>
  </w:style>
  <w:style w:type="paragraph" w:styleId="758">
    <w:name w:val="正文首行缩进 2"/>
    <w:basedOn w:val="723"/>
    <w:next w:val="758"/>
    <w:link w:val="759"/>
    <w:pPr>
      <w:ind w:left="0" w:firstLine="420"/>
      <w:spacing w:after="0" w:line="360" w:lineRule="auto"/>
    </w:pPr>
    <w:rPr>
      <w:rFonts w:ascii="宋体" w:hAnsi="宋体" w:eastAsia="宋体" w:cs="Times New Roman"/>
      <w:szCs w:val="20"/>
    </w:rPr>
  </w:style>
  <w:style w:type="character" w:styleId="759">
    <w:name w:val="正文首行缩进 2 字符"/>
    <w:next w:val="759"/>
    <w:link w:val="758"/>
    <w:rPr>
      <w:rFonts w:ascii="宋体" w:hAnsi="宋体" w:eastAsia="宋体" w:cs="Times New Roman"/>
      <w:szCs w:val="20"/>
    </w:rPr>
  </w:style>
  <w:style w:type="table" w:styleId="760">
    <w:name w:val="网格型"/>
    <w:basedOn w:val="701"/>
    <w:next w:val="760"/>
    <w:link w:val="690"/>
    <w:pPr>
      <w:jc w:val="both"/>
      <w:widowControl w:val="off"/>
    </w:pPr>
    <w:rPr>
      <w:rFonts w:ascii="Times New Roman" w:hAnsi="Times New Roman" w:eastAsia="宋体" w:cs="Times New Roman"/>
      <w:sz w:val="20"/>
      <w:szCs w:val="20"/>
    </w:rPr>
    <w:tblPr/>
  </w:style>
  <w:style w:type="character" w:styleId="761">
    <w:name w:val="要点"/>
    <w:next w:val="761"/>
    <w:link w:val="690"/>
    <w:qFormat/>
    <w:rPr>
      <w:b/>
      <w:bCs/>
    </w:rPr>
  </w:style>
  <w:style w:type="character" w:styleId="762">
    <w:name w:val="页码"/>
    <w:next w:val="762"/>
    <w:link w:val="690"/>
  </w:style>
  <w:style w:type="character" w:styleId="763">
    <w:name w:val="已访问的超链接"/>
    <w:next w:val="763"/>
    <w:link w:val="690"/>
    <w:rPr>
      <w:color w:val="800080"/>
      <w:u w:val="single"/>
    </w:rPr>
  </w:style>
  <w:style w:type="character" w:styleId="764">
    <w:name w:val="强调"/>
    <w:next w:val="764"/>
    <w:link w:val="690"/>
    <w:qFormat/>
    <w:rPr>
      <w:i/>
    </w:rPr>
  </w:style>
  <w:style w:type="character" w:styleId="765">
    <w:name w:val="超链接"/>
    <w:next w:val="765"/>
    <w:link w:val="690"/>
    <w:rPr>
      <w:color w:val="0000ff"/>
      <w:u w:val="single"/>
    </w:rPr>
  </w:style>
  <w:style w:type="character" w:styleId="766">
    <w:name w:val="批注引用"/>
    <w:next w:val="766"/>
    <w:link w:val="690"/>
    <w:semiHidden/>
    <w:rPr>
      <w:sz w:val="21"/>
      <w:szCs w:val="21"/>
    </w:rPr>
  </w:style>
  <w:style w:type="paragraph" w:styleId="767">
    <w:name w:val="正文（缩进）"/>
    <w:next w:val="767"/>
    <w:link w:val="690"/>
    <w:qFormat/>
    <w:pPr>
      <w:ind w:firstLine="480"/>
      <w:jc w:val="both"/>
      <w:spacing w:before="156" w:after="156"/>
      <w:widowControl w:val="off"/>
    </w:pPr>
    <w:rPr>
      <w:sz w:val="21"/>
      <w:lang w:val="en-US" w:eastAsia="zh-CN" w:bidi="ar-SA"/>
    </w:rPr>
  </w:style>
  <w:style w:type="character" w:styleId="768">
    <w:name w:val="font5 Char"/>
    <w:next w:val="768"/>
    <w:link w:val="690"/>
    <w:rPr>
      <w:rFonts w:ascii="宋体" w:hAnsi="宋体" w:eastAsia="宋体"/>
      <w:sz w:val="28"/>
      <w:szCs w:val="28"/>
      <w:lang w:val="en-US" w:eastAsia="zh-CN" w:bidi="ar-SA"/>
    </w:rPr>
  </w:style>
  <w:style w:type="character" w:styleId="769">
    <w:name w:val="二级目录 Char"/>
    <w:next w:val="769"/>
    <w:link w:val="770"/>
    <w:rPr>
      <w:b/>
      <w:sz w:val="30"/>
      <w:szCs w:val="28"/>
    </w:rPr>
  </w:style>
  <w:style w:type="paragraph" w:styleId="770">
    <w:name w:val="二级目录"/>
    <w:next w:val="690"/>
    <w:link w:val="769"/>
    <w:pPr>
      <w:numPr>
        <w:ilvl w:val="0"/>
        <w:numId w:val="2"/>
      </w:numPr>
      <w:tabs>
        <w:tab w:val="left" w:pos="907" w:leader="none"/>
        <w:tab w:val="left" w:pos="1145" w:leader="none"/>
      </w:tabs>
      <w:outlineLvl w:val="1"/>
    </w:pPr>
    <w:rPr>
      <w:b/>
      <w:sz w:val="30"/>
      <w:szCs w:val="28"/>
      <w:lang w:val="en-US" w:eastAsia="zh-CN" w:bidi="ar-SA"/>
    </w:rPr>
  </w:style>
  <w:style w:type="character" w:styleId="771">
    <w:name w:val="列出段落 Char,Bullet List Char,numbered Char,FooterText Char,List Paragraph1 Char,Paragraphe de liste1 Char"/>
    <w:next w:val="771"/>
    <w:link w:val="772"/>
    <w:rPr>
      <w:rFonts w:ascii="Calibri" w:hAnsi="Calibri"/>
      <w:sz w:val="24"/>
      <w:szCs w:val="24"/>
      <w:lang w:eastAsia="en-US" w:bidi="en-US"/>
    </w:rPr>
  </w:style>
  <w:style w:type="paragraph" w:styleId="772">
    <w:name w:val="列出段落1"/>
    <w:basedOn w:val="690"/>
    <w:next w:val="772"/>
    <w:link w:val="771"/>
    <w:qFormat/>
    <w:pPr>
      <w:contextualSpacing/>
      <w:ind w:left="720"/>
      <w:jc w:val="left"/>
      <w:widowControl/>
    </w:pPr>
    <w:rPr>
      <w:rFonts w:ascii="Calibri" w:hAnsi="Calibri"/>
      <w:sz w:val="24"/>
      <w:szCs w:val="24"/>
      <w:lang w:eastAsia="en-US" w:bidi="en-US"/>
    </w:rPr>
  </w:style>
  <w:style w:type="paragraph" w:styleId="773">
    <w:name w:val="Body Text(ch)"/>
    <w:basedOn w:val="690"/>
    <w:next w:val="721"/>
    <w:link w:val="690"/>
    <w:pPr>
      <w:spacing w:after="120"/>
    </w:pPr>
    <w:rPr>
      <w:rFonts w:ascii="宋体" w:hAnsi="Arial" w:eastAsia="宋体" w:cs="Times New Roman"/>
      <w:bCs/>
      <w:iCs/>
      <w:szCs w:val="24"/>
    </w:rPr>
  </w:style>
  <w:style w:type="paragraph" w:styleId="774">
    <w:name w:val="xl27"/>
    <w:basedOn w:val="690"/>
    <w:next w:val="774"/>
    <w:link w:val="6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5">
    <w:name w:val="xl26"/>
    <w:basedOn w:val="690"/>
    <w:next w:val="775"/>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6">
    <w:name w:val="Char"/>
    <w:basedOn w:val="690"/>
    <w:next w:val="776"/>
    <w:link w:val="690"/>
    <w:pPr>
      <w:ind w:firstLine="200"/>
      <w:tabs>
        <w:tab w:val="left" w:pos="360" w:leader="none"/>
      </w:tabs>
    </w:pPr>
    <w:rPr>
      <w:rFonts w:ascii="Times New Roman" w:hAnsi="Times New Roman" w:eastAsia="宋体" w:cs="Times New Roman"/>
      <w:sz w:val="28"/>
      <w:szCs w:val="30"/>
    </w:rPr>
  </w:style>
  <w:style w:type="paragraph" w:styleId="777">
    <w:name w:val=" Char"/>
    <w:basedOn w:val="715"/>
    <w:next w:val="777"/>
    <w:link w:val="690"/>
    <w:rPr>
      <w:rFonts w:ascii="Tahoma" w:hAnsi="Tahoma"/>
      <w:sz w:val="24"/>
      <w:szCs w:val="24"/>
    </w:rPr>
  </w:style>
  <w:style w:type="paragraph" w:styleId="778">
    <w:name w:val="普通正文"/>
    <w:basedOn w:val="690"/>
    <w:next w:val="778"/>
    <w:link w:val="690"/>
    <w:pPr>
      <w:ind w:firstLine="480"/>
      <w:jc w:val="left"/>
      <w:spacing w:before="120" w:after="120" w:line="360" w:lineRule="auto"/>
    </w:pPr>
    <w:rPr>
      <w:rFonts w:ascii="Arial" w:hAnsi="Arial" w:eastAsia="宋体" w:cs="Times New Roman"/>
      <w:sz w:val="24"/>
      <w:szCs w:val="24"/>
    </w:rPr>
  </w:style>
  <w:style w:type="paragraph" w:styleId="779">
    <w:name w:val="table_lines"/>
    <w:basedOn w:val="690"/>
    <w:next w:val="779"/>
    <w:link w:val="690"/>
    <w:pPr>
      <w:jc w:val="left"/>
      <w:widowControl/>
    </w:pPr>
    <w:rPr>
      <w:rFonts w:ascii="Times New Roman" w:hAnsi="Times New Roman" w:eastAsia="宋体" w:cs="Times New Roman"/>
      <w:sz w:val="20"/>
      <w:szCs w:val="20"/>
      <w:lang w:val="de-DE" w:eastAsia="de-DE"/>
    </w:rPr>
  </w:style>
  <w:style w:type="paragraph" w:styleId="780">
    <w:name w:val="附录1"/>
    <w:next w:val="780"/>
    <w:link w:val="690"/>
    <w:pPr>
      <w:numPr>
        <w:ilvl w:val="0"/>
        <w:numId w:val="2"/>
      </w:numPr>
      <w:spacing w:before="240" w:line="600" w:lineRule="atLeast"/>
      <w:tabs>
        <w:tab w:val="left" w:pos="907" w:leader="none"/>
      </w:tabs>
    </w:pPr>
    <w:rPr>
      <w:b/>
      <w:i/>
      <w:sz w:val="28"/>
      <w:lang w:val="en-US" w:eastAsia="zh-CN" w:bidi="ar-SA"/>
    </w:rPr>
  </w:style>
  <w:style w:type="paragraph" w:styleId="781">
    <w:name w:val="font7"/>
    <w:basedOn w:val="690"/>
    <w:next w:val="781"/>
    <w:link w:val="690"/>
    <w:pPr>
      <w:jc w:val="left"/>
      <w:spacing w:before="100" w:beforeAutospacing="1" w:after="100" w:afterAutospacing="1"/>
      <w:widowControl/>
    </w:pPr>
    <w:rPr>
      <w:rFonts w:hint="eastAsia" w:ascii="宋体" w:hAnsi="宋体" w:eastAsia="宋体" w:cs="Times New Roman"/>
      <w:sz w:val="18"/>
      <w:szCs w:val="18"/>
    </w:rPr>
  </w:style>
  <w:style w:type="paragraph" w:styleId="782">
    <w:name w:val=" Char Char Char Char"/>
    <w:basedOn w:val="715"/>
    <w:next w:val="782"/>
    <w:link w:val="690"/>
    <w:pPr>
      <w:spacing w:line="360" w:lineRule="auto"/>
    </w:pPr>
    <w:rPr>
      <w:rFonts w:ascii="Tahoma" w:hAnsi="Tahoma"/>
      <w:sz w:val="24"/>
      <w:szCs w:val="24"/>
    </w:rPr>
  </w:style>
  <w:style w:type="paragraph" w:styleId="783">
    <w:name w:val="列出段落"/>
    <w:basedOn w:val="690"/>
    <w:next w:val="783"/>
    <w:link w:val="690"/>
    <w:qFormat/>
    <w:pPr>
      <w:contextualSpacing/>
      <w:ind w:left="720"/>
      <w:jc w:val="left"/>
      <w:widowControl/>
    </w:pPr>
    <w:rPr>
      <w:rFonts w:ascii="Calibri" w:hAnsi="Calibri" w:eastAsia="宋体" w:cs="Times New Roman"/>
      <w:sz w:val="24"/>
      <w:szCs w:val="24"/>
      <w:lang w:eastAsia="en-US" w:bidi="en-US"/>
    </w:rPr>
  </w:style>
  <w:style w:type="paragraph" w:styleId="784">
    <w:name w:val="4"/>
    <w:basedOn w:val="690"/>
    <w:next w:val="745"/>
    <w:link w:val="690"/>
    <w:pPr>
      <w:ind w:firstLine="420"/>
      <w:spacing w:line="360" w:lineRule="auto"/>
    </w:pPr>
    <w:rPr>
      <w:rFonts w:ascii="Times New Roman" w:hAnsi="Times New Roman" w:eastAsia="宋体" w:cs="Times New Roman"/>
      <w:color w:val="ff0000"/>
      <w:sz w:val="24"/>
      <w:szCs w:val="24"/>
    </w:rPr>
  </w:style>
  <w:style w:type="paragraph" w:styleId="785">
    <w:name w:val="普通 (Web)"/>
    <w:basedOn w:val="690"/>
    <w:next w:val="785"/>
    <w:link w:val="690"/>
    <w:pPr>
      <w:jc w:val="left"/>
      <w:spacing w:before="100" w:beforeAutospacing="1" w:after="100" w:afterAutospacing="1"/>
      <w:widowControl/>
    </w:pPr>
    <w:rPr>
      <w:rFonts w:ascii="宋体" w:hAnsi="宋体" w:eastAsia="宋体" w:cs="Times New Roman"/>
      <w:sz w:val="24"/>
      <w:szCs w:val="24"/>
    </w:rPr>
  </w:style>
  <w:style w:type="paragraph" w:styleId="786">
    <w:name w:val=" Char Char Char Char Char Char Char Char Char Char"/>
    <w:basedOn w:val="690"/>
    <w:next w:val="786"/>
    <w:link w:val="690"/>
    <w:pPr>
      <w:spacing w:line="360" w:lineRule="auto"/>
    </w:pPr>
    <w:rPr>
      <w:rFonts w:ascii="Times New Roman" w:hAnsi="Times New Roman" w:eastAsia="宋体" w:cs="Times New Roman"/>
      <w:sz w:val="24"/>
      <w:szCs w:val="20"/>
    </w:rPr>
  </w:style>
  <w:style w:type="paragraph" w:styleId="787">
    <w:name w:val="样式1"/>
    <w:basedOn w:val="690"/>
    <w:next w:val="787"/>
    <w:link w:val="690"/>
    <w:pPr>
      <w:numPr>
        <w:ilvl w:val="0"/>
        <w:numId w:val="3"/>
      </w:numPr>
      <w:tabs>
        <w:tab w:val="left" w:pos="709" w:leader="none"/>
      </w:tabs>
    </w:pPr>
    <w:rPr>
      <w:rFonts w:ascii="宋体" w:hAnsi="宋体" w:eastAsia="宋体" w:cs="Times New Roman"/>
      <w:szCs w:val="21"/>
    </w:rPr>
  </w:style>
  <w:style w:type="paragraph" w:styleId="788">
    <w:name w:val="font6"/>
    <w:basedOn w:val="690"/>
    <w:next w:val="788"/>
    <w:link w:val="690"/>
    <w:pPr>
      <w:jc w:val="left"/>
      <w:spacing w:before="100" w:beforeAutospacing="1" w:after="100" w:afterAutospacing="1"/>
      <w:widowControl/>
    </w:pPr>
    <w:rPr>
      <w:rFonts w:hint="eastAsia" w:ascii="宋体" w:hAnsi="宋体" w:eastAsia="宋体" w:cs="Times New Roman"/>
      <w:sz w:val="28"/>
      <w:szCs w:val="28"/>
      <w:u w:val="single"/>
    </w:rPr>
  </w:style>
  <w:style w:type="paragraph" w:styleId="789">
    <w:name w:val="xl25"/>
    <w:basedOn w:val="690"/>
    <w:next w:val="789"/>
    <w:link w:val="69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0">
    <w:name w:val="图标"/>
    <w:basedOn w:val="690"/>
    <w:next w:val="690"/>
    <w:link w:val="69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1">
    <w:name w:val="标题3"/>
    <w:basedOn w:val="690"/>
    <w:next w:val="690"/>
    <w:link w:val="690"/>
    <w:pPr>
      <w:ind w:firstLine="624"/>
      <w:spacing w:line="590" w:lineRule="atLeast"/>
    </w:pPr>
    <w:rPr>
      <w:rFonts w:ascii="方正黑体_GBK" w:hAnsi="Times New Roman" w:eastAsia="方正黑体_GBK" w:cs="Times New Roman"/>
      <w:sz w:val="32"/>
      <w:szCs w:val="32"/>
    </w:rPr>
  </w:style>
  <w:style w:type="paragraph" w:styleId="792">
    <w:name w:val="xl24"/>
    <w:basedOn w:val="690"/>
    <w:next w:val="792"/>
    <w:link w:val="6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3">
    <w:name w:val="xl29"/>
    <w:basedOn w:val="690"/>
    <w:next w:val="793"/>
    <w:link w:val="69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4">
    <w:name w:val="Char Char Char Char Char Char Char Char"/>
    <w:basedOn w:val="690"/>
    <w:next w:val="794"/>
    <w:link w:val="690"/>
    <w:pPr>
      <w:jc w:val="left"/>
      <w:spacing w:after="160" w:line="240" w:lineRule="exact"/>
      <w:widowControl/>
    </w:pPr>
    <w:rPr>
      <w:rFonts w:ascii="Verdana" w:hAnsi="Verdana" w:eastAsia="宋体" w:cs="Times New Roman"/>
      <w:sz w:val="20"/>
      <w:szCs w:val="20"/>
      <w:lang w:eastAsia="en-US"/>
    </w:rPr>
  </w:style>
  <w:style w:type="paragraph" w:styleId="795">
    <w:name w:val="xl28"/>
    <w:basedOn w:val="690"/>
    <w:next w:val="795"/>
    <w:link w:val="69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6">
    <w:name w:val=" Char Char Char Char Char Char Char Char"/>
    <w:basedOn w:val="690"/>
    <w:next w:val="796"/>
    <w:link w:val="690"/>
    <w:pPr>
      <w:jc w:val="left"/>
      <w:spacing w:after="160" w:line="240" w:lineRule="exact"/>
      <w:widowControl/>
    </w:pPr>
    <w:rPr>
      <w:rFonts w:ascii="Verdana" w:hAnsi="Verdana" w:eastAsia="宋体" w:cs="Times New Roman"/>
      <w:sz w:val="20"/>
      <w:szCs w:val="20"/>
      <w:lang w:eastAsia="en-US"/>
    </w:rPr>
  </w:style>
  <w:style w:type="paragraph" w:styleId="797">
    <w:name w:val="xl30"/>
    <w:basedOn w:val="690"/>
    <w:next w:val="797"/>
    <w:link w:val="690"/>
    <w:pPr>
      <w:jc w:val="center"/>
      <w:spacing w:before="100" w:beforeAutospacing="1" w:after="100" w:afterAutospacing="1"/>
      <w:widowControl/>
    </w:pPr>
    <w:rPr>
      <w:rFonts w:ascii="宋体" w:hAnsi="宋体" w:eastAsia="宋体" w:cs="Times New Roman"/>
      <w:b/>
      <w:bCs/>
      <w:sz w:val="36"/>
      <w:szCs w:val="36"/>
    </w:rPr>
  </w:style>
  <w:style w:type="paragraph" w:styleId="798">
    <w:name w:val="Char Char Char Char"/>
    <w:basedOn w:val="715"/>
    <w:next w:val="798"/>
    <w:link w:val="690"/>
    <w:pPr>
      <w:spacing w:line="360" w:lineRule="auto"/>
    </w:pPr>
    <w:rPr>
      <w:rFonts w:ascii="Tahoma" w:hAnsi="Tahoma"/>
      <w:sz w:val="24"/>
      <w:szCs w:val="24"/>
    </w:rPr>
  </w:style>
  <w:style w:type="paragraph" w:styleId="799">
    <w:name w:val="table_1stline"/>
    <w:basedOn w:val="690"/>
    <w:next w:val="799"/>
    <w:link w:val="690"/>
    <w:pPr>
      <w:jc w:val="left"/>
      <w:spacing w:before="120"/>
      <w:widowControl/>
    </w:pPr>
    <w:rPr>
      <w:rFonts w:ascii="Times New Roman" w:hAnsi="Times New Roman" w:eastAsia="宋体" w:cs="Times New Roman"/>
      <w:bCs/>
      <w:sz w:val="20"/>
      <w:szCs w:val="20"/>
      <w:lang w:val="de-DE" w:eastAsia="de-DE"/>
    </w:rPr>
  </w:style>
  <w:style w:type="paragraph" w:styleId="800">
    <w:name w:val="font5"/>
    <w:basedOn w:val="690"/>
    <w:next w:val="800"/>
    <w:link w:val="690"/>
    <w:pPr>
      <w:jc w:val="left"/>
      <w:spacing w:before="100" w:beforeAutospacing="1" w:after="100" w:afterAutospacing="1"/>
      <w:widowControl/>
    </w:pPr>
    <w:rPr>
      <w:rFonts w:hint="eastAsia" w:ascii="宋体" w:hAnsi="宋体" w:eastAsia="宋体" w:cs="Times New Roman"/>
      <w:sz w:val="28"/>
      <w:szCs w:val="28"/>
    </w:rPr>
  </w:style>
  <w:style w:type="paragraph" w:styleId="801">
    <w:name w:val="标题1"/>
    <w:basedOn w:val="690"/>
    <w:next w:val="690"/>
    <w:link w:val="69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2">
    <w:name w:val="修订"/>
    <w:next w:val="802"/>
    <w:link w:val="690"/>
    <w:uiPriority w:val="99"/>
    <w:semiHidden/>
    <w:rPr>
      <w:sz w:val="21"/>
      <w:szCs w:val="21"/>
      <w:lang w:val="en-US" w:eastAsia="zh-CN" w:bidi="ar-SA"/>
    </w:rPr>
  </w:style>
  <w:style w:type="paragraph" w:styleId="803">
    <w:name w:val="无间隔"/>
    <w:next w:val="803"/>
    <w:link w:val="690"/>
    <w:uiPriority w:val="99"/>
    <w:qFormat/>
    <w:pPr>
      <w:jc w:val="both"/>
      <w:widowControl w:val="off"/>
    </w:pPr>
    <w:rPr>
      <w:sz w:val="21"/>
      <w:szCs w:val="21"/>
      <w:lang w:val="en-US" w:eastAsia="zh-CN" w:bidi="ar-SA"/>
    </w:rPr>
  </w:style>
  <w:style w:type="paragraph" w:styleId="804">
    <w:name w:val="AONormal"/>
    <w:next w:val="804"/>
    <w:link w:val="690"/>
    <w:qFormat/>
    <w:pPr>
      <w:ind w:firstLine="440"/>
      <w:spacing w:line="400" w:lineRule="exact"/>
    </w:pPr>
    <w:rPr>
      <w:rFonts w:ascii="华文楷体" w:hAnsi="华文楷体" w:eastAsia="华文楷体" w:cs="华文楷体"/>
      <w:sz w:val="22"/>
      <w:szCs w:val="21"/>
      <w:lang w:val="en-US" w:eastAsia="zh-CN" w:bidi="ar-SA"/>
    </w:rPr>
  </w:style>
  <w:style w:type="character" w:styleId="805">
    <w:name w:val="font61"/>
    <w:next w:val="805"/>
    <w:link w:val="690"/>
    <w:rPr>
      <w:rFonts w:hint="eastAsia" w:ascii="仿宋" w:hAnsi="仿宋" w:eastAsia="仿宋" w:cs="仿宋"/>
      <w:i w:val="0"/>
      <w:iCs w:val="0"/>
      <w:color w:val="000000"/>
      <w:sz w:val="16"/>
      <w:szCs w:val="16"/>
      <w:u w:val="none"/>
    </w:rPr>
  </w:style>
  <w:style w:type="character" w:styleId="806">
    <w:name w:val="font91"/>
    <w:next w:val="806"/>
    <w:link w:val="690"/>
    <w:rPr>
      <w:rFonts w:ascii="DejaVu Sans" w:hAnsi="DejaVu Sans" w:eastAsia="DejaVu Sans" w:cs="DejaVu Sans"/>
      <w:i w:val="0"/>
      <w:iCs w:val="0"/>
      <w:color w:val="000000"/>
      <w:sz w:val="16"/>
      <w:szCs w:val="16"/>
      <w:u w:val="none"/>
    </w:rPr>
  </w:style>
  <w:style w:type="character" w:styleId="807">
    <w:name w:val="font71"/>
    <w:next w:val="807"/>
    <w:link w:val="690"/>
    <w:rPr>
      <w:rFonts w:hint="eastAsia" w:ascii="仿宋" w:hAnsi="仿宋" w:eastAsia="仿宋" w:cs="仿宋"/>
      <w:i w:val="0"/>
      <w:iCs w:val="0"/>
      <w:color w:val="ff0000"/>
      <w:sz w:val="16"/>
      <w:szCs w:val="16"/>
      <w:u w:val="none"/>
    </w:rPr>
  </w:style>
  <w:style w:type="character" w:styleId="808">
    <w:name w:val="font101"/>
    <w:next w:val="808"/>
    <w:link w:val="690"/>
    <w:rPr>
      <w:rFonts w:ascii="方正书宋_GBK" w:hAnsi="方正书宋_GBK" w:eastAsia="方正书宋_GBK" w:cs="方正书宋_GBK"/>
      <w:i w:val="0"/>
      <w:iCs w:val="0"/>
      <w:color w:val="000000"/>
      <w:sz w:val="16"/>
      <w:szCs w:val="16"/>
      <w:u w:val="none"/>
    </w:rPr>
  </w:style>
  <w:style w:type="character" w:styleId="809">
    <w:name w:val="font112"/>
    <w:next w:val="809"/>
    <w:link w:val="690"/>
    <w:rPr>
      <w:rFonts w:ascii="Calibri" w:hAnsi="Calibri" w:cs="Calibri"/>
      <w:i w:val="0"/>
      <w:iCs w:val="0"/>
      <w:color w:val="000000"/>
      <w:sz w:val="16"/>
      <w:szCs w:val="16"/>
      <w:u w:val="none"/>
    </w:rPr>
  </w:style>
  <w:style w:type="character" w:styleId="20541" w:default="1">
    <w:name w:val="Default Paragraph Font"/>
    <w:uiPriority w:val="1"/>
    <w:semiHidden/>
    <w:unhideWhenUsed/>
  </w:style>
  <w:style w:type="numbering" w:styleId="20542" w:default="1">
    <w:name w:val="No List"/>
    <w:uiPriority w:val="99"/>
    <w:semiHidden/>
    <w:unhideWhenUsed/>
  </w:style>
  <w:style w:type="table" w:styleId="205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王苏琪</cp:lastModifiedBy>
  <cp:revision>3</cp:revision>
  <dcterms:created xsi:type="dcterms:W3CDTF">2026-08-20T08:46:00Z</dcterms:created>
  <dcterms:modified xsi:type="dcterms:W3CDTF">2026-09-04T08:13:10Z</dcterms:modified>
</cp:coreProperties>
</file>