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tabs>
          <w:tab w:val="left" w:pos="5780" w:leader="none"/>
        </w:tabs>
        <w:rPr>
          <w:rFonts w:ascii="宋体" w:hAnsi="宋体" w:eastAsia="宋体" w:cs="宋体"/>
          <w:color w:val="auto"/>
          <w:highlight w:val="none"/>
        </w:rPr>
      </w:pPr>
      <w:r>
        <w:rPr>
          <w:rFonts w:hint="eastAsia" w:ascii="宋体" w:hAnsi="宋体" w:eastAsia="宋体" w:cs="宋体"/>
          <w:color w:val="auto"/>
          <w:highlight w:val="none"/>
        </w:rPr>
        <w:tab/>
      </w:r>
      <w:r/>
    </w:p>
    <w:p>
      <w:pPr>
        <w:tabs>
          <w:tab w:val="left" w:pos="57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widowControl/>
        <w:rPr>
          <w:rFonts w:hint="eastAsia" w:ascii="宋体" w:hAnsi="宋体" w:eastAsia="宋体" w:cs="宋体"/>
          <w:b/>
          <w:color w:val="auto"/>
          <w:sz w:val="72"/>
          <w:szCs w:val="72"/>
          <w:highlight w:val="none"/>
        </w:rPr>
      </w:pPr>
      <w:r>
        <w:rPr>
          <w:rFonts w:hint="eastAsia" w:ascii="宋体" w:hAnsi="宋体" w:eastAsia="宋体" w:cs="宋体"/>
          <w:b/>
          <w:bCs/>
          <w:color w:val="auto"/>
          <w:sz w:val="72"/>
          <w:szCs w:val="72"/>
          <w:highlight w:val="none"/>
        </w:rPr>
        <w:t xml:space="preserve">苏州工业园区</w:t>
      </w:r>
      <w:r>
        <w:rPr>
          <w:rFonts w:hint="eastAsia" w:ascii="宋体" w:hAnsi="宋体" w:eastAsia="宋体" w:cs="宋体"/>
          <w:b/>
          <w:color w:val="auto"/>
          <w:sz w:val="72"/>
          <w:szCs w:val="72"/>
          <w:highlight w:val="none"/>
        </w:rPr>
        <w:t xml:space="preserve">政府采购</w:t>
      </w:r>
      <w:r/>
    </w:p>
    <w:p>
      <w:pPr>
        <w:jc w:val="center"/>
        <w:keepLines w:val="0"/>
        <w:keepNext w:val="0"/>
        <w:pageBreakBefore w:val="0"/>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竞争性谈判文件</w:t>
      </w:r>
      <w:r/>
    </w:p>
    <w:p>
      <w:pPr>
        <w:jc w:val="center"/>
        <w:rPr>
          <w:rFonts w:ascii="宋体" w:hAnsi="宋体" w:eastAsia="宋体" w:cs="宋体"/>
          <w:color w:val="auto"/>
          <w:highlight w:val="none"/>
        </w:rPr>
      </w:pPr>
      <w:r>
        <w:rPr>
          <w:rFonts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37"/>
        <w:spacing w:line="360" w:lineRule="auto"/>
        <w:rPr>
          <w:rFonts w:hint="default" w:ascii="宋体" w:hAnsi="宋体" w:eastAsia="宋体" w:cs="宋体"/>
          <w:b/>
          <w:bCs/>
          <w:color w:val="auto"/>
          <w:spacing w:val="0"/>
          <w:sz w:val="32"/>
          <w:szCs w:val="32"/>
          <w:highlight w:val="none"/>
          <w:lang w:val="en-US" w:eastAsia="zh-CN"/>
        </w:rPr>
      </w:pPr>
      <w:r>
        <w:rPr>
          <w:rFonts w:hint="eastAsia" w:ascii="宋体" w:hAnsi="宋体" w:eastAsia="宋体" w:cs="宋体"/>
          <w:b/>
          <w:color w:val="auto"/>
          <w:spacing w:val="-6"/>
          <w:sz w:val="32"/>
          <w:highlight w:val="none"/>
        </w:rPr>
        <w:t xml:space="preserve">采购</w:t>
      </w:r>
      <w:r>
        <w:rPr>
          <w:rFonts w:hint="eastAsia" w:ascii="宋体" w:hAnsi="宋体" w:eastAsia="宋体" w:cs="宋体"/>
          <w:b/>
          <w:color w:val="auto"/>
          <w:spacing w:val="0"/>
          <w:sz w:val="32"/>
          <w:highlight w:val="none"/>
        </w:rPr>
        <w:t xml:space="preserve">编号：</w:t>
      </w:r>
      <w:r>
        <w:rPr>
          <w:rFonts w:hint="eastAsia" w:ascii="宋体" w:hAnsi="宋体" w:eastAsia="宋体" w:cs="宋体"/>
          <w:b/>
          <w:bCs/>
          <w:color w:val="auto"/>
          <w:spacing w:val="0"/>
          <w:sz w:val="32"/>
          <w:szCs w:val="32"/>
          <w:highlight w:val="none"/>
          <w:lang w:eastAsia="zh-CN"/>
        </w:rPr>
        <w:t xml:space="preserve">JSZC-320591-HXZJ-T2026-0021</w:t>
      </w:r>
      <w:r>
        <w:rPr>
          <w:rFonts w:hint="eastAsia" w:ascii="宋体" w:hAnsi="宋体" w:eastAsia="宋体" w:cs="宋体"/>
          <w:b/>
          <w:bCs/>
          <w:color w:val="auto"/>
          <w:spacing w:val="0"/>
          <w:sz w:val="32"/>
          <w:szCs w:val="32"/>
          <w:highlight w:val="none"/>
          <w:lang w:val="en-US" w:eastAsia="zh-CN"/>
        </w:rPr>
        <w:t xml:space="preserve">号</w:t>
      </w:r>
      <w:r/>
    </w:p>
    <w:p>
      <w:pPr>
        <w:ind w:left="2868" w:right="871" w:hanging="1632"/>
        <w:spacing w:line="360" w:lineRule="auto"/>
        <w:rPr>
          <w:rFonts w:hint="eastAsia" w:ascii="宋体" w:hAnsi="宋体" w:eastAsia="宋体" w:cs="宋体"/>
          <w:b/>
          <w:color w:val="auto"/>
          <w:spacing w:val="0"/>
          <w:sz w:val="32"/>
          <w:highlight w:val="none"/>
        </w:rPr>
      </w:pPr>
      <w:r>
        <w:rPr>
          <w:rFonts w:hint="eastAsia" w:ascii="宋体" w:hAnsi="宋体" w:eastAsia="宋体" w:cs="宋体"/>
          <w:b/>
          <w:color w:val="auto"/>
          <w:spacing w:val="0"/>
          <w:sz w:val="32"/>
          <w:highlight w:val="none"/>
        </w:rPr>
        <w:t xml:space="preserve">采购名称：2026年度苏州工业园区下属医院信息化设备采购</w:t>
      </w:r>
      <w:r/>
    </w:p>
    <w:p>
      <w:pPr>
        <w:ind w:firstLine="1285"/>
        <w:spacing w:line="360" w:lineRule="auto"/>
        <w:rPr>
          <w:rFonts w:hint="eastAsia" w:ascii="宋体" w:hAnsi="宋体" w:eastAsia="宋体" w:cs="宋体"/>
          <w:b/>
          <w:color w:val="auto"/>
          <w:spacing w:val="0"/>
          <w:sz w:val="32"/>
          <w:highlight w:val="none"/>
        </w:rPr>
      </w:pPr>
      <w:r>
        <w:rPr>
          <w:rFonts w:hint="eastAsia" w:ascii="宋体" w:hAnsi="宋体" w:eastAsia="宋体" w:cs="宋体"/>
          <w:b/>
          <w:color w:val="auto"/>
          <w:spacing w:val="0"/>
          <w:sz w:val="32"/>
          <w:highlight w:val="none"/>
        </w:rPr>
        <w:t xml:space="preserve">采购人：苏州工业园区卫生健康委员会</w:t>
      </w:r>
      <w:r/>
    </w:p>
    <w:p>
      <w:pPr>
        <w:ind w:firstLine="1285"/>
        <w:spacing w:line="360" w:lineRule="auto"/>
        <w:rPr>
          <w:rFonts w:hint="eastAsia" w:ascii="宋体" w:hAnsi="宋体" w:eastAsia="宋体" w:cs="宋体"/>
          <w:b/>
          <w:color w:val="auto"/>
          <w:spacing w:val="0"/>
          <w:sz w:val="32"/>
          <w:highlight w:val="none"/>
        </w:rPr>
      </w:pPr>
      <w:r>
        <w:rPr>
          <w:rFonts w:hint="eastAsia" w:ascii="宋体" w:hAnsi="宋体" w:eastAsia="宋体" w:cs="宋体"/>
          <w:b/>
          <w:color w:val="auto"/>
          <w:spacing w:val="0"/>
          <w:sz w:val="32"/>
          <w:highlight w:val="none"/>
        </w:rPr>
        <w:t xml:space="preserve">采购类别：货物类</w:t>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ascii="宋体" w:hAnsi="宋体" w:eastAsia="宋体" w:cs="宋体"/>
          <w:b/>
          <w:color w:val="auto"/>
          <w:sz w:val="32"/>
          <w:highlight w:val="none"/>
        </w:rPr>
      </w:pPr>
      <w:r>
        <w:rPr>
          <w:color w:val="auto"/>
          <w:highlight w:val="none"/>
        </w:rPr>
        <mc:AlternateContent>
          <mc:Choice Requires="wpg">
            <w:drawing>
              <wp:inline xmlns:wp="http://schemas.openxmlformats.org/drawingml/2006/wordprocessingDrawing" distT="0" distB="0" distL="0" distR="0">
                <wp:extent cx="1680210" cy="1743710"/>
                <wp:effectExtent l="0" t="0" r="3810" b="5080"/>
                <wp:docPr id="2" name="图片 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4"/>
                        <pic:cNvPicPr>
                          <a:picLocks noChangeAspect="1"/>
                        </pic:cNvPicPr>
                        <pic:nvPr/>
                      </pic:nvPicPr>
                      <pic:blipFill>
                        <a:blip r:embed="rId17"/>
                        <a:stretch/>
                      </pic:blipFill>
                      <pic:spPr bwMode="auto">
                        <a:xfrm>
                          <a:off x="0" y="0"/>
                          <a:ext cx="1680210" cy="1743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2.3pt;height:137.3pt;mso-wrap-distance-left:0.0pt;mso-wrap-distance-top:0.0pt;mso-wrap-distance-right:0.0pt;mso-wrap-distance-bottom:0.0pt;" stroked="f">
                <v:path textboxrect="0,0,0,0"/>
                <v:imagedata r:id="rId17" o:title=""/>
              </v:shape>
            </w:pict>
          </mc:Fallback>
        </mc:AlternateContent>
      </w:r>
      <w:r/>
    </w:p>
    <w:p>
      <w:pPr>
        <w:jc w:val="center"/>
        <w:spacing w:line="360" w:lineRule="auto"/>
        <w:rPr>
          <w:rFonts w:ascii="宋体" w:hAnsi="宋体" w:eastAsia="宋体" w:cs="宋体"/>
          <w:b/>
          <w:color w:val="auto"/>
          <w:sz w:val="32"/>
          <w:highlight w:val="none"/>
        </w:rPr>
      </w:pPr>
      <w:r>
        <w:rPr>
          <w:rFonts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苏州华星工程造价咨询有限公司</w: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二○二六年</w:t>
      </w:r>
      <w:r>
        <w:rPr>
          <w:rFonts w:hint="eastAsia" w:ascii="宋体" w:hAnsi="宋体" w:eastAsia="宋体" w:cs="宋体"/>
          <w:b/>
          <w:color w:val="auto"/>
          <w:sz w:val="32"/>
          <w:highlight w:val="none"/>
          <w:lang w:val="en-US" w:eastAsia="zh-CN"/>
        </w:rPr>
        <w:t xml:space="preserve">九</w:t>
      </w:r>
      <w:r>
        <w:rPr>
          <w:rFonts w:hint="eastAsia" w:ascii="宋体" w:hAnsi="宋体" w:eastAsia="宋体" w:cs="宋体"/>
          <w:b/>
          <w:color w:val="auto"/>
          <w:sz w:val="32"/>
          <w:highlight w:val="none"/>
        </w:rPr>
        <w:t xml:space="preserve">月</w:t>
      </w:r>
      <w:r/>
    </w:p>
    <w:p>
      <w:pPr>
        <w:jc w:val="center"/>
        <w:rPr>
          <w:rFonts w:hint="eastAsia" w:ascii="宋体" w:hAnsi="宋体" w:eastAsia="宋体" w:cs="宋体"/>
          <w:b/>
          <w:color w:val="auto"/>
          <w:sz w:val="52"/>
          <w:highlight w:val="none"/>
        </w:rPr>
        <w:sectPr>
          <w:headerReference w:type="even" r:id="rId8"/>
          <w:footerReference w:type="default" r:id="rId9"/>
          <w:footerReference w:type="even" r:id="rId10"/>
          <w:footnotePr/>
          <w:endnotePr/>
          <w:type w:val="nextPage"/>
          <w:pgSz w:w="11906" w:h="16838" w:orient="portrait"/>
          <w:pgMar w:top="1440" w:right="1797" w:bottom="1440" w:left="1797" w:header="851" w:footer="992" w:gutter="0"/>
          <w:pgNumType w:start="0"/>
          <w:cols w:num="1" w:sep="0" w:space="425" w:equalWidth="1"/>
          <w:docGrid w:linePitch="360"/>
          <w:titlePg/>
        </w:sectPr>
      </w:pPr>
      <w:r>
        <w:rPr>
          <w:rFonts w:hint="eastAsia" w:ascii="宋体" w:hAnsi="宋体" w:eastAsia="宋体" w:cs="宋体"/>
          <w:b/>
          <w:color w:val="auto"/>
          <w:sz w:val="52"/>
          <w:highlight w:val="none"/>
        </w:rPr>
      </w:r>
      <w:r/>
    </w:p>
    <w:p>
      <w:pPr>
        <w:jc w:val="center"/>
        <w:rPr>
          <w:rFonts w:hint="eastAsia" w:ascii="宋体" w:hAnsi="宋体" w:eastAsia="宋体" w:cs="宋体"/>
          <w:b/>
          <w:color w:val="auto"/>
          <w:sz w:val="52"/>
          <w:highlight w:val="none"/>
        </w:rPr>
      </w:pPr>
      <w:r>
        <w:rPr>
          <w:rFonts w:hint="eastAsia" w:ascii="宋体" w:hAnsi="宋体" w:eastAsia="宋体" w:cs="宋体"/>
          <w:b/>
          <w:color w:val="auto"/>
          <w:sz w:val="52"/>
          <w:highlight w:val="none"/>
        </w:rPr>
        <w:t xml:space="preserve">目  录</w:t>
      </w:r>
      <w:r/>
    </w:p>
    <w:p>
      <w:pPr>
        <w:pStyle w:val="910"/>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926"/>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color w:val="auto"/>
          <w:sz w:val="24"/>
          <w:szCs w:val="24"/>
          <w:highlight w:val="none"/>
        </w:rPr>
        <w:instrText xml:space="preserve"> TOC \o "1-2" \h \z \u </w:instrText>
      </w:r>
      <w:r>
        <w:rPr>
          <w:rFonts w:hint="default" w:ascii="Times New Roman" w:hAnsi="Times New Roman" w:eastAsia="宋体" w:cs="Times New Roman"/>
          <w:bCs/>
          <w:color w:val="auto"/>
          <w:sz w:val="24"/>
          <w:szCs w:val="24"/>
          <w:highlight w:val="none"/>
        </w:rPr>
        <w:fldChar w:fldCharType="separate"/>
      </w: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_Toc28460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rPr>
        <w:t xml:space="preserve">前附表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_Toc28460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6"/>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_Toc20088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rPr>
        <w:t xml:space="preserve">第一章 竞争性谈判公告</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_Toc20088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6"/>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_Toc4908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rPr>
        <w:t xml:space="preserve">第二章 谈判供应商须知</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_Toc4908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6"/>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_Toc14708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rPr>
        <w:t xml:space="preserve">第三章 响应文件格式</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_Toc14708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23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9"/>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_Toc21729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shd w:val="clear" w:color="auto" w:fill="ffffff"/>
        </w:rPr>
        <w:t xml:space="preserve">1、（供应方）法定代表人授权委托书</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_Toc21729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24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9"/>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_Toc21887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shd w:val="clear" w:color="auto" w:fill="ffffff"/>
        </w:rPr>
        <w:t xml:space="preserve">2、响应函</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_Toc21887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25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9"/>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_Toc8679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shd w:val="clear" w:color="auto" w:fill="ffffff"/>
        </w:rPr>
        <w:t xml:space="preserve">3、</w:t>
      </w:r>
      <w:r>
        <w:rPr>
          <w:rFonts w:hint="default" w:ascii="Times New Roman" w:hAnsi="Times New Roman" w:eastAsia="宋体" w:cs="Times New Roman"/>
          <w:bCs/>
          <w:sz w:val="24"/>
          <w:szCs w:val="24"/>
          <w:highlight w:val="none"/>
          <w:shd w:val="clear" w:color="auto" w:fill="ffffff"/>
        </w:rPr>
        <w:t xml:space="preserve">谈判报价表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_Toc8679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26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9"/>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_Toc15643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shd w:val="clear" w:color="auto" w:fill="ffffff"/>
        </w:rPr>
        <w:t xml:space="preserve">4、报价明细表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_Toc15643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27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9"/>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_Toc26791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shd w:val="clear" w:color="auto" w:fill="ffffff"/>
        </w:rPr>
        <w:t xml:space="preserve">5、具备履行合同所必需设备和专业技术能力证明材料</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_Toc26791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28</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9"/>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_Toc13111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shd w:val="clear" w:color="auto" w:fill="ffffff"/>
          <w:lang w:val="en-US" w:eastAsia="zh-CN"/>
        </w:rPr>
        <w:t xml:space="preserve">6</w:t>
      </w:r>
      <w:r>
        <w:rPr>
          <w:rFonts w:hint="default" w:ascii="Times New Roman" w:hAnsi="Times New Roman" w:eastAsia="宋体" w:cs="Times New Roman"/>
          <w:sz w:val="24"/>
          <w:szCs w:val="24"/>
          <w:highlight w:val="none"/>
          <w:shd w:val="clear" w:color="auto" w:fill="ffffff"/>
        </w:rPr>
        <w:t xml:space="preserve">、没有重大违法记录书面声明</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_Toc13111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29</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9"/>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_Toc24028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shd w:val="clear" w:color="auto" w:fill="ffffff"/>
          <w:lang w:val="en-US" w:eastAsia="zh-CN"/>
        </w:rPr>
        <w:t xml:space="preserve">7</w:t>
      </w:r>
      <w:r>
        <w:rPr>
          <w:rFonts w:hint="default" w:ascii="Times New Roman" w:hAnsi="Times New Roman" w:eastAsia="宋体" w:cs="Times New Roman"/>
          <w:sz w:val="24"/>
          <w:szCs w:val="24"/>
          <w:highlight w:val="none"/>
          <w:shd w:val="clear" w:color="auto" w:fill="ffffff"/>
        </w:rPr>
        <w:t xml:space="preserve">、服务或技术要求偏离表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_Toc24028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30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9"/>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_Toc10528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shd w:val="clear" w:color="auto" w:fill="ffffff"/>
          <w:lang w:val="en-US" w:eastAsia="zh-CN"/>
        </w:rPr>
        <w:t xml:space="preserve">8</w:t>
      </w:r>
      <w:r>
        <w:rPr>
          <w:rFonts w:hint="default" w:ascii="Times New Roman" w:hAnsi="Times New Roman" w:eastAsia="宋体" w:cs="Times New Roman"/>
          <w:sz w:val="24"/>
          <w:szCs w:val="24"/>
          <w:highlight w:val="none"/>
          <w:shd w:val="clear" w:color="auto" w:fill="ffffff"/>
        </w:rPr>
        <w:t xml:space="preserve">、商务条款偏离表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_Toc10528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31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9"/>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_Toc26415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shd w:val="clear" w:color="auto" w:fill="ffffff"/>
          <w:lang w:val="en-US" w:eastAsia="zh-CN"/>
        </w:rPr>
        <w:t xml:space="preserve">9</w:t>
      </w:r>
      <w:r>
        <w:rPr>
          <w:rFonts w:hint="default" w:ascii="Times New Roman" w:hAnsi="Times New Roman" w:eastAsia="宋体" w:cs="Times New Roman"/>
          <w:sz w:val="24"/>
          <w:szCs w:val="24"/>
          <w:highlight w:val="none"/>
          <w:shd w:val="clear" w:color="auto" w:fill="ffffff"/>
        </w:rPr>
        <w:t xml:space="preserve">、拟投入项目组人员一览表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_Toc26415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32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9"/>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_Toc2336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shd w:val="clear" w:color="auto" w:fill="ffffff"/>
          <w:lang w:val="en-US" w:eastAsia="zh-CN"/>
        </w:rPr>
        <w:t xml:space="preserve">10</w:t>
      </w:r>
      <w:r>
        <w:rPr>
          <w:rFonts w:hint="default" w:ascii="Times New Roman" w:hAnsi="Times New Roman" w:eastAsia="宋体" w:cs="Times New Roman"/>
          <w:sz w:val="24"/>
          <w:szCs w:val="24"/>
          <w:highlight w:val="none"/>
          <w:shd w:val="clear" w:color="auto" w:fill="ffffff"/>
        </w:rPr>
        <w:t xml:space="preserve">、技术支持以及售后服务承诺</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_Toc2336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33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9"/>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_Toc7137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shd w:val="clear" w:color="auto" w:fill="ffffff"/>
          <w:lang w:val="en-US" w:eastAsia="zh-CN"/>
        </w:rPr>
        <w:t xml:space="preserve">11</w:t>
      </w:r>
      <w:r>
        <w:rPr>
          <w:rFonts w:hint="default" w:ascii="Times New Roman" w:hAnsi="Times New Roman" w:eastAsia="宋体" w:cs="Times New Roman"/>
          <w:sz w:val="24"/>
          <w:szCs w:val="24"/>
          <w:highlight w:val="none"/>
          <w:shd w:val="clear" w:color="auto" w:fill="ffffff"/>
        </w:rPr>
        <w:t xml:space="preserve">、类似业绩一览表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_Toc7137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34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9"/>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_Toc4880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shd w:val="clear" w:color="auto" w:fill="ffffff"/>
        </w:rPr>
        <w:t xml:space="preserve">1</w:t>
      </w:r>
      <w:r>
        <w:rPr>
          <w:rFonts w:hint="default" w:ascii="Times New Roman" w:hAnsi="Times New Roman" w:eastAsia="宋体" w:cs="Times New Roman"/>
          <w:sz w:val="24"/>
          <w:szCs w:val="24"/>
          <w:highlight w:val="none"/>
          <w:shd w:val="clear" w:color="auto" w:fill="ffffff"/>
          <w:lang w:val="en-US" w:eastAsia="zh-CN"/>
        </w:rPr>
        <w:t xml:space="preserve">2</w:t>
      </w:r>
      <w:r>
        <w:rPr>
          <w:rFonts w:hint="default" w:ascii="Times New Roman" w:hAnsi="Times New Roman" w:eastAsia="宋体" w:cs="Times New Roman"/>
          <w:sz w:val="24"/>
          <w:szCs w:val="24"/>
          <w:highlight w:val="none"/>
          <w:shd w:val="clear" w:color="auto" w:fill="ffffff"/>
        </w:rPr>
        <w:t xml:space="preserve">、承诺函</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_Toc4880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35</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9"/>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_Toc5020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shd w:val="clear" w:color="auto" w:fill="ffffff"/>
        </w:rPr>
        <w:t xml:space="preserve">1</w:t>
      </w:r>
      <w:r>
        <w:rPr>
          <w:rFonts w:hint="default" w:ascii="Times New Roman" w:hAnsi="Times New Roman" w:eastAsia="宋体" w:cs="Times New Roman"/>
          <w:sz w:val="24"/>
          <w:szCs w:val="24"/>
          <w:highlight w:val="none"/>
          <w:shd w:val="clear" w:color="auto" w:fill="ffffff"/>
          <w:lang w:val="en-US" w:eastAsia="zh-CN"/>
        </w:rPr>
        <w:t xml:space="preserve">3</w:t>
      </w:r>
      <w:r>
        <w:rPr>
          <w:rFonts w:hint="default" w:ascii="Times New Roman" w:hAnsi="Times New Roman" w:eastAsia="宋体" w:cs="Times New Roman"/>
          <w:sz w:val="24"/>
          <w:szCs w:val="24"/>
          <w:highlight w:val="none"/>
          <w:shd w:val="clear" w:color="auto" w:fill="ffffff"/>
        </w:rPr>
        <w:t xml:space="preserve">、中小企业声明函</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_Toc5020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36</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9"/>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_Toc16989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shd w:val="clear" w:color="auto" w:fill="ffffff"/>
        </w:rPr>
        <w:t xml:space="preserve">1</w:t>
      </w:r>
      <w:r>
        <w:rPr>
          <w:rFonts w:hint="default" w:ascii="Times New Roman" w:hAnsi="Times New Roman" w:eastAsia="宋体" w:cs="Times New Roman"/>
          <w:sz w:val="24"/>
          <w:szCs w:val="24"/>
          <w:highlight w:val="none"/>
          <w:shd w:val="clear" w:color="auto" w:fill="ffffff"/>
          <w:lang w:val="en-US" w:eastAsia="zh-CN"/>
        </w:rPr>
        <w:t xml:space="preserve">4</w:t>
      </w:r>
      <w:r>
        <w:rPr>
          <w:rFonts w:hint="default" w:ascii="Times New Roman" w:hAnsi="Times New Roman" w:eastAsia="宋体" w:cs="Times New Roman"/>
          <w:sz w:val="24"/>
          <w:szCs w:val="24"/>
          <w:highlight w:val="none"/>
          <w:shd w:val="clear" w:color="auto" w:fill="ffffff"/>
        </w:rPr>
        <w:t xml:space="preserve">、残疾人福利性单位声明函</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_Toc16989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40</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9"/>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_Toc15578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shd w:val="clear" w:color="auto" w:fill="ffffff"/>
        </w:rPr>
        <w:t xml:space="preserve">1</w:t>
      </w:r>
      <w:r>
        <w:rPr>
          <w:rFonts w:hint="default" w:ascii="Times New Roman" w:hAnsi="Times New Roman" w:eastAsia="宋体" w:cs="Times New Roman"/>
          <w:sz w:val="24"/>
          <w:szCs w:val="24"/>
          <w:highlight w:val="none"/>
          <w:shd w:val="clear" w:color="auto" w:fill="ffffff"/>
          <w:lang w:val="en-US" w:eastAsia="zh-CN"/>
        </w:rPr>
        <w:t xml:space="preserve">5</w:t>
      </w:r>
      <w:r>
        <w:rPr>
          <w:rFonts w:hint="default" w:ascii="Times New Roman" w:hAnsi="Times New Roman" w:eastAsia="宋体" w:cs="Times New Roman"/>
          <w:sz w:val="24"/>
          <w:szCs w:val="24"/>
          <w:highlight w:val="none"/>
          <w:shd w:val="clear" w:color="auto" w:fill="ffffff"/>
        </w:rPr>
        <w:t xml:space="preserve">、关于符合本国产品标准的声明函</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_Toc15578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41</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9"/>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_Toc12627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shd w:val="clear" w:color="auto" w:fill="ffffff"/>
        </w:rPr>
        <w:t xml:space="preserve">1</w:t>
      </w:r>
      <w:r>
        <w:rPr>
          <w:rFonts w:hint="default" w:ascii="Times New Roman" w:hAnsi="Times New Roman" w:eastAsia="宋体" w:cs="Times New Roman"/>
          <w:sz w:val="24"/>
          <w:szCs w:val="24"/>
          <w:highlight w:val="none"/>
          <w:shd w:val="clear" w:color="auto" w:fill="ffffff"/>
          <w:lang w:val="en-US" w:eastAsia="zh-CN"/>
        </w:rPr>
        <w:t xml:space="preserve">6</w:t>
      </w:r>
      <w:r>
        <w:rPr>
          <w:rFonts w:hint="default" w:ascii="Times New Roman" w:hAnsi="Times New Roman" w:eastAsia="宋体" w:cs="Times New Roman"/>
          <w:sz w:val="24"/>
          <w:szCs w:val="24"/>
          <w:highlight w:val="none"/>
          <w:shd w:val="clear" w:color="auto" w:fill="ffffff"/>
        </w:rPr>
        <w:t xml:space="preserve">、供应商与其他单位存在直接控股、管理关系情况表</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_Toc12627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9"/>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_Toc32650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shd w:val="clear" w:color="auto" w:fill="ffffff"/>
        </w:rPr>
        <w:t xml:space="preserve">1</w:t>
      </w:r>
      <w:r>
        <w:rPr>
          <w:rFonts w:hint="default" w:ascii="Times New Roman" w:hAnsi="Times New Roman" w:eastAsia="宋体" w:cs="Times New Roman"/>
          <w:sz w:val="24"/>
          <w:szCs w:val="24"/>
          <w:highlight w:val="none"/>
          <w:shd w:val="clear" w:color="auto" w:fill="ffffff"/>
          <w:lang w:val="en-US" w:eastAsia="zh-CN"/>
        </w:rPr>
        <w:t xml:space="preserve">7</w:t>
      </w:r>
      <w:r>
        <w:rPr>
          <w:rFonts w:hint="default" w:ascii="Times New Roman" w:hAnsi="Times New Roman" w:eastAsia="宋体" w:cs="Times New Roman"/>
          <w:sz w:val="24"/>
          <w:szCs w:val="24"/>
          <w:highlight w:val="none"/>
          <w:shd w:val="clear" w:color="auto" w:fill="ffffff"/>
        </w:rPr>
        <w:t xml:space="preserve">、最后报价合理性澄清说明函</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_Toc32650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43</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6"/>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_Toc19374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rPr>
        <w:t xml:space="preserve">第四章 谈判采购内容</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_Toc19374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44</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6"/>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_Toc21978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rPr>
        <w:t xml:space="preserve">第五章 合同条款</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_Toc21978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72</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pStyle w:val="926"/>
        <w:keepLines w:val="0"/>
        <w:keepNext w:val="0"/>
        <w:pageBreakBefore w:val="0"/>
        <w:spacing w:line="360" w:lineRule="auto"/>
        <w:widowControl/>
        <w:tabs>
          <w:tab w:val="right" w:pos="8312" w:leader="dot"/>
        </w:tabs>
        <w:rPr>
          <w:rFonts w:hint="default" w:ascii="Times New Roman" w:hAnsi="Times New Roman" w:eastAsia="宋体" w:cs="Times New Roman"/>
          <w:sz w:val="24"/>
          <w:szCs w:val="24"/>
        </w:rPr>
      </w:pPr>
      <w:r>
        <w:rPr>
          <w:rFonts w:hint="default" w:ascii="Times New Roman" w:hAnsi="Times New Roman" w:eastAsia="宋体" w:cs="Times New Roman"/>
          <w:bCs/>
          <w:color w:val="auto"/>
          <w:sz w:val="24"/>
          <w:szCs w:val="24"/>
          <w:highlight w:val="none"/>
        </w:rPr>
        <w:fldChar w:fldCharType="begin"/>
      </w:r>
      <w:r>
        <w:rPr>
          <w:rFonts w:hint="default" w:ascii="Times New Roman" w:hAnsi="Times New Roman" w:eastAsia="宋体" w:cs="Times New Roman"/>
          <w:bCs/>
          <w:sz w:val="24"/>
          <w:szCs w:val="24"/>
          <w:highlight w:val="none"/>
        </w:rPr>
        <w:instrText xml:space="preserve"> HYPERLINK \l _Toc29372 </w:instrText>
      </w:r>
      <w:r>
        <w:rPr>
          <w:rFonts w:hint="default" w:ascii="Times New Roman" w:hAnsi="Times New Roman" w:eastAsia="宋体" w:cs="Times New Roman"/>
          <w:bCs/>
          <w:sz w:val="24"/>
          <w:szCs w:val="24"/>
          <w:highlight w:val="none"/>
        </w:rPr>
        <w:fldChar w:fldCharType="separate"/>
      </w:r>
      <w:r>
        <w:rPr>
          <w:rFonts w:hint="default" w:ascii="Times New Roman" w:hAnsi="Times New Roman" w:eastAsia="宋体" w:cs="Times New Roman"/>
          <w:sz w:val="24"/>
          <w:szCs w:val="24"/>
          <w:highlight w:val="none"/>
        </w:rPr>
        <w:t xml:space="preserve">第六章 评审办法</w:t>
      </w:r>
      <w:r>
        <w:rPr>
          <w:rFonts w:hint="default" w:ascii="Times New Roman" w:hAnsi="Times New Roman" w:eastAsia="宋体" w:cs="Times New Roman"/>
          <w:sz w:val="24"/>
          <w:szCs w:val="24"/>
        </w:rPr>
        <w:tab/>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PAGEREF _Toc29372 \h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t xml:space="preserve">87</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bCs/>
          <w:color w:val="auto"/>
          <w:sz w:val="24"/>
          <w:szCs w:val="24"/>
          <w:highlight w:val="none"/>
        </w:rPr>
        <w:fldChar w:fldCharType="end"/>
      </w:r>
      <w:r/>
    </w:p>
    <w:p>
      <w:pPr>
        <w:jc w:val="center"/>
        <w:keepLines w:val="0"/>
        <w:keepNext w:val="0"/>
        <w:pageBreakBefore w:val="0"/>
        <w:spacing w:line="360" w:lineRule="auto"/>
        <w:widowControl/>
        <w:rPr>
          <w:rFonts w:ascii="宋体" w:hAnsi="宋体" w:eastAsia="宋体" w:cs="宋体"/>
          <w:bCs/>
          <w:color w:val="auto"/>
          <w:sz w:val="36"/>
          <w:highlight w:val="none"/>
        </w:rPr>
      </w:pPr>
      <w:r>
        <w:rPr>
          <w:rFonts w:hint="default" w:ascii="Times New Roman" w:hAnsi="Times New Roman" w:eastAsia="宋体" w:cs="Times New Roman"/>
          <w:bCs/>
          <w:color w:val="auto"/>
          <w:sz w:val="24"/>
          <w:szCs w:val="24"/>
          <w:highlight w:val="none"/>
        </w:rPr>
        <w:fldChar w:fldCharType="end"/>
      </w:r>
      <w:r/>
    </w:p>
    <w:p>
      <w:pPr>
        <w:pStyle w:val="898"/>
        <w:jc w:val="center"/>
        <w:spacing w:before="156" w:after="156" w:line="360" w:lineRule="auto"/>
        <w:rPr>
          <w:rFonts w:hint="eastAsia" w:ascii="宋体" w:hAnsi="宋体" w:eastAsia="宋体" w:cs="宋体"/>
          <w:color w:val="auto"/>
          <w:sz w:val="36"/>
          <w:szCs w:val="36"/>
          <w:highlight w:val="none"/>
        </w:rPr>
        <w:sectPr>
          <w:footerReference w:type="default" r:id="rId11"/>
          <w:footerReference w:type="first" r:id="rId12"/>
          <w:footnotePr/>
          <w:endnotePr/>
          <w:type w:val="nextPage"/>
          <w:pgSz w:w="11906" w:h="16838" w:orient="portrait"/>
          <w:pgMar w:top="1440" w:right="1797" w:bottom="1440" w:left="1797" w:header="851" w:footer="992" w:gutter="0"/>
          <w:pgNumType w:start="0"/>
          <w:cols w:num="1" w:sep="0" w:space="425" w:equalWidth="1"/>
          <w:docGrid w:linePitch="360"/>
          <w:titlePg/>
        </w:sectPr>
      </w:pPr>
      <w:r>
        <w:rPr>
          <w:rFonts w:hint="eastAsia" w:ascii="宋体" w:hAnsi="宋体" w:eastAsia="宋体" w:cs="宋体"/>
          <w:color w:val="auto"/>
          <w:sz w:val="36"/>
          <w:szCs w:val="36"/>
          <w:highlight w:val="none"/>
        </w:rPr>
      </w:r>
      <w:r/>
    </w:p>
    <w:p>
      <w:pPr>
        <w:pStyle w:val="898"/>
        <w:jc w:val="center"/>
        <w:spacing w:before="156" w:after="156" w:line="360" w:lineRule="auto"/>
        <w:rPr>
          <w:rFonts w:hint="eastAsia" w:ascii="宋体" w:hAnsi="宋体" w:eastAsia="宋体" w:cs="宋体"/>
          <w:color w:val="auto"/>
          <w:sz w:val="36"/>
          <w:szCs w:val="36"/>
          <w:highlight w:val="none"/>
        </w:rPr>
      </w:pPr>
      <w:r/>
      <w:bookmarkStart w:id="0" w:name="_Toc28460"/>
      <w:r>
        <w:rPr>
          <w:rFonts w:hint="eastAsia" w:ascii="宋体" w:hAnsi="宋体" w:eastAsia="宋体" w:cs="宋体"/>
          <w:color w:val="auto"/>
          <w:sz w:val="36"/>
          <w:szCs w:val="36"/>
          <w:highlight w:val="none"/>
        </w:rPr>
        <w:t xml:space="preserve">前附表</w:t>
      </w:r>
      <w:bookmarkEnd w:id="0"/>
      <w:r/>
      <w:r/>
    </w:p>
    <w:tbl>
      <w:tblPr>
        <w:tblStyle w:val="908"/>
        <w:tblW w:w="8389" w:type="dxa"/>
        <w:tblInd w:w="-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7149"/>
      </w:tblGrid>
      <w:tr>
        <w:trPr>
          <w:trHeight w:val="495"/>
        </w:trPr>
        <w:tc>
          <w:tcPr>
            <w:tcW w:w="1240" w:type="dxa"/>
            <w:vAlign w:val="center"/>
            <w:textDirection w:val="lrTb"/>
            <w:noWrap w:val="false"/>
          </w:tcPr>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项号</w:t>
            </w:r>
            <w:r/>
          </w:p>
        </w:tc>
        <w:tc>
          <w:tcPr>
            <w:tcW w:w="7149" w:type="dxa"/>
            <w:vAlign w:val="center"/>
            <w:textDirection w:val="lrTb"/>
            <w:noWrap w:val="false"/>
          </w:tcPr>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内容规定</w:t>
            </w:r>
            <w:r/>
          </w:p>
        </w:tc>
      </w:tr>
      <w:tr>
        <w:trPr>
          <w:trHeight w:val="495"/>
        </w:trPr>
        <w:tc>
          <w:tcPr>
            <w:tcW w:w="12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7149"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采购内容：2026年度苏州工业园区下属医院信息化设备采购</w:t>
            </w:r>
            <w:r/>
          </w:p>
        </w:tc>
      </w:tr>
      <w:tr>
        <w:trPr>
          <w:trHeight w:val="495"/>
        </w:trPr>
        <w:tc>
          <w:tcPr>
            <w:tcW w:w="12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149"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标段数：1个标段</w:t>
            </w:r>
            <w:r/>
          </w:p>
        </w:tc>
      </w:tr>
      <w:tr>
        <w:trPr>
          <w:trHeight w:val="495"/>
        </w:trPr>
        <w:tc>
          <w:tcPr>
            <w:tcW w:w="12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149"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响应文件有效期为60天（日历日）</w:t>
            </w:r>
            <w:r/>
          </w:p>
        </w:tc>
      </w:tr>
      <w:tr>
        <w:trPr>
          <w:trHeight w:val="495"/>
        </w:trPr>
        <w:tc>
          <w:tcPr>
            <w:tcW w:w="12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149"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谈判保证金：不提交，本项目谈判文件内关于谈判保证金的相关规定均不适用。</w:t>
            </w:r>
            <w:r/>
          </w:p>
        </w:tc>
      </w:tr>
      <w:tr>
        <w:trPr>
          <w:trHeight w:val="495"/>
        </w:trPr>
        <w:tc>
          <w:tcPr>
            <w:tcW w:w="12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149"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资金来源：财政资金</w:t>
            </w:r>
            <w:r/>
          </w:p>
        </w:tc>
      </w:tr>
      <w:tr>
        <w:trPr>
          <w:trHeight w:val="2192"/>
        </w:trPr>
        <w:tc>
          <w:tcPr>
            <w:tcW w:w="12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149"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谈判响应文件提交、上传截止时间：</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2026年9月28日</w:t>
            </w:r>
            <w:r>
              <w:rPr>
                <w:rFonts w:hint="eastAsia" w:ascii="宋体" w:hAnsi="宋体" w:eastAsia="宋体" w:cs="宋体"/>
                <w:color w:val="auto"/>
                <w:highlight w:val="none"/>
              </w:rPr>
              <w:t xml:space="preserve">14：00（北京时间）</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地点：“苏采云”系统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本项目为不见面开标（开启）项目，开标阶段供应商在【解密环节】必须使用 CA证书解密电子响应文件，如在“苏采云”系统规定的时间内未能成功解密的视为放弃参与本项目，响应无效。</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请供应商确保电脑、系统及其他设备（视频输入输出设备等）无误，且开启直至项目结束始终保持系统在线状态。</w:t>
            </w:r>
            <w:r/>
          </w:p>
        </w:tc>
      </w:tr>
      <w:tr>
        <w:trPr>
          <w:trHeight w:val="784"/>
        </w:trPr>
        <w:tc>
          <w:tcPr>
            <w:tcW w:w="12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7149"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谈判响应文件开启时间：</w:t>
            </w:r>
            <w:r>
              <w:rPr>
                <w:rFonts w:hint="eastAsia" w:ascii="宋体" w:hAnsi="宋体" w:eastAsia="宋体" w:cs="宋体"/>
                <w:color w:val="auto"/>
                <w:highlight w:val="none"/>
                <w:lang w:eastAsia="zh-CN"/>
              </w:rPr>
              <w:t xml:space="preserve">2026年9月28日</w:t>
            </w:r>
            <w:r>
              <w:rPr>
                <w:rFonts w:hint="eastAsia" w:ascii="宋体" w:hAnsi="宋体" w:eastAsia="宋体" w:cs="宋体"/>
                <w:color w:val="auto"/>
                <w:highlight w:val="none"/>
              </w:rPr>
              <w:t xml:space="preserve">14：00（北京时间）</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谈判地点：</w:t>
            </w:r>
            <w:r>
              <w:rPr>
                <w:rFonts w:ascii="SimSun" w:hAnsi="SimSun" w:eastAsia="SimSun" w:cs="SimSun"/>
                <w:color w:val="000000"/>
                <w:sz w:val="24"/>
              </w:rPr>
              <w:t xml:space="preserve">苏州工业园区公共资源交易中心新场地-评标室（六）</w:t>
            </w:r>
            <w:r>
              <w:rPr>
                <w:rFonts w:hint="eastAsia" w:ascii="宋体" w:hAnsi="宋体" w:eastAsia="宋体" w:cs="宋体"/>
                <w:color w:val="auto"/>
                <w:highlight w:val="none"/>
              </w:rPr>
            </w:r>
            <w:r/>
          </w:p>
        </w:tc>
      </w:tr>
      <w:tr>
        <w:trPr>
          <w:trHeight w:val="784"/>
        </w:trPr>
        <w:tc>
          <w:tcPr>
            <w:tcW w:w="12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7149"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询问：获取谈判文件成功的谈判供应商在下载谈判文件后，对谈判文件有疑问的，可通过邮件（</w:t>
            </w:r>
            <w:r>
              <w:rPr>
                <w:rFonts w:hint="eastAsia" w:ascii="宋体" w:hAnsi="宋体" w:eastAsia="宋体" w:cs="宋体"/>
                <w:color w:val="auto"/>
                <w:highlight w:val="none"/>
                <w:lang w:eastAsia="zh-CN"/>
              </w:rPr>
              <w:t xml:space="preserve">hxzbdl@126.com</w:t>
            </w:r>
            <w:r>
              <w:rPr>
                <w:rFonts w:hint="eastAsia" w:ascii="宋体" w:hAnsi="宋体" w:eastAsia="宋体" w:cs="宋体"/>
                <w:color w:val="auto"/>
                <w:highlight w:val="none"/>
              </w:rPr>
              <w:t xml:space="preserve">）进行询问。采购代理机构通过邮件予以解答，询问人自行在邮件中查看解答信息。</w:t>
            </w:r>
            <w:r/>
          </w:p>
        </w:tc>
      </w:tr>
      <w:tr>
        <w:trPr>
          <w:trHeight w:val="784"/>
        </w:trPr>
        <w:tc>
          <w:tcPr>
            <w:tcW w:w="12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7149" w:type="dxa"/>
            <w:vAlign w:val="center"/>
            <w:textDirection w:val="lrTb"/>
            <w:noWrap w:val="false"/>
          </w:tcPr>
          <w:p>
            <w:pPr>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质疑：</w:t>
            </w:r>
            <w:r/>
          </w:p>
          <w:p>
            <w:pPr>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谈判供应商认为本谈判文件条款使自己的权益受到损害的，应在知道或者应知权益受到损害之日起七个工作日内，以书面形式向采购代理机构提出质疑。采购代理机构应当在收到谈判供应商书面质疑后七个工作日内作出答复。</w:t>
            </w:r>
            <w:r>
              <w:rPr>
                <w:rFonts w:hint="eastAsia" w:ascii="宋体" w:hAnsi="宋体" w:eastAsia="宋体" w:cs="宋体"/>
                <w:color w:val="auto"/>
                <w:highlight w:val="none"/>
                <w:lang w:val="zh-CN"/>
              </w:rPr>
              <w:t xml:space="preserve">质疑应符合政府采购质疑和投诉办法(中华人民共和国财政部令第94号)。</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未依照采购公告要求获取谈判文件的谈判供应商，视为未参加该项政府采购活动，不具备对该项目提出质疑的法定权利。但因谈判供应商资格条件或获取时间设定不符合有关法律法规规定等原因使谈判供应商权益受损的除外。</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谈判供应商如对本项目提出质疑须在法定质疑期内一次性提出针对同一采购程序环节的质疑。</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接受质疑函的方式：当场送达或邮寄方式。</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联系单位：苏州华星工程造价咨询有限公司</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收件人：</w:t>
            </w:r>
            <w:r>
              <w:rPr>
                <w:rFonts w:hint="eastAsia" w:ascii="宋体" w:hAnsi="宋体" w:eastAsia="宋体" w:cs="宋体"/>
                <w:color w:val="auto"/>
                <w:highlight w:val="none"/>
                <w:lang w:eastAsia="zh-CN"/>
              </w:rPr>
              <w:t xml:space="preserve">周燕萍</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联系电话：0512-65200462</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通讯地址：苏州工业园区苏雅路388号新天翔商业广场A座12楼1206室</w:t>
            </w:r>
            <w:r/>
          </w:p>
        </w:tc>
      </w:tr>
      <w:tr>
        <w:trPr>
          <w:trHeight w:val="950"/>
        </w:trPr>
        <w:tc>
          <w:tcPr>
            <w:tcW w:w="12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7149"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代理服务费收费标准按照《关于苏州市级政府采购代理服务收费有关问题的通知》（苏财购字〔2016〕18号）执行，具体按照采购代理机构在“苏州市政府采购网”上公告的服务收费*60%收取，由成交供应商在领取成交通知书时付清：</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预算金额100万元以下部分，费率为该部分预算金额的1.5%；</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预算金额100万元（含）－500万元部分，费率为该部分预算金额的1.1%；</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预算金额500万元（含）-1000万元部分，费率为该部分预算金额的0.8%；预算金额1000万元（含）-5000万元部分，费率为该部分预算金额的0.5%；</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预算金额5000万元以上部分，费率为该部分预算金额的0.25%。</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说明：代理服务费以采购预算金额为基数依据，按以上规定的标准和差额定率累进法进行计算收取。例：如预算金额为150万元，则代理服务费＝100万元×1.5%＋（150万元－100万元）×1.1%。如按上述方法计算的金额低于人民币4000元整的，则本项目代理服务费按人民币4000元整计收，最低不低于4000元。</w:t>
            </w:r>
            <w:r/>
          </w:p>
          <w:p>
            <w:pP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本项目代理费</w:t>
            </w:r>
            <w:r>
              <w:rPr>
                <w:rFonts w:hint="eastAsia" w:ascii="宋体" w:hAnsi="宋体" w:eastAsia="宋体" w:cs="宋体"/>
                <w:color w:val="auto"/>
                <w:highlight w:val="none"/>
                <w:lang w:val="en-US" w:eastAsia="zh-CN"/>
              </w:rPr>
              <w:t xml:space="preserve">金额：人民币壹万贰仟叁佰玖拾元整（￥12,390.00）</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收款单位：苏州华</w:t>
            </w:r>
            <w:r>
              <w:rPr>
                <w:rFonts w:hint="eastAsia" w:ascii="宋体" w:hAnsi="宋体" w:eastAsia="宋体" w:cs="宋体"/>
                <w:color w:val="auto"/>
                <w:highlight w:val="none"/>
              </w:rPr>
              <w:t xml:space="preserve">星工程造价咨询有限公司</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银行账号：520958193351</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开户银行：中国银行股份有限公司苏州东环路支行</w:t>
            </w:r>
            <w:r/>
          </w:p>
        </w:tc>
      </w:tr>
      <w:tr>
        <w:trPr>
          <w:trHeight w:val="720"/>
        </w:trPr>
        <w:tc>
          <w:tcPr>
            <w:tcW w:w="12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p>
        </w:tc>
        <w:tc>
          <w:tcPr>
            <w:tcW w:w="7149"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特别提醒：</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1、本项目支持网上不见面开标，供应商不需到现场参加谈判。</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bl>
    <w:p>
      <w:pPr>
        <w:pStyle w:val="910"/>
        <w:ind w:firstLine="0"/>
        <w:jc w:val="center"/>
        <w:rPr>
          <w:rFonts w:hint="eastAsia" w:ascii="宋体" w:hAnsi="宋体" w:eastAsia="宋体" w:cs="宋体"/>
          <w:b/>
          <w:color w:val="auto"/>
          <w:sz w:val="52"/>
          <w:highlight w:val="none"/>
        </w:rPr>
      </w:pPr>
      <w:r>
        <w:rPr>
          <w:rFonts w:hint="eastAsia" w:ascii="宋体" w:hAnsi="宋体" w:eastAsia="宋体" w:cs="宋体"/>
          <w:b/>
          <w:color w:val="auto"/>
          <w:sz w:val="52"/>
          <w:highlight w:val="none"/>
        </w:rPr>
      </w:r>
      <w:r/>
    </w:p>
    <w:p>
      <w:pPr>
        <w:rPr>
          <w:rFonts w:hint="eastAsia" w:ascii="宋体" w:hAnsi="宋体" w:eastAsia="宋体" w:cs="宋体"/>
          <w:color w:val="auto"/>
          <w:highlight w:val="none"/>
        </w:rPr>
      </w:pPr>
      <w:r/>
      <w:bookmarkStart w:id="1" w:name="_Toc291668807"/>
      <w:r/>
      <w:r/>
    </w:p>
    <w:p>
      <w:pPr>
        <w:rPr>
          <w:rFonts w:hint="eastAsia" w:ascii="宋体" w:hAnsi="宋体" w:eastAsia="宋体" w:cs="宋体"/>
          <w:b/>
          <w:color w:val="auto"/>
          <w:sz w:val="52"/>
          <w:highlight w:val="none"/>
        </w:rPr>
      </w:pPr>
      <w:r>
        <w:rPr>
          <w:rFonts w:hint="eastAsia" w:ascii="宋体" w:hAnsi="宋体" w:eastAsia="宋体" w:cs="宋体"/>
          <w:color w:val="auto"/>
          <w:sz w:val="52"/>
          <w:highlight w:val="none"/>
        </w:rPr>
        <w:br w:type="page" w:clear="all"/>
      </w:r>
      <w:r/>
    </w:p>
    <w:p>
      <w:pPr>
        <w:pStyle w:val="898"/>
        <w:jc w:val="center"/>
        <w:spacing w:before="156" w:after="156" w:line="360" w:lineRule="auto"/>
        <w:rPr>
          <w:rFonts w:hint="eastAsia" w:ascii="宋体" w:hAnsi="宋体" w:eastAsia="宋体" w:cs="宋体"/>
          <w:color w:val="auto"/>
          <w:sz w:val="36"/>
          <w:szCs w:val="36"/>
          <w:highlight w:val="none"/>
        </w:rPr>
      </w:pPr>
      <w:r/>
      <w:bookmarkStart w:id="2" w:name="_Toc20088"/>
      <w:r>
        <w:rPr>
          <w:rFonts w:hint="eastAsia" w:ascii="宋体" w:hAnsi="宋体" w:eastAsia="宋体" w:cs="宋体"/>
          <w:color w:val="auto"/>
          <w:sz w:val="36"/>
          <w:szCs w:val="36"/>
          <w:highlight w:val="none"/>
        </w:rPr>
        <w:t xml:space="preserve">第一章 竞争性谈判公告</w:t>
      </w:r>
      <w:bookmarkEnd w:id="1"/>
      <w:r/>
      <w:bookmarkEnd w:id="2"/>
      <w:r/>
      <w:r/>
    </w:p>
    <w:p>
      <w:pPr>
        <w:ind w:firstLine="480"/>
        <w:spacing w:line="360" w:lineRule="auto"/>
        <w:rPr>
          <w:rFonts w:hint="eastAsia" w:ascii="宋体" w:hAnsi="宋体" w:eastAsia="宋体" w:cs="宋体"/>
          <w:bCs/>
          <w:color w:val="auto"/>
          <w:highlight w:val="none"/>
        </w:rPr>
        <w:pBdr>
          <w:top w:val="single" w:color="auto" w:sz="4" w:space="1"/>
          <w:left w:val="single" w:color="auto" w:sz="4" w:space="4"/>
          <w:bottom w:val="single" w:color="auto" w:sz="4" w:space="1"/>
          <w:right w:val="single" w:color="auto" w:sz="4" w:space="4"/>
        </w:pBdr>
      </w:pPr>
      <w:r/>
      <w:bookmarkStart w:id="3" w:name="_Toc291668808"/>
      <w:r>
        <w:rPr>
          <w:rFonts w:hint="eastAsia" w:ascii="宋体" w:hAnsi="宋体" w:eastAsia="宋体" w:cs="宋体"/>
          <w:bCs/>
          <w:color w:val="auto"/>
          <w:highlight w:val="none"/>
        </w:rPr>
        <w:t xml:space="preserve">项目概况</w:t>
      </w:r>
      <w:r/>
    </w:p>
    <w:p>
      <w:pPr>
        <w:ind w:firstLine="480"/>
        <w:spacing w:line="360" w:lineRule="auto"/>
        <w:rPr>
          <w:rFonts w:hint="eastAsia" w:ascii="宋体" w:hAnsi="宋体" w:eastAsia="宋体" w:cs="宋体"/>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auto"/>
          <w:highlight w:val="none"/>
        </w:rPr>
        <w:t xml:space="preserve">2026年度苏州工业园区下属医院信息化设备采购项目的潜在供应商应在苏采云系统获取采购文件，并于</w:t>
      </w:r>
      <w:r>
        <w:rPr>
          <w:rFonts w:hint="eastAsia" w:ascii="宋体" w:hAnsi="宋体" w:eastAsia="宋体" w:cs="宋体"/>
          <w:color w:val="auto"/>
          <w:highlight w:val="none"/>
          <w:lang w:eastAsia="zh-CN"/>
        </w:rPr>
        <w:t xml:space="preserve">2026年9月28日</w:t>
      </w:r>
      <w:r>
        <w:rPr>
          <w:rFonts w:hint="eastAsia" w:ascii="宋体" w:hAnsi="宋体" w:eastAsia="宋体" w:cs="宋体"/>
          <w:color w:val="auto"/>
          <w:highlight w:val="none"/>
        </w:rPr>
        <w:t xml:space="preserve">14：00</w:t>
      </w:r>
      <w:r>
        <w:rPr>
          <w:rFonts w:hint="eastAsia" w:ascii="宋体" w:hAnsi="宋体" w:eastAsia="宋体" w:cs="宋体"/>
          <w:bCs/>
          <w:color w:val="auto"/>
          <w:highlight w:val="none"/>
        </w:rPr>
        <w:t xml:space="preserve">（北京时间）前提交响应文件。</w:t>
      </w:r>
      <w:r/>
    </w:p>
    <w:p>
      <w:pPr>
        <w:ind w:firstLine="480"/>
        <w:spacing w:line="360" w:lineRule="auto"/>
        <w:rPr>
          <w:rFonts w:hint="eastAsia" w:ascii="宋体" w:hAnsi="宋体" w:eastAsia="宋体" w:cs="宋体"/>
          <w:color w:val="auto"/>
          <w:highlight w:val="none"/>
        </w:rPr>
      </w:pPr>
      <w:r/>
      <w:bookmarkStart w:id="4" w:name="_Toc35393629"/>
      <w:r/>
      <w:bookmarkStart w:id="5" w:name="_Toc28359012"/>
      <w:r/>
      <w:bookmarkStart w:id="6" w:name="_Toc28359089"/>
      <w:r/>
      <w:bookmarkStart w:id="7" w:name="_Toc35393798"/>
      <w:r>
        <w:rPr>
          <w:rFonts w:hint="eastAsia" w:ascii="宋体" w:hAnsi="宋体" w:eastAsia="宋体" w:cs="宋体"/>
          <w:color w:val="auto"/>
          <w:highlight w:val="none"/>
        </w:rPr>
        <w:t xml:space="preserve">一、项目基本情况</w:t>
      </w:r>
      <w:bookmarkEnd w:id="4"/>
      <w:r/>
      <w:bookmarkEnd w:id="5"/>
      <w:r/>
      <w:bookmarkEnd w:id="6"/>
      <w:r/>
      <w:bookmarkEnd w:id="7"/>
      <w:r/>
      <w:r/>
    </w:p>
    <w:p>
      <w:pPr>
        <w:ind w:firstLine="48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JSZC-320591-HXZJ-T2026-0021</w:t>
      </w:r>
      <w:r>
        <w:rPr>
          <w:rFonts w:hint="eastAsia" w:ascii="宋体" w:hAnsi="宋体" w:eastAsia="宋体" w:cs="宋体"/>
          <w:color w:val="auto"/>
          <w:highlight w:val="none"/>
          <w:lang w:val="en-US" w:eastAsia="zh-CN"/>
        </w:rPr>
        <w:t xml:space="preserve">号</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项目名称：2026年度苏州工业园区下属医院信息化设备采购</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采购方式：竞争性谈判</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预算金额：人民币</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 1513700 \* CHINESENUM2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壹佰伍拾壹万叁仟柒佰</w:t>
      </w:r>
      <w:r>
        <w:rPr>
          <w:rFonts w:hint="eastAsia" w:ascii="宋体" w:hAnsi="宋体" w:eastAsia="宋体" w:cs="宋体"/>
          <w:color w:val="auto"/>
          <w:highlight w:val="none"/>
        </w:rPr>
        <w:fldChar w:fldCharType="end"/>
      </w:r>
      <w:r>
        <w:rPr>
          <w:rFonts w:hint="eastAsia" w:ascii="宋体" w:hAnsi="宋体" w:eastAsia="宋体" w:cs="宋体"/>
          <w:color w:val="auto"/>
          <w:highlight w:val="none"/>
          <w:lang w:eastAsia="zh-CN"/>
        </w:rPr>
        <w:t xml:space="preserve">元整</w:t>
      </w:r>
      <w:r>
        <w:rPr>
          <w:rFonts w:hint="eastAsia" w:ascii="宋体" w:hAnsi="宋体" w:eastAsia="宋体" w:cs="宋体"/>
          <w:color w:val="auto"/>
          <w:highlight w:val="none"/>
        </w:rPr>
        <w:t xml:space="preserve">（¥1513700.00）</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最高限价：人民币</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 1513700 \* CHINESENUM2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壹佰伍拾壹万叁仟柒佰</w:t>
      </w:r>
      <w:r>
        <w:rPr>
          <w:rFonts w:hint="eastAsia" w:ascii="宋体" w:hAnsi="宋体" w:eastAsia="宋体" w:cs="宋体"/>
          <w:color w:val="auto"/>
          <w:highlight w:val="none"/>
        </w:rPr>
        <w:fldChar w:fldCharType="end"/>
      </w:r>
      <w:r>
        <w:rPr>
          <w:rFonts w:hint="eastAsia" w:ascii="宋体" w:hAnsi="宋体" w:eastAsia="宋体" w:cs="宋体"/>
          <w:color w:val="auto"/>
          <w:highlight w:val="none"/>
          <w:lang w:eastAsia="zh-CN"/>
        </w:rPr>
        <w:t xml:space="preserve">元整</w:t>
      </w:r>
      <w:r>
        <w:rPr>
          <w:rFonts w:hint="eastAsia" w:ascii="宋体" w:hAnsi="宋体" w:eastAsia="宋体" w:cs="宋体"/>
          <w:color w:val="auto"/>
          <w:highlight w:val="none"/>
        </w:rPr>
        <w:t xml:space="preserve">（¥1513700.00）</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采购需求：</w:t>
      </w:r>
      <w:bookmarkStart w:id="8" w:name="_Toc28359090"/>
      <w:r/>
      <w:bookmarkStart w:id="9" w:name="_Toc35393799"/>
      <w:r/>
      <w:bookmarkStart w:id="10" w:name="_Toc28359013"/>
      <w:r/>
      <w:bookmarkStart w:id="11" w:name="_Toc35393630"/>
      <w:r>
        <w:rPr>
          <w:rFonts w:hint="eastAsia" w:ascii="宋体" w:hAnsi="宋体" w:eastAsia="宋体" w:cs="宋体"/>
          <w:color w:val="auto"/>
          <w:highlight w:val="none"/>
        </w:rPr>
        <w:t xml:space="preserve">2026年度苏州工业园区下属医院信息化设备采购。</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合同履行期限：接到采购人书面通知后90日历天内完成供货、安装及调试。</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本项目</w:t>
      </w:r>
      <w:r>
        <w:rPr>
          <w:rFonts w:hint="eastAsia" w:ascii="宋体" w:hAnsi="宋体" w:eastAsia="宋体" w:cs="宋体"/>
          <w:color w:val="auto"/>
          <w:highlight w:val="none"/>
          <w:u w:val="single"/>
        </w:rPr>
        <w:t xml:space="preserve">不接受</w:t>
      </w:r>
      <w:r>
        <w:rPr>
          <w:rFonts w:hint="eastAsia" w:ascii="宋体" w:hAnsi="宋体" w:eastAsia="宋体" w:cs="宋体"/>
          <w:color w:val="auto"/>
          <w:highlight w:val="none"/>
        </w:rPr>
        <w:t xml:space="preserve">联合体投标</w:t>
      </w:r>
      <w:r>
        <w:rPr>
          <w:rFonts w:hint="eastAsia" w:ascii="宋体" w:hAnsi="宋体" w:eastAsia="宋体" w:cs="宋体"/>
          <w:color w:val="auto"/>
          <w:highlight w:val="none"/>
          <w:lang w:eastAsia="zh-CN"/>
        </w:rPr>
        <w:t xml:space="preserve">。</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二、申请人的资格要求：</w:t>
      </w:r>
      <w:bookmarkEnd w:id="8"/>
      <w:r/>
      <w:bookmarkEnd w:id="9"/>
      <w:r/>
      <w:bookmarkEnd w:id="10"/>
      <w:r/>
      <w:bookmarkEnd w:id="11"/>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1.1具有独立承担民事责任的能力；</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1.2具有良好的商业信誉和健全的财务会计制度；</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1.3具有履行合同所</w:t>
      </w:r>
      <w:r>
        <w:rPr>
          <w:rFonts w:hint="eastAsia" w:ascii="宋体" w:hAnsi="宋体" w:eastAsia="宋体" w:cs="宋体"/>
          <w:color w:val="auto"/>
          <w:highlight w:val="none"/>
          <w:lang w:val="en-US" w:eastAsia="zh-CN"/>
        </w:rPr>
        <w:t xml:space="preserve">必需</w:t>
      </w:r>
      <w:r>
        <w:rPr>
          <w:rFonts w:hint="eastAsia" w:ascii="宋体" w:hAnsi="宋体" w:eastAsia="宋体" w:cs="宋体"/>
          <w:color w:val="auto"/>
          <w:highlight w:val="none"/>
        </w:rPr>
        <w:t xml:space="preserve">的设备和专业技术能力；</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1.4有依法缴纳税收和社会保障资金的良好记录；</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1.5参加政府采购活动前三年内，在经营活动中没有重大违法记录；</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1.6法律、行政法规规定的其他条件。</w:t>
      </w:r>
      <w:r/>
    </w:p>
    <w:p>
      <w:pPr>
        <w:ind w:firstLine="480"/>
        <w:spacing w:line="360" w:lineRule="auto"/>
        <w:rPr>
          <w:rFonts w:hint="eastAsia" w:ascii="宋体" w:hAnsi="宋体" w:eastAsia="宋体" w:cs="宋体"/>
          <w:color w:val="auto"/>
          <w:highlight w:val="none"/>
          <w:lang w:eastAsia="zh-CN"/>
        </w:rPr>
      </w:pPr>
      <w:r/>
      <w:bookmarkStart w:id="12" w:name="_Toc28359014"/>
      <w:r/>
      <w:bookmarkStart w:id="13" w:name="_Toc28359091"/>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落实政府采购政策需满足的资格要求：无</w:t>
      </w:r>
      <w:r>
        <w:rPr>
          <w:rFonts w:hint="eastAsia" w:ascii="宋体" w:hAnsi="宋体" w:eastAsia="宋体" w:cs="宋体"/>
          <w:color w:val="auto"/>
          <w:highlight w:val="none"/>
          <w:lang w:eastAsia="zh-CN"/>
        </w:rPr>
        <w:t xml:space="preserve">。</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本项目的特定资格要求：无。</w:t>
      </w:r>
      <w:bookmarkEnd w:id="12"/>
      <w:r/>
      <w:bookmarkEnd w:id="13"/>
      <w:r/>
      <w:r/>
    </w:p>
    <w:p>
      <w:pPr>
        <w:ind w:firstLine="48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lang w:bidi="ar"/>
        </w:rPr>
        <w:t xml:space="preserve">三、获取采购文件</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时间：自谈判文件公告发布之日起3个工作日</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地点：苏采云系统</w:t>
      </w:r>
      <w:r/>
    </w:p>
    <w:p>
      <w:pPr>
        <w:ind w:firstLine="480"/>
        <w:spacing w:line="360" w:lineRule="auto"/>
        <w:rPr>
          <w:rFonts w:hint="eastAsia"/>
          <w:color w:val="auto"/>
          <w:highlight w:val="none"/>
        </w:rPr>
      </w:pPr>
      <w:r>
        <w:rPr>
          <w:rFonts w:hint="eastAsia" w:ascii="宋体" w:hAnsi="宋体" w:eastAsia="宋体" w:cs="宋体"/>
          <w:color w:val="auto"/>
          <w:highlight w:val="none"/>
        </w:rPr>
        <w:t xml:space="preserve">方式：在“苏采云”系统获取</w:t>
      </w:r>
      <w:r/>
    </w:p>
    <w:p>
      <w:pPr>
        <w:ind w:firstLine="480"/>
        <w:spacing w:line="360" w:lineRule="auto"/>
        <w:rPr>
          <w:rFonts w:hint="eastAsia"/>
          <w:color w:val="auto"/>
          <w:highlight w:val="none"/>
        </w:rPr>
      </w:pPr>
      <w:r>
        <w:rPr>
          <w:rFonts w:hint="eastAsia"/>
          <w:color w:val="auto"/>
          <w:highlight w:val="none"/>
        </w:rPr>
        <w:t xml:space="preserve">售价：</w:t>
      </w:r>
      <w:r>
        <w:rPr>
          <w:rFonts w:hint="eastAsia" w:ascii="宋体" w:hAnsi="宋体" w:eastAsia="宋体" w:cs="宋体"/>
          <w:color w:val="auto"/>
          <w:highlight w:val="none"/>
        </w:rPr>
        <w:t xml:space="preserve">免费</w:t>
      </w:r>
      <w:r/>
    </w:p>
    <w:p>
      <w:pPr>
        <w:ind w:firstLine="48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lang w:bidi="ar"/>
        </w:rPr>
        <w:t xml:space="preserve">四、响应文件提交</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截止时间：</w:t>
      </w:r>
      <w:r>
        <w:rPr>
          <w:rFonts w:hint="eastAsia" w:ascii="宋体" w:hAnsi="宋体" w:eastAsia="宋体" w:cs="宋体"/>
          <w:color w:val="auto"/>
          <w:highlight w:val="none"/>
          <w:lang w:eastAsia="zh-CN"/>
        </w:rPr>
        <w:t xml:space="preserve">2026年9月28日</w:t>
      </w:r>
      <w:r>
        <w:rPr>
          <w:rFonts w:hint="eastAsia" w:ascii="宋体" w:hAnsi="宋体" w:eastAsia="宋体" w:cs="宋体"/>
          <w:color w:val="auto"/>
          <w:highlight w:val="none"/>
        </w:rPr>
        <w:t xml:space="preserve">14：00</w:t>
      </w:r>
      <w:r>
        <w:rPr>
          <w:rFonts w:hint="eastAsia" w:ascii="宋体" w:hAnsi="宋体" w:eastAsia="宋体" w:cs="宋体"/>
          <w:color w:val="auto"/>
          <w:highlight w:val="none"/>
          <w:lang w:bidi="ar"/>
        </w:rPr>
        <w:t xml:space="preserve">（北京时间）</w:t>
      </w:r>
      <w:r/>
    </w:p>
    <w:p>
      <w:pPr>
        <w:ind w:firstLine="480"/>
        <w:spacing w:line="360" w:lineRule="auto"/>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地点：“苏采云”</w:t>
      </w:r>
      <w:r>
        <w:rPr>
          <w:rFonts w:hint="eastAsia" w:ascii="宋体" w:hAnsi="宋体" w:eastAsia="宋体" w:cs="宋体"/>
          <w:color w:val="auto"/>
          <w:highlight w:val="none"/>
        </w:rPr>
        <w:t xml:space="preserve">系统</w:t>
      </w:r>
      <w:r>
        <w:rPr>
          <w:rFonts w:hint="eastAsia" w:ascii="宋体" w:hAnsi="宋体" w:eastAsia="宋体" w:cs="宋体"/>
          <w:color w:val="auto"/>
          <w:highlight w:val="none"/>
          <w:lang w:bidi="ar"/>
        </w:rPr>
        <w:t xml:space="preserve"> </w:t>
      </w:r>
      <w:r/>
    </w:p>
    <w:p>
      <w:pPr>
        <w:ind w:firstLine="48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lang w:bidi="ar"/>
        </w:rPr>
        <w:t xml:space="preserve">五、开启</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时间：</w:t>
      </w:r>
      <w:r>
        <w:rPr>
          <w:rFonts w:hint="eastAsia" w:ascii="宋体" w:hAnsi="宋体" w:eastAsia="宋体" w:cs="宋体"/>
          <w:color w:val="auto"/>
          <w:highlight w:val="none"/>
          <w:lang w:eastAsia="zh-CN"/>
        </w:rPr>
        <w:t xml:space="preserve">2026年9月28日</w:t>
      </w:r>
      <w:r>
        <w:rPr>
          <w:rFonts w:hint="eastAsia" w:ascii="宋体" w:hAnsi="宋体" w:eastAsia="宋体" w:cs="宋体"/>
          <w:color w:val="auto"/>
          <w:highlight w:val="none"/>
        </w:rPr>
        <w:t xml:space="preserve">14：00</w:t>
      </w:r>
      <w:r>
        <w:rPr>
          <w:rFonts w:hint="eastAsia" w:ascii="宋体" w:hAnsi="宋体" w:eastAsia="宋体" w:cs="宋体"/>
          <w:color w:val="auto"/>
          <w:highlight w:val="none"/>
          <w:lang w:bidi="ar"/>
        </w:rPr>
        <w:t xml:space="preserve">（北京时间）</w:t>
      </w:r>
      <w:r/>
    </w:p>
    <w:p>
      <w:pPr>
        <w:ind w:firstLine="480"/>
        <w:spacing w:line="360" w:lineRule="auto"/>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地点：</w:t>
      </w:r>
      <w:r>
        <w:rPr>
          <w:rFonts w:hint="eastAsia" w:ascii="宋体" w:hAnsi="宋体" w:eastAsia="宋体" w:cs="宋体"/>
          <w:color w:val="auto"/>
          <w:highlight w:val="none"/>
        </w:rPr>
        <w:t xml:space="preserve">苏州工业园区公共资源交易中心新场地-开标室（</w:t>
      </w:r>
      <w:r>
        <w:rPr>
          <w:rFonts w:hint="eastAsia" w:ascii="宋体" w:hAnsi="宋体" w:eastAsia="宋体" w:cs="宋体"/>
          <w:color w:val="auto"/>
          <w:highlight w:val="none"/>
        </w:rPr>
        <w:t xml:space="preserve">六</w:t>
      </w:r>
      <w:r>
        <w:rPr>
          <w:rFonts w:hint="eastAsia" w:ascii="宋体" w:hAnsi="宋体" w:eastAsia="宋体" w:cs="宋体"/>
          <w:color w:val="auto"/>
          <w:highlight w:val="none"/>
        </w:rPr>
        <w:t xml:space="preserve">）</w:t>
      </w:r>
      <w:r/>
    </w:p>
    <w:p>
      <w:pPr>
        <w:ind w:firstLine="48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lang w:bidi="ar"/>
        </w:rPr>
        <w:t xml:space="preserve">六、公告期限</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自本公告发布之日起3</w:t>
      </w:r>
      <w:r>
        <w:rPr>
          <w:rFonts w:hint="eastAsia" w:ascii="宋体" w:hAnsi="宋体" w:eastAsia="宋体" w:cs="宋体"/>
          <w:color w:val="auto"/>
          <w:highlight w:val="none"/>
        </w:rPr>
        <w:t xml:space="preserve">个工作日</w:t>
      </w:r>
      <w:r>
        <w:rPr>
          <w:rFonts w:hint="eastAsia" w:ascii="宋体" w:hAnsi="宋体" w:eastAsia="宋体" w:cs="宋体"/>
          <w:color w:val="auto"/>
          <w:highlight w:val="none"/>
          <w:lang w:bidi="ar"/>
        </w:rPr>
        <w:t xml:space="preserve">。</w:t>
      </w:r>
      <w:r/>
    </w:p>
    <w:p>
      <w:pPr>
        <w:ind w:firstLine="482"/>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七、其他补充事宜</w:t>
      </w:r>
      <w:r/>
    </w:p>
    <w:p>
      <w:pPr>
        <w:ind w:firstLine="480"/>
        <w:spacing w:line="360" w:lineRule="auto"/>
        <w:rPr>
          <w:rFonts w:hint="eastAsia" w:ascii="宋体" w:hAnsi="宋体" w:eastAsia="宋体" w:cs="宋体"/>
          <w:color w:val="auto"/>
          <w:highlight w:val="none"/>
        </w:rPr>
      </w:pPr>
      <w:r/>
      <w:bookmarkStart w:id="14" w:name="_Toc28359018"/>
      <w:r/>
      <w:bookmarkStart w:id="15" w:name="_Toc35393636"/>
      <w:r/>
      <w:bookmarkStart w:id="16" w:name="_Toc28359095"/>
      <w:r/>
      <w:bookmarkStart w:id="17" w:name="_Toc35393805"/>
      <w:r>
        <w:rPr>
          <w:rFonts w:hint="eastAsia" w:ascii="宋体" w:hAnsi="宋体" w:eastAsia="宋体" w:cs="宋体"/>
          <w:color w:val="auto"/>
          <w:highlight w:val="none"/>
        </w:rPr>
        <w:t xml:space="preserve">1、评审结果会在谈判会结束的同时通过苏采云系统告知供应商。供应商应及时登陆苏采云系统进行查看，否则导致的对供应商不利的后果由供应商自行承担。</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2、公告在苏州市政府采购网、江苏政府采购网上发布。</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3、苏州工业园区财政审计局政府采购监督电话：0512-66681110。</w:t>
      </w:r>
      <w:r/>
    </w:p>
    <w:p>
      <w:pPr>
        <w:ind w:firstLine="480"/>
        <w:spacing w:line="360" w:lineRule="auto"/>
        <w:rPr>
          <w:rFonts w:hint="eastAsia" w:ascii="宋体" w:hAnsi="宋体" w:eastAsia="宋体" w:cs="宋体"/>
          <w:color w:val="auto"/>
          <w:highlight w:val="none"/>
        </w:rPr>
      </w:pPr>
      <w:r/>
      <w:bookmarkStart w:id="18" w:name="_Hlk157935404"/>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方式：（1）CA办理</w:t>
      </w:r>
      <w:r/>
    </w:p>
    <w:p>
      <w:pPr>
        <w:ind w:firstLine="480"/>
        <w:spacing w:line="360" w:lineRule="auto"/>
        <w:rPr>
          <w:rFonts w:hint="eastAsia" w:ascii="宋体" w:hAnsi="宋体" w:eastAsia="宋体" w:cs="宋体"/>
          <w:b/>
          <w:bCs/>
          <w:color w:val="auto"/>
          <w:szCs w:val="21"/>
          <w:highlight w:val="none"/>
        </w:rPr>
      </w:pPr>
      <w:r>
        <w:rPr>
          <w:rFonts w:hint="eastAsia" w:ascii="宋体" w:hAnsi="宋体" w:eastAsia="宋体" w:cs="宋体"/>
          <w:color w:val="auto"/>
          <w:highlight w:val="none"/>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auto"/>
          <w:highlight w:val="none"/>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（2）依法获取采购文件</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考虑到熟悉“苏采云”系统、办理CA证书都需要一定的时间，请提早准备以免耽误采购采购活动。</w:t>
      </w:r>
      <w:bookmarkEnd w:id="18"/>
      <w:r/>
      <w:r/>
    </w:p>
    <w:p>
      <w:pPr>
        <w:ind w:firstLine="48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5</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未依照采购公告要求获取谈判文件的供应商，视为未参加该项政府采购活动，不具备对该政府采购项目提出质疑的法定权利。</w:t>
      </w:r>
      <w:r/>
    </w:p>
    <w:p>
      <w:pPr>
        <w:ind w:firstLine="480"/>
        <w:spacing w:line="360" w:lineRule="auto"/>
        <w:rPr>
          <w:rFonts w:hint="eastAsia" w:ascii="宋体" w:hAnsi="宋体" w:eastAsia="宋体" w:cs="宋体"/>
          <w:b/>
          <w:bCs/>
          <w:color w:val="auto"/>
          <w:highlight w:val="none"/>
        </w:rPr>
      </w:pPr>
      <w:r/>
      <w:bookmarkStart w:id="19" w:name="_Hlk157935701"/>
      <w:r>
        <w:rPr>
          <w:rFonts w:hint="eastAsia" w:ascii="宋体" w:hAnsi="宋体" w:eastAsia="宋体" w:cs="宋体"/>
          <w:color w:val="auto"/>
          <w:highlight w:val="none"/>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更正（补充）公告及附件的获取：供应商应及时关注政府采购信息发布媒体上发布的更正（补充）公告，同时在“苏采云”系统中下载更正（补充）资料，</w:t>
      </w:r>
      <w:r>
        <w:rPr>
          <w:rFonts w:hint="eastAsia" w:ascii="宋体" w:hAnsi="宋体" w:eastAsia="宋体" w:cs="宋体"/>
          <w:b/>
          <w:bCs/>
          <w:color w:val="auto"/>
          <w:highlight w:val="none"/>
        </w:rPr>
        <w:t xml:space="preserve">如有遗漏（包括但不限于文件未下载或下载不完整），可能无法解密投标（响应）文件，由此所造成的响应失败或损失由供应商自行负责。</w:t>
      </w:r>
      <w:bookmarkEnd w:id="19"/>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7、制作电子投标（响应）文件：</w:t>
      </w:r>
      <w:r/>
    </w:p>
    <w:p>
      <w:pPr>
        <w:ind w:firstLine="48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本</w:t>
      </w:r>
      <w:r>
        <w:rPr>
          <w:rFonts w:hint="eastAsia" w:ascii="宋体" w:hAnsi="宋体" w:eastAsia="宋体" w:cs="宋体"/>
          <w:color w:val="auto"/>
          <w:highlight w:val="none"/>
        </w:rPr>
        <w:t xml:space="preserve">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电子投标（响应）文件制作完成后请于投标（响应）截止时间前成功上传，</w:t>
      </w:r>
      <w:r>
        <w:rPr>
          <w:rFonts w:hint="eastAsia" w:ascii="宋体" w:hAnsi="宋体" w:eastAsia="宋体" w:cs="宋体"/>
          <w:b/>
          <w:bCs/>
          <w:color w:val="auto"/>
          <w:highlight w:val="none"/>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color w:val="auto"/>
          <w:highlight w:val="none"/>
        </w:rPr>
      </w:pPr>
      <w:r/>
      <w:bookmarkStart w:id="20" w:name="_Hlk157939025"/>
      <w:r>
        <w:rPr>
          <w:rFonts w:hint="eastAsia" w:ascii="宋体" w:hAnsi="宋体" w:eastAsia="宋体" w:cs="宋体"/>
          <w:color w:val="auto"/>
          <w:highlight w:val="none"/>
        </w:rPr>
        <w:t xml:space="preserve">8、</w:t>
      </w:r>
      <w:r>
        <w:rPr>
          <w:rFonts w:hint="eastAsia" w:ascii="宋体" w:hAnsi="宋体" w:eastAsia="宋体" w:cs="宋体"/>
          <w:b/>
          <w:bCs/>
          <w:color w:val="auto"/>
          <w:highlight w:val="none"/>
        </w:rPr>
        <w:t xml:space="preserve">投标供应商需保持“苏采云”系统不见面开标大厅在线状态，并按要求在规定时间内进行响应。</w:t>
      </w:r>
      <w:r>
        <w:rPr>
          <w:rFonts w:hint="eastAsia" w:ascii="宋体" w:hAnsi="宋体" w:eastAsia="宋体" w:cs="宋体"/>
          <w:color w:val="auto"/>
          <w:highlight w:val="none"/>
        </w:rPr>
        <w:t xml:space="preserve">在评审过程中系统如有特殊情况，工作人员会及时通过《投标供应商确认函》或法人授权委托书（如有）中留存的手机号与供应商联系。</w:t>
      </w:r>
      <w:r>
        <w:rPr>
          <w:rFonts w:hint="eastAsia" w:ascii="宋体" w:hAnsi="宋体" w:eastAsia="宋体" w:cs="宋体"/>
          <w:b/>
          <w:bCs/>
          <w:color w:val="auto"/>
          <w:highlight w:val="none"/>
        </w:rPr>
        <w:t xml:space="preserve">请供应商确保系统在线状态且该手机号开评标当日通讯畅通，否则导致的对供应商不利的后果由供应商自行承担。</w:t>
      </w:r>
      <w:bookmarkEnd w:id="20"/>
      <w:r/>
      <w:r/>
    </w:p>
    <w:p>
      <w:pPr>
        <w:ind w:firstLine="480"/>
        <w:spacing w:line="360" w:lineRule="auto"/>
        <w:rPr>
          <w:rFonts w:hint="eastAsia" w:ascii="宋体" w:hAnsi="宋体" w:eastAsia="宋体" w:cs="宋体"/>
          <w:color w:val="auto"/>
          <w:highlight w:val="none"/>
        </w:rPr>
      </w:pPr>
      <w:r/>
      <w:bookmarkStart w:id="21" w:name="_Hlk157939038"/>
      <w:r>
        <w:rPr>
          <w:rFonts w:hint="eastAsia" w:ascii="宋体" w:hAnsi="宋体" w:eastAsia="宋体" w:cs="宋体"/>
          <w:color w:val="auto"/>
          <w:highlight w:val="none"/>
        </w:rPr>
        <w:t xml:space="preserve">9</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本项目获取采购文件截止日期之后仍可以下载采购文件</w:t>
      </w:r>
      <w:r>
        <w:rPr>
          <w:rFonts w:hint="eastAsia" w:ascii="宋体" w:hAnsi="宋体" w:eastAsia="宋体" w:cs="宋体"/>
          <w:color w:val="auto"/>
          <w:highlight w:val="none"/>
          <w:lang w:val="zh-CN"/>
        </w:rPr>
        <w:t xml:space="preserve">，但截止日期之后下载的采购文件，视为非有效方式且不作为供应商权益受到损害的证明材料和依据。</w:t>
      </w:r>
      <w:bookmarkEnd w:id="21"/>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10、技术支持</w:t>
      </w:r>
      <w:r/>
    </w:p>
    <w:p>
      <w:pPr>
        <w:ind w:firstLine="480"/>
        <w:spacing w:line="360" w:lineRule="auto"/>
        <w:rPr>
          <w:rFonts w:hint="eastAsia" w:ascii="宋体" w:hAnsi="宋体" w:eastAsia="宋体" w:cs="宋体"/>
          <w:color w:val="auto"/>
          <w:highlight w:val="none"/>
        </w:rPr>
      </w:pPr>
      <w:r/>
      <w:bookmarkStart w:id="22" w:name="_Hlk157939100"/>
      <w:r/>
      <w:bookmarkStart w:id="23" w:name="_Hlk155717243"/>
      <w:r>
        <w:rPr>
          <w:rFonts w:hint="eastAsia" w:ascii="宋体" w:hAnsi="宋体" w:eastAsia="宋体" w:cs="宋体"/>
          <w:color w:val="auto"/>
          <w:highlight w:val="none"/>
        </w:rPr>
        <w:t xml:space="preserve">CA技术咨询服务电话：400-608-6099</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电子签章技术咨询服务电话：15380932027、15371015030、13675197356、 13675197221</w:t>
      </w:r>
      <w:r/>
    </w:p>
    <w:p>
      <w:pPr>
        <w:ind w:firstLine="480"/>
        <w:spacing w:line="360" w:lineRule="auto"/>
        <w:rPr>
          <w:rFonts w:hint="eastAsia" w:ascii="宋体" w:hAnsi="宋体" w:eastAsia="宋体" w:cs="宋体"/>
          <w:color w:val="auto"/>
          <w:highlight w:val="none"/>
        </w:rPr>
      </w:pPr>
      <w:r/>
      <w:bookmarkStart w:id="24" w:name="_Hlk154588790"/>
      <w:r>
        <w:rPr>
          <w:rFonts w:hint="eastAsia" w:ascii="宋体" w:hAnsi="宋体" w:eastAsia="宋体" w:cs="宋体"/>
          <w:color w:val="auto"/>
          <w:highlight w:val="none"/>
        </w:rPr>
        <w:t xml:space="preserve">“苏采云”平台技术咨询电话：0519-86722802、13914088964、18261002950</w:t>
      </w:r>
      <w:bookmarkEnd w:id="22"/>
      <w:r/>
      <w:bookmarkEnd w:id="23"/>
      <w:r/>
      <w:bookmarkEnd w:id="24"/>
      <w:r>
        <w:rPr>
          <w:rFonts w:hint="eastAsia" w:ascii="宋体" w:hAnsi="宋体" w:eastAsia="宋体" w:cs="宋体"/>
          <w:color w:val="auto"/>
          <w:highlight w:val="none"/>
        </w:rPr>
        <w:t xml:space="preserve">6</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11、本项目支持政府采购合同信用融资。</w:t>
      </w:r>
      <w:r/>
    </w:p>
    <w:p>
      <w:pPr>
        <w:ind w:firstLine="482"/>
        <w:spacing w:line="360" w:lineRule="auto"/>
        <w:rPr>
          <w:rFonts w:hint="eastAsia" w:ascii="宋体" w:hAnsi="宋体" w:eastAsia="宋体" w:cs="宋体"/>
          <w:b/>
          <w:color w:val="auto"/>
          <w:highlight w:val="none"/>
          <w:lang w:bidi="ar"/>
        </w:rPr>
      </w:pPr>
      <w:r>
        <w:rPr>
          <w:rFonts w:hint="eastAsia" w:ascii="宋体" w:hAnsi="宋体" w:eastAsia="宋体" w:cs="宋体"/>
          <w:b/>
          <w:color w:val="auto"/>
          <w:highlight w:val="none"/>
          <w:lang w:bidi="ar"/>
        </w:rPr>
        <w:t xml:space="preserve">八、凡对本次采购提出询问，请按以下方式联系。</w:t>
      </w:r>
      <w:bookmarkEnd w:id="14"/>
      <w:r/>
      <w:bookmarkEnd w:id="15"/>
      <w:r/>
      <w:bookmarkEnd w:id="16"/>
      <w:r/>
      <w:bookmarkEnd w:id="17"/>
      <w:r/>
      <w:r/>
    </w:p>
    <w:p>
      <w:pPr>
        <w:ind w:firstLine="480"/>
        <w:spacing w:line="360" w:lineRule="auto"/>
        <w:rPr>
          <w:rFonts w:hint="eastAsia" w:ascii="宋体" w:hAnsi="宋体" w:eastAsia="宋体" w:cs="宋体"/>
          <w:color w:val="auto"/>
          <w:highlight w:val="none"/>
        </w:rPr>
      </w:pPr>
      <w:r/>
      <w:bookmarkStart w:id="25" w:name="_Toc28359096"/>
      <w:r/>
      <w:bookmarkStart w:id="26" w:name="_Toc35393806"/>
      <w:r/>
      <w:bookmarkStart w:id="27" w:name="_Toc35393637"/>
      <w:r/>
      <w:bookmarkStart w:id="28" w:name="_Toc28359019"/>
      <w:r>
        <w:rPr>
          <w:rFonts w:hint="eastAsia" w:ascii="宋体" w:hAnsi="宋体" w:eastAsia="宋体" w:cs="宋体"/>
          <w:color w:val="auto"/>
          <w:highlight w:val="none"/>
        </w:rPr>
        <w:t xml:space="preserve">1、采购人信息</w:t>
      </w:r>
      <w:bookmarkEnd w:id="25"/>
      <w:r/>
      <w:bookmarkEnd w:id="26"/>
      <w:r/>
      <w:bookmarkEnd w:id="27"/>
      <w:r/>
      <w:bookmarkEnd w:id="28"/>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名称：苏州工业园区卫生健康委员会</w:t>
      </w:r>
      <w:r/>
    </w:p>
    <w:p>
      <w:pPr>
        <w:ind w:firstLine="480"/>
        <w:spacing w:line="360" w:lineRule="auto"/>
        <w:rPr>
          <w:rFonts w:hint="eastAsia" w:ascii="宋体" w:hAnsi="宋体" w:eastAsia="宋体" w:cs="宋体"/>
          <w:color w:val="auto"/>
          <w:highlight w:val="none"/>
        </w:rPr>
      </w:pPr>
      <w:r/>
      <w:bookmarkStart w:id="29" w:name="_Toc35393807"/>
      <w:r/>
      <w:bookmarkStart w:id="30" w:name="_Toc35393638"/>
      <w:r/>
      <w:bookmarkStart w:id="31" w:name="_Toc28359097"/>
      <w:r/>
      <w:bookmarkStart w:id="32" w:name="_Toc28359020"/>
      <w:r>
        <w:rPr>
          <w:rFonts w:hint="eastAsia" w:ascii="宋体" w:hAnsi="宋体" w:eastAsia="宋体" w:cs="宋体"/>
          <w:color w:val="auto"/>
          <w:highlight w:val="none"/>
        </w:rPr>
        <w:t xml:space="preserve">地址：苏州工业园区现代大道999号</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联系方式：叶顺南    0512-66606942</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2、采购代理机构信息</w:t>
      </w:r>
      <w:bookmarkEnd w:id="29"/>
      <w:r/>
      <w:bookmarkEnd w:id="30"/>
      <w:r/>
      <w:bookmarkEnd w:id="31"/>
      <w:r/>
      <w:bookmarkEnd w:id="32"/>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名称：苏州华星工程造价咨询有限公司</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址：苏州工业园区苏雅路388号新天翔商业广场A座12楼1206室</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联系方式：0512-65200462</w:t>
      </w:r>
      <w:r/>
    </w:p>
    <w:p>
      <w:pPr>
        <w:ind w:firstLine="480"/>
        <w:spacing w:line="360" w:lineRule="auto"/>
        <w:rPr>
          <w:rFonts w:hint="eastAsia" w:ascii="宋体" w:hAnsi="宋体" w:eastAsia="宋体" w:cs="宋体"/>
          <w:color w:val="auto"/>
          <w:highlight w:val="none"/>
        </w:rPr>
      </w:pPr>
      <w:r/>
      <w:bookmarkStart w:id="33" w:name="_Toc35393808"/>
      <w:r/>
      <w:bookmarkStart w:id="34" w:name="_Toc28359021"/>
      <w:r/>
      <w:bookmarkStart w:id="35" w:name="_Toc35393639"/>
      <w:r/>
      <w:bookmarkStart w:id="36" w:name="_Toc28359098"/>
      <w:r>
        <w:rPr>
          <w:rFonts w:hint="eastAsia" w:ascii="宋体" w:hAnsi="宋体" w:eastAsia="宋体" w:cs="宋体"/>
          <w:color w:val="auto"/>
          <w:highlight w:val="none"/>
        </w:rPr>
        <w:t xml:space="preserve">3、项目联系方式</w:t>
      </w:r>
      <w:bookmarkEnd w:id="33"/>
      <w:r/>
      <w:bookmarkEnd w:id="34"/>
      <w:r/>
      <w:bookmarkEnd w:id="35"/>
      <w:r/>
      <w:bookmarkEnd w:id="36"/>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项目联系人：</w:t>
      </w:r>
      <w:r>
        <w:rPr>
          <w:rFonts w:hint="eastAsia" w:ascii="宋体" w:hAnsi="宋体" w:eastAsia="宋体" w:cs="宋体"/>
          <w:color w:val="auto"/>
          <w:highlight w:val="none"/>
          <w:lang w:eastAsia="zh-CN"/>
        </w:rPr>
        <w:t xml:space="preserve">周燕萍</w:t>
      </w:r>
      <w:r>
        <w:rPr>
          <w:rFonts w:hint="eastAsia" w:ascii="宋体" w:hAnsi="宋体" w:eastAsia="宋体" w:cs="宋体"/>
          <w:color w:val="auto"/>
          <w:highlight w:val="none"/>
        </w:rPr>
        <w:t xml:space="preserve">、吴皓东</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电　　话： 0512-65200462</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color w:val="auto"/>
          <w:sz w:val="36"/>
          <w:szCs w:val="36"/>
          <w:highlight w:val="none"/>
        </w:rPr>
        <w:br w:type="page" w:clear="all"/>
      </w:r>
      <w:r/>
    </w:p>
    <w:p>
      <w:pPr>
        <w:pStyle w:val="898"/>
        <w:jc w:val="center"/>
        <w:spacing w:before="156" w:after="156" w:line="360" w:lineRule="auto"/>
        <w:rPr>
          <w:rFonts w:hint="eastAsia" w:ascii="宋体" w:hAnsi="宋体" w:eastAsia="宋体" w:cs="宋体"/>
          <w:color w:val="auto"/>
          <w:sz w:val="36"/>
          <w:szCs w:val="36"/>
          <w:highlight w:val="none"/>
        </w:rPr>
      </w:pPr>
      <w:r/>
      <w:bookmarkStart w:id="37" w:name="_Toc4908"/>
      <w:r>
        <w:rPr>
          <w:rFonts w:hint="eastAsia" w:ascii="宋体" w:hAnsi="宋体" w:eastAsia="宋体" w:cs="宋体"/>
          <w:color w:val="auto"/>
          <w:sz w:val="36"/>
          <w:szCs w:val="36"/>
          <w:highlight w:val="none"/>
        </w:rPr>
        <w:t xml:space="preserve">第二章 谈判供应商须知</w:t>
      </w:r>
      <w:bookmarkEnd w:id="3"/>
      <w:r/>
      <w:bookmarkEnd w:id="37"/>
      <w:r/>
      <w:r/>
    </w:p>
    <w:p>
      <w:pPr>
        <w:ind w:firstLine="482"/>
        <w:jc w:val="both"/>
        <w:spacing w:line="360" w:lineRule="auto"/>
        <w:widowControl w:val="off"/>
        <w:rPr>
          <w:rFonts w:hint="eastAsia" w:ascii="宋体" w:hAnsi="宋体" w:eastAsia="宋体" w:cs="宋体"/>
          <w:b/>
          <w:color w:val="auto"/>
          <w:highlight w:val="none"/>
        </w:rPr>
      </w:pPr>
      <w:r/>
      <w:bookmarkStart w:id="38" w:name="_Toc291668809"/>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bidi="ar"/>
        </w:rPr>
        <w:t xml:space="preserve">总则</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1.1供应商资格要求</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1.1.1详见第一章竞争性谈判公告中“二、申请人的资格要求”。</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1.1.2供应商不得存在下列情形之一：</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（1）《财政部关于在政府采购活动中查询及使用信用记录有关问题的通知》（财库〔2016〕125号）、 苏州市财政局《关于印发苏州市市级政府采购信用记录查询和使用工作试行办法的通知》（苏财购〔2017〕11号）文件规定应拒绝的失信信息。</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（2）为采购项目提供整体设计、规范编制或者项目管理、监理、监测等服务的供应商，不得再参加该采购项目的其他</w:t>
      </w:r>
      <w:r>
        <w:rPr>
          <w:rFonts w:hint="eastAsia" w:ascii="宋体" w:hAnsi="宋体" w:eastAsia="宋体" w:cs="宋体"/>
          <w:color w:val="auto"/>
          <w:sz w:val="24"/>
          <w:szCs w:val="36"/>
          <w:highlight w:val="none"/>
        </w:rPr>
        <w:t xml:space="preserve">采购</w:t>
      </w:r>
      <w:r>
        <w:rPr>
          <w:rFonts w:hint="eastAsia" w:ascii="宋体" w:hAnsi="宋体" w:eastAsia="宋体" w:cs="宋体"/>
          <w:color w:val="auto"/>
          <w:highlight w:val="none"/>
          <w:lang w:bidi="ar"/>
        </w:rPr>
        <w:t xml:space="preserve">活动。</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（3）单位负责人为同一人或者存在直接</w:t>
      </w:r>
      <w:r>
        <w:rPr>
          <w:rFonts w:hint="eastAsia" w:ascii="宋体" w:hAnsi="宋体" w:eastAsia="宋体" w:cs="宋体"/>
          <w:color w:val="auto"/>
          <w:sz w:val="24"/>
          <w:szCs w:val="36"/>
          <w:highlight w:val="none"/>
        </w:rPr>
        <w:t xml:space="preserve">控股</w:t>
      </w:r>
      <w:r>
        <w:rPr>
          <w:rFonts w:hint="eastAsia" w:ascii="宋体" w:hAnsi="宋体" w:eastAsia="宋体" w:cs="宋体"/>
          <w:color w:val="auto"/>
          <w:highlight w:val="none"/>
          <w:lang w:bidi="ar"/>
        </w:rPr>
        <w:t xml:space="preserve">、管理关系的不同供应商，不得参加同一合同项下的政府采购活动。</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1.1.3联合体投标：第一章 竞争性谈判公告规定接受联合体投标的，联合体除应符合上述资格要求外，还应遵守以下</w:t>
      </w:r>
      <w:r>
        <w:rPr>
          <w:rFonts w:hint="eastAsia" w:ascii="宋体" w:hAnsi="宋体" w:eastAsia="宋体" w:cs="宋体"/>
          <w:color w:val="auto"/>
          <w:sz w:val="24"/>
          <w:szCs w:val="36"/>
          <w:highlight w:val="none"/>
        </w:rPr>
        <w:t xml:space="preserve">规定</w:t>
      </w:r>
      <w:r>
        <w:rPr>
          <w:rFonts w:hint="eastAsia" w:ascii="宋体" w:hAnsi="宋体" w:eastAsia="宋体" w:cs="宋体"/>
          <w:color w:val="auto"/>
          <w:highlight w:val="none"/>
          <w:lang w:bidi="ar"/>
        </w:rPr>
        <w:t xml:space="preserve">：</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（1）联合体各方应当向采购人提交联合体协议书，载明联合体各方承担的工作和义务，否则投标无效。</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（2）联合体中有同类资质的供应商按照联合体分工承担相同工作的，应当按照资质等级较低的供应商确定资质等级。</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（3）联合体各方不得再单独参加或者与其他供应商另外组成联合体参加同一合同项下的政府采购活动，否则各相关投标均无效。</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（4）联合体各方应当共同与采购人签订采购合同，就采购合同约定的事项对采购人承担连带责任。</w:t>
      </w:r>
      <w:r/>
    </w:p>
    <w:p>
      <w:pPr>
        <w:ind w:firstLine="482"/>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1.2分包</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不允许分包</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允许分包，分包要求：</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1.3保密</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参与采购活动的各方</w:t>
      </w:r>
      <w:r>
        <w:rPr>
          <w:rFonts w:hint="eastAsia" w:ascii="宋体" w:hAnsi="宋体" w:eastAsia="宋体" w:cs="宋体"/>
          <w:color w:val="auto"/>
          <w:sz w:val="24"/>
          <w:szCs w:val="36"/>
          <w:highlight w:val="none"/>
        </w:rPr>
        <w:t xml:space="preserve">应对</w:t>
      </w:r>
      <w:r>
        <w:rPr>
          <w:rFonts w:hint="eastAsia" w:ascii="宋体" w:hAnsi="宋体" w:eastAsia="宋体" w:cs="宋体"/>
          <w:color w:val="auto"/>
          <w:highlight w:val="none"/>
          <w:lang w:bidi="ar"/>
        </w:rPr>
        <w:t xml:space="preserve">采购文件和响应文件中的商业和技术等秘密保密，否则应承担相应的法律</w:t>
      </w:r>
      <w:r>
        <w:rPr>
          <w:rFonts w:hint="eastAsia" w:ascii="宋体" w:hAnsi="宋体" w:eastAsia="宋体" w:cs="宋体"/>
          <w:color w:val="auto"/>
          <w:sz w:val="24"/>
          <w:szCs w:val="36"/>
          <w:highlight w:val="none"/>
        </w:rPr>
        <w:t xml:space="preserve">责任</w:t>
      </w:r>
      <w:r>
        <w:rPr>
          <w:rFonts w:hint="eastAsia" w:ascii="宋体" w:hAnsi="宋体" w:eastAsia="宋体" w:cs="宋体"/>
          <w:color w:val="auto"/>
          <w:highlight w:val="none"/>
          <w:lang w:bidi="ar"/>
        </w:rPr>
        <w:t xml:space="preserve">。</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1.4语言文字</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谈判文件响应文件使用的</w:t>
      </w:r>
      <w:r>
        <w:rPr>
          <w:rFonts w:hint="eastAsia" w:ascii="宋体" w:hAnsi="宋体" w:eastAsia="宋体" w:cs="宋体"/>
          <w:color w:val="auto"/>
          <w:sz w:val="24"/>
          <w:szCs w:val="36"/>
          <w:highlight w:val="none"/>
        </w:rPr>
        <w:t xml:space="preserve">语言</w:t>
      </w:r>
      <w:r>
        <w:rPr>
          <w:rFonts w:hint="eastAsia" w:ascii="宋体" w:hAnsi="宋体" w:eastAsia="宋体" w:cs="宋体"/>
          <w:color w:val="auto"/>
          <w:highlight w:val="none"/>
          <w:lang w:bidi="ar"/>
        </w:rPr>
        <w:t xml:space="preserve">文字为中文。使用外文的，应附有中文注释或译本，对不同文本响应文件的解释发生异议的，以中文文本为准。因未附注释或译本引起的对供应商不利的后果由供应商自行承担。</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1.5计量单位</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除谈判文件有特殊要求外，所有计量均采用中华人民共和国法定计量单位。</w:t>
      </w:r>
      <w:r/>
    </w:p>
    <w:p>
      <w:pPr>
        <w:ind w:firstLine="482"/>
        <w:jc w:val="both"/>
        <w:spacing w:line="360" w:lineRule="auto"/>
        <w:widowControl w:val="off"/>
        <w:rPr>
          <w:rFonts w:hint="eastAsia" w:ascii="宋体" w:hAnsi="宋体" w:eastAsia="宋体" w:cs="宋体"/>
          <w:b/>
          <w:bCs/>
          <w:color w:val="auto"/>
          <w:highlight w:val="none"/>
          <w:lang w:bidi="ar"/>
        </w:rPr>
      </w:pPr>
      <w:r/>
      <w:bookmarkStart w:id="39" w:name="_Hlk104384000"/>
      <w:r>
        <w:rPr>
          <w:rFonts w:hint="eastAsia" w:ascii="宋体" w:hAnsi="宋体" w:eastAsia="宋体" w:cs="宋体"/>
          <w:b/>
          <w:bCs/>
          <w:color w:val="auto"/>
          <w:highlight w:val="none"/>
          <w:lang w:bidi="ar"/>
        </w:rPr>
        <w:t xml:space="preserve">1.6扫描件</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扫描件是指原件的</w:t>
      </w:r>
      <w:r>
        <w:rPr>
          <w:rFonts w:hint="eastAsia" w:ascii="宋体" w:hAnsi="宋体" w:eastAsia="宋体" w:cs="宋体"/>
          <w:color w:val="auto"/>
          <w:sz w:val="24"/>
          <w:szCs w:val="36"/>
          <w:highlight w:val="none"/>
        </w:rPr>
        <w:t xml:space="preserve">各种</w:t>
      </w:r>
      <w:r>
        <w:rPr>
          <w:rFonts w:hint="eastAsia" w:ascii="宋体" w:hAnsi="宋体" w:eastAsia="宋体" w:cs="宋体"/>
          <w:color w:val="auto"/>
          <w:highlight w:val="none"/>
          <w:lang w:bidi="ar"/>
        </w:rPr>
        <w:t xml:space="preserve">彩色复制件，包括扫描、照片等。</w:t>
      </w:r>
      <w:bookmarkEnd w:id="39"/>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1.7知识产权</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供应商应保证在本</w:t>
      </w:r>
      <w:r>
        <w:rPr>
          <w:rFonts w:hint="eastAsia" w:ascii="宋体" w:hAnsi="宋体" w:eastAsia="宋体" w:cs="宋体"/>
          <w:color w:val="auto"/>
          <w:sz w:val="24"/>
          <w:szCs w:val="36"/>
          <w:highlight w:val="none"/>
        </w:rPr>
        <w:t xml:space="preserve">项目</w:t>
      </w:r>
      <w:r>
        <w:rPr>
          <w:rFonts w:hint="eastAsia" w:ascii="宋体" w:hAnsi="宋体" w:eastAsia="宋体" w:cs="宋体"/>
          <w:color w:val="auto"/>
          <w:highlight w:val="none"/>
          <w:lang w:bidi="ar"/>
        </w:rPr>
        <w:t xml:space="preserve">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1.8现场踏勘</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供应商可自行对有关</w:t>
      </w:r>
      <w:r>
        <w:rPr>
          <w:rFonts w:hint="eastAsia" w:ascii="宋体" w:hAnsi="宋体" w:eastAsia="宋体" w:cs="宋体"/>
          <w:color w:val="auto"/>
          <w:sz w:val="24"/>
          <w:szCs w:val="36"/>
          <w:highlight w:val="none"/>
        </w:rPr>
        <w:t xml:space="preserve">现场</w:t>
      </w:r>
      <w:r>
        <w:rPr>
          <w:rFonts w:hint="eastAsia" w:ascii="宋体" w:hAnsi="宋体" w:eastAsia="宋体" w:cs="宋体"/>
          <w:color w:val="auto"/>
          <w:highlight w:val="none"/>
          <w:lang w:bidi="ar"/>
        </w:rPr>
        <w:t xml:space="preserve">和周围环境进行踏勘，以获取编制投标文件和签署合同所需的信息，踏勘现场所发生的费用由供应商自己承担。供应商在现场勘察时，熟悉现场及周围交通道路等情况，以获得一切可能影响其投标响应的直接资料。成交后，供应商不得以不完全了解现场情况为理由而向采购人或采购代理机构提出任何索赔的要求，对此采购人或采购代理机构不承担任何责任并将不作任何答复与考虑。</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1.9集中现场考察</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本项目按以下第</w:t>
      </w:r>
      <w:r>
        <w:rPr>
          <w:rFonts w:hint="eastAsia" w:ascii="宋体" w:hAnsi="宋体" w:eastAsia="宋体" w:cs="宋体"/>
          <w:color w:val="auto"/>
          <w:highlight w:val="none"/>
          <w:u w:val="single"/>
          <w:lang w:bidi="ar"/>
        </w:rPr>
        <w:t xml:space="preserve">  ①  </w:t>
      </w:r>
      <w:r>
        <w:rPr>
          <w:rFonts w:hint="eastAsia" w:ascii="宋体" w:hAnsi="宋体" w:eastAsia="宋体" w:cs="宋体"/>
          <w:color w:val="auto"/>
          <w:highlight w:val="none"/>
          <w:lang w:bidi="ar"/>
        </w:rPr>
        <w:t xml:space="preserve">种方式组织</w:t>
      </w:r>
      <w:r>
        <w:rPr>
          <w:rFonts w:hint="eastAsia" w:ascii="宋体" w:hAnsi="宋体" w:eastAsia="宋体" w:cs="宋体"/>
          <w:color w:val="auto"/>
          <w:sz w:val="24"/>
          <w:szCs w:val="36"/>
          <w:highlight w:val="none"/>
        </w:rPr>
        <w:t xml:space="preserve">集中</w:t>
      </w:r>
      <w:r>
        <w:rPr>
          <w:rFonts w:hint="eastAsia" w:ascii="宋体" w:hAnsi="宋体" w:eastAsia="宋体" w:cs="宋体"/>
          <w:color w:val="auto"/>
          <w:highlight w:val="none"/>
          <w:lang w:bidi="ar"/>
        </w:rPr>
        <w:t xml:space="preserve">现场考察：</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①采购人不组织集中现场考察；</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②采购人组织集中现场考察，请</w:t>
      </w:r>
      <w:r>
        <w:rPr>
          <w:rFonts w:hint="eastAsia" w:ascii="宋体" w:hAnsi="宋体" w:eastAsia="宋体" w:cs="宋体"/>
          <w:color w:val="auto"/>
          <w:sz w:val="24"/>
          <w:szCs w:val="36"/>
          <w:highlight w:val="none"/>
        </w:rPr>
        <w:t xml:space="preserve">供应商</w:t>
      </w:r>
      <w:r>
        <w:rPr>
          <w:rFonts w:hint="eastAsia" w:ascii="宋体" w:hAnsi="宋体" w:eastAsia="宋体" w:cs="宋体"/>
          <w:color w:val="auto"/>
          <w:highlight w:val="none"/>
          <w:lang w:bidi="ar"/>
        </w:rPr>
        <w:t xml:space="preserve">持在“苏采云”系统中下载本项目采购文件的</w:t>
      </w:r>
      <w:r>
        <w:rPr>
          <w:rFonts w:hint="eastAsia" w:ascii="宋体" w:hAnsi="宋体" w:eastAsia="宋体" w:cs="宋体"/>
          <w:b/>
          <w:bCs/>
          <w:color w:val="auto"/>
          <w:highlight w:val="none"/>
          <w:lang w:bidi="ar"/>
        </w:rPr>
        <w:t xml:space="preserve">《投标供应商确认函》</w:t>
      </w:r>
      <w:r>
        <w:rPr>
          <w:rFonts w:hint="eastAsia" w:ascii="宋体" w:hAnsi="宋体" w:eastAsia="宋体" w:cs="宋体"/>
          <w:color w:val="auto"/>
          <w:highlight w:val="none"/>
          <w:lang w:bidi="ar"/>
        </w:rPr>
        <w:t xml:space="preserve">，按以下时间地点参加集中现场考察：</w:t>
      </w:r>
      <w:r/>
    </w:p>
    <w:p>
      <w:pPr>
        <w:ind w:firstLine="480"/>
        <w:jc w:val="both"/>
        <w:spacing w:line="360" w:lineRule="auto"/>
        <w:widowControl w:val="off"/>
        <w:rPr>
          <w:rFonts w:hint="eastAsia"/>
          <w:color w:val="auto"/>
          <w:highlight w:val="none"/>
        </w:rPr>
      </w:pPr>
      <w:r>
        <w:rPr>
          <w:rFonts w:hint="eastAsia"/>
          <w:color w:val="auto"/>
          <w:highlight w:val="none"/>
          <w:lang w:bidi="ar"/>
        </w:rPr>
        <w:t xml:space="preserve">集合时间：</w:t>
      </w:r>
      <w:r>
        <w:rPr>
          <w:rFonts w:hint="eastAsia"/>
          <w:color w:val="auto"/>
          <w:highlight w:val="none"/>
          <w:u w:val="single"/>
          <w:lang w:bidi="ar"/>
        </w:rPr>
        <w:t xml:space="preserve">   /年/月/日/时/分（北京时间）</w:t>
      </w:r>
      <w:r>
        <w:rPr>
          <w:rFonts w:hint="eastAsia"/>
          <w:color w:val="auto"/>
          <w:highlight w:val="none"/>
          <w:lang w:bidi="ar"/>
        </w:rPr>
        <w:t xml:space="preserve">；</w:t>
      </w:r>
      <w:r/>
    </w:p>
    <w:p>
      <w:pPr>
        <w:ind w:firstLine="480"/>
        <w:jc w:val="both"/>
        <w:spacing w:line="360" w:lineRule="auto"/>
        <w:widowControl w:val="off"/>
        <w:rPr>
          <w:rFonts w:hint="eastAsia"/>
          <w:color w:val="auto"/>
          <w:highlight w:val="none"/>
        </w:rPr>
      </w:pPr>
      <w:r>
        <w:rPr>
          <w:rFonts w:hint="eastAsia"/>
          <w:color w:val="auto"/>
          <w:highlight w:val="none"/>
          <w:lang w:bidi="ar"/>
        </w:rPr>
        <w:t xml:space="preserve">集合地点：</w:t>
      </w:r>
      <w:r>
        <w:rPr>
          <w:rFonts w:hint="eastAsia"/>
          <w:color w:val="auto"/>
          <w:highlight w:val="none"/>
          <w:u w:val="single"/>
          <w:lang w:bidi="ar"/>
        </w:rPr>
        <w:t xml:space="preserve">    /     </w:t>
      </w:r>
      <w:r>
        <w:rPr>
          <w:rFonts w:hint="eastAsia"/>
          <w:color w:val="auto"/>
          <w:highlight w:val="none"/>
          <w:lang w:bidi="ar"/>
        </w:rPr>
        <w:t xml:space="preserve">。</w:t>
      </w:r>
      <w:r/>
    </w:p>
    <w:p>
      <w:pPr>
        <w:ind w:firstLine="480"/>
        <w:jc w:val="both"/>
        <w:spacing w:line="360" w:lineRule="auto"/>
        <w:widowControl w:val="off"/>
        <w:rPr>
          <w:rFonts w:hint="eastAsia"/>
          <w:color w:val="auto"/>
          <w:highlight w:val="none"/>
        </w:rPr>
      </w:pPr>
      <w:r>
        <w:rPr>
          <w:rFonts w:hint="eastAsia"/>
          <w:color w:val="auto"/>
          <w:highlight w:val="none"/>
          <w:lang w:bidi="ar"/>
        </w:rPr>
        <w:t xml:space="preserve">联系人：</w:t>
      </w:r>
      <w:r>
        <w:rPr>
          <w:rFonts w:hint="eastAsia"/>
          <w:color w:val="auto"/>
          <w:highlight w:val="none"/>
          <w:u w:val="single"/>
          <w:lang w:bidi="ar"/>
        </w:rPr>
        <w:t xml:space="preserve">    /     </w:t>
      </w:r>
      <w:r>
        <w:rPr>
          <w:rFonts w:hint="eastAsia"/>
          <w:color w:val="auto"/>
          <w:highlight w:val="none"/>
          <w:lang w:bidi="ar"/>
        </w:rPr>
        <w:t xml:space="preserve">；联系</w:t>
      </w:r>
      <w:r>
        <w:rPr>
          <w:rFonts w:hint="eastAsia" w:ascii="宋体" w:hAnsi="宋体" w:eastAsia="宋体" w:cs="宋体"/>
          <w:color w:val="auto"/>
          <w:sz w:val="24"/>
          <w:szCs w:val="36"/>
          <w:highlight w:val="none"/>
        </w:rPr>
        <w:t xml:space="preserve">电话</w:t>
      </w:r>
      <w:r>
        <w:rPr>
          <w:rFonts w:hint="eastAsia"/>
          <w:color w:val="auto"/>
          <w:highlight w:val="none"/>
          <w:lang w:bidi="ar"/>
        </w:rPr>
        <w:t xml:space="preserve">：</w:t>
      </w:r>
      <w:r>
        <w:rPr>
          <w:rFonts w:hint="eastAsia"/>
          <w:color w:val="auto"/>
          <w:highlight w:val="none"/>
          <w:u w:val="single"/>
          <w:lang w:bidi="ar"/>
        </w:rPr>
        <w:t xml:space="preserve">    /     </w:t>
      </w:r>
      <w:r>
        <w:rPr>
          <w:rFonts w:hint="eastAsia"/>
          <w:color w:val="auto"/>
          <w:highlight w:val="none"/>
          <w:lang w:bidi="ar"/>
        </w:rPr>
        <w:t xml:space="preserve">。</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请供应商安排好行程，不得迟到。未提供《投标供应商确认函》或迟到者，恕不接待。</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（1）根据自身投标</w:t>
      </w:r>
      <w:r>
        <w:rPr>
          <w:rFonts w:hint="eastAsia" w:ascii="宋体" w:hAnsi="宋体" w:eastAsia="宋体" w:cs="宋体"/>
          <w:color w:val="auto"/>
          <w:sz w:val="24"/>
          <w:szCs w:val="36"/>
          <w:highlight w:val="none"/>
        </w:rPr>
        <w:t xml:space="preserve">需要</w:t>
      </w:r>
      <w:r>
        <w:rPr>
          <w:rFonts w:hint="eastAsia" w:ascii="宋体" w:hAnsi="宋体" w:eastAsia="宋体" w:cs="宋体"/>
          <w:color w:val="auto"/>
          <w:highlight w:val="none"/>
          <w:lang w:bidi="ar"/>
        </w:rPr>
        <w:t xml:space="preserve">，供应商可对项目相关情况进行考察，以获取编制投标文件和签署合同所需的信息。考察现场所发生的费用由供应商自己承担。</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（3）经采购人允许，供应商可为考察目的进入采购人的项目现场，但供应商不得因此使采购人承担有关的责任和蒙受损失。供应商应承担考察现场的责任和风险。</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（4）供应商应在现场考察时，熟悉现场及本项目的背景概况等情况，以获得一切可能影响其投标的直接</w:t>
      </w:r>
      <w:r>
        <w:rPr>
          <w:rFonts w:hint="eastAsia" w:ascii="宋体" w:hAnsi="宋体" w:eastAsia="宋体" w:cs="宋体"/>
          <w:color w:val="auto"/>
          <w:sz w:val="24"/>
          <w:szCs w:val="36"/>
          <w:highlight w:val="none"/>
        </w:rPr>
        <w:t xml:space="preserve">资料</w:t>
      </w:r>
      <w:r>
        <w:rPr>
          <w:rFonts w:hint="eastAsia" w:ascii="宋体" w:hAnsi="宋体" w:eastAsia="宋体" w:cs="宋体"/>
          <w:color w:val="auto"/>
          <w:highlight w:val="none"/>
          <w:lang w:bidi="ar"/>
        </w:rPr>
        <w:t xml:space="preserve">。供应商中标后，不得以不完全了解情况为理由而向采购人或采购代理机构提出任何索赔的要求，对此采购人或采购代理机构不承担任何责任并将不作任何答复与考虑。</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（5）由于未进行现场考察造成的任何问题由供应商自行承担。</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1.10法律适用</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本次采购活动及因本次</w:t>
      </w:r>
      <w:r>
        <w:rPr>
          <w:rFonts w:hint="eastAsia" w:ascii="宋体" w:hAnsi="宋体" w:eastAsia="宋体" w:cs="宋体"/>
          <w:color w:val="auto"/>
          <w:sz w:val="24"/>
          <w:szCs w:val="36"/>
          <w:highlight w:val="none"/>
        </w:rPr>
        <w:t xml:space="preserve">采购</w:t>
      </w:r>
      <w:r>
        <w:rPr>
          <w:rFonts w:hint="eastAsia" w:ascii="宋体" w:hAnsi="宋体" w:eastAsia="宋体" w:cs="宋体"/>
          <w:color w:val="auto"/>
          <w:highlight w:val="none"/>
          <w:lang w:bidi="ar"/>
        </w:rPr>
        <w:t xml:space="preserve">产生的合同受中华人民共和国有关的法律法规制约和保护。</w:t>
      </w:r>
      <w:r/>
    </w:p>
    <w:p>
      <w:pPr>
        <w:ind w:firstLine="480"/>
        <w:jc w:val="both"/>
        <w:spacing w:line="360" w:lineRule="auto"/>
        <w:widowControl w:val="off"/>
        <w:rPr>
          <w:rFonts w:hint="eastAsia" w:ascii="宋体" w:hAnsi="宋体" w:eastAsia="宋体"/>
          <w:color w:val="auto"/>
          <w:highlight w:val="none"/>
          <w:shd w:val="clear" w:color="auto" w:fill="ffffff"/>
        </w:rPr>
      </w:pPr>
      <w:r>
        <w:rPr>
          <w:rFonts w:ascii="宋体" w:hAnsi="宋体" w:eastAsia="宋体"/>
          <w:color w:val="auto"/>
          <w:highlight w:val="none"/>
          <w:shd w:val="clear" w:color="auto" w:fill="ffffff"/>
        </w:rPr>
        <w:t xml:space="preserve">1.1</w:t>
      </w:r>
      <w:r>
        <w:rPr>
          <w:rFonts w:hint="eastAsia" w:ascii="宋体" w:hAnsi="宋体" w:eastAsia="宋体"/>
          <w:color w:val="auto"/>
          <w:highlight w:val="none"/>
          <w:shd w:val="clear" w:color="auto" w:fill="ffffff"/>
        </w:rPr>
        <w:t xml:space="preserve">1</w:t>
      </w:r>
      <w:r>
        <w:rPr>
          <w:rFonts w:hint="eastAsia" w:ascii="宋体" w:hAnsi="宋体" w:eastAsia="宋体" w:cs="宋体"/>
          <w:color w:val="auto"/>
          <w:highlight w:val="none"/>
          <w:lang w:bidi="ar"/>
        </w:rPr>
        <w:t xml:space="preserve">本谈判文件仅适用于本项目采购代理机构组织的招标活动</w:t>
      </w:r>
      <w:r>
        <w:rPr>
          <w:rFonts w:hint="eastAsia" w:ascii="宋体" w:hAnsi="宋体" w:eastAsia="宋体"/>
          <w:color w:val="auto"/>
          <w:highlight w:val="none"/>
          <w:shd w:val="clear" w:color="auto" w:fill="ffffff"/>
        </w:rPr>
        <w:t xml:space="preserve">。</w:t>
      </w:r>
      <w:r/>
    </w:p>
    <w:p>
      <w:pPr>
        <w:ind w:firstLine="480"/>
        <w:jc w:val="both"/>
        <w:spacing w:line="360" w:lineRule="auto"/>
        <w:widowControl w:val="off"/>
        <w:rPr>
          <w:rFonts w:hint="eastAsia" w:ascii="宋体" w:hAnsi="宋体" w:eastAsia="宋体"/>
          <w:color w:val="auto"/>
          <w:highlight w:val="none"/>
          <w:shd w:val="clear" w:color="auto" w:fill="ffffff"/>
        </w:rPr>
      </w:pPr>
      <w:r>
        <w:rPr>
          <w:rFonts w:ascii="宋体" w:hAnsi="宋体" w:eastAsia="宋体"/>
          <w:color w:val="auto"/>
          <w:highlight w:val="none"/>
          <w:shd w:val="clear" w:color="auto" w:fill="ffffff"/>
        </w:rPr>
        <w:t xml:space="preserve">1.</w:t>
      </w:r>
      <w:r>
        <w:rPr>
          <w:rFonts w:hint="eastAsia" w:ascii="宋体" w:hAnsi="宋体" w:eastAsia="宋体"/>
          <w:color w:val="auto"/>
          <w:highlight w:val="none"/>
          <w:shd w:val="clear" w:color="auto" w:fill="ffffff"/>
        </w:rPr>
        <w:t xml:space="preserve">12</w:t>
      </w:r>
      <w:r>
        <w:rPr>
          <w:rFonts w:hint="eastAsia" w:ascii="宋体" w:hAnsi="宋体" w:eastAsia="宋体" w:cs="宋体"/>
          <w:color w:val="auto"/>
          <w:highlight w:val="none"/>
          <w:lang w:bidi="ar"/>
        </w:rPr>
        <w:t xml:space="preserve">本谈判文件的解释权</w:t>
      </w:r>
      <w:r>
        <w:rPr>
          <w:rFonts w:hint="eastAsia" w:ascii="宋体" w:hAnsi="宋体" w:eastAsia="宋体" w:cs="宋体"/>
          <w:color w:val="auto"/>
          <w:sz w:val="24"/>
          <w:szCs w:val="36"/>
          <w:highlight w:val="none"/>
        </w:rPr>
        <w:t xml:space="preserve">属于</w:t>
      </w:r>
      <w:r>
        <w:rPr>
          <w:rFonts w:hint="eastAsia" w:ascii="宋体" w:hAnsi="宋体" w:eastAsia="宋体" w:cs="宋体"/>
          <w:color w:val="auto"/>
          <w:highlight w:val="none"/>
          <w:lang w:bidi="ar"/>
        </w:rPr>
        <w:t xml:space="preserve">本项目采购代理机构</w:t>
      </w:r>
      <w:r>
        <w:rPr>
          <w:rFonts w:hint="eastAsia" w:ascii="宋体" w:hAnsi="宋体" w:eastAsia="宋体"/>
          <w:color w:val="auto"/>
          <w:highlight w:val="none"/>
          <w:shd w:val="clear" w:color="auto" w:fill="ffffff"/>
        </w:rPr>
        <w:t xml:space="preserve">。</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2、谈判文件的说明</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2.1谈判文件的获取</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见第一章 竞争性谈判公告</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2.2谈判文件的询问</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供应商在收到谈判文件后，若有问题需要询问，应于下载谈判文件后，可通过前附表中的联系方式及时提出，采购人或采购代理机构将予以解答，但答复内容不得涉及商业秘密。</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2.3谈判文件的澄清或修改</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2.3.1提交响应文件截止之日前，采购代理机构有权在出于实际需要的情况下，以更正（补充）公告的形式在原公告发布媒体上对已发出的谈判文件进行必要的澄清或者修改。澄清或者修改的内容作为谈判文件的组成部分，对所有供应商具有约束力。</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2.3.2为保证供应商有足够时间修正</w:t>
      </w:r>
      <w:r>
        <w:rPr>
          <w:rFonts w:hint="eastAsia" w:ascii="宋体" w:hAnsi="宋体" w:eastAsia="宋体" w:cs="宋体"/>
          <w:color w:val="auto"/>
          <w:sz w:val="24"/>
          <w:szCs w:val="36"/>
          <w:highlight w:val="none"/>
        </w:rPr>
        <w:t xml:space="preserve">响应</w:t>
      </w:r>
      <w:r>
        <w:rPr>
          <w:rFonts w:hint="eastAsia" w:ascii="宋体" w:hAnsi="宋体" w:eastAsia="宋体" w:cs="宋体"/>
          <w:color w:val="auto"/>
          <w:highlight w:val="none"/>
          <w:lang w:bidi="ar"/>
        </w:rPr>
        <w:t xml:space="preserve">文件，或出于其他合理原因，采购代理机构可依法顺延提交响应文件截止之日和谈判时间。</w:t>
      </w:r>
      <w:r/>
    </w:p>
    <w:p>
      <w:pPr>
        <w:ind w:firstLine="480"/>
        <w:jc w:val="both"/>
        <w:spacing w:line="360" w:lineRule="auto"/>
        <w:widowControl w:val="off"/>
        <w:rPr>
          <w:rFonts w:hint="eastAsia"/>
          <w:b/>
          <w:bCs/>
          <w:color w:val="auto"/>
          <w:highlight w:val="none"/>
          <w:lang w:bidi="ar"/>
        </w:rPr>
      </w:pPr>
      <w:r/>
      <w:bookmarkStart w:id="40" w:name="_Hlk157941221"/>
      <w:r>
        <w:rPr>
          <w:rFonts w:hint="eastAsia" w:ascii="宋体" w:hAnsi="宋体" w:eastAsia="宋体" w:cs="宋体"/>
          <w:color w:val="auto"/>
          <w:sz w:val="24"/>
          <w:szCs w:val="36"/>
          <w:highlight w:val="none"/>
        </w:rPr>
        <w:t xml:space="preserve">2.3.3供应商</w:t>
      </w:r>
      <w:bookmarkStart w:id="41" w:name="_Hlk155803365"/>
      <w:r>
        <w:rPr>
          <w:rFonts w:hint="eastAsia" w:ascii="宋体" w:hAnsi="宋体" w:eastAsia="宋体" w:cs="宋体"/>
          <w:color w:val="auto"/>
          <w:sz w:val="24"/>
          <w:szCs w:val="36"/>
          <w:highlight w:val="none"/>
        </w:rPr>
        <w:t xml:space="preserve">应</w:t>
      </w:r>
      <w:r>
        <w:rPr>
          <w:rFonts w:hint="eastAsia"/>
          <w:color w:val="auto"/>
          <w:highlight w:val="none"/>
          <w:lang w:bidi="ar"/>
        </w:rPr>
        <w:t xml:space="preserve">及时关注政府</w:t>
      </w:r>
      <w:r>
        <w:rPr>
          <w:rFonts w:hint="eastAsia" w:ascii="宋体" w:hAnsi="宋体" w:eastAsia="宋体" w:cs="宋体"/>
          <w:color w:val="auto"/>
          <w:sz w:val="24"/>
          <w:szCs w:val="36"/>
          <w:highlight w:val="none"/>
        </w:rPr>
        <w:t xml:space="preserve">采购</w:t>
      </w:r>
      <w:r>
        <w:rPr>
          <w:rFonts w:hint="eastAsia"/>
          <w:color w:val="auto"/>
          <w:highlight w:val="none"/>
          <w:lang w:bidi="ar"/>
        </w:rPr>
        <w:t xml:space="preserve">信息发布媒体上发布的更正（补充）公告，同时在“苏采云”</w:t>
      </w:r>
      <w:r>
        <w:rPr>
          <w:rFonts w:hint="eastAsia" w:ascii="宋体" w:hAnsi="宋体" w:eastAsia="宋体" w:cs="宋体"/>
          <w:color w:val="auto"/>
          <w:highlight w:val="none"/>
          <w:lang w:bidi="ar"/>
        </w:rPr>
        <w:t xml:space="preserve">系统中下载更正</w:t>
      </w:r>
      <w:r>
        <w:rPr>
          <w:rFonts w:hint="eastAsia"/>
          <w:color w:val="auto"/>
          <w:highlight w:val="none"/>
          <w:lang w:bidi="ar"/>
        </w:rPr>
        <w:t xml:space="preserve">（补充）资料，</w:t>
      </w:r>
      <w:r>
        <w:rPr>
          <w:rFonts w:hint="eastAsia"/>
          <w:b/>
          <w:bCs/>
          <w:color w:val="auto"/>
          <w:highlight w:val="none"/>
          <w:lang w:bidi="ar"/>
        </w:rPr>
        <w:t xml:space="preserve">如有遗漏（包括但不限于文件未下载或下载不完整），可能无法解密投标（响应）文件，由此所造成的投标失败或损失由供应商自行负责</w:t>
      </w:r>
      <w:bookmarkEnd w:id="40"/>
      <w:r>
        <w:rPr>
          <w:rFonts w:hint="eastAsia"/>
          <w:b/>
          <w:bCs/>
          <w:color w:val="auto"/>
          <w:highlight w:val="none"/>
          <w:lang w:bidi="ar"/>
        </w:rPr>
        <w:t xml:space="preserve">。</w:t>
      </w:r>
      <w:bookmarkEnd w:id="41"/>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2.4响应文件的约束力</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2.4.1供应商一旦参加本项目采购活动，即被认为接受了本采购文件的规定和约束。</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2.4.2供应商应认真阅读采购文件中所有的事项、条款和规范等要求，按采购文件要求和规定编制响应</w:t>
      </w:r>
      <w:r>
        <w:rPr>
          <w:rFonts w:hint="eastAsia" w:ascii="宋体" w:hAnsi="宋体" w:eastAsia="宋体" w:cs="宋体"/>
          <w:color w:val="auto"/>
          <w:sz w:val="24"/>
          <w:szCs w:val="36"/>
          <w:highlight w:val="none"/>
        </w:rPr>
        <w:t xml:space="preserve">文件</w:t>
      </w:r>
      <w:r>
        <w:rPr>
          <w:rFonts w:hint="eastAsia" w:ascii="宋体" w:hAnsi="宋体" w:eastAsia="宋体" w:cs="宋体"/>
          <w:color w:val="auto"/>
          <w:highlight w:val="none"/>
          <w:lang w:bidi="ar"/>
        </w:rPr>
        <w:t xml:space="preserve">，并保证所提供的全部资料的真实性，以使其响应文件对采购文件作出实质性响应，否则其风险由供应商自行承担。</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3、响应文件说明</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供应商应详细阅读谈判文件的全部内容，不按谈判文件的要求提供的响应文件和资料，其风险由供应商自行承担，并根据有关条款规定，可能导致响应无效。</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3.1响应文件的组成</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3.1.1开标一览表；</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3.1.2资格性审查文件</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3.1.2.1具有独立承担民事责任的能力的材料：包括法人或者其他组织的营业执照等证明文件或自然人的身份证明；</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3.1.2.2具有良好的商业信誉和健全的财务会计制度的材料：最近一期的财务报告，或银行出具的资信证明，或财政部门认可的政府采购专业担保机构出具的投标担保函；</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3.1.2.3具有履行合同所必需的设备和专业技术能力的证明材料：提供证明材料或</w:t>
      </w:r>
      <w:r>
        <w:rPr>
          <w:rFonts w:hint="eastAsia" w:ascii="宋体" w:hAnsi="宋体" w:eastAsia="宋体" w:cs="宋体"/>
          <w:color w:val="auto"/>
          <w:highlight w:val="none"/>
          <w:lang w:val="en-US" w:eastAsia="zh-CN" w:bidi="ar"/>
        </w:rPr>
        <w:t xml:space="preserve">声明</w:t>
      </w:r>
      <w:r>
        <w:rPr>
          <w:rFonts w:hint="eastAsia" w:ascii="宋体" w:hAnsi="宋体" w:eastAsia="宋体" w:cs="宋体"/>
          <w:color w:val="auto"/>
          <w:highlight w:val="none"/>
          <w:lang w:bidi="ar"/>
        </w:rPr>
        <w:t xml:space="preserve">函；</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3.1.2.4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3.1.2.5参加政府采购活动前三年内，在经营活动中没有出现重大违法记录的书面声明函（格式见第三章）；</w:t>
      </w:r>
      <w:r/>
    </w:p>
    <w:p>
      <w:pPr>
        <w:ind w:firstLine="480"/>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color w:val="auto"/>
          <w:highlight w:val="none"/>
          <w:lang w:bidi="ar"/>
        </w:rPr>
        <w:t xml:space="preserve">3.1.2.6中小企业声明函（如有）（格式见第三章），</w:t>
      </w:r>
      <w:r>
        <w:rPr>
          <w:rFonts w:hint="eastAsia" w:ascii="宋体" w:hAnsi="宋体" w:eastAsia="宋体" w:cs="宋体"/>
          <w:b/>
          <w:bCs/>
          <w:color w:val="auto"/>
          <w:highlight w:val="none"/>
          <w:lang w:bidi="ar"/>
        </w:rPr>
        <w:t xml:space="preserve">未提供不享受中小企业扶持政策；</w:t>
      </w:r>
      <w:r/>
    </w:p>
    <w:p>
      <w:pPr>
        <w:ind w:firstLine="480"/>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color w:val="auto"/>
          <w:highlight w:val="none"/>
          <w:lang w:bidi="ar"/>
        </w:rPr>
        <w:t xml:space="preserve">3.1.2.7残疾人福利性单位声明函（如有）（格式见第三章），</w:t>
      </w:r>
      <w:r>
        <w:rPr>
          <w:rFonts w:hint="eastAsia" w:ascii="宋体" w:hAnsi="宋体" w:eastAsia="宋体" w:cs="宋体"/>
          <w:b/>
          <w:bCs/>
          <w:color w:val="auto"/>
          <w:highlight w:val="none"/>
          <w:lang w:bidi="ar"/>
        </w:rPr>
        <w:t xml:space="preserve">未提供视为非残疾人福利性单位，不视同小微企业，不享受残疾人福利性单位政策；</w:t>
      </w:r>
      <w:r/>
    </w:p>
    <w:p>
      <w:pPr>
        <w:ind w:firstLine="480"/>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color w:val="auto"/>
          <w:highlight w:val="none"/>
          <w:lang w:bidi="ar"/>
        </w:rPr>
        <w:t xml:space="preserve">3.1.2.8监狱企业证明文件（如有），由省级以上监狱管理局、戒毒管理局（含新疆生产建设兵团）出具，</w:t>
      </w:r>
      <w:r>
        <w:rPr>
          <w:rFonts w:hint="eastAsia" w:ascii="宋体" w:hAnsi="宋体" w:eastAsia="宋体" w:cs="宋体"/>
          <w:b/>
          <w:bCs/>
          <w:color w:val="auto"/>
          <w:highlight w:val="none"/>
          <w:lang w:bidi="ar"/>
        </w:rPr>
        <w:t xml:space="preserve">未提供视为非监狱企业，不视同小微企业，不享受监狱企业政策；</w:t>
      </w:r>
      <w:r/>
    </w:p>
    <w:p>
      <w:pPr>
        <w:ind w:firstLine="482"/>
        <w:jc w:val="both"/>
        <w:spacing w:line="360" w:lineRule="auto"/>
        <w:widowControl w:val="off"/>
        <w:rPr>
          <w:rFonts w:hint="eastAsia" w:ascii="宋体" w:hAnsi="宋体" w:eastAsia="宋体" w:cs="宋体"/>
          <w:color w:val="auto"/>
          <w:highlight w:val="none"/>
          <w:u w:val="single"/>
          <w:lang w:bidi="ar"/>
        </w:rPr>
      </w:pPr>
      <w:r>
        <w:rPr>
          <w:rFonts w:hint="eastAsia" w:ascii="宋体" w:hAnsi="宋体" w:eastAsia="宋体" w:cs="宋体"/>
          <w:b/>
          <w:bCs/>
          <w:color w:val="auto"/>
          <w:highlight w:val="none"/>
          <w:u w:val="single"/>
          <w:lang w:bidi="ar"/>
        </w:rPr>
        <w:t xml:space="preserve">以上3.1.2.1---3.1.2.5项是资格审查要求必须提供的材料，专门面向中小企业的项目还必须提供3.1.2.6或3.1.2.7或3.1.2.8项资料，否则响应无效。</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3.1.3响应性审查文件</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3.1.3.1响应函（格式见第三章）；</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3.1.3.2谈判报价表、报价明细表</w:t>
      </w:r>
      <w:bookmarkStart w:id="42" w:name="_Hlk159233160"/>
      <w:r>
        <w:rPr>
          <w:rFonts w:hint="eastAsia" w:ascii="宋体" w:hAnsi="宋体" w:eastAsia="宋体" w:cs="宋体"/>
          <w:color w:val="auto"/>
          <w:highlight w:val="none"/>
          <w:lang w:bidi="ar"/>
        </w:rPr>
        <w:t xml:space="preserve">（格式见第三章）</w:t>
      </w:r>
      <w:bookmarkEnd w:id="42"/>
      <w:r>
        <w:rPr>
          <w:rFonts w:hint="eastAsia" w:ascii="宋体" w:hAnsi="宋体" w:eastAsia="宋体" w:cs="宋体"/>
          <w:color w:val="auto"/>
          <w:highlight w:val="none"/>
          <w:lang w:bidi="ar"/>
        </w:rPr>
        <w:t xml:space="preserve">；</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3.1.3.3商务条款偏离表（格式见第三章）；</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3.1.3.4服务或技术</w:t>
      </w:r>
      <w:r>
        <w:rPr>
          <w:rFonts w:hint="eastAsia" w:ascii="宋体" w:hAnsi="宋体" w:eastAsia="宋体" w:cs="宋体"/>
          <w:color w:val="auto"/>
          <w:sz w:val="24"/>
          <w:szCs w:val="36"/>
          <w:highlight w:val="none"/>
        </w:rPr>
        <w:t xml:space="preserve">要求</w:t>
      </w:r>
      <w:r>
        <w:rPr>
          <w:rFonts w:hint="eastAsia" w:ascii="宋体" w:hAnsi="宋体" w:eastAsia="宋体" w:cs="宋体"/>
          <w:color w:val="auto"/>
          <w:highlight w:val="none"/>
          <w:lang w:bidi="ar"/>
        </w:rPr>
        <w:t xml:space="preserve">偏离表（格式见第三章）；</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3.1.3.5技术支持以及售后服务承诺（格式见第三章）；</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3.1.3.6项目组人员</w:t>
      </w:r>
      <w:r>
        <w:rPr>
          <w:rFonts w:hint="eastAsia" w:ascii="宋体" w:hAnsi="宋体" w:eastAsia="宋体" w:cs="宋体"/>
          <w:color w:val="auto"/>
          <w:sz w:val="24"/>
          <w:szCs w:val="36"/>
          <w:highlight w:val="none"/>
        </w:rPr>
        <w:t xml:space="preserve">一览表</w:t>
      </w:r>
      <w:r>
        <w:rPr>
          <w:rFonts w:hint="eastAsia" w:ascii="宋体" w:hAnsi="宋体" w:eastAsia="宋体" w:cs="宋体"/>
          <w:color w:val="auto"/>
          <w:highlight w:val="none"/>
          <w:lang w:bidi="ar"/>
        </w:rPr>
        <w:t xml:space="preserve">（格式见第三章）；</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3.1.3.7承诺函（格式见第三章）；</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3.1.3.8供应商与</w:t>
      </w:r>
      <w:r>
        <w:rPr>
          <w:rFonts w:hint="eastAsia" w:ascii="宋体" w:hAnsi="宋体" w:eastAsia="宋体" w:cs="宋体"/>
          <w:color w:val="auto"/>
          <w:sz w:val="24"/>
          <w:szCs w:val="36"/>
          <w:highlight w:val="none"/>
        </w:rPr>
        <w:t xml:space="preserve">其他</w:t>
      </w:r>
      <w:r>
        <w:rPr>
          <w:rFonts w:hint="eastAsia" w:ascii="宋体" w:hAnsi="宋体" w:eastAsia="宋体" w:cs="宋体"/>
          <w:color w:val="auto"/>
          <w:highlight w:val="none"/>
          <w:lang w:bidi="ar"/>
        </w:rPr>
        <w:t xml:space="preserve">单位存在控股、管理关系情况表（格式见第三章）；</w:t>
      </w:r>
      <w:r/>
    </w:p>
    <w:p>
      <w:pPr>
        <w:ind w:firstLine="480"/>
        <w:jc w:val="both"/>
        <w:spacing w:line="360" w:lineRule="auto"/>
        <w:widowControl w:val="off"/>
        <w:rPr>
          <w:rFonts w:hint="eastAsia" w:ascii="宋体" w:hAnsi="宋体" w:eastAsia="宋体" w:cs="宋体"/>
          <w:color w:val="auto"/>
          <w:highlight w:val="none"/>
          <w:lang w:bidi="ar"/>
        </w:rPr>
      </w:pPr>
      <w:r/>
      <w:bookmarkStart w:id="43" w:name="_Hlk157941350"/>
      <w:r>
        <w:rPr>
          <w:rFonts w:hint="eastAsia" w:ascii="宋体" w:hAnsi="宋体" w:eastAsia="宋体" w:cs="宋体"/>
          <w:color w:val="auto"/>
          <w:highlight w:val="none"/>
          <w:lang w:bidi="ar"/>
        </w:rPr>
        <w:t xml:space="preserve">3.1.3.9采购需求中所涉及到的或响应单位认为需加以说明或证明的其他材料、证明（如有）；</w:t>
      </w:r>
      <w:bookmarkEnd w:id="43"/>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3.1.3.10法定代表人授权委托书（如有授权委托，格式见第三章）或法定代表人身份证；</w:t>
      </w:r>
      <w:r/>
    </w:p>
    <w:p>
      <w:pPr>
        <w:ind w:firstLine="480"/>
        <w:jc w:val="both"/>
        <w:spacing w:line="360" w:lineRule="auto"/>
        <w:widowControl w:val="off"/>
        <w:rPr>
          <w:rFonts w:hint="eastAsia" w:ascii="宋体" w:hAnsi="宋体" w:eastAsia="宋体" w:cs="宋体"/>
          <w:color w:val="auto"/>
          <w:highlight w:val="none"/>
          <w:lang w:bidi="ar"/>
        </w:rPr>
      </w:pPr>
      <w:r/>
      <w:bookmarkStart w:id="44" w:name="_Hlk157941369"/>
      <w:r>
        <w:rPr>
          <w:rFonts w:hint="eastAsia" w:ascii="宋体" w:hAnsi="宋体" w:eastAsia="宋体" w:cs="宋体"/>
          <w:color w:val="auto"/>
          <w:highlight w:val="none"/>
          <w:lang w:bidi="ar"/>
        </w:rPr>
        <w:t xml:space="preserve">3.1.3.11代理人身份证（如有授权委托）</w:t>
      </w:r>
      <w:bookmarkEnd w:id="44"/>
      <w:r>
        <w:rPr>
          <w:rFonts w:hint="eastAsia" w:ascii="宋体" w:hAnsi="宋体" w:eastAsia="宋体" w:cs="宋体"/>
          <w:color w:val="auto"/>
          <w:highlight w:val="none"/>
          <w:lang w:bidi="ar"/>
        </w:rPr>
        <w:t xml:space="preserve">；</w:t>
      </w:r>
      <w:r/>
    </w:p>
    <w:p>
      <w:pPr>
        <w:ind w:firstLine="482"/>
        <w:jc w:val="both"/>
        <w:spacing w:line="360" w:lineRule="auto"/>
        <w:widowControl w:val="off"/>
        <w:rPr>
          <w:rFonts w:hint="eastAsia" w:ascii="宋体" w:hAnsi="宋体" w:eastAsia="宋体" w:cs="宋体"/>
          <w:b/>
          <w:bCs/>
          <w:color w:val="auto"/>
          <w:highlight w:val="none"/>
          <w:u w:val="single"/>
          <w:lang w:bidi="ar"/>
        </w:rPr>
      </w:pPr>
      <w:r>
        <w:rPr>
          <w:rFonts w:hint="eastAsia" w:ascii="宋体" w:hAnsi="宋体" w:eastAsia="宋体" w:cs="宋体"/>
          <w:b/>
          <w:bCs/>
          <w:color w:val="auto"/>
          <w:highlight w:val="none"/>
          <w:u w:val="single"/>
          <w:lang w:bidi="ar"/>
        </w:rPr>
        <w:t xml:space="preserve">以上3.1.3.1-3.1.3.10为响应性审查必须提供的资料，如有授权委托，还必须提供3.1.3.11项材料，否则响应无效。</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3.1.4价格折扣文件（如有）</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3.1.4.1非专门面向中小企业的项目如提供3.1.2.6或3.1.2.7或3.1.2.8项材料，将按照评定成交标准享受价格</w:t>
      </w:r>
      <w:r>
        <w:rPr>
          <w:rFonts w:hint="eastAsia" w:ascii="宋体" w:hAnsi="宋体" w:eastAsia="宋体" w:cs="宋体"/>
          <w:color w:val="auto"/>
          <w:sz w:val="24"/>
          <w:szCs w:val="36"/>
          <w:highlight w:val="none"/>
        </w:rPr>
        <w:t xml:space="preserve">评审</w:t>
      </w:r>
      <w:r>
        <w:rPr>
          <w:rFonts w:hint="eastAsia" w:ascii="宋体" w:hAnsi="宋体" w:eastAsia="宋体" w:cs="宋体"/>
          <w:color w:val="auto"/>
          <w:highlight w:val="none"/>
          <w:lang w:bidi="ar"/>
        </w:rPr>
        <w:t xml:space="preserve">优惠政策。</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3.1.4.2供应商对其提供的产品</w:t>
      </w:r>
      <w:r>
        <w:rPr>
          <w:rFonts w:hint="eastAsia" w:ascii="宋体" w:hAnsi="宋体" w:eastAsia="宋体" w:cs="宋体"/>
          <w:color w:val="auto"/>
          <w:sz w:val="24"/>
          <w:szCs w:val="36"/>
          <w:highlight w:val="none"/>
        </w:rPr>
        <w:t xml:space="preserve">出具</w:t>
      </w:r>
      <w:r>
        <w:rPr>
          <w:rFonts w:hint="eastAsia" w:ascii="宋体" w:hAnsi="宋体" w:eastAsia="宋体" w:cs="宋体"/>
          <w:color w:val="auto"/>
          <w:highlight w:val="none"/>
          <w:lang w:bidi="ar"/>
        </w:rPr>
        <w:t xml:space="preserve">符合要求的《关于符合本国产品标准的声明函》（格式见第三章》）或财政部会同有关部门规定的有关证明文件的，将按照评定成交标准享受价格评审优惠政策。</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注：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响应单位必须保证全部响应资料的真实性，如有虚假或对采购文件所要求说明的情况故意隐瞒或虚报，视为未实质性响应谈判文件，响应无效。</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如供应商响应文件中某些条款不响应谈判文件提出的全部服务内容与要求，须在偏离表中逐条列出，未列出的视同响应。</w:t>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3.2响应报价</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3.2.1响应报价应包括为提供本合同约定的采购货物及与其相关的所有服务而发生的一切成本、费用、支出及合理利润。除非合同条款中另有规定，供应商所报价格在合同实施期间不因市场变化因素而变动。</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ascii="宋体" w:hAnsi="宋体" w:eastAsia="宋体" w:cs="宋体"/>
          <w:color w:val="auto"/>
          <w:highlight w:val="none"/>
          <w:lang w:bidi="ar"/>
        </w:rPr>
        <w:t xml:space="preserve">3.2.2如果谈判文件要求分标段投标的，则供应商可以根据自身经营许可范围，选择响应其中部分或者全部标段，但各标段应分别计算填写单价和总</w:t>
      </w:r>
      <w:r>
        <w:rPr>
          <w:rFonts w:hint="eastAsia" w:cs="宋体" w:asciiTheme="minorEastAsia" w:hAnsiTheme="minorEastAsia"/>
          <w:color w:val="auto"/>
          <w:highlight w:val="none"/>
          <w:lang w:bidi="ar"/>
        </w:rPr>
        <w:t xml:space="preserve">价。</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3.2.3供应商应对谈判文件内所要采购的的全部内容进行报价，只对其中部分内容报价的，响应无效。</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3.2.4一项采购内容只允许一个报价，任何有选择性响应报价的，其响应无效。</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3.2.5任意一次报价（包括首次报价、多轮报价）超过谈判文件中规定的预算金额或者最高限价的，包括报的各标的物的单价超过预算单价的（针对采购文件标明预算单价的项目），</w:t>
      </w:r>
      <w:r>
        <w:rPr>
          <w:rFonts w:hint="eastAsia" w:cs="宋体" w:asciiTheme="minorEastAsia" w:hAnsiTheme="minorEastAsia"/>
          <w:b/>
          <w:bCs/>
          <w:color w:val="auto"/>
          <w:highlight w:val="none"/>
          <w:lang w:bidi="ar"/>
        </w:rPr>
        <w:t xml:space="preserve">其响应文件按无效文件处理</w:t>
      </w:r>
      <w:r>
        <w:rPr>
          <w:rFonts w:hint="eastAsia" w:cs="宋体" w:asciiTheme="minorEastAsia" w:hAnsiTheme="minorEastAsia"/>
          <w:color w:val="auto"/>
          <w:highlight w:val="none"/>
          <w:lang w:bidi="ar"/>
        </w:rPr>
        <w:t xml:space="preserve">。</w:t>
      </w:r>
      <w:r/>
    </w:p>
    <w:p>
      <w:pPr>
        <w:ind w:firstLine="480"/>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color w:val="auto"/>
          <w:highlight w:val="none"/>
          <w:lang w:bidi="ar"/>
        </w:rPr>
        <w:t xml:space="preserve">3.2.6</w:t>
      </w:r>
      <w:r>
        <w:rPr>
          <w:rFonts w:hint="eastAsia" w:cs="宋体" w:asciiTheme="minorEastAsia" w:hAnsiTheme="minorEastAsia"/>
          <w:b/>
          <w:bCs/>
          <w:color w:val="auto"/>
          <w:highlight w:val="none"/>
          <w:lang w:bidi="ar"/>
        </w:rPr>
        <w:t xml:space="preserve">除因谈判文件修改导致成本增加外，供应商二次报价超过第一次报价的，其响应文件按无效处理。</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3.2.7报价的大写金额和小写</w:t>
      </w:r>
      <w:r>
        <w:rPr>
          <w:rFonts w:hint="eastAsia" w:ascii="宋体" w:hAnsi="宋体" w:eastAsia="宋体" w:cs="宋体"/>
          <w:color w:val="auto"/>
          <w:sz w:val="24"/>
          <w:szCs w:val="36"/>
          <w:highlight w:val="none"/>
        </w:rPr>
        <w:t xml:space="preserve">金额</w:t>
      </w:r>
      <w:r>
        <w:rPr>
          <w:rFonts w:hint="eastAsia" w:cs="宋体" w:asciiTheme="minorEastAsia" w:hAnsiTheme="minorEastAsia"/>
          <w:color w:val="auto"/>
          <w:highlight w:val="none"/>
          <w:lang w:bidi="ar"/>
        </w:rPr>
        <w:t xml:space="preserve">不一致的，以大写金额为准。</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3.2.8单价金额小数点或者百分比有明显错位的，以该次报价总价为准。</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3.2.9总价金额与按单价</w:t>
      </w:r>
      <w:r>
        <w:rPr>
          <w:rFonts w:hint="eastAsia" w:ascii="宋体" w:hAnsi="宋体" w:eastAsia="宋体" w:cs="宋体"/>
          <w:color w:val="auto"/>
          <w:sz w:val="24"/>
          <w:szCs w:val="36"/>
          <w:highlight w:val="none"/>
        </w:rPr>
        <w:t xml:space="preserve">汇总</w:t>
      </w:r>
      <w:r>
        <w:rPr>
          <w:rFonts w:hint="eastAsia" w:cs="宋体" w:asciiTheme="minorEastAsia" w:hAnsiTheme="minorEastAsia"/>
          <w:color w:val="auto"/>
          <w:highlight w:val="none"/>
          <w:lang w:bidi="ar"/>
        </w:rPr>
        <w:t xml:space="preserve">金额不一致的，以单价金额计算结果为准。</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3.2.10响应文件报价中的单价和总价全部采用人民币表示，除非另有规定。</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3.3谈判保证金：无</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3.4电子投标（响应）文件的编制与递交</w:t>
      </w:r>
      <w:r/>
    </w:p>
    <w:p>
      <w:pPr>
        <w:ind w:firstLine="480"/>
        <w:jc w:val="both"/>
        <w:spacing w:line="360" w:lineRule="auto"/>
        <w:widowControl w:val="off"/>
        <w:rPr>
          <w:rFonts w:hint="eastAsia" w:cs="宋体" w:asciiTheme="minorEastAsia" w:hAnsiTheme="minorEastAsia"/>
          <w:color w:val="auto"/>
          <w:highlight w:val="none"/>
          <w:lang w:bidi="ar"/>
        </w:rPr>
      </w:pPr>
      <w:r/>
      <w:bookmarkStart w:id="45" w:name="_Hlk157941471"/>
      <w:r/>
      <w:bookmarkStart w:id="46" w:name="_Hlk159235635"/>
      <w:r>
        <w:rPr>
          <w:rFonts w:hint="eastAsia" w:cs="宋体" w:asciiTheme="minorEastAsia" w:hAnsiTheme="minorEastAsia"/>
          <w:color w:val="auto"/>
          <w:highlight w:val="none"/>
          <w:lang w:bidi="ar"/>
        </w:rPr>
        <w:t xml:space="preserve">3.4.1电子投标（响应）文件制作：本项目为网上招投标项目，请供应商插入CA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bookmarkEnd w:id="45"/>
      <w:r>
        <w:rPr>
          <w:rFonts w:hint="eastAsia" w:cs="宋体" w:asciiTheme="minorEastAsia" w:hAnsiTheme="minorEastAsia"/>
          <w:color w:val="auto"/>
          <w:highlight w:val="none"/>
          <w:lang w:bidi="ar"/>
        </w:rPr>
        <w:t xml:space="preserve">。</w:t>
      </w:r>
      <w:bookmarkEnd w:id="46"/>
      <w:r/>
      <w:r/>
    </w:p>
    <w:p>
      <w:pPr>
        <w:ind w:firstLine="480"/>
        <w:jc w:val="both"/>
        <w:spacing w:line="360" w:lineRule="auto"/>
        <w:widowControl w:val="off"/>
        <w:rPr>
          <w:rFonts w:hint="eastAsia" w:cs="宋体" w:asciiTheme="minorEastAsia" w:hAnsiTheme="minorEastAsia"/>
          <w:color w:val="auto"/>
          <w:highlight w:val="none"/>
          <w:lang w:bidi="ar"/>
        </w:rPr>
      </w:pPr>
      <w:r/>
      <w:bookmarkStart w:id="47" w:name="_Hlk157941597"/>
      <w:r/>
      <w:bookmarkStart w:id="48" w:name="_Hlk159235644"/>
      <w:r>
        <w:rPr>
          <w:rFonts w:hint="eastAsia" w:cs="宋体" w:asciiTheme="minorEastAsia" w:hAnsiTheme="minorEastAsia"/>
          <w:color w:val="auto"/>
          <w:highlight w:val="none"/>
          <w:lang w:bidi="ar"/>
        </w:rPr>
        <w:t xml:space="preserve">3.4.2电子投标（响应)文件递交：供应商应当按照《操作手册》指引，</w:t>
      </w:r>
      <w:r>
        <w:rPr>
          <w:rFonts w:hint="eastAsia" w:cs="宋体" w:asciiTheme="minorEastAsia" w:hAnsiTheme="minorEastAsia"/>
          <w:b/>
          <w:bCs/>
          <w:color w:val="auto"/>
          <w:highlight w:val="none"/>
          <w:lang w:bidi="ar"/>
        </w:rPr>
        <w:t xml:space="preserve">在投标（响应）文件提交截止时间前完成电子投标（响应）文件的上传，未按要求成功上传的投标（响应）文件视为未递交</w:t>
      </w:r>
      <w:r>
        <w:rPr>
          <w:rFonts w:hint="eastAsia" w:cs="宋体" w:asciiTheme="minorEastAsia" w:hAnsiTheme="minorEastAsia"/>
          <w:color w:val="auto"/>
          <w:highlight w:val="none"/>
          <w:lang w:bidi="ar"/>
        </w:rPr>
        <w:t xml:space="preserve">。供应商应充分考虑到网络环境、网络带宽等风险因素，如因供应商自身原因造成的电子投标（响应）文件上传不成功由供应商自行承担全部责任</w:t>
      </w:r>
      <w:bookmarkEnd w:id="47"/>
      <w:r>
        <w:rPr>
          <w:rFonts w:hint="eastAsia" w:cs="宋体" w:asciiTheme="minorEastAsia" w:hAnsiTheme="minorEastAsia"/>
          <w:color w:val="auto"/>
          <w:highlight w:val="none"/>
          <w:lang w:bidi="ar"/>
        </w:rPr>
        <w:t xml:space="preserve">。</w:t>
      </w:r>
      <w:bookmarkEnd w:id="48"/>
      <w:r/>
      <w:r/>
    </w:p>
    <w:p>
      <w:pPr>
        <w:ind w:firstLine="480"/>
        <w:jc w:val="both"/>
        <w:spacing w:line="360" w:lineRule="auto"/>
        <w:widowControl w:val="off"/>
        <w:rPr>
          <w:rFonts w:hint="eastAsia" w:cs="宋体" w:asciiTheme="minorEastAsia" w:hAnsiTheme="minorEastAsia"/>
          <w:color w:val="auto"/>
          <w:highlight w:val="none"/>
          <w:lang w:bidi="ar"/>
        </w:rPr>
      </w:pPr>
      <w:r/>
      <w:bookmarkStart w:id="49" w:name="_Hlk159235660"/>
      <w:r>
        <w:rPr>
          <w:rFonts w:hint="eastAsia" w:cs="宋体" w:asciiTheme="minorEastAsia" w:hAnsiTheme="minorEastAsia"/>
          <w:color w:val="auto"/>
          <w:highlight w:val="none"/>
          <w:lang w:bidi="ar"/>
        </w:rPr>
        <w:t xml:space="preserve">注：（1）请供应商务必保管好编制递交电子投标（响应）文件时使用的CA，如因丢失、损坏等原因更换CA锁时，需重新制作电子投标（响应）文件并递交，否则可能无法解密，因此</w:t>
      </w:r>
      <w:r>
        <w:rPr>
          <w:rFonts w:hint="eastAsia" w:ascii="宋体" w:hAnsi="宋体" w:eastAsia="宋体" w:cs="宋体"/>
          <w:color w:val="auto"/>
          <w:sz w:val="24"/>
          <w:szCs w:val="36"/>
          <w:highlight w:val="none"/>
        </w:rPr>
        <w:t xml:space="preserve">导致</w:t>
      </w:r>
      <w:r>
        <w:rPr>
          <w:rFonts w:hint="eastAsia" w:cs="宋体" w:asciiTheme="minorEastAsia" w:hAnsiTheme="minorEastAsia"/>
          <w:color w:val="auto"/>
          <w:highlight w:val="none"/>
          <w:lang w:bidi="ar"/>
        </w:rPr>
        <w:t xml:space="preserve">的响应失败等不利后果由供应商自行承担。</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（2）如本项目在政府</w:t>
      </w:r>
      <w:r>
        <w:rPr>
          <w:rFonts w:hint="eastAsia" w:ascii="宋体" w:hAnsi="宋体" w:eastAsia="宋体" w:cs="宋体"/>
          <w:color w:val="auto"/>
          <w:sz w:val="24"/>
          <w:szCs w:val="36"/>
          <w:highlight w:val="none"/>
        </w:rPr>
        <w:t xml:space="preserve">采购</w:t>
      </w:r>
      <w:r>
        <w:rPr>
          <w:rFonts w:hint="eastAsia" w:cs="宋体" w:asciiTheme="minorEastAsia" w:hAnsiTheme="minorEastAsia"/>
          <w:color w:val="auto"/>
          <w:highlight w:val="none"/>
          <w:lang w:bidi="ar"/>
        </w:rPr>
        <w:t xml:space="preserve">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bookmarkEnd w:id="49"/>
      <w:r/>
      <w:r/>
    </w:p>
    <w:p>
      <w:pPr>
        <w:ind w:firstLine="482"/>
        <w:jc w:val="both"/>
        <w:spacing w:line="360" w:lineRule="auto"/>
        <w:widowControl w:val="off"/>
        <w:rPr>
          <w:rFonts w:hint="eastAsia" w:cs="宋体" w:asciiTheme="minorEastAsia" w:hAnsiTheme="minorEastAsia"/>
          <w:b/>
          <w:bCs/>
          <w:color w:val="auto"/>
          <w:highlight w:val="none"/>
          <w:lang w:bidi="ar"/>
        </w:rPr>
      </w:pPr>
      <w:r/>
      <w:bookmarkStart w:id="50" w:name="_Hlk132648951"/>
      <w:r/>
      <w:bookmarkStart w:id="51" w:name="_Hlk132648682"/>
      <w:r/>
      <w:bookmarkStart w:id="52" w:name="_Hlk132648979"/>
      <w:r/>
      <w:bookmarkStart w:id="53" w:name="_Hlk157941668"/>
      <w:r>
        <w:rPr>
          <w:rFonts w:hint="eastAsia" w:cs="宋体" w:asciiTheme="minorEastAsia" w:hAnsiTheme="minorEastAsia"/>
          <w:b/>
          <w:bCs/>
          <w:color w:val="auto"/>
          <w:highlight w:val="none"/>
          <w:lang w:bidi="ar"/>
        </w:rPr>
        <w:t xml:space="preserve">3.4.3响应文件未按照谈判文件要求加盖CA电子公章的，响应无效。</w:t>
      </w:r>
      <w:bookmarkEnd w:id="50"/>
      <w:r/>
      <w:bookmarkEnd w:id="51"/>
      <w:r/>
      <w:bookmarkEnd w:id="52"/>
      <w:r/>
      <w:bookmarkEnd w:id="53"/>
      <w:r/>
      <w:r/>
    </w:p>
    <w:p>
      <w:pPr>
        <w:ind w:firstLine="480"/>
        <w:jc w:val="both"/>
        <w:spacing w:line="360" w:lineRule="auto"/>
        <w:widowControl w:val="off"/>
        <w:rPr>
          <w:rFonts w:hint="eastAsia" w:cs="宋体" w:asciiTheme="minorEastAsia" w:hAnsiTheme="minorEastAsia"/>
          <w:color w:val="auto"/>
          <w:highlight w:val="none"/>
          <w:lang w:bidi="ar"/>
        </w:rPr>
      </w:pPr>
      <w:r/>
      <w:bookmarkStart w:id="54" w:name="_Hlk159235709"/>
      <w:r>
        <w:rPr>
          <w:rFonts w:hint="eastAsia" w:cs="宋体" w:asciiTheme="minorEastAsia" w:hAnsiTheme="minorEastAsia"/>
          <w:color w:val="auto"/>
          <w:highlight w:val="none"/>
          <w:lang w:bidi="ar"/>
        </w:rPr>
        <w:t xml:space="preserve">3.4.4联合体投标：如招标（采购）公告中允许联合体投标，</w:t>
      </w:r>
      <w:r>
        <w:rPr>
          <w:rFonts w:hint="eastAsia" w:ascii="宋体" w:hAnsi="宋体" w:eastAsia="宋体" w:cs="宋体"/>
          <w:color w:val="auto"/>
          <w:sz w:val="24"/>
          <w:szCs w:val="36"/>
          <w:highlight w:val="none"/>
        </w:rPr>
        <w:t xml:space="preserve">联合体</w:t>
      </w:r>
      <w:r>
        <w:rPr>
          <w:rFonts w:hint="eastAsia" w:cs="宋体" w:asciiTheme="minorEastAsia" w:hAnsiTheme="minorEastAsia"/>
          <w:color w:val="auto"/>
          <w:highlight w:val="none"/>
          <w:lang w:bidi="ar"/>
        </w:rPr>
        <w:t xml:space="preserve">投标的投标（响应）文件制作上传操作如下：</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第一步：在投标（响应）文件中上传</w:t>
      </w:r>
      <w:r>
        <w:rPr>
          <w:rFonts w:hint="eastAsia" w:ascii="宋体" w:hAnsi="宋体" w:eastAsia="宋体" w:cs="宋体"/>
          <w:color w:val="auto"/>
          <w:sz w:val="24"/>
          <w:szCs w:val="36"/>
          <w:highlight w:val="none"/>
        </w:rPr>
        <w:t xml:space="preserve">联合体</w:t>
      </w:r>
      <w:r>
        <w:rPr>
          <w:rFonts w:hint="eastAsia" w:cs="宋体" w:asciiTheme="minorEastAsia" w:hAnsiTheme="minorEastAsia"/>
          <w:color w:val="auto"/>
          <w:highlight w:val="none"/>
          <w:lang w:bidi="ar"/>
        </w:rPr>
        <w:t xml:space="preserve">投标协议书。</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第二步；在投标（响应）文件中，由联</w:t>
      </w:r>
      <w:r>
        <w:rPr>
          <w:rFonts w:hint="eastAsia" w:ascii="宋体" w:hAnsi="宋体" w:eastAsia="宋体" w:cs="宋体"/>
          <w:color w:val="auto"/>
          <w:sz w:val="24"/>
          <w:szCs w:val="36"/>
          <w:highlight w:val="none"/>
        </w:rPr>
        <w:t xml:space="preserve">合</w:t>
      </w:r>
      <w:r>
        <w:rPr>
          <w:rFonts w:hint="eastAsia" w:cs="宋体" w:asciiTheme="minorEastAsia" w:hAnsiTheme="minorEastAsia"/>
          <w:color w:val="auto"/>
          <w:highlight w:val="none"/>
          <w:lang w:bidi="ar"/>
        </w:rPr>
        <w:t xml:space="preserve">体中的牵头人制作投标（响应）文件。</w:t>
      </w:r>
      <w:bookmarkEnd w:id="54"/>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3.4.5如响应文件制作机器码信息一致，视为不同投标供应商使用同一台电脑编制响应文件，响应无效。</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3.5响应文件开启、评标（评审）</w:t>
      </w:r>
      <w:r/>
    </w:p>
    <w:p>
      <w:pPr>
        <w:ind w:firstLine="480"/>
        <w:jc w:val="both"/>
        <w:spacing w:line="360" w:lineRule="auto"/>
        <w:widowControl w:val="off"/>
        <w:rPr>
          <w:rFonts w:hint="eastAsia" w:cs="宋体" w:asciiTheme="minorEastAsia" w:hAnsiTheme="minorEastAsia"/>
          <w:color w:val="auto"/>
          <w:highlight w:val="none"/>
        </w:rPr>
      </w:pPr>
      <w:r/>
      <w:bookmarkStart w:id="55" w:name="_Hlk159235808"/>
      <w:r>
        <w:rPr>
          <w:rFonts w:hint="eastAsia" w:cs="宋体" w:asciiTheme="minorEastAsia" w:hAnsiTheme="minorEastAsia"/>
          <w:color w:val="auto"/>
          <w:highlight w:val="none"/>
          <w:lang w:bidi="ar"/>
        </w:rPr>
        <w:t xml:space="preserve">3.5.1本项目为不见面开标（开启）项目，</w:t>
      </w:r>
      <w:r>
        <w:rPr>
          <w:rFonts w:hint="eastAsia" w:cs="宋体" w:asciiTheme="minorEastAsia" w:hAnsiTheme="minorEastAsia"/>
          <w:b/>
          <w:bCs/>
          <w:color w:val="auto"/>
          <w:highlight w:val="none"/>
          <w:lang w:bidi="ar"/>
        </w:rPr>
        <w:t xml:space="preserve">开启阶段供应商在【解密环节】必须使用 CA证书解密电子投标（响应）文件，请供应商确保电脑、系统及其他设备（视频输入输出设备等）无误，且开启直至项目结束始终保持系统在线状态。</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3.5.2线上参加（观看）开标（开启）会方式：登录“苏采云”系统，点击“开标大厅”，选择对应项目，点击进入不见面开标系统。</w:t>
      </w:r>
      <w:r/>
    </w:p>
    <w:p>
      <w:pPr>
        <w:ind w:firstLine="480"/>
        <w:jc w:val="both"/>
        <w:spacing w:line="360" w:lineRule="auto"/>
        <w:widowControl w:val="off"/>
        <w:rPr>
          <w:rFonts w:hint="eastAsia" w:cs="宋体" w:asciiTheme="minorEastAsia" w:hAnsiTheme="minorEastAsia"/>
          <w:color w:val="auto"/>
          <w:highlight w:val="none"/>
          <w:lang w:bidi="ar"/>
        </w:rPr>
      </w:pPr>
      <w:r/>
      <w:bookmarkStart w:id="56" w:name="_Hlk116921337"/>
      <w:r>
        <w:rPr>
          <w:rFonts w:hint="eastAsia" w:cs="宋体" w:asciiTheme="minorEastAsia" w:hAnsiTheme="minorEastAsia"/>
          <w:color w:val="auto"/>
          <w:highlight w:val="none"/>
          <w:lang w:bidi="ar"/>
        </w:rPr>
        <w:t xml:space="preserve">3.5.3响应文件开启时，</w:t>
      </w:r>
      <w:bookmarkStart w:id="57" w:name="_Hlk157947025"/>
      <w:r>
        <w:rPr>
          <w:rFonts w:hint="eastAsia" w:cs="宋体" w:asciiTheme="minorEastAsia" w:hAnsiTheme="minorEastAsia"/>
          <w:color w:val="auto"/>
          <w:highlight w:val="none"/>
          <w:lang w:bidi="ar"/>
        </w:rPr>
        <w:t xml:space="preserve">供应商应当按照《操作手册》规定，在“苏采云”系统规定的时间内对谈判响应文件进行解密。等待开标流程进入“解锁环境”，点击“点击立即解密”进行标书解密，解锁完成后及时关注开标大厅，等待后续多次报价、答疑澄清等提示，</w:t>
      </w:r>
      <w:r>
        <w:rPr>
          <w:rFonts w:hint="eastAsia" w:cs="宋体" w:asciiTheme="minorEastAsia" w:hAnsiTheme="minorEastAsia"/>
          <w:b/>
          <w:bCs/>
          <w:color w:val="auto"/>
          <w:highlight w:val="none"/>
          <w:lang w:bidi="ar"/>
        </w:rPr>
        <w:t xml:space="preserve">否则导致的对供应商不利的后果由供应商自行承担。</w:t>
      </w:r>
      <w:bookmarkEnd w:id="56"/>
      <w:r/>
      <w:bookmarkEnd w:id="57"/>
      <w:r/>
      <w:r/>
    </w:p>
    <w:p>
      <w:pPr>
        <w:ind w:firstLine="480"/>
        <w:jc w:val="both"/>
        <w:spacing w:line="360" w:lineRule="auto"/>
        <w:widowControl w:val="off"/>
        <w:rPr>
          <w:rFonts w:hint="eastAsia" w:asciiTheme="minorEastAsia" w:hAnsiTheme="minorEastAsia"/>
          <w:b/>
          <w:bCs/>
          <w:color w:val="auto"/>
          <w:highlight w:val="none"/>
          <w:lang w:bidi="ar"/>
        </w:rPr>
      </w:pPr>
      <w:r/>
      <w:bookmarkStart w:id="58" w:name="_Hlk157947180"/>
      <w:r>
        <w:rPr>
          <w:rFonts w:hint="eastAsia" w:cs="宋体" w:asciiTheme="minorEastAsia" w:hAnsiTheme="minorEastAsia"/>
          <w:color w:val="auto"/>
          <w:highlight w:val="none"/>
          <w:lang w:bidi="ar"/>
        </w:rPr>
        <w:t xml:space="preserve">3.5.4供应商在“苏采云”</w:t>
      </w:r>
      <w:r>
        <w:rPr>
          <w:rFonts w:hint="eastAsia" w:ascii="宋体" w:hAnsi="宋体" w:eastAsia="宋体" w:cs="宋体"/>
          <w:color w:val="auto"/>
          <w:sz w:val="24"/>
          <w:szCs w:val="36"/>
          <w:highlight w:val="none"/>
        </w:rPr>
        <w:t xml:space="preserve">系统</w:t>
      </w:r>
      <w:r>
        <w:rPr>
          <w:rFonts w:hint="eastAsia" w:cs="宋体" w:asciiTheme="minorEastAsia" w:hAnsiTheme="minorEastAsia"/>
          <w:color w:val="auto"/>
          <w:highlight w:val="none"/>
          <w:lang w:bidi="ar"/>
        </w:rPr>
        <w:t xml:space="preserve">规定的时间内未成功解密电子响应文件的，</w:t>
      </w:r>
      <w:r>
        <w:rPr>
          <w:rFonts w:hint="eastAsia" w:asciiTheme="minorEastAsia" w:hAnsiTheme="minorEastAsia"/>
          <w:b/>
          <w:bCs/>
          <w:color w:val="auto"/>
          <w:highlight w:val="none"/>
          <w:lang w:bidi="ar"/>
        </w:rPr>
        <w:t xml:space="preserve">响应无效。</w:t>
      </w:r>
      <w:bookmarkEnd w:id="58"/>
      <w:r/>
      <w:r/>
    </w:p>
    <w:p>
      <w:pPr>
        <w:ind w:firstLine="480"/>
        <w:jc w:val="both"/>
        <w:spacing w:line="360" w:lineRule="auto"/>
        <w:widowControl w:val="off"/>
        <w:rPr>
          <w:rFonts w:hint="eastAsia" w:asciiTheme="minorEastAsia" w:hAnsiTheme="minorEastAsia"/>
          <w:color w:val="auto"/>
          <w:highlight w:val="none"/>
          <w:lang w:bidi="ar"/>
        </w:rPr>
      </w:pPr>
      <w:r/>
      <w:bookmarkStart w:id="59" w:name="_Hlk157947204"/>
      <w:r>
        <w:rPr>
          <w:rFonts w:hint="eastAsia" w:cs="宋体" w:asciiTheme="minorEastAsia" w:hAnsiTheme="minorEastAsia"/>
          <w:color w:val="auto"/>
          <w:highlight w:val="none"/>
          <w:lang w:bidi="ar"/>
        </w:rPr>
        <w:t xml:space="preserve">3.5.5供应商电脑环境最低</w:t>
      </w:r>
      <w:r>
        <w:rPr>
          <w:rFonts w:hint="eastAsia" w:ascii="宋体" w:hAnsi="宋体" w:eastAsia="宋体" w:cs="宋体"/>
          <w:color w:val="auto"/>
          <w:sz w:val="24"/>
          <w:szCs w:val="36"/>
          <w:highlight w:val="none"/>
        </w:rPr>
        <w:t xml:space="preserve">要求</w:t>
      </w:r>
      <w:r>
        <w:rPr>
          <w:rFonts w:hint="eastAsia" w:cs="宋体" w:asciiTheme="minorEastAsia" w:hAnsiTheme="minorEastAsia"/>
          <w:color w:val="auto"/>
          <w:highlight w:val="none"/>
          <w:lang w:bidi="ar"/>
        </w:rPr>
        <w:t xml:space="preserve">：谷歌浏览器，版本可直接网上下载最新版本即可。如需收听现场语音需配置放音设备，如视频直播、互动交流使用异</w:t>
      </w:r>
      <w:r>
        <w:rPr>
          <w:rFonts w:hint="eastAsia" w:asciiTheme="minorEastAsia" w:hAnsiTheme="minorEastAsia"/>
          <w:color w:val="auto"/>
          <w:highlight w:val="none"/>
          <w:lang w:bidi="ar"/>
        </w:rPr>
        <w:t xml:space="preserve">常，请刷新网页，如仍无法解决，请联系技术支持</w:t>
      </w:r>
      <w:bookmarkEnd w:id="59"/>
      <w:r>
        <w:rPr>
          <w:rFonts w:hint="eastAsia" w:asciiTheme="minorEastAsia" w:hAnsiTheme="minorEastAsia"/>
          <w:color w:val="auto"/>
          <w:highlight w:val="none"/>
          <w:lang w:bidi="ar"/>
        </w:rPr>
        <w:t xml:space="preserve">。</w:t>
      </w:r>
      <w:bookmarkEnd w:id="55"/>
      <w:r/>
      <w:r/>
    </w:p>
    <w:p>
      <w:pPr>
        <w:ind w:firstLine="480"/>
        <w:jc w:val="both"/>
        <w:spacing w:line="360" w:lineRule="auto"/>
        <w:widowControl w:val="off"/>
        <w:rPr>
          <w:rFonts w:hint="eastAsia" w:asciiTheme="minorEastAsia" w:hAnsiTheme="minorEastAsia"/>
          <w:color w:val="auto"/>
          <w:highlight w:val="none"/>
          <w:lang w:bidi="ar"/>
        </w:rPr>
      </w:pPr>
      <w:r>
        <w:rPr>
          <w:rFonts w:hint="eastAsia" w:cs="宋体" w:asciiTheme="minorEastAsia" w:hAnsiTheme="minorEastAsia"/>
          <w:color w:val="auto"/>
          <w:highlight w:val="none"/>
          <w:lang w:bidi="ar"/>
        </w:rPr>
        <w:t xml:space="preserve">3.5.6开标大厅系统出现故障、断电断网等特殊情形导致无法直播时，交易中心将通过微信直播对外公布相关</w:t>
      </w:r>
      <w:r>
        <w:rPr>
          <w:rFonts w:hint="eastAsia" w:ascii="宋体" w:hAnsi="宋体" w:eastAsia="宋体" w:cs="宋体"/>
          <w:color w:val="auto"/>
          <w:sz w:val="24"/>
          <w:szCs w:val="36"/>
          <w:highlight w:val="none"/>
        </w:rPr>
        <w:t xml:space="preserve">情况</w:t>
      </w:r>
      <w:r>
        <w:rPr>
          <w:rFonts w:hint="eastAsia" w:asciiTheme="minorEastAsia" w:hAnsiTheme="minorEastAsia"/>
          <w:color w:val="auto"/>
          <w:highlight w:val="none"/>
          <w:lang w:bidi="ar"/>
        </w:rPr>
        <w:t xml:space="preserve">，供应商可登录微信直播平台（微信-发现-直播-搜索视频号“园小易直播”）观看现场实况。</w:t>
      </w:r>
      <w:r/>
    </w:p>
    <w:p>
      <w:pPr>
        <w:ind w:firstLine="480"/>
        <w:jc w:val="both"/>
        <w:spacing w:line="360" w:lineRule="auto"/>
        <w:widowControl w:val="off"/>
        <w:rPr>
          <w:rFonts w:hint="eastAsia" w:asciiTheme="minorEastAsia" w:hAnsiTheme="minorEastAsia"/>
          <w:b/>
          <w:bCs/>
          <w:color w:val="auto"/>
          <w:highlight w:val="none"/>
          <w:lang w:bidi="ar"/>
        </w:rPr>
      </w:pPr>
      <w:r>
        <w:rPr>
          <w:rFonts w:hint="eastAsia" w:cs="宋体" w:asciiTheme="minorEastAsia" w:hAnsiTheme="minorEastAsia"/>
          <w:color w:val="auto"/>
          <w:highlight w:val="none"/>
          <w:lang w:bidi="ar"/>
        </w:rPr>
        <w:t xml:space="preserve">3.6</w:t>
      </w:r>
      <w:r>
        <w:rPr>
          <w:rFonts w:hint="eastAsia" w:asciiTheme="minorEastAsia" w:hAnsiTheme="minorEastAsia"/>
          <w:b/>
          <w:bCs/>
          <w:color w:val="auto"/>
          <w:highlight w:val="none"/>
          <w:lang w:bidi="ar"/>
        </w:rPr>
        <w:t xml:space="preserve">技术支持</w:t>
      </w:r>
      <w:r/>
    </w:p>
    <w:p>
      <w:pPr>
        <w:ind w:firstLine="480"/>
        <w:jc w:val="both"/>
        <w:spacing w:line="360" w:lineRule="auto"/>
        <w:widowControl w:val="off"/>
        <w:rPr>
          <w:rFonts w:hint="eastAsia" w:cs="宋体" w:asciiTheme="minorEastAsia" w:hAnsiTheme="minorEastAsia"/>
          <w:color w:val="auto"/>
          <w:highlight w:val="none"/>
          <w:lang w:bidi="ar"/>
        </w:rPr>
      </w:pPr>
      <w:r/>
      <w:bookmarkStart w:id="60" w:name="_Hlk159235826"/>
      <w:r>
        <w:rPr>
          <w:rFonts w:hint="eastAsia" w:cs="宋体" w:asciiTheme="minorEastAsia" w:hAnsiTheme="minorEastAsia"/>
          <w:color w:val="auto"/>
          <w:highlight w:val="none"/>
          <w:lang w:bidi="ar"/>
        </w:rPr>
        <w:t xml:space="preserve">3.6.1 CA技术咨询服务电话：400-608-6099</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电子签章技术咨询服务电话：15380932027、15371015030 、13675197356、 13675197221 </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“苏采云”平台技术</w:t>
      </w:r>
      <w:r>
        <w:rPr>
          <w:rFonts w:hint="eastAsia" w:ascii="宋体" w:hAnsi="宋体" w:eastAsia="宋体" w:cs="宋体"/>
          <w:color w:val="auto"/>
          <w:sz w:val="24"/>
          <w:szCs w:val="36"/>
          <w:highlight w:val="none"/>
        </w:rPr>
        <w:t xml:space="preserve">咨询</w:t>
      </w:r>
      <w:r>
        <w:rPr>
          <w:rFonts w:hint="eastAsia" w:cs="宋体" w:asciiTheme="minorEastAsia" w:hAnsiTheme="minorEastAsia"/>
          <w:color w:val="auto"/>
          <w:highlight w:val="none"/>
          <w:lang w:bidi="ar"/>
        </w:rPr>
        <w:t xml:space="preserve">电话：0519-86722802、13914088964、18261002950</w:t>
      </w:r>
      <w:bookmarkEnd w:id="60"/>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3.6.2网络中断故障技术支持：园区公共资源交易中心</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服务时间及方式：8:00-21:00 X7天</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电话： 0512-66605052；手机</w:t>
      </w:r>
      <w:r>
        <w:rPr>
          <w:rFonts w:hint="eastAsia" w:ascii="宋体" w:hAnsi="宋体" w:eastAsia="宋体" w:cs="宋体"/>
          <w:color w:val="auto"/>
          <w:sz w:val="24"/>
          <w:szCs w:val="36"/>
          <w:highlight w:val="none"/>
        </w:rPr>
        <w:t xml:space="preserve">： </w:t>
      </w:r>
      <w:r>
        <w:rPr>
          <w:rFonts w:hint="eastAsia" w:cs="宋体" w:asciiTheme="minorEastAsia" w:hAnsiTheme="minorEastAsia"/>
          <w:color w:val="auto"/>
          <w:highlight w:val="none"/>
          <w:lang w:bidi="ar"/>
        </w:rPr>
        <w:t xml:space="preserve">17315885859</w:t>
      </w:r>
      <w:r/>
    </w:p>
    <w:p>
      <w:pPr>
        <w:ind w:firstLine="482"/>
        <w:jc w:val="both"/>
        <w:spacing w:line="360" w:lineRule="auto"/>
        <w:widowControl w:val="off"/>
        <w:rPr>
          <w:rFonts w:hint="eastAsia" w:asciiTheme="minorEastAsia" w:hAnsiTheme="minorEastAsia"/>
          <w:b/>
          <w:bCs/>
          <w:color w:val="auto"/>
          <w:highlight w:val="none"/>
          <w:lang w:bidi="ar"/>
        </w:rPr>
      </w:pPr>
      <w:r>
        <w:rPr>
          <w:rFonts w:hint="eastAsia" w:asciiTheme="minorEastAsia" w:hAnsiTheme="minorEastAsia"/>
          <w:b/>
          <w:bCs/>
          <w:color w:val="auto"/>
          <w:highlight w:val="none"/>
          <w:lang w:bidi="ar"/>
        </w:rPr>
        <w:t xml:space="preserve">3.7响应文件的修改和撤回</w:t>
      </w:r>
      <w:r/>
    </w:p>
    <w:p>
      <w:pPr>
        <w:ind w:firstLine="480"/>
        <w:jc w:val="both"/>
        <w:spacing w:line="360" w:lineRule="auto"/>
        <w:widowControl w:val="off"/>
        <w:rPr>
          <w:rFonts w:hint="eastAsia" w:asciiTheme="minorEastAsia" w:hAnsiTheme="minorEastAsia"/>
          <w:color w:val="auto"/>
          <w:highlight w:val="none"/>
          <w:lang w:bidi="ar"/>
        </w:rPr>
      </w:pPr>
      <w:r>
        <w:rPr>
          <w:rFonts w:hint="eastAsia" w:asciiTheme="minorEastAsia" w:hAnsiTheme="minorEastAsia"/>
          <w:color w:val="auto"/>
          <w:highlight w:val="none"/>
          <w:lang w:bidi="ar"/>
        </w:rPr>
        <w:t xml:space="preserve">3.7.1供应商在提交投标（响应）文件截止时间前，</w:t>
      </w:r>
      <w:bookmarkStart w:id="61" w:name="_Hlk157942116"/>
      <w:r>
        <w:rPr>
          <w:rFonts w:hint="eastAsia" w:asciiTheme="minorEastAsia" w:hAnsiTheme="minorEastAsia"/>
          <w:color w:val="auto"/>
          <w:highlight w:val="none"/>
          <w:lang w:bidi="ar"/>
        </w:rPr>
        <w:t xml:space="preserve">可以对所递交的投标（响应）文件进行补充、</w:t>
      </w:r>
      <w:r>
        <w:rPr>
          <w:rFonts w:hint="eastAsia" w:cs="宋体" w:asciiTheme="minorEastAsia" w:hAnsiTheme="minorEastAsia"/>
          <w:color w:val="auto"/>
          <w:highlight w:val="none"/>
          <w:lang w:bidi="ar"/>
        </w:rPr>
        <w:t xml:space="preserve">修改或者撤回</w:t>
      </w:r>
      <w:r>
        <w:rPr>
          <w:rFonts w:hint="eastAsia" w:asciiTheme="minorEastAsia" w:hAnsiTheme="minorEastAsia"/>
          <w:color w:val="auto"/>
          <w:highlight w:val="none"/>
          <w:lang w:bidi="ar"/>
        </w:rPr>
        <w:t xml:space="preserve">，具体操作方法见《操作手册》。提交投标（响应）文件截止时间后</w:t>
      </w:r>
      <w:r>
        <w:rPr>
          <w:rFonts w:hint="eastAsia" w:ascii="宋体" w:hAnsi="宋体" w:eastAsia="宋体" w:cs="宋体"/>
          <w:color w:val="auto"/>
          <w:sz w:val="24"/>
          <w:szCs w:val="36"/>
          <w:highlight w:val="none"/>
        </w:rPr>
        <w:t xml:space="preserve">供应商</w:t>
      </w:r>
      <w:r>
        <w:rPr>
          <w:rFonts w:hint="eastAsia" w:asciiTheme="minorEastAsia" w:hAnsiTheme="minorEastAsia"/>
          <w:color w:val="auto"/>
          <w:highlight w:val="none"/>
          <w:lang w:bidi="ar"/>
        </w:rPr>
        <w:t xml:space="preserve">不得撤回投标（响应）文件。供应商撤回投标（响应）文件，则认为其不再参与本项目采购活动</w:t>
      </w:r>
      <w:bookmarkEnd w:id="61"/>
      <w:r>
        <w:rPr>
          <w:rFonts w:hint="eastAsia" w:asciiTheme="minorEastAsia" w:hAnsiTheme="minorEastAsia"/>
          <w:color w:val="auto"/>
          <w:highlight w:val="none"/>
          <w:lang w:bidi="ar"/>
        </w:rPr>
        <w:t xml:space="preserve">。</w:t>
      </w:r>
      <w:r/>
    </w:p>
    <w:p>
      <w:pPr>
        <w:ind w:firstLine="482"/>
        <w:jc w:val="both"/>
        <w:spacing w:line="360" w:lineRule="auto"/>
        <w:widowControl w:val="off"/>
        <w:rPr>
          <w:rFonts w:hint="eastAsia" w:asciiTheme="minorEastAsia" w:hAnsiTheme="minorEastAsia"/>
          <w:b/>
          <w:bCs/>
          <w:color w:val="auto"/>
          <w:highlight w:val="none"/>
          <w:lang w:bidi="ar"/>
        </w:rPr>
      </w:pPr>
      <w:r>
        <w:rPr>
          <w:rFonts w:hint="eastAsia" w:asciiTheme="minorEastAsia" w:hAnsiTheme="minorEastAsia"/>
          <w:b/>
          <w:bCs/>
          <w:color w:val="auto"/>
          <w:highlight w:val="none"/>
          <w:lang w:bidi="ar"/>
        </w:rPr>
        <w:t xml:space="preserve">4、谈判小组</w:t>
      </w:r>
      <w:r/>
    </w:p>
    <w:p>
      <w:pPr>
        <w:ind w:firstLine="480"/>
        <w:jc w:val="both"/>
        <w:spacing w:line="360" w:lineRule="auto"/>
        <w:widowControl w:val="off"/>
        <w:rPr>
          <w:rFonts w:hint="eastAsia" w:asciiTheme="minorEastAsia" w:hAnsiTheme="minorEastAsia"/>
          <w:color w:val="auto"/>
          <w:highlight w:val="none"/>
          <w:lang w:bidi="ar"/>
        </w:rPr>
      </w:pPr>
      <w:r>
        <w:rPr>
          <w:rFonts w:hint="eastAsia" w:asciiTheme="minorEastAsia" w:hAnsiTheme="minorEastAsia"/>
          <w:color w:val="auto"/>
          <w:highlight w:val="none"/>
          <w:lang w:bidi="ar"/>
        </w:rPr>
        <w:t xml:space="preserve">4.1</w:t>
      </w:r>
      <w:r>
        <w:rPr>
          <w:rFonts w:hint="eastAsia" w:cs="宋体" w:asciiTheme="minorEastAsia" w:hAnsiTheme="minorEastAsia"/>
          <w:color w:val="auto"/>
          <w:highlight w:val="none"/>
          <w:lang w:bidi="ar"/>
        </w:rPr>
        <w:t xml:space="preserve">谈判小组由采购人代表和评审专家共</w:t>
      </w:r>
      <w:r>
        <w:rPr>
          <w:rFonts w:hint="eastAsia" w:asciiTheme="minorEastAsia" w:hAnsiTheme="minorEastAsia"/>
          <w:color w:val="auto"/>
          <w:highlight w:val="none"/>
          <w:lang w:bidi="ar"/>
        </w:rPr>
        <w:t xml:space="preserve">3人以上单数组成。如某一评审项出现评审专家意见不一致时，则按少数服从多数的原则确定该评审项结论。</w:t>
      </w:r>
      <w:r/>
    </w:p>
    <w:p>
      <w:pPr>
        <w:ind w:firstLine="480"/>
        <w:jc w:val="both"/>
        <w:spacing w:line="360" w:lineRule="auto"/>
        <w:widowControl w:val="off"/>
        <w:rPr>
          <w:rFonts w:hint="eastAsia" w:asciiTheme="minorEastAsia" w:hAnsiTheme="minorEastAsia"/>
          <w:color w:val="auto"/>
          <w:highlight w:val="none"/>
          <w:lang w:bidi="ar"/>
        </w:rPr>
      </w:pPr>
      <w:r>
        <w:rPr>
          <w:rFonts w:hint="eastAsia" w:asciiTheme="minorEastAsia" w:hAnsiTheme="minorEastAsia"/>
          <w:color w:val="auto"/>
          <w:highlight w:val="none"/>
          <w:lang w:bidi="ar"/>
        </w:rPr>
        <w:t xml:space="preserve">4.2谈判小组与参加采购</w:t>
      </w:r>
      <w:r>
        <w:rPr>
          <w:rFonts w:hint="eastAsia" w:ascii="宋体" w:hAnsi="宋体" w:eastAsia="宋体" w:cs="宋体"/>
          <w:color w:val="auto"/>
          <w:sz w:val="24"/>
          <w:szCs w:val="36"/>
          <w:highlight w:val="none"/>
        </w:rPr>
        <w:t xml:space="preserve">活动</w:t>
      </w:r>
      <w:r>
        <w:rPr>
          <w:rFonts w:hint="eastAsia" w:asciiTheme="minorEastAsia" w:hAnsiTheme="minorEastAsia"/>
          <w:color w:val="auto"/>
          <w:highlight w:val="none"/>
          <w:lang w:bidi="ar"/>
        </w:rPr>
        <w:t xml:space="preserve">的供应商存在下列利害关系之一的，应当回避：</w:t>
      </w:r>
      <w:r/>
    </w:p>
    <w:p>
      <w:pPr>
        <w:ind w:firstLine="480"/>
        <w:jc w:val="both"/>
        <w:spacing w:line="360" w:lineRule="auto"/>
        <w:widowControl w:val="off"/>
        <w:rPr>
          <w:rFonts w:hint="eastAsia" w:asciiTheme="minorEastAsia" w:hAnsiTheme="minorEastAsia"/>
          <w:color w:val="auto"/>
          <w:highlight w:val="none"/>
          <w:lang w:bidi="ar"/>
        </w:rPr>
      </w:pPr>
      <w:r>
        <w:rPr>
          <w:rFonts w:hint="eastAsia" w:asciiTheme="minorEastAsia" w:hAnsiTheme="minorEastAsia"/>
          <w:color w:val="auto"/>
          <w:highlight w:val="none"/>
          <w:lang w:bidi="ar"/>
        </w:rPr>
        <w:t xml:space="preserve">(一)参加采购活动前三年内，</w:t>
      </w:r>
      <w:r>
        <w:rPr>
          <w:rFonts w:hint="eastAsia" w:cs="宋体" w:asciiTheme="minorEastAsia" w:hAnsiTheme="minorEastAsia"/>
          <w:color w:val="auto"/>
          <w:highlight w:val="none"/>
          <w:lang w:bidi="ar"/>
        </w:rPr>
        <w:t xml:space="preserve">与供应商存在劳动关系</w:t>
      </w:r>
      <w:r>
        <w:rPr>
          <w:rFonts w:hint="eastAsia" w:asciiTheme="minorEastAsia" w:hAnsiTheme="minorEastAsia"/>
          <w:color w:val="auto"/>
          <w:highlight w:val="none"/>
          <w:lang w:bidi="ar"/>
        </w:rPr>
        <w:t xml:space="preserve">，或者担任过供应商的董事、监事，或者是</w:t>
      </w:r>
      <w:r>
        <w:rPr>
          <w:rFonts w:hint="eastAsia" w:ascii="宋体" w:hAnsi="宋体" w:eastAsia="宋体" w:cs="宋体"/>
          <w:color w:val="auto"/>
          <w:sz w:val="24"/>
          <w:szCs w:val="36"/>
          <w:highlight w:val="none"/>
        </w:rPr>
        <w:t xml:space="preserve">供应商</w:t>
      </w:r>
      <w:r>
        <w:rPr>
          <w:rFonts w:hint="eastAsia" w:asciiTheme="minorEastAsia" w:hAnsiTheme="minorEastAsia"/>
          <w:color w:val="auto"/>
          <w:highlight w:val="none"/>
          <w:lang w:bidi="ar"/>
        </w:rPr>
        <w:t xml:space="preserve">的控股股东或实际控制人；</w:t>
      </w:r>
      <w:r/>
    </w:p>
    <w:p>
      <w:pPr>
        <w:ind w:firstLine="480"/>
        <w:jc w:val="both"/>
        <w:spacing w:line="360" w:lineRule="auto"/>
        <w:widowControl w:val="off"/>
        <w:rPr>
          <w:rFonts w:hint="eastAsia" w:asciiTheme="minorEastAsia" w:hAnsiTheme="minorEastAsia"/>
          <w:color w:val="auto"/>
          <w:highlight w:val="none"/>
          <w:lang w:bidi="ar"/>
        </w:rPr>
      </w:pPr>
      <w:r>
        <w:rPr>
          <w:rFonts w:hint="eastAsia" w:asciiTheme="minorEastAsia" w:hAnsiTheme="minorEastAsia"/>
          <w:color w:val="auto"/>
          <w:highlight w:val="none"/>
          <w:lang w:bidi="ar"/>
        </w:rPr>
        <w:t xml:space="preserve">(二)</w:t>
      </w:r>
      <w:r>
        <w:rPr>
          <w:rFonts w:hint="eastAsia" w:cs="宋体" w:asciiTheme="minorEastAsia" w:hAnsiTheme="minorEastAsia"/>
          <w:color w:val="auto"/>
          <w:highlight w:val="none"/>
          <w:lang w:bidi="ar"/>
        </w:rPr>
        <w:t xml:space="preserve">与供应商的法定</w:t>
      </w:r>
      <w:r>
        <w:rPr>
          <w:rFonts w:hint="eastAsia" w:ascii="宋体" w:hAnsi="宋体" w:eastAsia="宋体" w:cs="宋体"/>
          <w:color w:val="auto"/>
          <w:sz w:val="24"/>
          <w:szCs w:val="36"/>
          <w:highlight w:val="none"/>
        </w:rPr>
        <w:t xml:space="preserve">代表人</w:t>
      </w:r>
      <w:r>
        <w:rPr>
          <w:rFonts w:hint="eastAsia" w:cs="宋体" w:asciiTheme="minorEastAsia" w:hAnsiTheme="minorEastAsia"/>
          <w:color w:val="auto"/>
          <w:highlight w:val="none"/>
          <w:lang w:bidi="ar"/>
        </w:rPr>
        <w:t xml:space="preserve">或者负责人有夫妻</w:t>
      </w:r>
      <w:r>
        <w:rPr>
          <w:rFonts w:hint="eastAsia" w:asciiTheme="minorEastAsia" w:hAnsiTheme="minorEastAsia"/>
          <w:color w:val="auto"/>
          <w:highlight w:val="none"/>
          <w:lang w:bidi="ar"/>
        </w:rPr>
        <w:t xml:space="preserve">、直系血亲、三代以内旁系血亲或者近姻亲关系；</w:t>
      </w:r>
      <w:r/>
    </w:p>
    <w:p>
      <w:pPr>
        <w:ind w:firstLine="480"/>
        <w:jc w:val="both"/>
        <w:spacing w:line="360" w:lineRule="auto"/>
        <w:widowControl w:val="off"/>
        <w:rPr>
          <w:rFonts w:hint="eastAsia" w:asciiTheme="minorEastAsia" w:hAnsiTheme="minorEastAsia"/>
          <w:color w:val="auto"/>
          <w:highlight w:val="none"/>
          <w:lang w:bidi="ar"/>
        </w:rPr>
      </w:pPr>
      <w:r>
        <w:rPr>
          <w:rFonts w:hint="eastAsia" w:asciiTheme="minorEastAsia" w:hAnsiTheme="minorEastAsia"/>
          <w:color w:val="auto"/>
          <w:highlight w:val="none"/>
          <w:lang w:bidi="ar"/>
        </w:rPr>
        <w:t xml:space="preserve">(三)</w:t>
      </w:r>
      <w:r>
        <w:rPr>
          <w:rFonts w:hint="eastAsia" w:cs="宋体" w:asciiTheme="minorEastAsia" w:hAnsiTheme="minorEastAsia"/>
          <w:color w:val="auto"/>
          <w:highlight w:val="none"/>
          <w:lang w:bidi="ar"/>
        </w:rPr>
        <w:t xml:space="preserve">与供应商有其他可能影响政府采购活动公平</w:t>
      </w:r>
      <w:r>
        <w:rPr>
          <w:rFonts w:hint="eastAsia" w:asciiTheme="minorEastAsia" w:hAnsiTheme="minorEastAsia"/>
          <w:color w:val="auto"/>
          <w:highlight w:val="none"/>
          <w:lang w:bidi="ar"/>
        </w:rPr>
        <w:t xml:space="preserve">、公正进行的关系。</w:t>
      </w:r>
      <w:r/>
    </w:p>
    <w:p>
      <w:pPr>
        <w:ind w:firstLine="480"/>
        <w:jc w:val="both"/>
        <w:spacing w:line="360" w:lineRule="auto"/>
        <w:widowControl w:val="off"/>
        <w:rPr>
          <w:rFonts w:hint="eastAsia" w:asciiTheme="minorEastAsia" w:hAnsiTheme="minorEastAsia"/>
          <w:color w:val="auto"/>
          <w:highlight w:val="none"/>
          <w:lang w:bidi="ar"/>
        </w:rPr>
      </w:pPr>
      <w:r>
        <w:rPr>
          <w:rFonts w:hint="eastAsia" w:cs="宋体" w:asciiTheme="minorEastAsia" w:hAnsiTheme="minorEastAsia"/>
          <w:color w:val="auto"/>
          <w:highlight w:val="none"/>
          <w:lang w:bidi="ar"/>
        </w:rPr>
        <w:t xml:space="preserve">谈判小组发现本人与参加采购活动的供应商有利害关系的</w:t>
      </w:r>
      <w:r>
        <w:rPr>
          <w:rFonts w:hint="eastAsia" w:asciiTheme="minorEastAsia" w:hAnsiTheme="minorEastAsia"/>
          <w:color w:val="auto"/>
          <w:highlight w:val="none"/>
          <w:lang w:bidi="ar"/>
        </w:rPr>
        <w:t xml:space="preserve">，应当主动提出回避。</w:t>
      </w:r>
      <w:r>
        <w:rPr>
          <w:rFonts w:hint="eastAsia" w:cs="宋体" w:asciiTheme="minorEastAsia" w:hAnsiTheme="minorEastAsia"/>
          <w:color w:val="auto"/>
          <w:highlight w:val="none"/>
          <w:lang w:bidi="ar"/>
        </w:rPr>
        <w:t xml:space="preserve">采购人或者采购代理机构发现谈判小组与参加采购活动的供应商有利害关系的</w:t>
      </w:r>
      <w:r>
        <w:rPr>
          <w:rFonts w:hint="eastAsia" w:asciiTheme="minorEastAsia" w:hAnsiTheme="minorEastAsia"/>
          <w:color w:val="auto"/>
          <w:highlight w:val="none"/>
          <w:lang w:bidi="ar"/>
        </w:rPr>
        <w:t xml:space="preserve">，应当要求其回避。</w:t>
      </w:r>
      <w:r/>
    </w:p>
    <w:p>
      <w:pPr>
        <w:ind w:firstLine="480"/>
        <w:jc w:val="both"/>
        <w:spacing w:line="360" w:lineRule="auto"/>
        <w:widowControl w:val="off"/>
        <w:rPr>
          <w:rFonts w:hint="eastAsia" w:asciiTheme="minorEastAsia" w:hAnsiTheme="minorEastAsia"/>
          <w:color w:val="auto"/>
          <w:highlight w:val="none"/>
          <w:lang w:bidi="ar"/>
        </w:rPr>
      </w:pPr>
      <w:r>
        <w:rPr>
          <w:rFonts w:hint="eastAsia" w:asciiTheme="minorEastAsia" w:hAnsiTheme="minorEastAsia"/>
          <w:color w:val="auto"/>
          <w:highlight w:val="none"/>
          <w:lang w:bidi="ar"/>
        </w:rPr>
        <w:t xml:space="preserve">4.3</w:t>
      </w:r>
      <w:r>
        <w:rPr>
          <w:rFonts w:hint="eastAsia" w:cs="宋体" w:asciiTheme="minorEastAsia" w:hAnsiTheme="minorEastAsia"/>
          <w:color w:val="auto"/>
          <w:highlight w:val="none"/>
          <w:lang w:bidi="ar"/>
        </w:rPr>
        <w:t xml:space="preserve">评审专家应当遵守评审工作纪律</w:t>
      </w:r>
      <w:r>
        <w:rPr>
          <w:rFonts w:hint="eastAsia" w:asciiTheme="minorEastAsia" w:hAnsiTheme="minorEastAsia"/>
          <w:color w:val="auto"/>
          <w:highlight w:val="none"/>
          <w:lang w:bidi="ar"/>
        </w:rPr>
        <w:t xml:space="preserve">，不得泄露评审文件、评审情况和评审中获悉的商业秘密。谈判小组在评审过程中发现供应商有行贿、提供虚假材料或者串通等违法行为的，应当及时向财政部门报告。政府采购评审专家在评审过程中受到非法干预的，应当及时向财政、监察等部门举报。</w:t>
      </w:r>
      <w:r/>
    </w:p>
    <w:p>
      <w:pPr>
        <w:ind w:firstLine="480"/>
        <w:jc w:val="both"/>
        <w:spacing w:line="360" w:lineRule="auto"/>
        <w:widowControl w:val="off"/>
        <w:rPr>
          <w:rFonts w:hint="eastAsia" w:asciiTheme="minorEastAsia" w:hAnsiTheme="minorEastAsia"/>
          <w:color w:val="auto"/>
          <w:highlight w:val="none"/>
          <w:lang w:bidi="ar"/>
        </w:rPr>
      </w:pPr>
      <w:r>
        <w:rPr>
          <w:rFonts w:hint="eastAsia" w:asciiTheme="minorEastAsia" w:hAnsiTheme="minorEastAsia"/>
          <w:color w:val="auto"/>
          <w:highlight w:val="none"/>
          <w:lang w:bidi="ar"/>
        </w:rPr>
        <w:t xml:space="preserve">4.4</w:t>
      </w:r>
      <w:r>
        <w:rPr>
          <w:rFonts w:hint="eastAsia" w:cs="宋体" w:asciiTheme="minorEastAsia" w:hAnsiTheme="minorEastAsia"/>
          <w:color w:val="auto"/>
          <w:highlight w:val="none"/>
          <w:lang w:bidi="ar"/>
        </w:rPr>
        <w:t xml:space="preserve">谈判小组成员应当</w:t>
      </w:r>
      <w:r>
        <w:rPr>
          <w:rFonts w:hint="eastAsia" w:ascii="宋体" w:hAnsi="宋体" w:eastAsia="宋体" w:cs="宋体"/>
          <w:color w:val="auto"/>
          <w:sz w:val="24"/>
          <w:szCs w:val="36"/>
          <w:highlight w:val="none"/>
        </w:rPr>
        <w:t xml:space="preserve">按照</w:t>
      </w:r>
      <w:r>
        <w:rPr>
          <w:rFonts w:hint="eastAsia" w:cs="宋体" w:asciiTheme="minorEastAsia" w:hAnsiTheme="minorEastAsia"/>
          <w:color w:val="auto"/>
          <w:highlight w:val="none"/>
          <w:lang w:bidi="ar"/>
        </w:rPr>
        <w:t xml:space="preserve">客观</w:t>
      </w:r>
      <w:r>
        <w:rPr>
          <w:rFonts w:hint="eastAsia" w:asciiTheme="minorEastAsia" w:hAnsiTheme="minorEastAsia"/>
          <w:color w:val="auto"/>
          <w:highlight w:val="none"/>
          <w:lang w:bidi="ar"/>
        </w:rPr>
        <w:t xml:space="preserve">、公正、审慎的原则，根据谈判文件规定的评审程序、</w:t>
      </w:r>
      <w:r>
        <w:rPr>
          <w:rFonts w:hint="eastAsia" w:cs="宋体" w:asciiTheme="minorEastAsia" w:hAnsiTheme="minorEastAsia"/>
          <w:color w:val="auto"/>
          <w:highlight w:val="none"/>
          <w:lang w:bidi="ar"/>
        </w:rPr>
        <w:t xml:space="preserve">评审方法和评审标准进行独立评审</w:t>
      </w:r>
      <w:r>
        <w:rPr>
          <w:rFonts w:hint="eastAsia" w:asciiTheme="minorEastAsia" w:hAnsiTheme="minorEastAsia"/>
          <w:color w:val="auto"/>
          <w:highlight w:val="none"/>
          <w:lang w:bidi="ar"/>
        </w:rPr>
        <w:t xml:space="preserve">。</w:t>
      </w:r>
      <w:r/>
    </w:p>
    <w:p>
      <w:pPr>
        <w:ind w:firstLine="482"/>
        <w:jc w:val="both"/>
        <w:spacing w:line="360" w:lineRule="auto"/>
        <w:widowControl w:val="off"/>
        <w:rPr>
          <w:rFonts w:hint="eastAsia" w:asciiTheme="minorEastAsia" w:hAnsiTheme="minorEastAsia"/>
          <w:b/>
          <w:bCs/>
          <w:color w:val="auto"/>
          <w:highlight w:val="none"/>
          <w:lang w:bidi="ar"/>
        </w:rPr>
      </w:pPr>
      <w:r>
        <w:rPr>
          <w:rFonts w:hint="eastAsia" w:asciiTheme="minorEastAsia" w:hAnsiTheme="minorEastAsia"/>
          <w:b/>
          <w:bCs/>
          <w:color w:val="auto"/>
          <w:highlight w:val="none"/>
          <w:lang w:bidi="ar"/>
        </w:rPr>
        <w:t xml:space="preserve">5、谈判程序</w:t>
      </w:r>
      <w:r/>
    </w:p>
    <w:p>
      <w:pPr>
        <w:ind w:firstLine="482"/>
        <w:jc w:val="both"/>
        <w:spacing w:line="360" w:lineRule="auto"/>
        <w:widowControl w:val="off"/>
        <w:rPr>
          <w:rFonts w:hint="eastAsia" w:asciiTheme="minorEastAsia" w:hAnsiTheme="minorEastAsia"/>
          <w:b/>
          <w:bCs/>
          <w:color w:val="auto"/>
          <w:highlight w:val="none"/>
          <w:lang w:bidi="ar"/>
        </w:rPr>
      </w:pPr>
      <w:r>
        <w:rPr>
          <w:rFonts w:hint="eastAsia" w:asciiTheme="minorEastAsia" w:hAnsiTheme="minorEastAsia"/>
          <w:b/>
          <w:bCs/>
          <w:color w:val="auto"/>
          <w:highlight w:val="none"/>
          <w:lang w:bidi="ar"/>
        </w:rPr>
        <w:t xml:space="preserve">5.1至响应文件提交截止时间，提交响应文件的供应商不足三家的，项目终止。</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5.2谈判</w:t>
      </w:r>
      <w:r>
        <w:rPr>
          <w:rFonts w:hint="eastAsia" w:ascii="宋体" w:hAnsi="宋体" w:eastAsia="宋体" w:cs="宋体"/>
          <w:color w:val="auto"/>
          <w:sz w:val="24"/>
          <w:szCs w:val="36"/>
          <w:highlight w:val="none"/>
        </w:rPr>
        <w:t xml:space="preserve">小组</w:t>
      </w:r>
      <w:r>
        <w:rPr>
          <w:rFonts w:hint="eastAsia" w:cs="宋体" w:asciiTheme="minorEastAsia" w:hAnsiTheme="minorEastAsia"/>
          <w:color w:val="auto"/>
          <w:highlight w:val="none"/>
          <w:lang w:bidi="ar"/>
        </w:rPr>
        <w:t xml:space="preserve">对响应文件进行实质性响应评审。</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5.3信用查询：根据政府采购法及相关法律法规，采购人、采购代理机构对供应商进行信用查询。</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5.3.1查询时间：</w:t>
      </w:r>
      <w:r>
        <w:rPr>
          <w:rFonts w:hint="eastAsia" w:ascii="宋体" w:hAnsi="宋体" w:eastAsia="宋体" w:cs="宋体"/>
          <w:color w:val="auto"/>
          <w:sz w:val="24"/>
          <w:szCs w:val="36"/>
          <w:highlight w:val="none"/>
        </w:rPr>
        <w:t xml:space="preserve">响应</w:t>
      </w:r>
      <w:r>
        <w:rPr>
          <w:rFonts w:hint="eastAsia" w:cs="宋体" w:asciiTheme="minorEastAsia" w:hAnsiTheme="minorEastAsia"/>
          <w:color w:val="auto"/>
          <w:highlight w:val="none"/>
          <w:lang w:bidi="ar"/>
        </w:rPr>
        <w:t xml:space="preserve">文件递交截止时间。</w:t>
      </w:r>
      <w:r/>
    </w:p>
    <w:p>
      <w:pPr>
        <w:ind w:firstLine="480"/>
        <w:jc w:val="both"/>
        <w:spacing w:line="360" w:lineRule="auto"/>
        <w:widowControl w:val="off"/>
        <w:rPr>
          <w:rFonts w:hint="eastAsia" w:cs="宋体" w:asciiTheme="minorEastAsia" w:hAnsiTheme="minorEastAsia"/>
          <w:color w:val="auto"/>
          <w:highlight w:val="none"/>
          <w:lang w:bidi="ar"/>
        </w:rPr>
      </w:pPr>
      <w:r/>
      <w:bookmarkStart w:id="62" w:name="_Hlk159235877"/>
      <w:r/>
      <w:bookmarkStart w:id="63" w:name="_Hlk132385414"/>
      <w:r>
        <w:rPr>
          <w:rFonts w:hint="eastAsia" w:cs="宋体" w:asciiTheme="minorEastAsia" w:hAnsiTheme="minorEastAsia"/>
          <w:color w:val="auto"/>
          <w:highlight w:val="none"/>
          <w:lang w:bidi="ar"/>
        </w:rPr>
        <w:t xml:space="preserve">5.3.2查询渠道：通过“信用中国”、及“中国政府采购网”上的信用信息查询供应商的信用记录</w:t>
      </w:r>
      <w:bookmarkEnd w:id="62"/>
      <w:r>
        <w:rPr>
          <w:rFonts w:hint="eastAsia" w:cs="宋体" w:asciiTheme="minorEastAsia" w:hAnsiTheme="minorEastAsia"/>
          <w:color w:val="auto"/>
          <w:highlight w:val="none"/>
          <w:lang w:bidi="ar"/>
        </w:rPr>
        <w:t xml:space="preserve">。</w:t>
      </w:r>
      <w:bookmarkEnd w:id="63"/>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5.3.3查询证据留存</w:t>
      </w:r>
      <w:r>
        <w:rPr>
          <w:rFonts w:hint="eastAsia" w:ascii="宋体" w:hAnsi="宋体" w:eastAsia="宋体" w:cs="宋体"/>
          <w:color w:val="auto"/>
          <w:sz w:val="24"/>
          <w:szCs w:val="36"/>
          <w:highlight w:val="none"/>
        </w:rPr>
        <w:t xml:space="preserve">方式</w:t>
      </w:r>
      <w:r>
        <w:rPr>
          <w:rFonts w:hint="eastAsia" w:cs="宋体" w:asciiTheme="minorEastAsia" w:hAnsiTheme="minorEastAsia"/>
          <w:color w:val="auto"/>
          <w:highlight w:val="none"/>
          <w:lang w:bidi="ar"/>
        </w:rPr>
        <w:t xml:space="preserve">：对存在失信信息的供应商，谈判小组应填写《苏州市级政府采购供应商失信信息确认函》，由失信供应商签名（章）确认。同时，采购代理机构工作人员应根据谈判小组确认的失信信息，登陆到来源网站页面进行复核并打印，作为证据留存。</w:t>
      </w:r>
      <w:r/>
    </w:p>
    <w:p>
      <w:pPr>
        <w:ind w:firstLine="480"/>
        <w:jc w:val="both"/>
        <w:spacing w:line="360" w:lineRule="auto"/>
        <w:widowControl w:val="off"/>
        <w:rPr>
          <w:rFonts w:hint="eastAsia" w:asciiTheme="minorEastAsia" w:hAnsiTheme="minorEastAsia"/>
          <w:b/>
          <w:bCs/>
          <w:color w:val="auto"/>
          <w:highlight w:val="none"/>
          <w:lang w:bidi="ar"/>
        </w:rPr>
      </w:pPr>
      <w:r>
        <w:rPr>
          <w:rFonts w:hint="eastAsia" w:cs="宋体" w:asciiTheme="minorEastAsia" w:hAnsiTheme="minorEastAsia"/>
          <w:color w:val="auto"/>
          <w:highlight w:val="none"/>
          <w:lang w:bidi="ar"/>
        </w:rPr>
        <w:t xml:space="preserve">5.3.4信用记录使用规则：谈判小组在对供应商进行资格性审查时，应根据查询结果对供应商的不良</w:t>
      </w:r>
      <w:r>
        <w:rPr>
          <w:rFonts w:hint="eastAsia" w:ascii="宋体" w:hAnsi="宋体" w:eastAsia="宋体" w:cs="宋体"/>
          <w:color w:val="auto"/>
          <w:sz w:val="24"/>
          <w:szCs w:val="36"/>
          <w:highlight w:val="none"/>
        </w:rPr>
        <w:t xml:space="preserve">信用</w:t>
      </w:r>
      <w:r>
        <w:rPr>
          <w:rFonts w:hint="eastAsia" w:cs="宋体" w:asciiTheme="minorEastAsia" w:hAnsiTheme="minorEastAsia"/>
          <w:color w:val="auto"/>
          <w:highlight w:val="none"/>
          <w:lang w:bidi="ar"/>
        </w:rPr>
        <w:t xml:space="preserve">记录逐项甄别确认。按照《中华人民共和国政府采购法》第二十二条规定</w:t>
      </w:r>
      <w:r>
        <w:rPr>
          <w:rFonts w:hint="eastAsia" w:asciiTheme="minorEastAsia" w:hAnsiTheme="minorEastAsia"/>
          <w:color w:val="auto"/>
          <w:highlight w:val="none"/>
          <w:lang w:bidi="ar"/>
        </w:rPr>
        <w:t xml:space="preserve">，</w:t>
      </w:r>
      <w:r>
        <w:rPr>
          <w:rFonts w:hint="eastAsia" w:asciiTheme="minorEastAsia" w:hAnsiTheme="minorEastAsia"/>
          <w:b/>
          <w:bCs/>
          <w:color w:val="auto"/>
          <w:highlight w:val="none"/>
          <w:lang w:bidi="ar"/>
        </w:rPr>
        <w:t xml:space="preserve">下列信用记录属于应依法拒绝供应商参加政府采购的失信信息，存在此类失信信息的供应商的响应文件按无效处理：</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（1）政府采购严重违法记录，即供应商被全国各级财政部门列入“政府采购严重违法失信行为记录名单”，且在处罚有效期内的。</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（2）财政部门与法院、工商、税务等部门联合惩戒的失信信息，包括：</w:t>
      </w:r>
      <w:r/>
    </w:p>
    <w:p>
      <w:pPr>
        <w:ind w:firstLine="480"/>
        <w:jc w:val="both"/>
        <w:spacing w:line="360" w:lineRule="auto"/>
        <w:widowControl w:val="off"/>
        <w:rPr>
          <w:rFonts w:hint="eastAsia" w:ascii="宋体" w:hAnsi="宋体" w:eastAsia="宋体" w:cs="宋体"/>
          <w:color w:val="auto"/>
          <w:sz w:val="24"/>
          <w:szCs w:val="36"/>
          <w:highlight w:val="none"/>
        </w:rPr>
      </w:pPr>
      <w:r>
        <w:rPr>
          <w:rFonts w:hint="eastAsia" w:cs="宋体" w:asciiTheme="minorEastAsia" w:hAnsiTheme="minorEastAsia"/>
          <w:color w:val="auto"/>
          <w:highlight w:val="none"/>
          <w:lang w:bidi="ar"/>
        </w:rPr>
        <w:t xml:space="preserve">（2.1）被列入失信被执行</w:t>
      </w:r>
      <w:r>
        <w:rPr>
          <w:rFonts w:hint="eastAsia" w:ascii="宋体" w:hAnsi="宋体" w:eastAsia="宋体" w:cs="宋体"/>
          <w:color w:val="auto"/>
          <w:sz w:val="24"/>
          <w:szCs w:val="36"/>
          <w:highlight w:val="none"/>
        </w:rPr>
        <w:t xml:space="preserve">人名单；</w:t>
      </w:r>
      <w:r/>
    </w:p>
    <w:p>
      <w:pPr>
        <w:ind w:firstLine="480"/>
        <w:jc w:val="both"/>
        <w:spacing w:line="360" w:lineRule="auto"/>
        <w:widowControl w:val="off"/>
        <w:rPr>
          <w:rFonts w:hint="eastAsia" w:ascii="宋体" w:hAnsi="宋体" w:eastAsia="宋体" w:cs="宋体"/>
          <w:color w:val="auto"/>
          <w:sz w:val="24"/>
          <w:szCs w:val="36"/>
          <w:highlight w:val="none"/>
        </w:rPr>
      </w:pPr>
      <w:r>
        <w:rPr>
          <w:rFonts w:hint="eastAsia" w:cs="宋体" w:asciiTheme="minorEastAsia" w:hAnsiTheme="minorEastAsia"/>
          <w:color w:val="auto"/>
          <w:highlight w:val="none"/>
          <w:lang w:bidi="ar"/>
        </w:rPr>
        <w:t xml:space="preserve">（</w:t>
      </w:r>
      <w:r>
        <w:rPr>
          <w:rFonts w:hint="eastAsia" w:ascii="宋体" w:hAnsi="宋体" w:eastAsia="宋体" w:cs="宋体"/>
          <w:color w:val="auto"/>
          <w:sz w:val="24"/>
          <w:szCs w:val="36"/>
          <w:highlight w:val="none"/>
        </w:rPr>
        <w:t xml:space="preserve">2.2</w:t>
      </w:r>
      <w:r>
        <w:rPr>
          <w:rFonts w:hint="eastAsia" w:cs="宋体" w:asciiTheme="minorEastAsia" w:hAnsiTheme="minorEastAsia"/>
          <w:color w:val="auto"/>
          <w:highlight w:val="none"/>
          <w:lang w:bidi="ar"/>
        </w:rPr>
        <w:t xml:space="preserve">）</w:t>
      </w:r>
      <w:r>
        <w:rPr>
          <w:rFonts w:hint="eastAsia" w:ascii="宋体" w:hAnsi="宋体" w:eastAsia="宋体" w:cs="宋体"/>
          <w:color w:val="auto"/>
          <w:sz w:val="24"/>
          <w:szCs w:val="36"/>
          <w:highlight w:val="none"/>
        </w:rPr>
        <w:t xml:space="preserve">被列入重大税收违法案件当事人名单；</w:t>
      </w:r>
      <w:r/>
    </w:p>
    <w:p>
      <w:pPr>
        <w:ind w:firstLine="480"/>
        <w:jc w:val="both"/>
        <w:spacing w:line="360" w:lineRule="auto"/>
        <w:widowControl w:val="off"/>
        <w:rPr>
          <w:rFonts w:hint="eastAsia" w:cs="宋体" w:asciiTheme="minorEastAsia" w:hAnsiTheme="minorEastAsia"/>
          <w:color w:val="auto"/>
          <w:highlight w:val="none"/>
          <w:lang w:bidi="ar"/>
        </w:rPr>
      </w:pPr>
      <w:r/>
      <w:bookmarkStart w:id="64" w:name="_Hlk92794362"/>
      <w:r>
        <w:rPr>
          <w:rFonts w:hint="eastAsia" w:cs="宋体" w:asciiTheme="minorEastAsia" w:hAnsiTheme="minorEastAsia"/>
          <w:color w:val="auto"/>
          <w:highlight w:val="none"/>
          <w:lang w:bidi="ar"/>
        </w:rPr>
        <w:t xml:space="preserve">（</w:t>
      </w:r>
      <w:r>
        <w:rPr>
          <w:rFonts w:hint="eastAsia" w:ascii="宋体" w:hAnsi="宋体" w:eastAsia="宋体" w:cs="宋体"/>
          <w:color w:val="auto"/>
          <w:sz w:val="24"/>
          <w:szCs w:val="36"/>
          <w:highlight w:val="none"/>
        </w:rPr>
        <w:t xml:space="preserve">2.3</w:t>
      </w:r>
      <w:r>
        <w:rPr>
          <w:rFonts w:hint="eastAsia" w:cs="宋体" w:asciiTheme="minorEastAsia" w:hAnsiTheme="minorEastAsia"/>
          <w:color w:val="auto"/>
          <w:highlight w:val="none"/>
          <w:lang w:bidi="ar"/>
        </w:rPr>
        <w:t xml:space="preserve">）</w:t>
      </w:r>
      <w:r>
        <w:rPr>
          <w:rFonts w:hint="eastAsia" w:ascii="宋体" w:hAnsi="宋体" w:eastAsia="宋体" w:cs="宋体"/>
          <w:color w:val="auto"/>
          <w:sz w:val="24"/>
          <w:szCs w:val="36"/>
          <w:highlight w:val="none"/>
        </w:rPr>
        <w:t xml:space="preserve">企业经营异常名录中被责令停产停业、暂扣或者吊销许可证或者执照，或者对经营活动中的违法行为处以200万元及以上数额罚款</w:t>
      </w:r>
      <w:bookmarkStart w:id="65" w:name="_Hlk111647106"/>
      <w:r>
        <w:rPr>
          <w:rFonts w:hint="eastAsia" w:ascii="宋体" w:hAnsi="宋体" w:eastAsia="宋体" w:cs="宋体"/>
          <w:color w:val="auto"/>
          <w:sz w:val="24"/>
          <w:szCs w:val="36"/>
          <w:highlight w:val="none"/>
        </w:rPr>
        <w:t xml:space="preserve">（或法律、行政法规以及国务院有关部门明确规定相关领域“较大数额罚款”标准高于200万元的，从其规定）</w:t>
      </w:r>
      <w:bookmarkEnd w:id="65"/>
      <w:r>
        <w:rPr>
          <w:rFonts w:hint="eastAsia" w:ascii="宋体" w:hAnsi="宋体" w:eastAsia="宋体" w:cs="宋体"/>
          <w:color w:val="auto"/>
          <w:sz w:val="24"/>
          <w:szCs w:val="36"/>
          <w:highlight w:val="none"/>
        </w:rPr>
        <w:t xml:space="preserve">的信用</w:t>
      </w:r>
      <w:r>
        <w:rPr>
          <w:rFonts w:hint="eastAsia" w:cs="宋体" w:asciiTheme="minorEastAsia" w:hAnsiTheme="minorEastAsia"/>
          <w:color w:val="auto"/>
          <w:highlight w:val="none"/>
          <w:lang w:bidi="ar"/>
        </w:rPr>
        <w:t xml:space="preserve">记录。处罚生效日至递交投标（响应）文件日未满三年的。</w:t>
      </w:r>
      <w:bookmarkEnd w:id="64"/>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5.3.5接受联合体的项目，两个以上的自然人、法人或者其他组织组成一个联合体，以一个供应商的身份</w:t>
      </w:r>
      <w:r>
        <w:rPr>
          <w:rFonts w:hint="eastAsia" w:ascii="宋体" w:hAnsi="宋体" w:eastAsia="宋体" w:cs="宋体"/>
          <w:color w:val="auto"/>
          <w:sz w:val="24"/>
          <w:szCs w:val="36"/>
          <w:highlight w:val="none"/>
        </w:rPr>
        <w:t xml:space="preserve">共同</w:t>
      </w:r>
      <w:r>
        <w:rPr>
          <w:rFonts w:hint="eastAsia" w:cs="宋体" w:asciiTheme="minorEastAsia" w:hAnsiTheme="minorEastAsia"/>
          <w:color w:val="auto"/>
          <w:highlight w:val="none"/>
          <w:lang w:bidi="ar"/>
        </w:rPr>
        <w:t xml:space="preserve">参加政府采购活动的，联合体成员其中一名成员存在失信信息的，视同联合体存在失信信息。</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5.4谈判</w:t>
      </w:r>
      <w:r/>
    </w:p>
    <w:p>
      <w:pPr>
        <w:ind w:firstLine="480"/>
        <w:jc w:val="both"/>
        <w:spacing w:line="360" w:lineRule="auto"/>
        <w:widowControl w:val="off"/>
        <w:rPr>
          <w:rFonts w:hint="eastAsia" w:cs="宋体" w:asciiTheme="minorEastAsia" w:hAnsiTheme="minorEastAsia"/>
          <w:color w:val="auto"/>
          <w:highlight w:val="none"/>
          <w:lang w:val="zh-CN" w:bidi="ar"/>
        </w:rPr>
      </w:pPr>
      <w:r/>
      <w:bookmarkStart w:id="66" w:name="_Hlk159254158"/>
      <w:r>
        <w:rPr>
          <w:rFonts w:hint="eastAsia" w:cs="宋体" w:asciiTheme="minorEastAsia" w:hAnsiTheme="minorEastAsia"/>
          <w:color w:val="auto"/>
          <w:highlight w:val="none"/>
          <w:lang w:bidi="ar"/>
        </w:rPr>
        <w:t xml:space="preserve">5.4.1</w:t>
      </w:r>
      <w:r>
        <w:rPr>
          <w:rFonts w:hint="eastAsia" w:cs="宋体" w:asciiTheme="minorEastAsia" w:hAnsiTheme="minorEastAsia"/>
          <w:color w:val="auto"/>
          <w:highlight w:val="none"/>
          <w:lang w:val="zh-CN" w:bidi="ar"/>
        </w:rPr>
        <w:t xml:space="preserve">本项目采用线上谈判：谈判小组通过“苏采云”系统向供应商发布“谈判函”，</w:t>
      </w:r>
      <w:r>
        <w:rPr>
          <w:rFonts w:hint="eastAsia" w:cs="宋体" w:asciiTheme="minorEastAsia" w:hAnsiTheme="minorEastAsia"/>
          <w:color w:val="auto"/>
          <w:highlight w:val="none"/>
          <w:lang w:bidi="ar"/>
        </w:rPr>
        <w:t xml:space="preserve">供应商可通过查看</w:t>
      </w:r>
      <w:r>
        <w:rPr>
          <w:rFonts w:hint="eastAsia" w:cs="宋体" w:asciiTheme="minorEastAsia" w:hAnsiTheme="minorEastAsia"/>
          <w:color w:val="auto"/>
          <w:highlight w:val="none"/>
          <w:lang w:val="zh-CN" w:bidi="ar"/>
        </w:rPr>
        <w:t xml:space="preserve">【谈判响应】菜单中的待办信息，应当按照要求在“苏采云”系统提交“谈判响应函”并加盖CA电子公章，具体操作方式见《操作手册》。</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5.4.2</w:t>
      </w:r>
      <w:r>
        <w:rPr>
          <w:rFonts w:hint="eastAsia" w:cs="宋体" w:asciiTheme="minorEastAsia" w:hAnsiTheme="minorEastAsia"/>
          <w:color w:val="auto"/>
          <w:highlight w:val="none"/>
          <w:lang w:val="zh-CN" w:bidi="ar"/>
        </w:rPr>
        <w:t xml:space="preserve">谈判小组认为有必要与供应商进行谈判的，谈判供应商按顺序进行谈</w:t>
      </w:r>
      <w:r>
        <w:rPr>
          <w:rFonts w:hint="eastAsia" w:cs="宋体" w:asciiTheme="minorEastAsia" w:hAnsiTheme="minorEastAsia"/>
          <w:color w:val="auto"/>
          <w:highlight w:val="none"/>
          <w:lang w:bidi="ar"/>
        </w:rPr>
        <w:t xml:space="preserve">判。谈判小组所有成员应当集中与单一供应商分别进行谈判，并给予所有参加谈判的供应商平等的谈判机会。</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5.4.3在谈判过程中，谈判小组可以根据谈判文件和谈判情况实质性变动采购需求中的技术、服务要求以及合同草案条款，但不得变动谈判文件中的其他内容。实质性变动的内容，须经采购人代表确认。</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5.4.4对谈判文件作出的</w:t>
      </w:r>
      <w:r>
        <w:rPr>
          <w:rFonts w:hint="eastAsia" w:ascii="宋体" w:hAnsi="宋体" w:eastAsia="宋体" w:cs="宋体"/>
          <w:color w:val="auto"/>
          <w:sz w:val="24"/>
          <w:szCs w:val="36"/>
          <w:highlight w:val="none"/>
        </w:rPr>
        <w:t xml:space="preserve">实质性</w:t>
      </w:r>
      <w:r>
        <w:rPr>
          <w:rFonts w:hint="eastAsia" w:cs="宋体" w:asciiTheme="minorEastAsia" w:hAnsiTheme="minorEastAsia"/>
          <w:color w:val="auto"/>
          <w:highlight w:val="none"/>
          <w:lang w:bidi="ar"/>
        </w:rPr>
        <w:t xml:space="preserve">变动是谈判文件的有效组成部分，谈判小组应以书面形式记录具体变动内容并经采购人代表签字确认后及时以书面形式（通过“苏采云”系统）同时通知所有参加谈判的供应商。</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5.5供应商应当在规定时间内按照谈判文件的变动情况和谈判小组的要求通过“苏采云”系统重新提交响应文件，并加盖CA电子公章。重新提交的响应文件按谈判文件进行评审。</w:t>
      </w:r>
      <w:r>
        <w:rPr>
          <w:rFonts w:hint="eastAsia" w:cs="宋体" w:asciiTheme="minorEastAsia" w:hAnsiTheme="minorEastAsia"/>
          <w:b/>
          <w:bCs/>
          <w:color w:val="auto"/>
          <w:highlight w:val="none"/>
          <w:lang w:val="zh-CN" w:bidi="ar"/>
        </w:rPr>
        <w:t xml:space="preserve">未按要求重新提交响应文件的按响应无效处理</w:t>
      </w:r>
      <w:bookmarkEnd w:id="66"/>
      <w:r>
        <w:rPr>
          <w:rFonts w:hint="eastAsia" w:cs="宋体" w:asciiTheme="minorEastAsia" w:hAnsiTheme="minorEastAsia"/>
          <w:b/>
          <w:bCs/>
          <w:color w:val="auto"/>
          <w:highlight w:val="none"/>
          <w:lang w:val="zh-CN" w:bidi="ar"/>
        </w:rPr>
        <w:t xml:space="preserve">。</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5.6澄清</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5.6.1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both"/>
        <w:spacing w:line="360" w:lineRule="auto"/>
        <w:widowControl w:val="off"/>
        <w:rPr>
          <w:rFonts w:hint="eastAsia" w:cs="宋体" w:asciiTheme="minorEastAsia" w:hAnsiTheme="minorEastAsia"/>
          <w:color w:val="auto"/>
          <w:highlight w:val="none"/>
          <w:lang w:val="zh-CN" w:bidi="ar"/>
        </w:rPr>
      </w:pPr>
      <w:r/>
      <w:bookmarkStart w:id="67" w:name="_Hlk159235938"/>
      <w:r>
        <w:rPr>
          <w:rFonts w:hint="eastAsia" w:cs="宋体" w:asciiTheme="minorEastAsia" w:hAnsiTheme="minorEastAsia"/>
          <w:color w:val="auto"/>
          <w:highlight w:val="none"/>
          <w:lang w:bidi="ar"/>
        </w:rPr>
        <w:t xml:space="preserve">5.6.2</w:t>
      </w:r>
      <w:r>
        <w:rPr>
          <w:rFonts w:hint="eastAsia" w:cs="宋体" w:asciiTheme="minorEastAsia" w:hAnsiTheme="minorEastAsia"/>
          <w:b/>
          <w:bCs/>
          <w:color w:val="auto"/>
          <w:highlight w:val="none"/>
          <w:lang w:bidi="ar"/>
        </w:rPr>
        <w:t xml:space="preserve">本项目采用线上澄清</w:t>
      </w:r>
      <w:r>
        <w:rPr>
          <w:rFonts w:hint="eastAsia" w:cs="宋体" w:asciiTheme="minorEastAsia" w:hAnsiTheme="minorEastAsia"/>
          <w:b/>
          <w:bCs/>
          <w:color w:val="auto"/>
          <w:highlight w:val="none"/>
          <w:lang w:val="zh-CN" w:bidi="ar"/>
        </w:rPr>
        <w:t xml:space="preserve">。</w:t>
      </w:r>
      <w:bookmarkEnd w:id="67"/>
      <w:r/>
      <w:r/>
    </w:p>
    <w:p>
      <w:pPr>
        <w:ind w:firstLine="480"/>
        <w:jc w:val="both"/>
        <w:spacing w:line="360" w:lineRule="auto"/>
        <w:widowControl w:val="off"/>
        <w:rPr>
          <w:rFonts w:hint="eastAsia" w:cs="宋体" w:asciiTheme="minorEastAsia" w:hAnsiTheme="minorEastAsia"/>
          <w:b/>
          <w:bCs/>
          <w:color w:val="auto"/>
          <w:highlight w:val="none"/>
          <w:lang w:val="zh-CN" w:bidi="ar"/>
        </w:rPr>
      </w:pPr>
      <w:r/>
      <w:bookmarkStart w:id="68" w:name="_Hlk157961147"/>
      <w:r>
        <w:rPr>
          <w:rFonts w:hint="eastAsia" w:cs="宋体" w:asciiTheme="minorEastAsia" w:hAnsiTheme="minorEastAsia"/>
          <w:color w:val="auto"/>
          <w:highlight w:val="none"/>
          <w:lang w:bidi="ar"/>
        </w:rPr>
        <w:t xml:space="preserve">5.6.3线上澄清答复的方式：需要</w:t>
      </w:r>
      <w:r>
        <w:rPr>
          <w:rFonts w:hint="eastAsia" w:ascii="宋体" w:hAnsi="宋体" w:eastAsia="宋体" w:cs="宋体"/>
          <w:color w:val="auto"/>
          <w:sz w:val="24"/>
          <w:szCs w:val="36"/>
          <w:highlight w:val="none"/>
        </w:rPr>
        <w:t xml:space="preserve">供应商</w:t>
      </w:r>
      <w:r>
        <w:rPr>
          <w:rFonts w:hint="eastAsia" w:cs="宋体" w:asciiTheme="minorEastAsia" w:hAnsiTheme="minorEastAsia"/>
          <w:color w:val="auto"/>
          <w:highlight w:val="none"/>
          <w:lang w:bidi="ar"/>
        </w:rPr>
        <w:t xml:space="preserve">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cs="宋体" w:asciiTheme="minorEastAsia" w:hAnsiTheme="minorEastAsia"/>
          <w:b/>
          <w:bCs/>
          <w:color w:val="auto"/>
          <w:highlight w:val="none"/>
          <w:lang w:bidi="ar"/>
        </w:rPr>
        <w:t xml:space="preserve">未加盖CA电子公章的澄清无效。</w:t>
      </w:r>
      <w:bookmarkEnd w:id="68"/>
      <w:r/>
      <w:r/>
    </w:p>
    <w:p>
      <w:pPr>
        <w:ind w:firstLine="480"/>
        <w:jc w:val="both"/>
        <w:spacing w:line="360" w:lineRule="auto"/>
        <w:widowControl w:val="off"/>
        <w:rPr>
          <w:rFonts w:hint="eastAsia" w:cs="宋体" w:asciiTheme="minorEastAsia" w:hAnsiTheme="minorEastAsia"/>
          <w:color w:val="auto"/>
          <w:highlight w:val="none"/>
          <w:lang w:val="zh-CN" w:bidi="ar"/>
        </w:rPr>
      </w:pPr>
      <w:r/>
      <w:bookmarkStart w:id="69" w:name="_Hlk157961236"/>
      <w:r>
        <w:rPr>
          <w:rFonts w:hint="eastAsia" w:cs="宋体" w:asciiTheme="minorEastAsia" w:hAnsiTheme="minorEastAsia"/>
          <w:color w:val="auto"/>
          <w:highlight w:val="none"/>
          <w:lang w:bidi="ar"/>
        </w:rPr>
        <w:t xml:space="preserve">5.6.4接到谈判小组澄清、说明和更正要求的供应商如未按规定做出澄清、说明和更正，其风险由供应商自行承担。</w:t>
      </w:r>
      <w:bookmarkEnd w:id="69"/>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5.7最后报价</w:t>
      </w:r>
      <w:r/>
    </w:p>
    <w:p>
      <w:pPr>
        <w:ind w:firstLine="480"/>
        <w:jc w:val="both"/>
        <w:spacing w:line="360" w:lineRule="auto"/>
        <w:widowControl w:val="off"/>
        <w:rPr>
          <w:rFonts w:hint="eastAsia" w:cs="宋体" w:asciiTheme="minorEastAsia" w:hAnsiTheme="minorEastAsia"/>
          <w:color w:val="auto"/>
          <w:highlight w:val="none"/>
          <w:lang w:val="zh-CN" w:bidi="ar"/>
        </w:rPr>
      </w:pPr>
      <w:r>
        <w:rPr>
          <w:rFonts w:hint="eastAsia" w:cs="宋体" w:asciiTheme="minorEastAsia" w:hAnsiTheme="minorEastAsia"/>
          <w:color w:val="auto"/>
          <w:highlight w:val="none"/>
          <w:lang w:bidi="ar"/>
        </w:rPr>
        <w:t xml:space="preserve">5.7.1谈判结束后</w:t>
      </w:r>
      <w:r>
        <w:rPr>
          <w:rFonts w:hint="eastAsia" w:cs="宋体" w:asciiTheme="minorEastAsia" w:hAnsiTheme="minorEastAsia"/>
          <w:color w:val="auto"/>
          <w:highlight w:val="none"/>
          <w:lang w:val="zh-CN" w:bidi="ar"/>
        </w:rPr>
        <w:t xml:space="preserve">，谈判小组应当要求所有继续参加谈判的供应商在规定时间内提交最后报价</w:t>
      </w:r>
      <w:r>
        <w:rPr>
          <w:rFonts w:hint="eastAsia" w:cs="宋体" w:asciiTheme="minorEastAsia" w:hAnsiTheme="minorEastAsia"/>
          <w:b/>
          <w:bCs/>
          <w:color w:val="auto"/>
          <w:highlight w:val="none"/>
          <w:lang w:val="zh-CN" w:bidi="ar"/>
        </w:rPr>
        <w:t xml:space="preserve">（除因谈判文件修改导致成本增加外，二次报价不得超过第一次报价，否则为无效响应报价）</w:t>
      </w:r>
      <w:r>
        <w:rPr>
          <w:rFonts w:hint="eastAsia" w:cs="宋体" w:asciiTheme="minorEastAsia" w:hAnsiTheme="minorEastAsia"/>
          <w:color w:val="auto"/>
          <w:highlight w:val="none"/>
          <w:lang w:val="zh-CN" w:bidi="ar"/>
        </w:rPr>
        <w:t xml:space="preserve">，最后报价作为评审价格（各谈判供应商可提供最后报价总价或最后报价总价的明细报价；</w:t>
      </w:r>
      <w:r>
        <w:rPr>
          <w:rFonts w:hint="eastAsia" w:cs="宋体" w:asciiTheme="minorEastAsia" w:hAnsiTheme="minorEastAsia"/>
          <w:color w:val="auto"/>
          <w:highlight w:val="none"/>
          <w:lang w:bidi="ar"/>
        </w:rPr>
        <w:t xml:space="preserve">若未提供明细报价的则合同单价按最终报价与第一次报价总价的下浮比例同比例下浮</w:t>
      </w:r>
      <w:r>
        <w:rPr>
          <w:rFonts w:hint="eastAsia" w:cs="宋体" w:asciiTheme="minorEastAsia" w:hAnsiTheme="minorEastAsia"/>
          <w:color w:val="auto"/>
          <w:highlight w:val="none"/>
          <w:lang w:val="zh-CN" w:bidi="ar"/>
        </w:rPr>
        <w:t xml:space="preserve">）。最后报价是供应商响应文件的有效组成部分。</w:t>
      </w:r>
      <w:r/>
    </w:p>
    <w:p>
      <w:pPr>
        <w:ind w:firstLine="482"/>
        <w:jc w:val="both"/>
        <w:spacing w:line="360" w:lineRule="auto"/>
        <w:widowControl w:val="off"/>
        <w:rPr>
          <w:rFonts w:hint="eastAsia" w:cs="宋体" w:asciiTheme="minorEastAsia" w:hAnsiTheme="minorEastAsia"/>
          <w:color w:val="auto"/>
          <w:highlight w:val="none"/>
          <w:lang w:val="zh-CN" w:bidi="ar"/>
        </w:rPr>
      </w:pPr>
      <w:r>
        <w:rPr>
          <w:rFonts w:hint="eastAsia" w:cs="宋体" w:asciiTheme="minorEastAsia" w:hAnsiTheme="minorEastAsia"/>
          <w:b/>
          <w:bCs/>
          <w:color w:val="auto"/>
          <w:highlight w:val="none"/>
          <w:lang w:bidi="ar"/>
        </w:rPr>
        <w:t xml:space="preserve">5.7.2本项目采用线上最后报价：</w:t>
      </w:r>
      <w:bookmarkStart w:id="70" w:name="_Hlk158220653"/>
      <w:r>
        <w:rPr>
          <w:rFonts w:hint="eastAsia" w:cs="宋体" w:asciiTheme="minorEastAsia" w:hAnsiTheme="minorEastAsia"/>
          <w:color w:val="auto"/>
          <w:highlight w:val="none"/>
          <w:lang w:bidi="ar"/>
        </w:rPr>
        <w:t xml:space="preserve">谈判小组将在“苏采云”系统中向符合条件的供应商发布“最后报价要求函”及分项报价表（如有），要求其在规定时间内提交最后报价。因供应商自身原因导致线上报价失败的后果由供应商自行承担。</w:t>
      </w:r>
      <w:r>
        <w:rPr>
          <w:rFonts w:hint="eastAsia" w:cs="宋体" w:asciiTheme="minorEastAsia" w:hAnsiTheme="minorEastAsia"/>
          <w:b/>
          <w:bCs/>
          <w:color w:val="auto"/>
          <w:highlight w:val="none"/>
          <w:lang w:bidi="ar"/>
        </w:rPr>
        <w:t xml:space="preserve">供应商未在谈判小组规定的时间内在“苏采云”系统中提交最后报价的视为放弃谈判，其响应文件按无效响应处理，提交最后报价须加盖CA电子签章,否则视为未提交最后报价。</w:t>
      </w:r>
      <w:r>
        <w:rPr>
          <w:rFonts w:hint="eastAsia" w:cs="宋体" w:asciiTheme="minorEastAsia" w:hAnsiTheme="minorEastAsia"/>
          <w:color w:val="auto"/>
          <w:highlight w:val="none"/>
          <w:lang w:bidi="ar"/>
        </w:rPr>
        <w:t xml:space="preserve">在提交最后报价之前，可以根据谈判情况退出谈判，并在“苏采云”系统中提交“退出谈判函”并加盖CA电子公章。</w:t>
      </w:r>
      <w:bookmarkEnd w:id="70"/>
      <w:r/>
      <w:r/>
    </w:p>
    <w:p>
      <w:pPr>
        <w:ind w:firstLine="480"/>
        <w:jc w:val="both"/>
        <w:spacing w:line="360" w:lineRule="auto"/>
        <w:widowControl w:val="off"/>
        <w:rPr>
          <w:rFonts w:hint="eastAsia" w:cs="宋体" w:asciiTheme="minorEastAsia" w:hAnsiTheme="minorEastAsia"/>
          <w:color w:val="auto"/>
          <w:highlight w:val="none"/>
          <w:lang w:val="zh-CN" w:bidi="ar"/>
        </w:rPr>
      </w:pPr>
      <w:r>
        <w:rPr>
          <w:rFonts w:hint="eastAsia" w:cs="宋体" w:asciiTheme="minorEastAsia" w:hAnsiTheme="minorEastAsia"/>
          <w:color w:val="auto"/>
          <w:highlight w:val="none"/>
          <w:lang w:bidi="ar"/>
        </w:rPr>
        <w:t xml:space="preserve">5.7.3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cs="宋体" w:asciiTheme="minorEastAsia" w:hAnsiTheme="minorEastAsia"/>
          <w:color w:val="auto"/>
          <w:highlight w:val="none"/>
          <w:lang w:val="zh-CN" w:bidi="ar"/>
        </w:rPr>
        <w:t xml:space="preserve">。</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5.7.4异常低价投标（响应）审查</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评审过程中出现下列情形之一的，</w:t>
      </w:r>
      <w:r>
        <w:rPr>
          <w:rFonts w:hint="eastAsia" w:cs="宋体" w:asciiTheme="minorEastAsia" w:hAnsiTheme="minorEastAsia"/>
          <w:b/>
          <w:bCs/>
          <w:color w:val="auto"/>
          <w:highlight w:val="none"/>
          <w:lang w:val="zh-CN" w:bidi="ar"/>
        </w:rPr>
        <w:t xml:space="preserve">谈判小组</w:t>
      </w:r>
      <w:r>
        <w:rPr>
          <w:rFonts w:hint="eastAsia" w:cs="宋体" w:asciiTheme="minorEastAsia" w:hAnsiTheme="minorEastAsia"/>
          <w:b/>
          <w:bCs/>
          <w:color w:val="auto"/>
          <w:highlight w:val="none"/>
          <w:lang w:bidi="ar"/>
        </w:rPr>
        <w:t xml:space="preserve">会应当启动异常低价投标（响应）审查程序：</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（1）投标（响应）报价低于全部通过符合性审查供应商投标（响应）报价平均值50%的，即投标（响应）报价&lt;全部通过符合性审查供应商投标（响应）报价平均值×50%；</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（2）投标（响应）报价低于通过符合性审查的次低报价供应商投标（响应）报价50%的，即投标（响应）报价&lt;通过符合性审查的次低报价供应商投标（响应）报价×50%；</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（3）投标（响应）报价低于采购项目最高限价45% 的，即投标（响应）报价&lt;采购项目最高限价×45%；</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（4）</w:t>
      </w:r>
      <w:r>
        <w:rPr>
          <w:rFonts w:hint="eastAsia" w:cs="宋体" w:asciiTheme="minorEastAsia" w:hAnsiTheme="minorEastAsia"/>
          <w:b/>
          <w:bCs/>
          <w:color w:val="auto"/>
          <w:highlight w:val="none"/>
          <w:lang w:val="zh-CN" w:bidi="ar"/>
        </w:rPr>
        <w:t xml:space="preserve">谈判小组</w:t>
      </w:r>
      <w:r>
        <w:rPr>
          <w:rFonts w:hint="eastAsia" w:cs="宋体" w:asciiTheme="minorEastAsia" w:hAnsiTheme="minorEastAsia"/>
          <w:b/>
          <w:bCs/>
          <w:color w:val="auto"/>
          <w:highlight w:val="none"/>
          <w:lang w:bidi="ar"/>
        </w:rPr>
        <w:t xml:space="preserve">基于专业判断，认为供应商报价过低，有可能影响产品质量或者不能诚信履约的其他情形。</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启动异常低价投标（响应）审查后，</w:t>
      </w:r>
      <w:r>
        <w:rPr>
          <w:rFonts w:hint="eastAsia" w:cs="宋体" w:asciiTheme="minorEastAsia" w:hAnsiTheme="minorEastAsia"/>
          <w:b/>
          <w:bCs/>
          <w:color w:val="auto"/>
          <w:highlight w:val="none"/>
          <w:lang w:val="zh-CN" w:bidi="ar"/>
        </w:rPr>
        <w:t xml:space="preserve">谈判小组</w:t>
      </w:r>
      <w:r>
        <w:rPr>
          <w:rFonts w:hint="eastAsia" w:cs="宋体" w:asciiTheme="minorEastAsia" w:hAnsiTheme="minorEastAsia"/>
          <w:b/>
          <w:bCs/>
          <w:color w:val="auto"/>
          <w:highlight w:val="none"/>
          <w:lang w:bidi="ar"/>
        </w:rPr>
        <w:t xml:space="preserve">应当要求相关供应商在评标现场合理的时间内对投标（响应）价格作出解释（线上开评标项目可通过“苏采云”系统要求其提供），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val="zh-CN" w:bidi="ar"/>
        </w:rPr>
        <w:t xml:space="preserve">谈判小组</w:t>
      </w:r>
      <w:r>
        <w:rPr>
          <w:rFonts w:hint="eastAsia" w:cs="宋体" w:asciiTheme="minorEastAsia" w:hAnsiTheme="minorEastAsia"/>
          <w:b/>
          <w:bCs/>
          <w:color w:val="auto"/>
          <w:highlight w:val="none"/>
          <w:lang w:bidi="ar"/>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cs="宋体" w:asciiTheme="minorEastAsia" w:hAnsiTheme="minorEastAsia"/>
          <w:b/>
          <w:bCs/>
          <w:color w:val="auto"/>
          <w:highlight w:val="none"/>
          <w:lang w:val="zh-CN" w:bidi="ar"/>
        </w:rPr>
        <w:t xml:space="preserve">谈判小组</w:t>
      </w:r>
      <w:r>
        <w:rPr>
          <w:rFonts w:hint="eastAsia" w:cs="宋体" w:asciiTheme="minorEastAsia" w:hAnsiTheme="minorEastAsia"/>
          <w:b/>
          <w:bCs/>
          <w:color w:val="auto"/>
          <w:highlight w:val="none"/>
          <w:lang w:bidi="ar"/>
        </w:rPr>
        <w:t xml:space="preserve">应当将其作为无效投标（响应）处理。</w:t>
      </w:r>
      <w:r/>
    </w:p>
    <w:p>
      <w:pPr>
        <w:ind w:firstLine="482"/>
        <w:jc w:val="both"/>
        <w:spacing w:line="360" w:lineRule="auto"/>
        <w:widowControl w:val="off"/>
        <w:rPr>
          <w:rFonts w:hint="eastAsia" w:cs="宋体" w:asciiTheme="minorEastAsia" w:hAnsiTheme="minorEastAsia"/>
          <w:b/>
          <w:bCs/>
          <w:color w:val="auto"/>
          <w:highlight w:val="none"/>
          <w:lang w:val="zh-CN" w:bidi="ar"/>
        </w:rPr>
      </w:pPr>
      <w:r>
        <w:rPr>
          <w:rFonts w:hint="eastAsia" w:cs="宋体" w:asciiTheme="minorEastAsia" w:hAnsiTheme="minorEastAsia"/>
          <w:b/>
          <w:bCs/>
          <w:color w:val="auto"/>
          <w:highlight w:val="none"/>
          <w:lang w:bidi="ar"/>
        </w:rPr>
        <w:t xml:space="preserve">5.7.5</w:t>
      </w:r>
      <w:r>
        <w:rPr>
          <w:rFonts w:hint="eastAsia" w:cs="宋体" w:asciiTheme="minorEastAsia" w:hAnsiTheme="minorEastAsia"/>
          <w:b/>
          <w:bCs/>
          <w:color w:val="auto"/>
          <w:highlight w:val="none"/>
          <w:lang w:val="zh-CN" w:bidi="ar"/>
        </w:rPr>
        <w:t xml:space="preserve">未在规定时间提交最后报价的，响应文件按无效处理。</w:t>
      </w:r>
      <w:r/>
    </w:p>
    <w:p>
      <w:pPr>
        <w:ind w:firstLine="480"/>
        <w:jc w:val="both"/>
        <w:spacing w:line="360" w:lineRule="auto"/>
        <w:widowControl w:val="off"/>
        <w:rPr>
          <w:rFonts w:hint="eastAsia" w:cs="宋体" w:asciiTheme="minorEastAsia" w:hAnsiTheme="minorEastAsia"/>
          <w:color w:val="auto"/>
          <w:highlight w:val="none"/>
          <w:lang w:val="zh-CN" w:bidi="ar"/>
        </w:rPr>
      </w:pPr>
      <w:r>
        <w:rPr>
          <w:rFonts w:hint="eastAsia" w:cs="宋体" w:asciiTheme="minorEastAsia" w:hAnsiTheme="minorEastAsia"/>
          <w:color w:val="auto"/>
          <w:highlight w:val="none"/>
          <w:lang w:bidi="ar"/>
        </w:rPr>
        <w:t xml:space="preserve">5.7.6</w:t>
      </w:r>
      <w:r>
        <w:rPr>
          <w:rFonts w:hint="eastAsia" w:cs="宋体" w:asciiTheme="minorEastAsia" w:hAnsiTheme="minorEastAsia"/>
          <w:color w:val="auto"/>
          <w:highlight w:val="none"/>
          <w:lang w:val="zh-CN" w:bidi="ar"/>
        </w:rPr>
        <w:t xml:space="preserve">在规定时间内提交最后报价的供应商少于3家的，项目终止。</w:t>
      </w:r>
      <w:r/>
    </w:p>
    <w:p>
      <w:pPr>
        <w:ind w:firstLine="480"/>
        <w:jc w:val="both"/>
        <w:spacing w:line="360" w:lineRule="auto"/>
        <w:widowControl w:val="off"/>
        <w:rPr>
          <w:rFonts w:hint="eastAsia" w:cs="宋体" w:asciiTheme="minorEastAsia" w:hAnsiTheme="minorEastAsia"/>
          <w:color w:val="auto"/>
          <w:highlight w:val="none"/>
          <w:lang w:val="zh-CN" w:bidi="ar"/>
        </w:rPr>
      </w:pPr>
      <w:r>
        <w:rPr>
          <w:rFonts w:hint="eastAsia" w:cs="宋体" w:asciiTheme="minorEastAsia" w:hAnsiTheme="minorEastAsia"/>
          <w:color w:val="auto"/>
          <w:highlight w:val="none"/>
          <w:lang w:bidi="ar"/>
        </w:rPr>
        <w:t xml:space="preserve">5.7.7</w:t>
      </w:r>
      <w:r>
        <w:rPr>
          <w:rFonts w:hint="eastAsia" w:cs="宋体" w:asciiTheme="minorEastAsia" w:hAnsiTheme="minorEastAsia"/>
          <w:color w:val="auto"/>
          <w:highlight w:val="none"/>
          <w:lang w:val="zh-CN" w:bidi="ar"/>
        </w:rPr>
        <w:t xml:space="preserve">如谈判过程中出现本谈判</w:t>
      </w:r>
      <w:r>
        <w:rPr>
          <w:rFonts w:hint="eastAsia" w:ascii="宋体" w:hAnsi="宋体" w:eastAsia="宋体" w:cs="宋体"/>
          <w:color w:val="auto"/>
          <w:sz w:val="24"/>
          <w:szCs w:val="36"/>
          <w:highlight w:val="none"/>
          <w:lang w:val="zh-CN"/>
        </w:rPr>
        <w:t xml:space="preserve">文件</w:t>
      </w:r>
      <w:r>
        <w:rPr>
          <w:rFonts w:hint="eastAsia" w:cs="宋体" w:asciiTheme="minorEastAsia" w:hAnsiTheme="minorEastAsia"/>
          <w:color w:val="auto"/>
          <w:highlight w:val="none"/>
          <w:lang w:val="zh-CN" w:bidi="ar"/>
        </w:rPr>
        <w:t xml:space="preserve">未尽事宜，由谈判小组根据政府采购有关法律、法规讨论决定。</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6、项目终止</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出现下列情形之一的，</w:t>
      </w:r>
      <w:r>
        <w:rPr>
          <w:rFonts w:hint="eastAsia" w:ascii="宋体" w:hAnsi="宋体" w:eastAsia="宋体" w:cs="宋体"/>
          <w:color w:val="auto"/>
          <w:sz w:val="24"/>
          <w:szCs w:val="36"/>
          <w:highlight w:val="none"/>
        </w:rPr>
        <w:t xml:space="preserve">采购</w:t>
      </w:r>
      <w:r>
        <w:rPr>
          <w:rFonts w:hint="eastAsia" w:cs="宋体" w:asciiTheme="minorEastAsia" w:hAnsiTheme="minorEastAsia"/>
          <w:color w:val="auto"/>
          <w:highlight w:val="none"/>
          <w:lang w:bidi="ar"/>
        </w:rPr>
        <w:t xml:space="preserve">人或者采购代理机构应当终止竞争性谈判采购活动，发布项目终止公告并说明原因，重新开展采购活动：</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6.1因情况变化，不再符合</w:t>
      </w:r>
      <w:r>
        <w:rPr>
          <w:rFonts w:hint="eastAsia" w:ascii="宋体" w:hAnsi="宋体" w:eastAsia="宋体" w:cs="宋体"/>
          <w:color w:val="auto"/>
          <w:sz w:val="24"/>
          <w:szCs w:val="36"/>
          <w:highlight w:val="none"/>
        </w:rPr>
        <w:t xml:space="preserve">规定</w:t>
      </w:r>
      <w:r>
        <w:rPr>
          <w:rFonts w:hint="eastAsia" w:cs="宋体" w:asciiTheme="minorEastAsia" w:hAnsiTheme="minorEastAsia"/>
          <w:color w:val="auto"/>
          <w:highlight w:val="none"/>
          <w:lang w:bidi="ar"/>
        </w:rPr>
        <w:t xml:space="preserve">的竞争性谈判采购方式适用情形的；</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6.2出现影响采购公正的违法、违规行为的；</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6.3在采购过程中符合竞争</w:t>
      </w:r>
      <w:r>
        <w:rPr>
          <w:rFonts w:hint="eastAsia" w:ascii="宋体" w:hAnsi="宋体" w:eastAsia="宋体" w:cs="宋体"/>
          <w:color w:val="auto"/>
          <w:sz w:val="24"/>
          <w:szCs w:val="36"/>
          <w:highlight w:val="none"/>
        </w:rPr>
        <w:t xml:space="preserve">要求</w:t>
      </w:r>
      <w:r>
        <w:rPr>
          <w:rFonts w:hint="eastAsia" w:cs="宋体" w:asciiTheme="minorEastAsia" w:hAnsiTheme="minorEastAsia"/>
          <w:color w:val="auto"/>
          <w:highlight w:val="none"/>
          <w:lang w:bidi="ar"/>
        </w:rPr>
        <w:t xml:space="preserve">的供应商或者报价未超过采购预算的供应商不足3家的，但《政府采购非招标采购方式管理办法》第二十七条第二款规定的情形除外。</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项目终止后，采购</w:t>
      </w:r>
      <w:r>
        <w:rPr>
          <w:rFonts w:hint="eastAsia" w:ascii="宋体" w:hAnsi="宋体" w:eastAsia="宋体" w:cs="宋体"/>
          <w:color w:val="auto"/>
          <w:sz w:val="24"/>
          <w:szCs w:val="36"/>
          <w:highlight w:val="none"/>
        </w:rPr>
        <w:t xml:space="preserve">代理</w:t>
      </w:r>
      <w:r>
        <w:rPr>
          <w:rFonts w:hint="eastAsia" w:cs="宋体" w:asciiTheme="minorEastAsia" w:hAnsiTheme="minorEastAsia"/>
          <w:color w:val="auto"/>
          <w:highlight w:val="none"/>
          <w:lang w:bidi="ar"/>
        </w:rPr>
        <w:t xml:space="preserve">机构应当将项目终止的理由告知所有供应商。</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7、成交</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7.1谈判小组应当从质量和服务均能满足采购文件实质性响应要求的供应商中，按照最后报价由低到高的顺序提出3名成交候选人，并编写评审报告。最后报价相同的，按照谈判文件规定的方式确定排序；谈判文件未规定的，采取随机抽取的方式确定排序。</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7.2采购代理机构应当在评审结束后2个工作日内将评审报告送采购人确认，采购人或采购代理机构应当在成交供应商确定后的2个工作日内，在政府采购信息媒体上发布成交结果，成交公告期限为1个工作日。</w:t>
      </w:r>
      <w:r/>
    </w:p>
    <w:p>
      <w:pPr>
        <w:ind w:firstLine="480"/>
        <w:jc w:val="both"/>
        <w:spacing w:line="360" w:lineRule="auto"/>
        <w:widowControl w:val="off"/>
        <w:rPr>
          <w:rFonts w:hint="eastAsia" w:cs="宋体" w:asciiTheme="minorEastAsia" w:hAnsiTheme="minorEastAsia"/>
          <w:color w:val="auto"/>
          <w:highlight w:val="none"/>
          <w:lang w:bidi="ar"/>
        </w:rPr>
      </w:pPr>
      <w:r/>
      <w:bookmarkStart w:id="71" w:name="_Hlk159236133"/>
      <w:r>
        <w:rPr>
          <w:rFonts w:hint="eastAsia" w:cs="宋体" w:asciiTheme="minorEastAsia" w:hAnsiTheme="minorEastAsia"/>
          <w:color w:val="auto"/>
          <w:highlight w:val="none"/>
          <w:lang w:bidi="ar"/>
        </w:rPr>
        <w:t xml:space="preserve">7.3采购人或采购代理机构根据相关规定发布成交公告，成交公告发出的同时应当向成交供应商发出《成交通知书》</w:t>
      </w:r>
      <w:bookmarkStart w:id="72" w:name="_Hlk132385599"/>
      <w:r/>
      <w:bookmarkStart w:id="73" w:name="_Hlk132385577"/>
      <w:r/>
      <w:bookmarkStart w:id="74" w:name="_Hlk132389804"/>
      <w:r>
        <w:rPr>
          <w:rFonts w:hint="eastAsia" w:cs="宋体" w:asciiTheme="minorEastAsia" w:hAnsiTheme="minorEastAsia"/>
          <w:color w:val="auto"/>
          <w:highlight w:val="none"/>
          <w:lang w:bidi="ar"/>
        </w:rPr>
        <w:t xml:space="preserve">。</w:t>
      </w:r>
      <w:bookmarkStart w:id="75" w:name="_Hlk157961472"/>
      <w:r>
        <w:rPr>
          <w:rFonts w:hint="eastAsia" w:cs="宋体" w:asciiTheme="minorEastAsia" w:hAnsiTheme="minorEastAsia"/>
          <w:color w:val="auto"/>
          <w:highlight w:val="none"/>
          <w:lang w:bidi="ar"/>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75"/>
      <w:r>
        <w:rPr>
          <w:rFonts w:hint="eastAsia" w:cs="宋体" w:asciiTheme="minorEastAsia" w:hAnsiTheme="minorEastAsia"/>
          <w:color w:val="auto"/>
          <w:highlight w:val="none"/>
          <w:lang w:bidi="ar"/>
        </w:rPr>
        <w:t xml:space="preserve">；</w:t>
      </w:r>
      <w:bookmarkEnd w:id="72"/>
      <w:r/>
      <w:bookmarkEnd w:id="73"/>
      <w:r/>
      <w:bookmarkEnd w:id="74"/>
      <w:r>
        <w:rPr>
          <w:rFonts w:hint="eastAsia" w:cs="宋体" w:asciiTheme="minorEastAsia" w:hAnsiTheme="minorEastAsia"/>
          <w:color w:val="auto"/>
          <w:highlight w:val="none"/>
          <w:lang w:bidi="ar"/>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71"/>
      <w:r>
        <w:rPr>
          <w:rFonts w:hint="eastAsia" w:cs="宋体" w:asciiTheme="minorEastAsia" w:hAnsiTheme="minorEastAsia"/>
          <w:color w:val="auto"/>
          <w:highlight w:val="none"/>
          <w:lang w:bidi="ar"/>
        </w:rPr>
        <w:t xml:space="preserve">。</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7.4成交通知书发出后，采购人不得违法改变成交结果，成交供应商无正当理由不得放弃成交。</w:t>
      </w:r>
      <w:r/>
    </w:p>
    <w:p>
      <w:pPr>
        <w:ind w:firstLine="480"/>
        <w:jc w:val="both"/>
        <w:spacing w:line="360" w:lineRule="auto"/>
        <w:widowControl w:val="off"/>
        <w:rPr>
          <w:rFonts w:hint="eastAsia" w:cs="宋体" w:asciiTheme="minorEastAsia" w:hAnsiTheme="minorEastAsia"/>
          <w:color w:val="auto"/>
          <w:highlight w:val="none"/>
        </w:rPr>
      </w:pPr>
      <w:r/>
      <w:bookmarkStart w:id="76" w:name="_Hlk132393639"/>
      <w:r>
        <w:rPr>
          <w:rFonts w:hint="eastAsia" w:cs="宋体" w:asciiTheme="minorEastAsia" w:hAnsiTheme="minorEastAsia"/>
          <w:color w:val="auto"/>
          <w:highlight w:val="none"/>
          <w:lang w:bidi="ar"/>
        </w:rPr>
        <w:t xml:space="preserve">7.5采购合同履行中，采购人需追加与合同标的相同的服务或货物的，在不改变合同其他条款的前提下，可以与供应商协商签订补充合同，但所有补充合同的采购金额不得超过原合同采购金额的百分之十。</w:t>
      </w:r>
      <w:bookmarkEnd w:id="76"/>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8、履约保证金</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8.1根据《关于在全省</w:t>
      </w:r>
      <w:r>
        <w:rPr>
          <w:rFonts w:hint="eastAsia" w:ascii="宋体" w:hAnsi="宋体" w:eastAsia="宋体" w:cs="宋体"/>
          <w:color w:val="auto"/>
          <w:sz w:val="24"/>
          <w:szCs w:val="36"/>
          <w:highlight w:val="none"/>
        </w:rPr>
        <w:t xml:space="preserve">政府</w:t>
      </w:r>
      <w:r>
        <w:rPr>
          <w:rFonts w:hint="eastAsia" w:cs="宋体" w:asciiTheme="minorEastAsia" w:hAnsiTheme="minorEastAsia"/>
          <w:color w:val="auto"/>
          <w:highlight w:val="none"/>
          <w:lang w:bidi="ar"/>
        </w:rPr>
        <w:t xml:space="preserve">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8.2详见本采购文件</w:t>
      </w:r>
      <w:r>
        <w:rPr>
          <w:rFonts w:hint="eastAsia" w:ascii="宋体" w:hAnsi="宋体" w:eastAsia="宋体" w:cs="宋体"/>
          <w:color w:val="auto"/>
          <w:sz w:val="24"/>
          <w:szCs w:val="36"/>
          <w:highlight w:val="none"/>
        </w:rPr>
        <w:t xml:space="preserve">合同</w:t>
      </w:r>
      <w:r>
        <w:rPr>
          <w:rFonts w:hint="eastAsia" w:cs="宋体" w:asciiTheme="minorEastAsia" w:hAnsiTheme="minorEastAsia"/>
          <w:color w:val="auto"/>
          <w:highlight w:val="none"/>
          <w:lang w:bidi="ar"/>
        </w:rPr>
        <w:t xml:space="preserve">文本中的约定。</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9、合同</w:t>
      </w:r>
      <w:r/>
    </w:p>
    <w:p>
      <w:pPr>
        <w:ind w:firstLine="480"/>
        <w:jc w:val="both"/>
        <w:spacing w:line="360" w:lineRule="auto"/>
        <w:widowControl w:val="off"/>
        <w:rPr>
          <w:rFonts w:hint="eastAsia" w:cs="宋体" w:asciiTheme="minorEastAsia" w:hAnsiTheme="minorEastAsia"/>
          <w:color w:val="auto"/>
          <w:highlight w:val="none"/>
          <w:lang w:bidi="ar"/>
        </w:rPr>
      </w:pPr>
      <w:r/>
      <w:bookmarkStart w:id="77" w:name="_Hlk116921522"/>
      <w:r/>
      <w:bookmarkStart w:id="78" w:name="_Hlk116921497"/>
      <w:r>
        <w:rPr>
          <w:rFonts w:hint="eastAsia" w:cs="宋体" w:asciiTheme="minorEastAsia" w:hAnsiTheme="minorEastAsia"/>
          <w:color w:val="auto"/>
          <w:highlight w:val="none"/>
          <w:lang w:bidi="ar"/>
        </w:rPr>
        <w:t xml:space="preserve">9.1采购人原则上应当自中标通知书发出之日起15日内（最迟30日内），按照谈判文件确定的合同</w:t>
      </w:r>
      <w:r>
        <w:rPr>
          <w:rFonts w:hint="eastAsia" w:ascii="宋体" w:hAnsi="宋体" w:eastAsia="宋体" w:cs="宋体"/>
          <w:color w:val="auto"/>
          <w:sz w:val="24"/>
          <w:szCs w:val="36"/>
          <w:highlight w:val="none"/>
        </w:rPr>
        <w:t xml:space="preserve">文本</w:t>
      </w:r>
      <w:r>
        <w:rPr>
          <w:rFonts w:hint="eastAsia" w:cs="宋体" w:asciiTheme="minorEastAsia" w:hAnsiTheme="minorEastAsia"/>
          <w:color w:val="auto"/>
          <w:highlight w:val="none"/>
          <w:lang w:bidi="ar"/>
        </w:rPr>
        <w:t xml:space="preserve">以及采购标的、规格型号、采购金额、采购数量、技术和服务要求等事项签订政府采购合同</w:t>
      </w:r>
      <w:bookmarkEnd w:id="77"/>
      <w:r>
        <w:rPr>
          <w:rFonts w:hint="eastAsia" w:cs="宋体" w:asciiTheme="minorEastAsia" w:hAnsiTheme="minorEastAsia"/>
          <w:color w:val="auto"/>
          <w:highlight w:val="none"/>
          <w:lang w:bidi="ar"/>
        </w:rPr>
        <w:t xml:space="preserve">。</w:t>
      </w:r>
      <w:bookmarkEnd w:id="78"/>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9.2采购人不得向成交供应商提出超出谈判文件以外的任何要求作为签订合同的条件，不得与成交</w:t>
      </w:r>
      <w:r>
        <w:rPr>
          <w:rFonts w:hint="eastAsia" w:ascii="宋体" w:hAnsi="宋体" w:eastAsia="宋体" w:cs="宋体"/>
          <w:color w:val="auto"/>
          <w:sz w:val="24"/>
          <w:szCs w:val="36"/>
          <w:highlight w:val="none"/>
        </w:rPr>
        <w:t xml:space="preserve">供应商</w:t>
      </w:r>
      <w:r>
        <w:rPr>
          <w:rFonts w:hint="eastAsia" w:cs="宋体" w:asciiTheme="minorEastAsia" w:hAnsiTheme="minorEastAsia"/>
          <w:color w:val="auto"/>
          <w:highlight w:val="none"/>
          <w:lang w:bidi="ar"/>
        </w:rPr>
        <w:t xml:space="preserve">订立背离谈判文件确定的合同文本以及采购标的、规格型号、采购金额、采购数量、技术和服务要求等实质性内容的协议。</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9.3采购合同的双方当事人不得擅自变更、中止或者终止合同。合同继续履行将损害国家利益和社会</w:t>
      </w:r>
      <w:r>
        <w:rPr>
          <w:rFonts w:hint="eastAsia" w:ascii="宋体" w:hAnsi="宋体" w:eastAsia="宋体" w:cs="宋体"/>
          <w:color w:val="auto"/>
          <w:sz w:val="24"/>
          <w:szCs w:val="36"/>
          <w:highlight w:val="none"/>
        </w:rPr>
        <w:t xml:space="preserve">公共</w:t>
      </w:r>
      <w:r>
        <w:rPr>
          <w:rFonts w:hint="eastAsia" w:cs="宋体" w:asciiTheme="minorEastAsia" w:hAnsiTheme="minorEastAsia"/>
          <w:color w:val="auto"/>
          <w:highlight w:val="none"/>
          <w:lang w:bidi="ar"/>
        </w:rPr>
        <w:t xml:space="preserve">利益的，双方当事人应当变更、中止或者终止合同。有过错的一方应当承担赔偿责任，双方都有过错的，各自承担相应责任。</w:t>
      </w:r>
      <w:r/>
    </w:p>
    <w:p>
      <w:pPr>
        <w:ind w:firstLine="480"/>
        <w:jc w:val="both"/>
        <w:spacing w:line="360" w:lineRule="auto"/>
        <w:widowControl w:val="off"/>
        <w:rPr>
          <w:rFonts w:hint="eastAsia" w:cs="宋体" w:asciiTheme="minorEastAsia" w:hAnsiTheme="minorEastAsia"/>
          <w:color w:val="auto"/>
          <w:highlight w:val="none"/>
          <w:lang w:bidi="ar"/>
        </w:rPr>
      </w:pPr>
      <w:r/>
      <w:bookmarkStart w:id="79" w:name="_Hlk162625425"/>
      <w:r>
        <w:rPr>
          <w:rFonts w:hint="eastAsia" w:cs="宋体" w:asciiTheme="minorEastAsia" w:hAnsiTheme="minorEastAsia"/>
          <w:color w:val="auto"/>
          <w:highlight w:val="none"/>
          <w:lang w:bidi="ar"/>
        </w:rPr>
        <w:t xml:space="preserve">9.4</w:t>
      </w:r>
      <w:bookmarkEnd w:id="79"/>
      <w:r/>
      <w:bookmarkStart w:id="80" w:name="_Hlk195711026"/>
      <w:r/>
      <w:bookmarkStart w:id="81" w:name="OLE_LINK8"/>
      <w:r>
        <w:rPr>
          <w:rFonts w:hint="eastAsia" w:cs="宋体" w:asciiTheme="minorEastAsia" w:hAnsiTheme="minorEastAsia"/>
          <w:color w:val="auto"/>
          <w:highlight w:val="none"/>
          <w:lang w:bidi="ar"/>
        </w:rPr>
        <w:t xml:space="preserve">本项目将根据政府采购法及相关法规，</w:t>
      </w:r>
      <w:bookmarkStart w:id="82" w:name="OLE_LINK22"/>
      <w:r>
        <w:rPr>
          <w:rFonts w:hint="eastAsia" w:cs="宋体" w:asciiTheme="minorEastAsia" w:hAnsiTheme="minorEastAsia"/>
          <w:color w:val="auto"/>
          <w:highlight w:val="none"/>
          <w:lang w:bidi="ar"/>
        </w:rPr>
        <w:t xml:space="preserve">《江苏省政府采购履约验收管理办法》以及</w:t>
      </w:r>
      <w:bookmarkEnd w:id="82"/>
      <w:r>
        <w:rPr>
          <w:rFonts w:hint="eastAsia" w:cs="宋体" w:asciiTheme="minorEastAsia" w:hAnsiTheme="minorEastAsia"/>
          <w:color w:val="auto"/>
          <w:highlight w:val="none"/>
          <w:lang w:bidi="ar"/>
        </w:rPr>
        <w:t xml:space="preserve">《关于</w:t>
      </w:r>
      <w:r>
        <w:rPr>
          <w:rFonts w:hint="eastAsia" w:ascii="宋体" w:hAnsi="宋体" w:eastAsia="宋体" w:cs="宋体"/>
          <w:color w:val="auto"/>
          <w:sz w:val="24"/>
          <w:szCs w:val="36"/>
          <w:highlight w:val="none"/>
        </w:rPr>
        <w:t xml:space="preserve">进一步</w:t>
      </w:r>
      <w:r>
        <w:rPr>
          <w:rFonts w:hint="eastAsia" w:cs="宋体" w:asciiTheme="minorEastAsia" w:hAnsiTheme="minorEastAsia"/>
          <w:color w:val="auto"/>
          <w:highlight w:val="none"/>
          <w:lang w:bidi="ar"/>
        </w:rPr>
        <w:t xml:space="preserve">加强履约验收管理的通知》文件的规定，</w:t>
      </w:r>
      <w:bookmarkEnd w:id="80"/>
      <w:r/>
      <w:bookmarkEnd w:id="81"/>
      <w:r>
        <w:rPr>
          <w:rFonts w:hint="eastAsia" w:cs="宋体" w:asciiTheme="minorEastAsia" w:hAnsiTheme="minorEastAsia"/>
          <w:color w:val="auto"/>
          <w:highlight w:val="none"/>
          <w:lang w:bidi="ar"/>
        </w:rPr>
        <w:t xml:space="preserve">对供应商进行履约验收， 确认验收合格的，将出具《政府采购履约验收书》。《政府采购履约验收书》、合同是申请支付政府采购合同价款的必备资料。</w:t>
      </w:r>
      <w:r/>
    </w:p>
    <w:p>
      <w:pPr>
        <w:ind w:firstLine="482"/>
        <w:jc w:val="both"/>
        <w:spacing w:line="360" w:lineRule="auto"/>
        <w:widowControl w:val="off"/>
        <w:rPr>
          <w:rFonts w:hint="eastAsia" w:cs="宋体" w:asciiTheme="minorEastAsia" w:hAnsiTheme="minorEastAsia"/>
          <w:b/>
          <w:bCs/>
          <w:color w:val="auto"/>
          <w:highlight w:val="none"/>
          <w:lang w:bidi="ar"/>
        </w:rPr>
      </w:pPr>
      <w:r/>
      <w:bookmarkStart w:id="83" w:name="_Hlk109990851"/>
      <w:r>
        <w:rPr>
          <w:rFonts w:hint="eastAsia" w:cs="宋体" w:asciiTheme="minorEastAsia" w:hAnsiTheme="minorEastAsia"/>
          <w:b/>
          <w:bCs/>
          <w:color w:val="auto"/>
          <w:highlight w:val="none"/>
          <w:lang w:bidi="ar"/>
        </w:rPr>
        <w:t xml:space="preserve">10、质疑</w:t>
      </w:r>
      <w:r/>
    </w:p>
    <w:p>
      <w:pPr>
        <w:ind w:firstLine="480"/>
        <w:jc w:val="both"/>
        <w:spacing w:line="360" w:lineRule="auto"/>
        <w:widowControl w:val="off"/>
        <w:rPr>
          <w:rFonts w:hint="eastAsia" w:cs="宋体" w:asciiTheme="minorEastAsia" w:hAnsiTheme="minorEastAsia"/>
          <w:color w:val="auto"/>
          <w:highlight w:val="none"/>
          <w:lang w:bidi="ar"/>
        </w:rPr>
      </w:pPr>
      <w:r/>
      <w:bookmarkStart w:id="84" w:name="_Hlk110021883"/>
      <w:r>
        <w:rPr>
          <w:rFonts w:hint="eastAsia" w:cs="宋体" w:asciiTheme="minorEastAsia" w:hAnsiTheme="minorEastAsia"/>
          <w:color w:val="auto"/>
          <w:highlight w:val="none"/>
          <w:lang w:bidi="ar"/>
        </w:rPr>
        <w:t xml:space="preserve">10.1质疑及答复遵守《政府采购质疑和投诉办法》（中华人民共和国财政部令第94号）规定。</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10.2供应商认为采购文件、采购过程和采购结果使自己的权益受到损害的，可以在知道或应知其权益受到损害之日起七个工作日内，以书面形式根据下述10.5、10.6条款的规定向代理机构或采购人提出质疑。上述应知其权益受到损害之日，是指：</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①对可以质疑的采购文件提出质疑的，为收到采购文件之日或者采购文件公告期限届满之日；</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②对采购过程提出质疑的，为各采购程序环节结束之日；</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③对中标或者成交结果提出质疑的，为中标或者成交结果公告期限届满之日。</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10.3供应商应当在法定质疑期内一次性提出针对同一采购程序环节的质疑。供应商如在法定期限内对同一采购程序环节提出多次质疑的，代理机构或采购人将只对供应商第一次质疑作出答复。</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10.4提出质疑的供应商应当是参与所质疑项目采购活动的供应商，未依照采购公告要求获取采购文件的供应商，视为未参与该项政府采购活动，不具备对该政府采购项目提出质疑的法定权利。</w:t>
      </w:r>
      <w:r/>
    </w:p>
    <w:p>
      <w:pPr>
        <w:ind w:firstLine="482"/>
        <w:jc w:val="both"/>
        <w:spacing w:line="360" w:lineRule="auto"/>
        <w:widowControl w:val="off"/>
        <w:rPr>
          <w:rFonts w:hint="eastAsia" w:cs="宋体" w:asciiTheme="minorEastAsia" w:hAnsiTheme="minorEastAsia"/>
          <w:b/>
          <w:bCs/>
          <w:color w:val="auto"/>
          <w:highlight w:val="none"/>
          <w:lang w:bidi="ar"/>
        </w:rPr>
      </w:pPr>
      <w:r>
        <w:rPr>
          <w:rFonts w:hint="eastAsia" w:cs="宋体" w:asciiTheme="minorEastAsia" w:hAnsiTheme="minorEastAsia"/>
          <w:b/>
          <w:bCs/>
          <w:color w:val="auto"/>
          <w:highlight w:val="none"/>
          <w:lang w:bidi="ar"/>
        </w:rPr>
        <w:t xml:space="preserve">对谈判文件内容质疑时，</w:t>
      </w:r>
      <w:bookmarkStart w:id="85" w:name="_Hlk159236171"/>
      <w:r>
        <w:rPr>
          <w:rFonts w:hint="eastAsia" w:cs="宋体" w:asciiTheme="minorEastAsia" w:hAnsiTheme="minorEastAsia"/>
          <w:b/>
          <w:bCs/>
          <w:color w:val="auto"/>
          <w:highlight w:val="none"/>
          <w:lang w:bidi="ar"/>
        </w:rPr>
        <w:t xml:space="preserve">需提供在</w:t>
      </w:r>
      <w:bookmarkStart w:id="86" w:name="_Hlk157961655"/>
      <w:r>
        <w:rPr>
          <w:rFonts w:hint="eastAsia" w:cs="宋体" w:asciiTheme="minorEastAsia" w:hAnsiTheme="minorEastAsia"/>
          <w:b/>
          <w:bCs/>
          <w:color w:val="auto"/>
          <w:highlight w:val="none"/>
          <w:lang w:bidi="ar"/>
        </w:rPr>
        <w:t xml:space="preserve">“苏采云”</w:t>
      </w:r>
      <w:bookmarkEnd w:id="86"/>
      <w:r>
        <w:rPr>
          <w:rFonts w:hint="eastAsia" w:cs="宋体" w:asciiTheme="minorEastAsia" w:hAnsiTheme="minorEastAsia"/>
          <w:b/>
          <w:bCs/>
          <w:color w:val="auto"/>
          <w:highlight w:val="none"/>
          <w:lang w:bidi="ar"/>
        </w:rPr>
        <w:t xml:space="preserve">系统中下载本项目谈判文件的</w:t>
      </w:r>
      <w:bookmarkStart w:id="87" w:name="_Hlk157961679"/>
      <w:r>
        <w:rPr>
          <w:rFonts w:hint="eastAsia" w:cs="宋体" w:asciiTheme="minorEastAsia" w:hAnsiTheme="minorEastAsia"/>
          <w:b/>
          <w:bCs/>
          <w:color w:val="auto"/>
          <w:highlight w:val="none"/>
          <w:lang w:bidi="ar"/>
        </w:rPr>
        <w:t xml:space="preserve">《投标供应商确认函》</w:t>
      </w:r>
      <w:bookmarkEnd w:id="87"/>
      <w:r>
        <w:rPr>
          <w:rFonts w:hint="eastAsia" w:cs="宋体" w:asciiTheme="minorEastAsia" w:hAnsiTheme="minorEastAsia"/>
          <w:b/>
          <w:bCs/>
          <w:color w:val="auto"/>
          <w:highlight w:val="none"/>
          <w:lang w:bidi="ar"/>
        </w:rPr>
        <w:t xml:space="preserve">，</w:t>
      </w:r>
      <w:bookmarkEnd w:id="85"/>
      <w:r>
        <w:rPr>
          <w:rFonts w:hint="eastAsia" w:cs="宋体" w:asciiTheme="minorEastAsia" w:hAnsiTheme="minorEastAsia"/>
          <w:b/>
          <w:bCs/>
          <w:color w:val="auto"/>
          <w:highlight w:val="none"/>
          <w:lang w:bidi="ar"/>
        </w:rPr>
        <w:t xml:space="preserve">未提供的视为未依照采购公告要求获取谈判文件的供应商，不具备对该政府采购项目提出质疑的法定权利。</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10.5接收质疑函的方式为书面形式（当场送达或邮寄方式）。供应商质疑函范本格式请参照“苏州市政府采购”网站——“下载中心”——“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cs="宋体" w:asciiTheme="minorEastAsia" w:hAnsiTheme="minorEastAsia"/>
          <w:color w:val="auto"/>
          <w:highlight w:val="none"/>
          <w:lang w:bidi="ar"/>
        </w:rPr>
        <w:t xml:space="preserve">政府采购供应商质疑函范本</w:t>
      </w:r>
      <w:r>
        <w:rPr>
          <w:rFonts w:hint="eastAsia" w:cs="宋体" w:asciiTheme="minorEastAsia" w:hAnsiTheme="minorEastAsia"/>
          <w:color w:val="auto"/>
          <w:highlight w:val="none"/>
          <w:lang w:bidi="ar"/>
        </w:rPr>
        <w:fldChar w:fldCharType="end"/>
      </w:r>
      <w:r>
        <w:rPr>
          <w:rFonts w:hint="eastAsia" w:cs="宋体" w:asciiTheme="minorEastAsia" w:hAnsiTheme="minorEastAsia"/>
          <w:color w:val="auto"/>
          <w:highlight w:val="none"/>
          <w:lang w:bidi="ar"/>
        </w:rPr>
        <w:t xml:space="preserve">”。 供应商如组成联合体参加投标，则《质疑函范本》中要求签字、盖章、加盖公章之处，联合体各方均须按要求签字、盖章、加盖公章。</w:t>
      </w:r>
      <w:r/>
    </w:p>
    <w:p>
      <w:pPr>
        <w:ind w:firstLine="480"/>
        <w:jc w:val="both"/>
        <w:spacing w:line="360" w:lineRule="auto"/>
        <w:widowControl w:val="off"/>
        <w:rPr>
          <w:rFonts w:hint="eastAsia" w:cs="宋体" w:asciiTheme="minorEastAsia" w:hAnsiTheme="minorEastAsia"/>
          <w:color w:val="auto"/>
          <w:highlight w:val="none"/>
          <w:lang w:bidi="ar"/>
        </w:rPr>
      </w:pPr>
      <w:r>
        <w:rPr>
          <w:rFonts w:hint="eastAsia" w:cs="宋体" w:asciiTheme="minorEastAsia" w:hAnsiTheme="minorEastAsia"/>
          <w:color w:val="auto"/>
          <w:highlight w:val="none"/>
          <w:lang w:bidi="ar"/>
        </w:rPr>
        <w:t xml:space="preserve">10.6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bookmarkEnd w:id="83"/>
      <w:r/>
      <w:bookmarkEnd w:id="84"/>
      <w:r/>
      <w:r/>
    </w:p>
    <w:p>
      <w:pPr>
        <w:ind w:firstLine="482"/>
        <w:jc w:val="both"/>
        <w:spacing w:line="360" w:lineRule="auto"/>
        <w:widowControl w:val="off"/>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11、未尽事宜</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按《中华人民共和国政府</w:t>
      </w:r>
      <w:r>
        <w:rPr>
          <w:rFonts w:hint="eastAsia" w:ascii="宋体" w:hAnsi="宋体" w:eastAsia="宋体" w:cs="宋体"/>
          <w:color w:val="auto"/>
          <w:sz w:val="24"/>
          <w:szCs w:val="36"/>
          <w:highlight w:val="none"/>
        </w:rPr>
        <w:t xml:space="preserve">采购</w:t>
      </w:r>
      <w:r>
        <w:rPr>
          <w:rFonts w:hint="eastAsia" w:ascii="宋体" w:hAnsi="宋体" w:eastAsia="宋体" w:cs="宋体"/>
          <w:color w:val="auto"/>
          <w:highlight w:val="none"/>
          <w:lang w:bidi="ar"/>
        </w:rPr>
        <w:t xml:space="preserve">法》及其他有关法律法规的规定执行。</w:t>
      </w:r>
      <w:r/>
    </w:p>
    <w:p>
      <w:pPr>
        <w:pStyle w:val="898"/>
        <w:jc w:val="center"/>
        <w:spacing w:before="156" w:after="156"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lang w:bidi="ar"/>
        </w:rPr>
        <w:br w:type="page" w:clear="all"/>
      </w:r>
      <w:bookmarkStart w:id="88" w:name="_Toc14708"/>
      <w:r>
        <w:rPr>
          <w:rFonts w:hint="eastAsia" w:ascii="宋体" w:hAnsi="宋体" w:eastAsia="宋体" w:cs="宋体"/>
          <w:color w:val="auto"/>
          <w:sz w:val="36"/>
          <w:szCs w:val="36"/>
          <w:highlight w:val="none"/>
        </w:rPr>
        <w:t xml:space="preserve">第三章 响应文件格式</w:t>
      </w:r>
      <w:bookmarkEnd w:id="38"/>
      <w:r/>
      <w:bookmarkEnd w:id="88"/>
      <w:r/>
      <w:r/>
    </w:p>
    <w:p>
      <w:pPr>
        <w:pStyle w:val="910"/>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910"/>
        <w:ind w:firstLine="48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对本章所有的格式，谈判供应商可根据自身情况进行补充和修改，但补充和修改不得造成与本格式内容有实质性的违背。</w:t>
      </w:r>
      <w:r/>
    </w:p>
    <w:p>
      <w:pPr>
        <w:spacing w:line="360" w:lineRule="auto"/>
        <w:rPr>
          <w:rFonts w:hint="eastAsia" w:ascii="宋体" w:hAnsi="宋体" w:eastAsia="宋体" w:cs="宋体"/>
          <w:b/>
          <w:color w:val="auto"/>
          <w:highlight w:val="none"/>
          <w:shd w:val="clear" w:color="auto" w:fill="ffffff"/>
        </w:rPr>
        <w:outlineLvl w:val="1"/>
      </w:pPr>
      <w:r>
        <w:rPr>
          <w:rFonts w:hint="eastAsia" w:ascii="宋体" w:hAnsi="宋体" w:eastAsia="宋体" w:cs="宋体"/>
          <w:b/>
          <w:color w:val="auto"/>
          <w:sz w:val="28"/>
          <w:highlight w:val="none"/>
        </w:rPr>
        <w:br w:type="page" w:clear="all"/>
      </w:r>
      <w:bookmarkStart w:id="89" w:name="_Toc21729"/>
      <w:r>
        <w:rPr>
          <w:rFonts w:hint="eastAsia" w:ascii="宋体" w:hAnsi="宋体" w:eastAsia="宋体" w:cs="宋体"/>
          <w:b/>
          <w:color w:val="auto"/>
          <w:highlight w:val="none"/>
          <w:shd w:val="clear" w:color="auto" w:fill="ffffff"/>
        </w:rPr>
        <w:t xml:space="preserve">1、（供应方）法定代表人授权委托书</w:t>
      </w:r>
      <w:bookmarkEnd w:id="89"/>
      <w:r/>
      <w:r/>
    </w:p>
    <w:p>
      <w:pPr>
        <w:jc w:val="center"/>
        <w:spacing w:before="156" w:after="156"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法定代表人授权委托书</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 </w:t>
      </w:r>
      <w:r>
        <w:rPr>
          <w:rFonts w:hint="eastAsia" w:ascii="宋体" w:hAnsi="宋体" w:eastAsia="宋体" w:cs="宋体"/>
          <w:color w:val="auto"/>
          <w:highlight w:val="none"/>
          <w:u w:val="single"/>
        </w:rPr>
        <w:t xml:space="preserve">  （供应商名称）      </w:t>
      </w:r>
      <w:r>
        <w:rPr>
          <w:rFonts w:hint="eastAsia" w:ascii="宋体" w:hAnsi="宋体" w:eastAsia="宋体" w:cs="宋体"/>
          <w:color w:val="auto"/>
          <w:highlight w:val="none"/>
        </w:rPr>
        <w:t xml:space="preserve">授权 </w:t>
      </w:r>
      <w:r>
        <w:rPr>
          <w:rFonts w:hint="eastAsia" w:ascii="宋体" w:hAnsi="宋体" w:eastAsia="宋体" w:cs="宋体"/>
          <w:color w:val="auto"/>
          <w:highlight w:val="none"/>
          <w:u w:val="single"/>
        </w:rPr>
        <w:t xml:space="preserve"> （被授权人的姓名）       </w:t>
      </w:r>
      <w:r>
        <w:rPr>
          <w:rFonts w:hint="eastAsia" w:ascii="宋体" w:hAnsi="宋体" w:eastAsia="宋体" w:cs="宋体"/>
          <w:color w:val="auto"/>
          <w:highlight w:val="none"/>
        </w:rPr>
        <w:t xml:space="preserve">为我方授权代表（即代理人），参加</w:t>
      </w:r>
      <w:r>
        <w:rPr>
          <w:rFonts w:hint="eastAsia" w:ascii="宋体" w:hAnsi="宋体" w:eastAsia="宋体" w:cs="宋体"/>
          <w:color w:val="auto"/>
          <w:highlight w:val="none"/>
          <w:u w:val="single"/>
        </w:rPr>
        <w:t xml:space="preserve">苏州华星工程造价咨询有限公司</w:t>
      </w:r>
      <w:r>
        <w:rPr>
          <w:rFonts w:hint="eastAsia" w:ascii="宋体" w:hAnsi="宋体" w:eastAsia="宋体" w:cs="宋体"/>
          <w:color w:val="auto"/>
          <w:highlight w:val="none"/>
        </w:rPr>
        <w:t xml:space="preserve">组织实施的编号为</w:t>
      </w:r>
      <w:r>
        <w:rPr>
          <w:rFonts w:hint="eastAsia" w:ascii="宋体" w:hAnsi="宋体" w:eastAsia="宋体" w:cs="宋体"/>
          <w:color w:val="auto"/>
          <w:highlight w:val="none"/>
          <w:u w:val="single"/>
        </w:rPr>
        <w:t xml:space="preserve">    （采购编号）    </w:t>
      </w:r>
      <w:r>
        <w:rPr>
          <w:rFonts w:hint="eastAsia" w:ascii="宋体" w:hAnsi="宋体" w:eastAsia="宋体" w:cs="宋体"/>
          <w:color w:val="auto"/>
          <w:highlight w:val="none"/>
        </w:rPr>
        <w:t xml:space="preserve">的竞争性谈判采购。代理人在本次谈判活动过程、合同签订及处理有关事宜所作出的全部意思表示（包括签署的全部文件），我司均予以承认并由我司承担相应法律后果。</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本授权委托书有效期自委托书</w:t>
      </w:r>
      <w:r>
        <w:rPr>
          <w:rFonts w:hint="eastAsia" w:ascii="宋体" w:hAnsi="宋体" w:eastAsia="宋体" w:cs="宋体"/>
          <w:color w:val="auto"/>
          <w:sz w:val="24"/>
          <w:szCs w:val="36"/>
          <w:highlight w:val="none"/>
        </w:rPr>
        <w:t xml:space="preserve">作出</w:t>
      </w:r>
      <w:r>
        <w:rPr>
          <w:rFonts w:hint="eastAsia" w:ascii="宋体" w:hAnsi="宋体" w:eastAsia="宋体" w:cs="宋体"/>
          <w:color w:val="auto"/>
          <w:highlight w:val="none"/>
        </w:rPr>
        <w:t xml:space="preserve">之日起至本项目合同履行完毕之日止。</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代理人无转委托权。</w:t>
      </w:r>
      <w:r/>
    </w:p>
    <w:p>
      <w:pPr>
        <w:spacing w:before="75" w:after="75" w:line="360" w:lineRule="atLeast"/>
        <w:rPr>
          <w:rFonts w:ascii="sans-serif" w:hAnsi="sans-serif" w:eastAsia="sans-serif" w:cs="sans-serif"/>
          <w:color w:val="auto"/>
          <w:highlight w:val="none"/>
        </w:rPr>
      </w:pPr>
      <w:r>
        <w:rPr>
          <w:rFonts w:ascii="宋体" w:hAnsi="宋体" w:eastAsia="宋体" w:cs="宋体"/>
          <w:color w:val="auto"/>
          <w:highlight w:val="none"/>
        </w:rPr>
        <w:t xml:space="preserve">法人代表：</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身份证号：</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 xml:space="preserve">手机：</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p>
    <w:p>
      <w:pPr>
        <w:spacing w:before="75" w:after="75" w:line="360" w:lineRule="atLeast"/>
        <w:rPr>
          <w:rFonts w:ascii="sans-serif" w:hAnsi="sans-serif" w:eastAsia="sans-serif" w:cs="sans-serif"/>
          <w:color w:val="auto"/>
          <w:highlight w:val="none"/>
        </w:rPr>
      </w:pPr>
      <w:r>
        <w:rPr>
          <w:rFonts w:ascii="宋体" w:hAnsi="宋体" w:eastAsia="宋体" w:cs="宋体"/>
          <w:color w:val="auto"/>
          <w:highlight w:val="none"/>
        </w:rPr>
        <w:t xml:space="preserve">授权代表：</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身份证号：</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手机：</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p>
    <w:p>
      <w:pPr>
        <w:spacing w:before="75" w:after="75" w:line="360" w:lineRule="atLeast"/>
        <w:rPr>
          <w:rFonts w:ascii="sans-serif" w:hAnsi="sans-serif" w:eastAsia="sans-serif" w:cs="sans-serif"/>
          <w:color w:val="auto"/>
          <w:highlight w:val="none"/>
        </w:rPr>
      </w:pPr>
      <w:r>
        <w:rPr>
          <w:rFonts w:ascii="宋体" w:hAnsi="宋体" w:eastAsia="宋体" w:cs="宋体"/>
          <w:color w:val="auto"/>
          <w:highlight w:val="none"/>
        </w:rPr>
        <w:t xml:space="preserve"> </w:t>
      </w:r>
      <w:r/>
    </w:p>
    <w:p>
      <w:pPr>
        <w:spacing w:before="75" w:after="75" w:line="360" w:lineRule="atLeast"/>
        <w:rPr>
          <w:rFonts w:ascii="sans-serif" w:hAnsi="sans-serif" w:eastAsia="sans-serif" w:cs="sans-serif"/>
          <w:color w:val="auto"/>
          <w:highlight w:val="none"/>
        </w:rPr>
      </w:pPr>
      <w:r>
        <w:rPr>
          <w:rFonts w:ascii="宋体" w:hAnsi="宋体" w:eastAsia="宋体" w:cs="宋体"/>
          <w:color w:val="auto"/>
          <w:highlight w:val="none"/>
        </w:rPr>
        <w:t xml:space="preserve">授权方</w:t>
      </w:r>
      <w:r/>
    </w:p>
    <w:p>
      <w:pPr>
        <w:spacing w:before="75" w:after="75" w:line="360" w:lineRule="atLeast"/>
        <w:rPr>
          <w:rFonts w:ascii="sans-serif" w:hAnsi="sans-serif" w:eastAsia="sans-serif" w:cs="sans-serif"/>
          <w:color w:val="auto"/>
          <w:highlight w:val="none"/>
        </w:rPr>
      </w:pPr>
      <w:r>
        <w:rPr>
          <w:rFonts w:ascii="宋体" w:hAnsi="宋体" w:eastAsia="宋体" w:cs="宋体"/>
          <w:color w:val="auto"/>
          <w:highlight w:val="none"/>
        </w:rPr>
        <w:t xml:space="preserve">供应商：</w:t>
      </w:r>
      <w:r>
        <w:rPr>
          <w:rFonts w:ascii="宋体" w:hAnsi="宋体" w:eastAsia="宋体" w:cs="宋体"/>
          <w:color w:val="auto"/>
          <w:highlight w:val="none"/>
          <w:u w:val="single"/>
        </w:rPr>
        <w:t xml:space="preserve">（全称并加盖单位公章）</w:t>
      </w:r>
      <w:r/>
    </w:p>
    <w:p>
      <w:pPr>
        <w:spacing w:before="75" w:after="75" w:line="360" w:lineRule="atLeast"/>
        <w:rPr>
          <w:rFonts w:ascii="sans-serif" w:hAnsi="sans-serif" w:eastAsia="sans-serif" w:cs="sans-serif"/>
          <w:color w:val="auto"/>
          <w:highlight w:val="none"/>
        </w:rPr>
      </w:pPr>
      <w:r>
        <w:rPr>
          <w:rFonts w:ascii="宋体" w:hAnsi="宋体" w:eastAsia="宋体" w:cs="宋体"/>
          <w:color w:val="auto"/>
          <w:highlight w:val="none"/>
        </w:rPr>
        <w:t xml:space="preserve">法人代表签字或盖章：</w:t>
      </w:r>
      <w:r>
        <w:rPr>
          <w:rFonts w:ascii="宋体" w:hAnsi="宋体" w:eastAsia="宋体" w:cs="宋体"/>
          <w:color w:val="auto"/>
          <w:highlight w:val="none"/>
          <w:u w:val="single"/>
        </w:rPr>
        <w:t xml:space="preserve">                   </w:t>
      </w:r>
      <w:r/>
    </w:p>
    <w:p>
      <w:pPr>
        <w:spacing w:before="75" w:after="75" w:line="360" w:lineRule="atLeast"/>
        <w:rPr>
          <w:rFonts w:ascii="sans-serif" w:hAnsi="sans-serif" w:eastAsia="sans-serif" w:cs="sans-serif"/>
          <w:color w:val="auto"/>
          <w:highlight w:val="none"/>
        </w:rPr>
      </w:pPr>
      <w:r>
        <w:rPr>
          <w:rFonts w:ascii="宋体" w:hAnsi="宋体" w:eastAsia="宋体" w:cs="宋体"/>
          <w:color w:val="auto"/>
          <w:highlight w:val="none"/>
        </w:rPr>
        <w:t xml:space="preserve"> </w:t>
      </w:r>
      <w:r/>
    </w:p>
    <w:p>
      <w:pPr>
        <w:spacing w:before="75" w:after="75" w:line="360" w:lineRule="atLeast"/>
        <w:rPr>
          <w:rFonts w:ascii="sans-serif" w:hAnsi="sans-serif" w:eastAsia="sans-serif" w:cs="sans-serif"/>
          <w:color w:val="auto"/>
          <w:highlight w:val="none"/>
        </w:rPr>
      </w:pPr>
      <w:r>
        <w:rPr>
          <w:rFonts w:ascii="宋体" w:hAnsi="宋体" w:eastAsia="宋体" w:cs="宋体"/>
          <w:color w:val="auto"/>
          <w:highlight w:val="none"/>
        </w:rPr>
        <w:t xml:space="preserve">接受授权方</w:t>
      </w:r>
      <w:r/>
    </w:p>
    <w:p>
      <w:pPr>
        <w:spacing w:before="75" w:after="75" w:line="360" w:lineRule="atLeast"/>
        <w:rPr>
          <w:rFonts w:ascii="sans-serif" w:hAnsi="sans-serif" w:eastAsia="sans-serif" w:cs="sans-serif"/>
          <w:color w:val="auto"/>
          <w:highlight w:val="none"/>
        </w:rPr>
      </w:pPr>
      <w:r>
        <w:rPr>
          <w:rFonts w:ascii="宋体" w:hAnsi="宋体" w:eastAsia="宋体" w:cs="宋体"/>
          <w:color w:val="auto"/>
          <w:highlight w:val="none"/>
        </w:rPr>
        <w:t xml:space="preserve">授权代表签字：</w:t>
      </w:r>
      <w:r>
        <w:rPr>
          <w:rFonts w:ascii="宋体" w:hAnsi="宋体" w:eastAsia="宋体" w:cs="宋体"/>
          <w:color w:val="auto"/>
          <w:highlight w:val="none"/>
          <w:u w:val="single"/>
        </w:rPr>
        <w:t xml:space="preserve">                   </w:t>
      </w:r>
      <w:r/>
    </w:p>
    <w:p>
      <w:pPr>
        <w:jc w:val="right"/>
        <w:spacing w:before="75" w:after="75" w:line="360" w:lineRule="atLeast"/>
        <w:rPr>
          <w:rFonts w:ascii="sans-serif" w:hAnsi="sans-serif" w:eastAsia="sans-serif" w:cs="sans-serif"/>
          <w:color w:val="auto"/>
          <w:highlight w:val="none"/>
        </w:rPr>
      </w:pPr>
      <w:r>
        <w:rPr>
          <w:rFonts w:ascii="宋体" w:hAnsi="宋体" w:eastAsia="宋体" w:cs="宋体"/>
          <w:color w:val="auto"/>
          <w:highlight w:val="none"/>
        </w:rPr>
        <w:t xml:space="preserve">签署日期：</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年</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月</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日</w:t>
      </w:r>
      <w:r/>
    </w:p>
    <w:p>
      <w:pPr>
        <w:spacing w:before="75" w:after="75" w:line="360" w:lineRule="atLeast"/>
        <w:rPr>
          <w:rFonts w:ascii="sans-serif" w:hAnsi="sans-serif" w:eastAsia="sans-serif" w:cs="sans-serif"/>
          <w:color w:val="auto"/>
          <w:highlight w:val="none"/>
        </w:rPr>
      </w:pPr>
      <w:r>
        <w:rPr>
          <w:rFonts w:ascii="宋体" w:hAnsi="宋体" w:eastAsia="宋体" w:cs="宋体"/>
          <w:color w:val="auto"/>
          <w:highlight w:val="none"/>
        </w:rPr>
        <w:t xml:space="preserve"> </w:t>
      </w:r>
      <w:r/>
    </w:p>
    <w:p>
      <w:pPr>
        <w:spacing w:before="75" w:after="75" w:line="405" w:lineRule="atLeast"/>
        <w:rPr>
          <w:rFonts w:ascii="sans-serif" w:hAnsi="sans-serif" w:eastAsia="sans-serif" w:cs="sans-serif"/>
          <w:color w:val="auto"/>
          <w:highlight w:val="none"/>
        </w:rPr>
      </w:pPr>
      <w:r>
        <w:rPr>
          <w:rFonts w:ascii="宋体" w:hAnsi="宋体" w:eastAsia="宋体" w:cs="宋体"/>
          <w:color w:val="auto"/>
          <w:highlight w:val="none"/>
        </w:rPr>
        <w:t xml:space="preserve">附：法定代表人、授权代表的身份证正反面扫描件</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482"/>
        <w:rPr>
          <w:rFonts w:hint="eastAsia" w:ascii="宋体" w:hAnsi="宋体" w:eastAsia="宋体" w:cs="宋体"/>
          <w:b/>
          <w:color w:val="auto"/>
          <w:highlight w:val="none"/>
        </w:rPr>
      </w:pPr>
      <w:r>
        <w:rPr>
          <w:rFonts w:hint="eastAsia" w:ascii="宋体" w:hAnsi="宋体" w:eastAsia="宋体" w:cs="宋体"/>
          <w:b/>
          <w:color w:val="auto"/>
          <w:highlight w:val="none"/>
        </w:rPr>
        <w:t xml:space="preserve">注：</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1、供应商如有授权委托，必须提供该法人授权委托书及被授权人身份证，否则响应无效；</w:t>
      </w:r>
      <w:r/>
    </w:p>
    <w:p>
      <w:pPr>
        <w:ind w:firstLine="42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rPr>
        <w:t xml:space="preserve">2、供应商无授权委托的情况下，必须提供法定代表人身份证，否则响应无效。</w:t>
      </w:r>
      <w:r/>
    </w:p>
    <w:p>
      <w:pPr>
        <w:spacing w:line="360" w:lineRule="auto"/>
        <w:rPr>
          <w:rFonts w:hint="eastAsia" w:ascii="宋体" w:hAnsi="宋体" w:eastAsia="宋体" w:cs="宋体"/>
          <w:b/>
          <w:color w:val="auto"/>
          <w:highlight w:val="none"/>
          <w:shd w:val="clear" w:color="auto" w:fill="ffffff"/>
        </w:rPr>
        <w:outlineLvl w:val="1"/>
      </w:pPr>
      <w:r/>
      <w:bookmarkStart w:id="90" w:name="_Toc21887"/>
      <w:r>
        <w:rPr>
          <w:rFonts w:hint="eastAsia" w:ascii="宋体" w:hAnsi="宋体" w:eastAsia="宋体" w:cs="宋体"/>
          <w:b/>
          <w:color w:val="auto"/>
          <w:highlight w:val="none"/>
          <w:shd w:val="clear" w:color="auto" w:fill="ffffff"/>
        </w:rPr>
        <w:t xml:space="preserve">2、响应函</w:t>
      </w:r>
      <w:bookmarkEnd w:id="90"/>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响应函</w:t>
      </w:r>
      <w:r/>
    </w:p>
    <w:p>
      <w:pPr>
        <w:pStyle w:val="950"/>
        <w:spacing w:line="440" w:lineRule="exact"/>
        <w:rPr>
          <w:rFonts w:hint="eastAsia" w:hAnsi="宋体" w:eastAsia="宋体" w:cs="宋体"/>
          <w:color w:val="auto"/>
          <w:highlight w:val="none"/>
        </w:rPr>
      </w:pPr>
      <w:r>
        <w:rPr>
          <w:rFonts w:hint="eastAsia" w:hAnsi="宋体" w:eastAsia="宋体" w:cs="宋体"/>
          <w:color w:val="auto"/>
          <w:highlight w:val="none"/>
          <w:u w:val="single"/>
        </w:rPr>
        <w:t xml:space="preserve">                     </w:t>
      </w:r>
      <w:r>
        <w:rPr>
          <w:rFonts w:hint="eastAsia" w:hAnsi="宋体" w:eastAsia="宋体" w:cs="宋体"/>
          <w:color w:val="auto"/>
          <w:highlight w:val="none"/>
        </w:rPr>
        <w:t xml:space="preserve">：</w:t>
      </w:r>
      <w:r/>
    </w:p>
    <w:p>
      <w:pPr>
        <w:pStyle w:val="950"/>
        <w:ind w:firstLine="480"/>
        <w:spacing w:line="440" w:lineRule="exact"/>
        <w:rPr>
          <w:rFonts w:hint="eastAsia" w:hAnsi="宋体" w:eastAsia="宋体" w:cs="宋体"/>
          <w:color w:val="auto"/>
          <w:highlight w:val="none"/>
        </w:rPr>
      </w:pPr>
      <w:r>
        <w:rPr>
          <w:rFonts w:hint="eastAsia" w:hAnsi="宋体" w:eastAsia="宋体" w:cs="宋体"/>
          <w:color w:val="auto"/>
          <w:highlight w:val="none"/>
        </w:rPr>
        <w:t xml:space="preserve">我方收到贵公司 </w:t>
      </w:r>
      <w:r>
        <w:rPr>
          <w:rFonts w:hint="eastAsia" w:hAnsi="宋体" w:eastAsia="宋体" w:cs="宋体"/>
          <w:color w:val="auto"/>
          <w:highlight w:val="none"/>
          <w:u w:val="single"/>
        </w:rPr>
        <w:t xml:space="preserve">                </w:t>
      </w:r>
      <w:r>
        <w:rPr>
          <w:rFonts w:hint="eastAsia" w:hAnsi="宋体" w:eastAsia="宋体" w:cs="宋体"/>
          <w:color w:val="auto"/>
          <w:highlight w:val="none"/>
        </w:rPr>
        <w:t xml:space="preserve">号谈判文件，经仔细阅读和研究，我们决定参加谈判活动。</w:t>
      </w:r>
      <w:r/>
    </w:p>
    <w:p>
      <w:pPr>
        <w:ind w:firstLine="48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我方已仔细研究了本项目的谈判文件，决定参加本次谈判。</w:t>
      </w:r>
      <w:r/>
    </w:p>
    <w:p>
      <w:pPr>
        <w:ind w:firstLine="48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1、我方愿意按提供满足谈判文件全部要求的货物及服务工作，提供谈判文件要求的所有资料，响应报价包括</w:t>
      </w:r>
      <w:r>
        <w:rPr>
          <w:rFonts w:hint="eastAsia" w:ascii="宋体" w:hAnsi="宋体" w:eastAsia="宋体" w:cs="宋体"/>
          <w:color w:val="auto"/>
          <w:highlight w:val="none"/>
          <w:lang w:val="zh-CN"/>
        </w:rPr>
        <w:t xml:space="preserve">全部产品供货（包括全套产品、辅配件、随设备应提交的资料等）、包装、运输、人工、装卸、保险、技术培训、原厂质保期服务、</w:t>
      </w:r>
      <w:r>
        <w:rPr>
          <w:rFonts w:hint="eastAsia" w:ascii="宋体" w:hAnsi="宋体" w:eastAsia="宋体" w:cs="宋体"/>
          <w:color w:val="auto"/>
          <w:highlight w:val="none"/>
        </w:rPr>
        <w:t xml:space="preserve">招标代理费</w:t>
      </w:r>
      <w:r>
        <w:rPr>
          <w:rFonts w:hint="eastAsia" w:ascii="宋体" w:hAnsi="宋体" w:eastAsia="宋体" w:cs="宋体"/>
          <w:color w:val="auto"/>
          <w:highlight w:val="none"/>
          <w:lang w:val="zh-CN"/>
        </w:rPr>
        <w:t xml:space="preserve">以及上述未提及但有关于本次招标设备的供货、安装、调试，直至验收合格交付及质保期间服务。</w:t>
      </w:r>
      <w:r/>
    </w:p>
    <w:p>
      <w:pPr>
        <w:ind w:firstLine="48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2、如果成交，我方将严格履行谈判文件中规定的每一项要求，按期、按质、按量履行合同的义务。</w:t>
      </w:r>
      <w:r/>
    </w:p>
    <w:p>
      <w:pPr>
        <w:ind w:firstLine="48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3、我方承诺谈判响应文件在谈判开始后的全过程中保持有效，不作任何更改和变动。</w:t>
      </w:r>
      <w:r/>
    </w:p>
    <w:p>
      <w:pPr>
        <w:ind w:firstLine="48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4、我方保证全部响应文件内容真实有效，若有虚假，愿意承担与此相关的一切责任。</w:t>
      </w:r>
      <w:r/>
    </w:p>
    <w:p>
      <w:pPr>
        <w:ind w:firstLine="48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5、我方承诺谈判活动中不存在以下行为：</w:t>
      </w:r>
      <w:r/>
    </w:p>
    <w:p>
      <w:pPr>
        <w:ind w:firstLine="48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a）提供虚假材料谋取中标、成交；</w:t>
      </w:r>
      <w:r/>
    </w:p>
    <w:p>
      <w:pPr>
        <w:ind w:firstLine="48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b）采取不正当手段诋毁、排挤其他供应商；</w:t>
      </w:r>
      <w:r/>
    </w:p>
    <w:p>
      <w:pPr>
        <w:ind w:firstLine="48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c）与采购人、其它供应商或者采购代理机构恶意串通；</w:t>
      </w:r>
      <w:r/>
    </w:p>
    <w:p>
      <w:pPr>
        <w:ind w:firstLine="48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d）向采购人、采购代理机构行贿或者提供其他不正当利益；</w:t>
      </w:r>
      <w:r/>
    </w:p>
    <w:p>
      <w:pPr>
        <w:ind w:firstLine="48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e）在采购过程中与采购人进行协商谈判；</w:t>
      </w:r>
      <w:r/>
    </w:p>
    <w:p>
      <w:pPr>
        <w:ind w:firstLine="48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f）拒绝有关部门监督检查或提供虚假情况；</w:t>
      </w:r>
      <w:r/>
    </w:p>
    <w:p>
      <w:pPr>
        <w:pStyle w:val="950"/>
        <w:ind w:firstLine="480"/>
        <w:spacing w:line="440" w:lineRule="exact"/>
        <w:rPr>
          <w:rFonts w:hint="eastAsia" w:hAnsi="宋体" w:eastAsia="宋体" w:cs="宋体"/>
          <w:color w:val="auto"/>
          <w:highlight w:val="none"/>
        </w:rPr>
      </w:pPr>
      <w:r>
        <w:rPr>
          <w:rFonts w:hint="eastAsia" w:hAnsi="宋体" w:eastAsia="宋体" w:cs="宋体"/>
          <w:color w:val="auto"/>
          <w:highlight w:val="none"/>
        </w:rPr>
        <w:t xml:space="preserve">所有有关响应文件的函电，可按下列地址联系：</w:t>
      </w:r>
      <w:r/>
    </w:p>
    <w:p>
      <w:pPr>
        <w:pStyle w:val="919"/>
        <w:ind w:firstLine="480"/>
        <w:spacing w:line="440" w:lineRule="exact"/>
        <w:rPr>
          <w:rFonts w:hint="eastAsia" w:hAnsi="宋体" w:eastAsia="宋体" w:cs="宋体"/>
          <w:color w:val="auto"/>
          <w:highlight w:val="none"/>
          <w:u w:val="single"/>
        </w:rPr>
      </w:pPr>
      <w:r>
        <w:rPr>
          <w:rFonts w:hint="eastAsia" w:hAnsi="宋体" w:eastAsia="宋体" w:cs="宋体"/>
          <w:color w:val="auto"/>
          <w:highlight w:val="none"/>
        </w:rPr>
        <w:t xml:space="preserve">联系人：</w:t>
      </w:r>
      <w:r>
        <w:rPr>
          <w:rFonts w:hint="eastAsia" w:hAnsi="宋体" w:eastAsia="宋体" w:cs="宋体"/>
          <w:color w:val="auto"/>
          <w:highlight w:val="none"/>
          <w:u w:val="single"/>
        </w:rPr>
        <w:t xml:space="preserve">                            </w:t>
      </w:r>
      <w:r>
        <w:rPr>
          <w:rFonts w:hint="eastAsia" w:hAnsi="宋体" w:eastAsia="宋体" w:cs="宋体"/>
          <w:color w:val="auto"/>
          <w:highlight w:val="none"/>
        </w:rPr>
        <w:t xml:space="preserve">联系电话（手机）：</w:t>
      </w:r>
      <w:r>
        <w:rPr>
          <w:rFonts w:hint="eastAsia" w:hAnsi="宋体" w:eastAsia="宋体" w:cs="宋体"/>
          <w:color w:val="auto"/>
          <w:highlight w:val="none"/>
          <w:u w:val="single"/>
        </w:rPr>
        <w:t xml:space="preserve">           </w:t>
      </w:r>
      <w:r/>
    </w:p>
    <w:p>
      <w:pPr>
        <w:pStyle w:val="919"/>
        <w:ind w:firstLine="480"/>
        <w:spacing w:line="440" w:lineRule="exact"/>
        <w:rPr>
          <w:rFonts w:hint="eastAsia" w:hAnsi="宋体" w:eastAsia="宋体" w:cs="宋体"/>
          <w:color w:val="auto"/>
          <w:highlight w:val="none"/>
          <w:u w:val="single"/>
        </w:rPr>
      </w:pPr>
      <w:r>
        <w:rPr>
          <w:rFonts w:hint="eastAsia" w:hAnsi="宋体" w:eastAsia="宋体" w:cs="宋体"/>
          <w:color w:val="auto"/>
          <w:highlight w:val="none"/>
        </w:rPr>
        <w:t xml:space="preserve">地址：</w:t>
      </w:r>
      <w:r>
        <w:rPr>
          <w:rFonts w:hint="eastAsia" w:hAnsi="宋体" w:eastAsia="宋体" w:cs="宋体"/>
          <w:color w:val="auto"/>
          <w:highlight w:val="none"/>
          <w:u w:val="single"/>
        </w:rPr>
        <w:t xml:space="preserve">                              </w:t>
      </w:r>
      <w:r>
        <w:rPr>
          <w:rFonts w:hint="eastAsia" w:hAnsi="宋体" w:eastAsia="宋体" w:cs="宋体"/>
          <w:color w:val="auto"/>
          <w:highlight w:val="none"/>
        </w:rPr>
        <w:t xml:space="preserve">邮政编码：</w:t>
      </w:r>
      <w:r>
        <w:rPr>
          <w:rFonts w:hint="eastAsia" w:hAnsi="宋体" w:eastAsia="宋体" w:cs="宋体"/>
          <w:color w:val="auto"/>
          <w:highlight w:val="none"/>
          <w:u w:val="single"/>
        </w:rPr>
        <w:t xml:space="preserve">                   </w:t>
      </w:r>
      <w:r/>
    </w:p>
    <w:p>
      <w:pPr>
        <w:pStyle w:val="919"/>
        <w:ind w:firstLine="480"/>
        <w:spacing w:line="440" w:lineRule="exact"/>
        <w:rPr>
          <w:rFonts w:hint="eastAsia" w:hAnsi="宋体" w:eastAsia="宋体" w:cs="宋体"/>
          <w:color w:val="auto"/>
          <w:highlight w:val="none"/>
          <w:u w:val="single"/>
        </w:rPr>
      </w:pPr>
      <w:r>
        <w:rPr>
          <w:rFonts w:hint="eastAsia" w:hAnsi="宋体" w:eastAsia="宋体" w:cs="宋体"/>
          <w:color w:val="auto"/>
          <w:highlight w:val="none"/>
        </w:rPr>
        <w:t xml:space="preserve">电子邮箱：</w:t>
      </w:r>
      <w:r>
        <w:rPr>
          <w:rFonts w:hint="eastAsia" w:hAnsi="宋体" w:eastAsia="宋体" w:cs="宋体"/>
          <w:color w:val="auto"/>
          <w:highlight w:val="none"/>
          <w:u w:val="single"/>
        </w:rPr>
        <w:t xml:space="preserve">                          </w:t>
      </w:r>
      <w:r/>
    </w:p>
    <w:p>
      <w:pPr>
        <w:pStyle w:val="919"/>
        <w:spacing w:line="380" w:lineRule="exact"/>
        <w:rPr>
          <w:rFonts w:hint="eastAsia" w:hAnsi="宋体" w:eastAsia="宋体" w:cs="宋体"/>
          <w:b/>
          <w:color w:val="auto"/>
          <w:highlight w:val="none"/>
        </w:rPr>
      </w:pPr>
      <w:r>
        <w:rPr>
          <w:rFonts w:hint="eastAsia" w:hAnsi="宋体" w:eastAsia="宋体" w:cs="宋体"/>
          <w:b/>
          <w:color w:val="auto"/>
          <w:highlight w:val="none"/>
        </w:rPr>
      </w:r>
      <w:r/>
    </w:p>
    <w:p>
      <w:pPr>
        <w:ind w:firstLine="3840"/>
        <w:spacing w:line="360" w:lineRule="auto"/>
        <w:rPr>
          <w:rFonts w:ascii="宋体" w:hAnsi="宋体" w:eastAsia="宋体" w:cs="宋体"/>
          <w:color w:val="auto"/>
          <w:highlight w:val="none"/>
        </w:rPr>
      </w:pPr>
      <w:r>
        <w:rPr>
          <w:rFonts w:hint="eastAsia" w:ascii="宋体" w:hAnsi="宋体" w:eastAsia="宋体" w:cs="宋体"/>
          <w:color w:val="auto"/>
          <w:highlight w:val="none"/>
          <w:lang w:bidi="ar"/>
        </w:rPr>
        <w:t xml:space="preserve">单位名称：（加盖CA电子公章）</w:t>
      </w:r>
      <w:r>
        <w:rPr>
          <w:rFonts w:hint="eastAsia" w:ascii="宋体" w:hAnsi="宋体" w:eastAsia="宋体" w:cs="宋体"/>
          <w:color w:val="auto"/>
          <w:highlight w:val="none"/>
        </w:rPr>
        <w:t xml:space="preserve"> </w:t>
      </w:r>
      <w:r/>
    </w:p>
    <w:p>
      <w:pPr>
        <w:ind w:firstLine="384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color w:val="auto"/>
          <w:highlight w:val="none"/>
          <w:lang w:bidi="ar"/>
        </w:rPr>
        <w:t xml:space="preserve">日期：     年   月   日</w:t>
      </w:r>
      <w:r/>
    </w:p>
    <w:p>
      <w:pPr>
        <w:spacing w:line="360" w:lineRule="auto"/>
        <w:rPr>
          <w:rFonts w:hint="eastAsia" w:ascii="宋体" w:hAnsi="宋体" w:eastAsia="宋体" w:cs="宋体"/>
          <w:b/>
          <w:color w:val="auto"/>
          <w:highlight w:val="none"/>
          <w:shd w:val="clear" w:color="auto" w:fill="ffffff"/>
        </w:rPr>
        <w:outlineLvl w:val="1"/>
      </w:pPr>
      <w:r/>
      <w:bookmarkStart w:id="91" w:name="_Toc8679"/>
      <w:r>
        <w:rPr>
          <w:rFonts w:hint="eastAsia" w:ascii="宋体" w:hAnsi="宋体" w:eastAsia="宋体" w:cs="宋体"/>
          <w:b/>
          <w:color w:val="auto"/>
          <w:highlight w:val="none"/>
          <w:shd w:val="clear" w:color="auto" w:fill="ffffff"/>
        </w:rPr>
        <w:t xml:space="preserve">3、</w:t>
      </w:r>
      <w:r>
        <w:rPr>
          <w:rFonts w:ascii="宋体" w:hAnsi="宋体" w:eastAsia="宋体" w:cs="宋体"/>
          <w:bCs/>
          <w:color w:val="auto"/>
          <w:highlight w:val="none"/>
          <w:shd w:val="clear" w:color="auto" w:fill="ffffff"/>
        </w:rPr>
        <w:t xml:space="preserve">谈判报价表</w:t>
      </w:r>
      <w:bookmarkEnd w:id="91"/>
      <w:r/>
      <w:r/>
    </w:p>
    <w:p>
      <w:pPr>
        <w:jc w:val="center"/>
        <w:spacing w:before="156" w:after="156" w:line="360" w:lineRule="auto"/>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谈判报价表</w:t>
      </w:r>
      <w:r/>
    </w:p>
    <w:p>
      <w:pPr>
        <w:pStyle w:val="930"/>
        <w:jc w:val="center"/>
        <w:rPr>
          <w:rFonts w:hint="eastAsia"/>
          <w:color w:val="auto"/>
          <w:highlight w:val="none"/>
        </w:rPr>
      </w:pPr>
      <w:r>
        <w:rPr>
          <w:rFonts w:hint="eastAsia"/>
          <w:bCs/>
          <w:color w:val="auto"/>
          <w:szCs w:val="21"/>
          <w:highlight w:val="none"/>
        </w:rPr>
        <w:t xml:space="preserve">（以电子投标制作工具中格式为准）</w:t>
      </w:r>
      <w:r/>
    </w:p>
    <w:p>
      <w:pPr>
        <w:pStyle w:val="930"/>
        <w:rPr>
          <w:rFonts w:hint="eastAsia"/>
          <w:color w:val="auto"/>
          <w:highlight w:val="none"/>
        </w:rPr>
      </w:pPr>
      <w:r>
        <w:rPr>
          <w:rFonts w:hint="eastAsia"/>
          <w:color w:val="auto"/>
          <w:highlight w:val="none"/>
        </w:rPr>
        <w:t xml:space="preserve">项目编号：</w:t>
      </w:r>
      <w:r/>
    </w:p>
    <w:p>
      <w:pPr>
        <w:pStyle w:val="930"/>
        <w:rPr>
          <w:rFonts w:hint="eastAsia"/>
          <w:color w:val="auto"/>
          <w:highlight w:val="none"/>
        </w:rPr>
      </w:pPr>
      <w:r>
        <w:rPr>
          <w:rFonts w:hint="eastAsia"/>
          <w:color w:val="auto"/>
          <w:highlight w:val="none"/>
        </w:rPr>
        <w:t xml:space="preserve">本次为首次报价</w:t>
      </w:r>
      <w:r/>
    </w:p>
    <w:p>
      <w:pPr>
        <w:pStyle w:val="930"/>
        <w:rPr>
          <w:rFonts w:hint="eastAsia"/>
          <w:color w:val="auto"/>
          <w:highlight w:val="none"/>
        </w:rPr>
      </w:pPr>
      <w:r>
        <w:rPr>
          <w:rFonts w:hint="eastAsia"/>
          <w:color w:val="auto"/>
          <w:highlight w:val="none"/>
        </w:rPr>
        <w:t xml:space="preserve">货币单位：人民币元</w:t>
      </w:r>
      <w:r/>
    </w:p>
    <w:tbl>
      <w:tblPr>
        <w:tblStyle w:val="908"/>
        <w:tblW w:w="8211"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398"/>
        <w:gridCol w:w="2694"/>
        <w:gridCol w:w="1846"/>
        <w:gridCol w:w="1273"/>
      </w:tblGrid>
      <w:tr>
        <w:trPr>
          <w:tblCellSpacing w:w="15" w:type="dxa"/>
        </w:trPr>
        <w:tc>
          <w:tcPr>
            <w:tcW w:w="2353" w:type="dxa"/>
            <w:vAlign w:val="center"/>
            <w:textDirection w:val="lrTb"/>
            <w:noWrap w:val="false"/>
          </w:tcPr>
          <w:p>
            <w:pPr>
              <w:pStyle w:val="930"/>
              <w:jc w:val="center"/>
              <w:rPr>
                <w:rFonts w:hint="eastAsia"/>
                <w:color w:val="auto"/>
                <w:highlight w:val="none"/>
              </w:rPr>
            </w:pPr>
            <w:r>
              <w:rPr>
                <w:rFonts w:hint="eastAsia"/>
                <w:color w:val="auto"/>
                <w:highlight w:val="none"/>
              </w:rPr>
              <w:t xml:space="preserve">项目名称</w:t>
            </w:r>
            <w:r/>
          </w:p>
        </w:tc>
        <w:tc>
          <w:tcPr>
            <w:tcW w:w="2664" w:type="dxa"/>
            <w:vAlign w:val="center"/>
            <w:textDirection w:val="lrTb"/>
            <w:noWrap w:val="false"/>
          </w:tcPr>
          <w:p>
            <w:pPr>
              <w:pStyle w:val="930"/>
              <w:jc w:val="center"/>
              <w:rPr>
                <w:rFonts w:hint="eastAsia"/>
                <w:color w:val="auto"/>
                <w:highlight w:val="none"/>
              </w:rPr>
            </w:pPr>
            <w:r>
              <w:rPr>
                <w:rFonts w:hint="eastAsia"/>
                <w:color w:val="auto"/>
                <w:highlight w:val="none"/>
              </w:rPr>
              <w:t xml:space="preserve">项目内容</w:t>
            </w:r>
            <w:r/>
          </w:p>
        </w:tc>
        <w:tc>
          <w:tcPr>
            <w:tcW w:w="1816" w:type="dxa"/>
            <w:vAlign w:val="center"/>
            <w:textDirection w:val="lrTb"/>
            <w:noWrap w:val="false"/>
          </w:tcPr>
          <w:p>
            <w:pPr>
              <w:pStyle w:val="930"/>
              <w:jc w:val="center"/>
              <w:rPr>
                <w:rFonts w:hint="eastAsia"/>
                <w:color w:val="auto"/>
                <w:highlight w:val="none"/>
              </w:rPr>
            </w:pPr>
            <w:r>
              <w:rPr>
                <w:rFonts w:hint="eastAsia"/>
                <w:color w:val="auto"/>
                <w:highlight w:val="none"/>
              </w:rPr>
              <w:t xml:space="preserve">报价（小写）</w:t>
            </w:r>
            <w:r/>
          </w:p>
        </w:tc>
        <w:tc>
          <w:tcPr>
            <w:tcW w:w="1227" w:type="dxa"/>
            <w:vAlign w:val="center"/>
            <w:textDirection w:val="lrTb"/>
            <w:noWrap w:val="false"/>
          </w:tcPr>
          <w:p>
            <w:pPr>
              <w:pStyle w:val="930"/>
              <w:jc w:val="center"/>
              <w:rPr>
                <w:rFonts w:hint="eastAsia"/>
                <w:color w:val="auto"/>
                <w:highlight w:val="none"/>
              </w:rPr>
            </w:pPr>
            <w:r>
              <w:rPr>
                <w:rFonts w:hint="eastAsia"/>
                <w:color w:val="auto"/>
                <w:highlight w:val="none"/>
              </w:rPr>
              <w:t xml:space="preserve">备注</w:t>
            </w:r>
            <w:r/>
          </w:p>
        </w:tc>
      </w:tr>
      <w:tr>
        <w:trPr>
          <w:tblCellSpacing w:w="15" w:type="dxa"/>
        </w:trPr>
        <w:tc>
          <w:tcPr>
            <w:tcW w:w="2353" w:type="dxa"/>
            <w:vAlign w:val="center"/>
            <w:textDirection w:val="lrTb"/>
            <w:noWrap w:val="false"/>
          </w:tcPr>
          <w:p>
            <w:pPr>
              <w:pStyle w:val="930"/>
              <w:rPr>
                <w:rFonts w:hint="eastAsia"/>
                <w:color w:val="auto"/>
                <w:highlight w:val="none"/>
              </w:rPr>
            </w:pPr>
            <w:r>
              <w:rPr>
                <w:rFonts w:hint="eastAsia"/>
                <w:color w:val="auto"/>
                <w:highlight w:val="none"/>
              </w:rPr>
              <w:t xml:space="preserve">项目名称 </w:t>
            </w:r>
            <w:r/>
          </w:p>
        </w:tc>
        <w:tc>
          <w:tcPr>
            <w:tcW w:w="2664" w:type="dxa"/>
            <w:vAlign w:val="center"/>
            <w:textDirection w:val="lrTb"/>
            <w:noWrap w:val="false"/>
          </w:tcPr>
          <w:p>
            <w:pPr>
              <w:pStyle w:val="930"/>
              <w:rPr>
                <w:rFonts w:hint="eastAsia"/>
                <w:color w:val="auto"/>
                <w:highlight w:val="none"/>
              </w:rPr>
            </w:pPr>
            <w:r>
              <w:rPr>
                <w:rFonts w:hint="eastAsia"/>
                <w:color w:val="auto"/>
                <w:highlight w:val="none"/>
              </w:rPr>
              <w:t xml:space="preserve">详见《谈判文件》</w:t>
            </w:r>
            <w:r/>
          </w:p>
        </w:tc>
        <w:tc>
          <w:tcPr>
            <w:tcW w:w="1816" w:type="dxa"/>
            <w:vAlign w:val="center"/>
            <w:textDirection w:val="lrTb"/>
            <w:noWrap w:val="false"/>
          </w:tcPr>
          <w:p>
            <w:pPr>
              <w:pStyle w:val="930"/>
              <w:rPr>
                <w:rFonts w:hint="eastAsia"/>
                <w:color w:val="auto"/>
                <w:highlight w:val="none"/>
              </w:rPr>
            </w:pPr>
            <w:r>
              <w:rPr>
                <w:rFonts w:hint="eastAsia"/>
                <w:color w:val="auto"/>
                <w:highlight w:val="none"/>
              </w:rPr>
              <w:t xml:space="preserve">  </w:t>
            </w:r>
            <w:r>
              <w:rPr>
                <w:color w:val="auto"/>
                <w:highlight w:val="none"/>
              </w:rPr>
              <mc:AlternateContent>
                <mc:Choice Requires="wpg">
                  <w:drawing>
                    <wp:inline xmlns:wp="http://schemas.openxmlformats.org/drawingml/2006/wordprocessingDrawing" distT="0" distB="0" distL="0" distR="0">
                      <wp:extent cx="635" cy="0"/>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rFonts w:hint="eastAsia"/>
                <w:color w:val="auto"/>
                <w:highlight w:val="none"/>
              </w:rPr>
              <w:t xml:space="preserve"> </w:t>
            </w:r>
            <w:r/>
          </w:p>
        </w:tc>
        <w:tc>
          <w:tcPr>
            <w:tcW w:w="1227" w:type="dxa"/>
            <w:vAlign w:val="center"/>
            <w:textDirection w:val="lrTb"/>
            <w:noWrap w:val="false"/>
          </w:tcPr>
          <w:p>
            <w:pPr>
              <w:pStyle w:val="930"/>
              <w:rPr>
                <w:rFonts w:hint="eastAsia"/>
                <w:color w:val="auto"/>
                <w:highlight w:val="none"/>
              </w:rPr>
            </w:pPr>
            <w:r>
              <w:rPr>
                <w:rFonts w:hint="eastAsia"/>
                <w:color w:val="auto"/>
                <w:highlight w:val="none"/>
              </w:rPr>
              <w:t xml:space="preserve"> </w:t>
            </w:r>
            <w:r/>
          </w:p>
        </w:tc>
      </w:tr>
      <w:tr>
        <w:trPr>
          <w:tblCellSpacing w:w="15" w:type="dxa"/>
        </w:trPr>
        <w:tc>
          <w:tcPr>
            <w:tcW w:w="2353" w:type="dxa"/>
            <w:vAlign w:val="center"/>
            <w:textDirection w:val="lrTb"/>
            <w:noWrap w:val="false"/>
          </w:tcPr>
          <w:p>
            <w:pPr>
              <w:pStyle w:val="930"/>
              <w:rPr>
                <w:rFonts w:hint="eastAsia"/>
                <w:color w:val="auto"/>
                <w:highlight w:val="none"/>
              </w:rPr>
            </w:pPr>
            <w:r>
              <w:rPr>
                <w:rFonts w:hint="eastAsia"/>
                <w:color w:val="auto"/>
                <w:highlight w:val="none"/>
              </w:rPr>
              <w:t xml:space="preserve">报价（大写）：</w:t>
            </w:r>
            <w:r/>
          </w:p>
        </w:tc>
        <w:tc>
          <w:tcPr>
            <w:gridSpan w:val="3"/>
            <w:tcW w:w="5768" w:type="dxa"/>
            <w:vAlign w:val="center"/>
            <w:textDirection w:val="lrTb"/>
            <w:noWrap w:val="false"/>
          </w:tcPr>
          <w:p>
            <w:pPr>
              <w:pStyle w:val="930"/>
              <w:rPr>
                <w:rFonts w:hint="eastAsia"/>
                <w:color w:val="auto"/>
                <w:highlight w:val="none"/>
              </w:rPr>
            </w:pPr>
            <w:r>
              <w:rPr>
                <w:rFonts w:hint="eastAsia"/>
                <w:color w:val="auto"/>
                <w:highlight w:val="none"/>
              </w:rPr>
              <w:t xml:space="preserve">金额大写</w:t>
            </w:r>
            <w:r/>
          </w:p>
        </w:tc>
      </w:tr>
    </w:tbl>
    <w:p>
      <w:pPr>
        <w:pStyle w:val="930"/>
        <w:rPr>
          <w:rFonts w:hint="eastAsia"/>
          <w:color w:val="auto"/>
          <w:highlight w:val="none"/>
        </w:rPr>
      </w:pPr>
      <w:r>
        <w:rPr>
          <w:rFonts w:hint="eastAsia"/>
          <w:color w:val="auto"/>
          <w:highlight w:val="none"/>
        </w:rPr>
        <w:t xml:space="preserve"> </w:t>
      </w:r>
      <w:r/>
    </w:p>
    <w:p>
      <w:pPr>
        <w:pStyle w:val="930"/>
        <w:rPr>
          <w:rFonts w:hint="eastAsia"/>
          <w:color w:val="auto"/>
          <w:highlight w:val="none"/>
        </w:rPr>
      </w:pPr>
      <w:r>
        <w:rPr>
          <w:rFonts w:hint="eastAsia"/>
          <w:color w:val="auto"/>
          <w:highlight w:val="none"/>
        </w:rPr>
        <w:t xml:space="preserve">供应商报价说明：</w:t>
      </w:r>
      <w:r/>
    </w:p>
    <w:p>
      <w:pPr>
        <w:pStyle w:val="930"/>
        <w:rPr>
          <w:rFonts w:hint="eastAsia"/>
          <w:color w:val="auto"/>
          <w:highlight w:val="none"/>
        </w:rPr>
      </w:pPr>
      <w:r>
        <w:rPr>
          <w:rFonts w:hint="eastAsia"/>
          <w:color w:val="auto"/>
          <w:highlight w:val="none"/>
        </w:rPr>
        <w:t xml:space="preserve">1、采购人不需再支付报价以外的任何费用。</w:t>
      </w:r>
      <w:r/>
    </w:p>
    <w:p>
      <w:pPr>
        <w:pStyle w:val="930"/>
        <w:rPr>
          <w:rFonts w:hint="eastAsia"/>
          <w:color w:val="auto"/>
          <w:highlight w:val="none"/>
        </w:rPr>
      </w:pPr>
      <w:r>
        <w:rPr>
          <w:rFonts w:hint="eastAsia"/>
          <w:color w:val="auto"/>
          <w:highlight w:val="none"/>
        </w:rPr>
        <w:t xml:space="preserve">2、偏离说明：详见《偏离表》。</w:t>
      </w:r>
      <w:r/>
    </w:p>
    <w:p>
      <w:pPr>
        <w:pStyle w:val="930"/>
        <w:rPr>
          <w:rFonts w:hint="eastAsia"/>
          <w:color w:val="auto"/>
          <w:highlight w:val="none"/>
        </w:rPr>
      </w:pPr>
      <w:r>
        <w:rPr>
          <w:rFonts w:hint="eastAsia"/>
          <w:color w:val="auto"/>
          <w:highlight w:val="none"/>
        </w:rPr>
        <w:t xml:space="preserve">3、报价大小写不一致以大写为准。</w:t>
      </w:r>
      <w:r/>
    </w:p>
    <w:p>
      <w:pPr>
        <w:pStyle w:val="930"/>
        <w:rPr>
          <w:rFonts w:hint="eastAsia"/>
          <w:color w:val="auto"/>
          <w:highlight w:val="none"/>
        </w:rPr>
      </w:pPr>
      <w:r>
        <w:rPr>
          <w:rFonts w:hint="eastAsia"/>
          <w:color w:val="auto"/>
          <w:highlight w:val="none"/>
        </w:rPr>
        <w:t xml:space="preserve"> </w:t>
      </w:r>
      <w:r/>
    </w:p>
    <w:p>
      <w:pPr>
        <w:ind w:firstLine="3840"/>
        <w:spacing w:line="360" w:lineRule="auto"/>
        <w:rPr>
          <w:rFonts w:ascii="宋体" w:hAnsi="宋体" w:eastAsia="宋体" w:cs="宋体"/>
          <w:color w:val="auto"/>
          <w:highlight w:val="none"/>
        </w:rPr>
      </w:pPr>
      <w:r>
        <w:rPr>
          <w:rFonts w:hint="eastAsia" w:ascii="宋体" w:hAnsi="宋体" w:eastAsia="宋体" w:cs="宋体"/>
          <w:color w:val="auto"/>
          <w:highlight w:val="none"/>
          <w:lang w:bidi="ar"/>
        </w:rPr>
        <w:t xml:space="preserve">单位名称：（加盖CA电子公章）</w:t>
      </w:r>
      <w:r>
        <w:rPr>
          <w:rFonts w:hint="eastAsia" w:ascii="宋体" w:hAnsi="宋体" w:eastAsia="宋体" w:cs="宋体"/>
          <w:color w:val="auto"/>
          <w:highlight w:val="none"/>
        </w:rPr>
        <w:t xml:space="preserve"> </w:t>
      </w:r>
      <w:r/>
    </w:p>
    <w:p>
      <w:pPr>
        <w:ind w:firstLine="384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color w:val="auto"/>
          <w:highlight w:val="none"/>
          <w:lang w:bidi="ar"/>
        </w:rPr>
        <w:t xml:space="preserve">日期：     年   月   日</w:t>
      </w:r>
      <w:r/>
    </w:p>
    <w:p>
      <w:pPr>
        <w:pStyle w:val="950"/>
        <w:jc w:val="center"/>
        <w:spacing w:line="360" w:lineRule="auto"/>
        <w:rPr>
          <w:rFonts w:hint="eastAsia" w:hAnsi="宋体" w:eastAsia="宋体" w:cs="宋体"/>
          <w:color w:val="auto"/>
          <w:highlight w:val="none"/>
        </w:rPr>
      </w:pPr>
      <w:r>
        <w:rPr>
          <w:rFonts w:hint="eastAsia" w:hAnsi="宋体" w:eastAsia="宋体" w:cs="宋体"/>
          <w:color w:val="auto"/>
          <w:highlight w:val="none"/>
        </w:rPr>
      </w:r>
      <w:r/>
    </w:p>
    <w:p>
      <w:pPr>
        <w:pStyle w:val="950"/>
        <w:jc w:val="center"/>
        <w:spacing w:line="360" w:lineRule="auto"/>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br w:type="page" w:clear="all"/>
      </w:r>
      <w:r/>
    </w:p>
    <w:p>
      <w:pPr>
        <w:spacing w:line="360" w:lineRule="auto"/>
        <w:rPr>
          <w:rFonts w:hint="eastAsia" w:ascii="宋体" w:hAnsi="宋体" w:eastAsia="宋体" w:cs="宋体"/>
          <w:b/>
          <w:color w:val="auto"/>
          <w:highlight w:val="none"/>
          <w:shd w:val="clear" w:color="auto" w:fill="ffffff"/>
        </w:rPr>
        <w:outlineLvl w:val="1"/>
      </w:pPr>
      <w:r/>
      <w:bookmarkStart w:id="92" w:name="_Toc15643"/>
      <w:r>
        <w:rPr>
          <w:rFonts w:hint="eastAsia" w:ascii="宋体" w:hAnsi="宋体" w:eastAsia="宋体" w:cs="宋体"/>
          <w:b/>
          <w:color w:val="auto"/>
          <w:highlight w:val="none"/>
          <w:shd w:val="clear" w:color="auto" w:fill="ffffff"/>
        </w:rPr>
        <w:t xml:space="preserve">4、报价明细表</w:t>
      </w:r>
      <w:bookmarkEnd w:id="92"/>
      <w:r/>
      <w:r/>
    </w:p>
    <w:p>
      <w:pPr>
        <w:jc w:val="center"/>
        <w:spacing w:before="156" w:after="156"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报价明细表</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tbl>
      <w:tblPr>
        <w:tblStyle w:val="908"/>
        <w:tblW w:w="848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62"/>
        <w:gridCol w:w="998"/>
        <w:gridCol w:w="987"/>
        <w:gridCol w:w="1276"/>
        <w:gridCol w:w="981"/>
        <w:gridCol w:w="1003"/>
        <w:gridCol w:w="678"/>
        <w:gridCol w:w="708"/>
        <w:gridCol w:w="567"/>
        <w:gridCol w:w="709"/>
        <w:gridCol w:w="13"/>
      </w:tblGrid>
      <w:tr>
        <w:trPr>
          <w:gridAfter w:val="1"/>
          <w:jc w:val="center"/>
          <w:trHeight w:val="423"/>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货物名称</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生产</w:t>
            </w:r>
            <w:r/>
          </w:p>
          <w:p>
            <w:pPr>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厂家</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总价</w:t>
            </w:r>
            <w:r/>
          </w:p>
        </w:tc>
      </w:tr>
      <w:tr>
        <w:trPr>
          <w:gridAfter w:val="1"/>
          <w:jc w:val="center"/>
          <w:trHeight w:val="361"/>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gridAfter w:val="1"/>
          <w:jc w:val="center"/>
          <w:trHeight w:val="316"/>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gridAfter w:val="1"/>
          <w:jc w:val="center"/>
          <w:trHeight w:val="316"/>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gridAfter w:val="1"/>
          <w:jc w:val="center"/>
          <w:trHeight w:val="222"/>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gridAfter w:val="1"/>
          <w:jc w:val="center"/>
          <w:trHeight w:val="222"/>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gridAfter w:val="1"/>
          <w:jc w:val="center"/>
          <w:trHeight w:val="222"/>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gridAfter w:val="1"/>
          <w:jc w:val="center"/>
          <w:trHeight w:val="222"/>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gridAfter w:val="1"/>
          <w:jc w:val="center"/>
          <w:trHeight w:val="222"/>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gridAfter w:val="1"/>
          <w:jc w:val="center"/>
          <w:trHeight w:val="222"/>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gridAfter w:val="1"/>
          <w:jc w:val="center"/>
          <w:trHeight w:val="222"/>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gridAfter w:val="1"/>
          <w:jc w:val="center"/>
          <w:trHeight w:val="222"/>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jc w:val="center"/>
          <w:trHeight w:val="454"/>
        </w:trPr>
        <w:tc>
          <w:tcPr>
            <w:gridSpan w:val="11"/>
            <w:tcBorders>
              <w:top w:val="single" w:color="auto" w:sz="4" w:space="0"/>
              <w:left w:val="single" w:color="auto" w:sz="4" w:space="0"/>
              <w:bottom w:val="single" w:color="auto" w:sz="4" w:space="0"/>
              <w:right w:val="single" w:color="auto" w:sz="4" w:space="0"/>
            </w:tcBorders>
            <w:tcW w:w="8482" w:type="dxa"/>
            <w:textDirection w:val="lrTb"/>
            <w:noWrap w:val="false"/>
          </w:tcPr>
          <w:p>
            <w:pPr>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 xml:space="preserve">谈判响应总报价（人民币大写）：               ¥</w:t>
            </w:r>
            <w:r/>
          </w:p>
        </w:tc>
      </w:tr>
      <w:tr>
        <w:trPr>
          <w:jc w:val="center"/>
          <w:trHeight w:val="454"/>
        </w:trPr>
        <w:tc>
          <w:tcPr>
            <w:gridSpan w:val="11"/>
            <w:tcBorders>
              <w:top w:val="single" w:color="auto" w:sz="4" w:space="0"/>
              <w:left w:val="single" w:color="auto" w:sz="4" w:space="0"/>
              <w:bottom w:val="single" w:color="auto" w:sz="4" w:space="0"/>
              <w:right w:val="single" w:color="auto" w:sz="4" w:space="0"/>
            </w:tcBorders>
            <w:tcW w:w="8482" w:type="dxa"/>
            <w:textDirection w:val="lrTb"/>
            <w:noWrap w:val="false"/>
          </w:tcPr>
          <w:p>
            <w:pPr>
              <w:ind w:firstLine="420"/>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t xml:space="preserve">□本采购包为单一产品采购</w:t>
            </w:r>
            <w:r/>
          </w:p>
          <w:p>
            <w:pPr>
              <w:ind w:firstLine="420"/>
              <w:spacing w:line="360" w:lineRule="auto"/>
              <w:rPr>
                <w:rFonts w:hint="eastAsia" w:ascii="宋体" w:hAnsi="宋体" w:eastAsia="宋体" w:cs="宋体"/>
                <w:color w:val="auto"/>
                <w:spacing w:val="20"/>
                <w:highlight w:val="none"/>
              </w:rPr>
            </w:pPr>
            <w:r>
              <w:rPr>
                <w:rFonts w:hint="eastAsia" w:ascii="Segoe UI Symbol" w:hAnsi="Segoe UI Symbol" w:eastAsia="宋体" w:cs="Segoe UI Symbol"/>
                <w:color w:val="auto"/>
                <w:spacing w:val="20"/>
                <w:highlight w:val="none"/>
                <w:lang w:eastAsia="zh-CN"/>
              </w:rPr>
              <w:t xml:space="preserve">☑</w:t>
            </w:r>
            <w:r>
              <w:rPr>
                <w:rFonts w:hint="eastAsia" w:ascii="宋体" w:hAnsi="宋体" w:eastAsia="宋体" w:cs="宋体"/>
                <w:b/>
                <w:bCs/>
                <w:color w:val="auto"/>
                <w:highlight w:val="none"/>
              </w:rPr>
              <w:t xml:space="preserve">本采购包中含有多种产品</w:t>
            </w:r>
            <w:r>
              <w:rPr>
                <w:rFonts w:hint="eastAsia" w:ascii="宋体" w:hAnsi="宋体" w:eastAsia="宋体" w:cs="宋体"/>
                <w:color w:val="auto"/>
                <w:spacing w:val="20"/>
                <w:highlight w:val="none"/>
              </w:rPr>
              <w:t xml:space="preserve">，</w:t>
            </w:r>
            <w:r>
              <w:rPr>
                <w:rFonts w:hint="eastAsia" w:ascii="宋体" w:hAnsi="宋体" w:eastAsia="宋体" w:cs="宋体"/>
                <w:b/>
                <w:bCs/>
                <w:color w:val="auto"/>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pacing w:val="20"/>
                <w:highlight w:val="none"/>
                <w:u w:val="single"/>
              </w:rPr>
              <w:t xml:space="preserve">     </w:t>
            </w:r>
            <w:r>
              <w:rPr>
                <w:rFonts w:hint="eastAsia" w:ascii="宋体" w:hAnsi="宋体" w:eastAsia="宋体" w:cs="宋体"/>
                <w:b/>
                <w:bCs/>
                <w:color w:val="auto"/>
                <w:spacing w:val="20"/>
                <w:highlight w:val="none"/>
              </w:rPr>
              <w:t xml:space="preserve">%。</w:t>
            </w:r>
            <w:r/>
          </w:p>
        </w:tc>
      </w:tr>
    </w:tbl>
    <w:p>
      <w:pPr>
        <w:pStyle w:val="919"/>
        <w:spacing w:line="400" w:lineRule="exact"/>
        <w:rPr>
          <w:rFonts w:hint="eastAsia" w:hAnsi="宋体" w:eastAsia="宋体" w:cs="宋体"/>
          <w:color w:val="auto"/>
          <w:highlight w:val="none"/>
        </w:rPr>
      </w:pPr>
      <w:r>
        <w:rPr>
          <w:rFonts w:hint="eastAsia" w:hAnsi="宋体" w:eastAsia="宋体" w:cs="宋体"/>
          <w:color w:val="auto"/>
          <w:highlight w:val="none"/>
        </w:rPr>
        <w:t xml:space="preserve">注：</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如采购包中含有多种产品时，供应商未填写本采购包中提供的符合本国产品标准的产品成本之和占该采购包提供的全部产品成本之和的比例数值的，或比例数值未达到80%的，</w:t>
      </w:r>
      <w:r>
        <w:rPr>
          <w:rFonts w:hint="eastAsia" w:ascii="宋体" w:hAnsi="宋体" w:eastAsia="宋体" w:cs="宋体"/>
          <w:b/>
          <w:color w:val="auto"/>
          <w:highlight w:val="none"/>
        </w:rPr>
        <w:t xml:space="preserve">将不享受本国产品价格评审优惠</w:t>
      </w:r>
      <w:r>
        <w:rPr>
          <w:rFonts w:hint="eastAsia" w:ascii="宋体" w:hAnsi="宋体" w:eastAsia="宋体" w:cs="宋体"/>
          <w:b/>
          <w:bCs/>
          <w:color w:val="auto"/>
          <w:highlight w:val="none"/>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840"/>
        <w:spacing w:line="360" w:lineRule="auto"/>
        <w:rPr>
          <w:rFonts w:ascii="宋体" w:hAnsi="宋体" w:eastAsia="宋体" w:cs="宋体"/>
          <w:color w:val="auto"/>
          <w:highlight w:val="none"/>
        </w:rPr>
      </w:pPr>
      <w:r/>
      <w:bookmarkStart w:id="93" w:name="_Toc10467991"/>
      <w:r>
        <w:rPr>
          <w:rFonts w:hint="eastAsia" w:ascii="宋体" w:hAnsi="宋体" w:eastAsia="宋体" w:cs="宋体"/>
          <w:color w:val="auto"/>
          <w:highlight w:val="none"/>
          <w:lang w:bidi="ar"/>
        </w:rPr>
        <w:t xml:space="preserve">单位名称：（加盖CA电子公章）</w:t>
      </w:r>
      <w:r>
        <w:rPr>
          <w:rFonts w:hint="eastAsia" w:ascii="宋体" w:hAnsi="宋体" w:eastAsia="宋体" w:cs="宋体"/>
          <w:color w:val="auto"/>
          <w:highlight w:val="none"/>
        </w:rPr>
        <w:t xml:space="preserve"> </w:t>
      </w:r>
      <w:r/>
    </w:p>
    <w:p>
      <w:pPr>
        <w:ind w:firstLine="384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color w:val="auto"/>
          <w:highlight w:val="none"/>
          <w:lang w:bidi="ar"/>
        </w:rPr>
        <w:t xml:space="preserve">日期：     年   月   日</w:t>
      </w:r>
      <w:r/>
    </w:p>
    <w:p>
      <w:pPr>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br w:type="page" w:clear="all"/>
      </w:r>
      <w:r/>
    </w:p>
    <w:p>
      <w:pPr>
        <w:spacing w:line="360" w:lineRule="auto"/>
        <w:rPr>
          <w:rFonts w:hint="eastAsia" w:ascii="宋体" w:hAnsi="宋体" w:eastAsia="宋体" w:cs="宋体"/>
          <w:bCs/>
          <w:color w:val="auto"/>
          <w:highlight w:val="none"/>
          <w:shd w:val="clear" w:color="auto" w:fill="ffffff"/>
          <w:lang w:val="zh-CN"/>
        </w:rPr>
        <w:outlineLvl w:val="1"/>
      </w:pPr>
      <w:r/>
      <w:bookmarkStart w:id="94" w:name="_Toc26791"/>
      <w:r>
        <w:rPr>
          <w:rFonts w:hint="eastAsia" w:ascii="宋体" w:hAnsi="宋体" w:eastAsia="宋体" w:cs="宋体"/>
          <w:b/>
          <w:color w:val="auto"/>
          <w:highlight w:val="none"/>
          <w:shd w:val="clear" w:color="auto" w:fill="ffffff"/>
        </w:rPr>
        <w:t xml:space="preserve">5、具备履行合同所必需设备和专业技术能力证明材料</w:t>
      </w:r>
      <w:bookmarkEnd w:id="94"/>
      <w:r/>
      <w:r/>
    </w:p>
    <w:p>
      <w:pPr>
        <w:pStyle w:val="910"/>
        <w:ind w:firstLine="0"/>
        <w:jc w:val="center"/>
        <w:spacing w:before="120" w:after="120" w:line="360" w:lineRule="auto"/>
        <w:rPr>
          <w:rFonts w:ascii="宋体" w:hAnsi="宋体" w:eastAsia="宋体"/>
          <w:sz w:val="30"/>
          <w:szCs w:val="30"/>
        </w:rPr>
      </w:pPr>
      <w:r>
        <w:rPr>
          <w:rFonts w:hint="eastAsia" w:ascii="宋体" w:hAnsi="宋体" w:eastAsia="宋体"/>
          <w:b/>
          <w:sz w:val="30"/>
          <w:szCs w:val="30"/>
        </w:rPr>
        <w:t xml:space="preserve">具备履行合同所必需设备和专业技术能力证明材料</w:t>
      </w:r>
      <w:r/>
    </w:p>
    <w:p>
      <w:pPr>
        <w:pStyle w:val="910"/>
        <w:ind w:firstLine="0"/>
        <w:jc w:val="center"/>
        <w:spacing w:before="120" w:after="120" w:line="360" w:lineRule="auto"/>
        <w:rPr>
          <w:rFonts w:ascii="宋体" w:hAnsi="宋体" w:eastAsia="宋体"/>
          <w:b/>
          <w:sz w:val="30"/>
          <w:szCs w:val="30"/>
        </w:rPr>
      </w:pPr>
      <w:r>
        <w:rPr>
          <w:rFonts w:hint="eastAsia" w:ascii="宋体" w:hAnsi="宋体" w:eastAsia="宋体"/>
          <w:sz w:val="30"/>
          <w:szCs w:val="30"/>
        </w:rPr>
        <w:t xml:space="preserve">声明函</w:t>
      </w:r>
      <w:r/>
    </w:p>
    <w:p>
      <w:pPr>
        <w:pStyle w:val="930"/>
        <w:spacing w:before="0" w:beforeAutospacing="0" w:after="0" w:afterAutospacing="0" w:line="360" w:lineRule="auto"/>
        <w:rPr>
          <w:rFonts w:ascii="sans-serif" w:hAnsi="sans-serif" w:eastAsia="sans-serif" w:cs="sans-serif"/>
        </w:rPr>
      </w:pPr>
      <w:r>
        <w:rPr>
          <w:rFonts w:hint="eastAsia"/>
        </w:rPr>
        <w:t xml:space="preserve">致：</w:t>
      </w:r>
      <w:r>
        <w:rPr>
          <w:rFonts w:hint="eastAsia"/>
          <w:u w:val="single"/>
        </w:rPr>
        <w:t xml:space="preserve">     (采购人或采购代理机构)       </w:t>
      </w:r>
      <w:r/>
    </w:p>
    <w:p>
      <w:pPr>
        <w:pStyle w:val="930"/>
        <w:ind w:firstLine="480"/>
        <w:spacing w:before="0" w:beforeAutospacing="0" w:after="0" w:afterAutospacing="0" w:line="360" w:lineRule="auto"/>
        <w:rPr>
          <w:rFonts w:ascii="sans-serif" w:hAnsi="sans-serif" w:eastAsia="sans-serif" w:cs="sans-serif"/>
        </w:rPr>
      </w:pPr>
      <w:r>
        <w:rPr>
          <w:rFonts w:hint="eastAsia"/>
        </w:rPr>
        <w:t xml:space="preserve">我方具备履行合同所必需的设备和专业技术能力，并对本声明承诺的真实性负责，否则产生不利后果由我方承担责任。</w:t>
      </w:r>
      <w:r/>
    </w:p>
    <w:p>
      <w:pPr>
        <w:pStyle w:val="930"/>
        <w:ind w:firstLine="480"/>
        <w:spacing w:before="0" w:beforeAutospacing="0" w:after="0" w:afterAutospacing="0" w:line="360" w:lineRule="auto"/>
        <w:rPr>
          <w:rFonts w:ascii="sans-serif" w:hAnsi="sans-serif" w:eastAsia="sans-serif" w:cs="sans-serif"/>
        </w:rPr>
      </w:pPr>
      <w:r>
        <w:rPr>
          <w:rFonts w:hint="eastAsia"/>
        </w:rPr>
        <w:t xml:space="preserve">特此声明。</w:t>
      </w:r>
      <w:r/>
    </w:p>
    <w:p>
      <w:pPr>
        <w:ind w:firstLine="42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840"/>
        <w:spacing w:line="360" w:lineRule="auto"/>
        <w:rPr>
          <w:rFonts w:ascii="宋体" w:hAnsi="宋体" w:eastAsia="宋体" w:cs="宋体"/>
          <w:color w:val="auto"/>
          <w:highlight w:val="none"/>
        </w:rPr>
      </w:pPr>
      <w:r>
        <w:rPr>
          <w:rFonts w:hint="eastAsia" w:ascii="宋体" w:hAnsi="宋体" w:eastAsia="宋体" w:cs="宋体"/>
          <w:color w:val="auto"/>
          <w:highlight w:val="none"/>
          <w:lang w:bidi="ar"/>
        </w:rPr>
        <w:t xml:space="preserve">单位名称：（加盖CA电子公章）</w:t>
      </w:r>
      <w:r>
        <w:rPr>
          <w:rFonts w:hint="eastAsia" w:ascii="宋体" w:hAnsi="宋体" w:eastAsia="宋体" w:cs="宋体"/>
          <w:color w:val="auto"/>
          <w:highlight w:val="none"/>
        </w:rPr>
        <w:t xml:space="preserve"> </w:t>
      </w:r>
      <w:r/>
    </w:p>
    <w:p>
      <w:pPr>
        <w:ind w:firstLine="384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color w:val="auto"/>
          <w:highlight w:val="none"/>
          <w:lang w:bidi="ar"/>
        </w:rPr>
        <w:t xml:space="preserve">日期：     年   月   日</w:t>
      </w:r>
      <w:r/>
    </w:p>
    <w:p>
      <w:pPr>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br w:type="page" w:clear="all"/>
      </w:r>
      <w:r/>
    </w:p>
    <w:p>
      <w:pPr>
        <w:spacing w:line="360" w:lineRule="auto"/>
        <w:rPr>
          <w:rFonts w:hint="eastAsia" w:ascii="宋体" w:hAnsi="宋体" w:eastAsia="宋体" w:cs="宋体"/>
          <w:bCs/>
          <w:color w:val="auto"/>
          <w:highlight w:val="none"/>
          <w:shd w:val="clear" w:color="auto" w:fill="ffffff"/>
          <w:lang w:val="zh-CN"/>
        </w:rPr>
        <w:outlineLvl w:val="1"/>
      </w:pPr>
      <w:r/>
      <w:bookmarkStart w:id="95" w:name="_Toc13111"/>
      <w:r>
        <w:rPr>
          <w:rFonts w:hint="eastAsia" w:ascii="宋体" w:hAnsi="宋体" w:eastAsia="宋体" w:cs="宋体"/>
          <w:b/>
          <w:color w:val="auto"/>
          <w:highlight w:val="none"/>
          <w:shd w:val="clear" w:color="auto" w:fill="ffffff"/>
          <w:lang w:val="en-US" w:eastAsia="zh-CN"/>
        </w:rPr>
        <w:t xml:space="preserve">6</w:t>
      </w:r>
      <w:r>
        <w:rPr>
          <w:rFonts w:hint="eastAsia" w:ascii="宋体" w:hAnsi="宋体" w:eastAsia="宋体" w:cs="宋体"/>
          <w:b/>
          <w:color w:val="auto"/>
          <w:highlight w:val="none"/>
          <w:shd w:val="clear" w:color="auto" w:fill="ffffff"/>
        </w:rPr>
        <w:t xml:space="preserve">、没有重大违法记录书面声明</w:t>
      </w:r>
      <w:bookmarkEnd w:id="95"/>
      <w:r/>
      <w:r/>
    </w:p>
    <w:p>
      <w:pPr>
        <w:pStyle w:val="910"/>
        <w:ind w:firstLine="0"/>
        <w:jc w:val="center"/>
        <w:spacing w:before="120" w:after="120" w:line="360" w:lineRule="auto"/>
        <w:rPr>
          <w:rFonts w:ascii="宋体" w:hAnsi="宋体" w:eastAsia="宋体"/>
          <w:sz w:val="30"/>
          <w:szCs w:val="30"/>
        </w:rPr>
      </w:pPr>
      <w:r>
        <w:rPr>
          <w:rFonts w:hint="eastAsia" w:ascii="宋体" w:hAnsi="宋体" w:eastAsia="宋体"/>
          <w:b/>
          <w:sz w:val="30"/>
          <w:szCs w:val="30"/>
        </w:rPr>
        <w:t xml:space="preserve">参加政府采购活动前三年内在经营活动中</w:t>
      </w:r>
      <w:r/>
    </w:p>
    <w:p>
      <w:pPr>
        <w:pStyle w:val="910"/>
        <w:ind w:firstLine="0"/>
        <w:jc w:val="center"/>
        <w:spacing w:before="120" w:after="120" w:line="360" w:lineRule="auto"/>
        <w:rPr>
          <w:rFonts w:ascii="宋体" w:hAnsi="宋体" w:eastAsia="宋体"/>
          <w:sz w:val="30"/>
          <w:szCs w:val="30"/>
        </w:rPr>
      </w:pPr>
      <w:r>
        <w:rPr>
          <w:rFonts w:hint="eastAsia" w:ascii="宋体" w:hAnsi="宋体" w:eastAsia="宋体"/>
          <w:b/>
          <w:sz w:val="30"/>
          <w:szCs w:val="30"/>
        </w:rPr>
        <w:t xml:space="preserve">没有重大违法记录书面声明</w:t>
      </w:r>
      <w:r/>
    </w:p>
    <w:p>
      <w:pPr>
        <w:pStyle w:val="930"/>
        <w:spacing w:before="75" w:beforeAutospacing="0" w:after="75" w:afterAutospacing="0" w:line="435" w:lineRule="atLeast"/>
        <w:rPr>
          <w:rFonts w:ascii="sans-serif" w:hAnsi="sans-serif" w:eastAsia="sans-serif" w:cs="sans-serif"/>
        </w:rPr>
      </w:pPr>
      <w:r>
        <w:rPr>
          <w:rFonts w:hint="eastAsia"/>
        </w:rPr>
        <w:t xml:space="preserve">致：</w:t>
      </w:r>
      <w:r>
        <w:rPr>
          <w:rFonts w:hint="eastAsia"/>
          <w:u w:val="single"/>
        </w:rPr>
        <w:t xml:space="preserve">     (采购人或采购代理机构)       </w:t>
      </w:r>
      <w:r/>
    </w:p>
    <w:p>
      <w:pPr>
        <w:pStyle w:val="930"/>
        <w:ind w:firstLine="480"/>
        <w:spacing w:before="75" w:beforeAutospacing="0" w:after="75" w:afterAutospacing="0" w:line="435" w:lineRule="atLeast"/>
        <w:rPr>
          <w:rFonts w:hint="eastAsia" w:ascii="sans-serif" w:hAnsi="sans-serif" w:cs="sans-serif"/>
        </w:rPr>
      </w:pPr>
      <w:r>
        <w:rPr>
          <w:rFonts w:hint="eastAsia"/>
        </w:rPr>
        <w:t xml:space="preserve">参加政府采购活动前三年内，我方在经营活动中没有重大违法记录。</w:t>
      </w:r>
      <w:r/>
    </w:p>
    <w:p>
      <w:pPr>
        <w:ind w:firstLine="420"/>
        <w:spacing w:line="360" w:lineRule="auto"/>
        <w:rPr>
          <w:rFonts w:hint="eastAsia" w:ascii="宋体" w:hAnsi="宋体" w:eastAsia="宋体" w:cs="宋体"/>
          <w:b/>
          <w:color w:val="auto"/>
          <w:highlight w:val="none"/>
          <w:shd w:val="clear" w:color="auto" w:fill="ffffff"/>
        </w:rPr>
      </w:pPr>
      <w:r>
        <w:rPr>
          <w:rFonts w:hint="eastAsia"/>
        </w:rPr>
        <w:t xml:space="preserve">特此声明。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840"/>
        <w:spacing w:line="360" w:lineRule="auto"/>
        <w:rPr>
          <w:rFonts w:ascii="宋体" w:hAnsi="宋体" w:eastAsia="宋体" w:cs="宋体"/>
          <w:color w:val="auto"/>
          <w:highlight w:val="none"/>
        </w:rPr>
      </w:pPr>
      <w:r>
        <w:rPr>
          <w:rFonts w:hint="eastAsia" w:ascii="宋体" w:hAnsi="宋体" w:eastAsia="宋体" w:cs="宋体"/>
          <w:color w:val="auto"/>
          <w:highlight w:val="none"/>
          <w:lang w:bidi="ar"/>
        </w:rPr>
        <w:t xml:space="preserve">单位名称：（加盖CA电子公章）</w:t>
      </w:r>
      <w:r>
        <w:rPr>
          <w:rFonts w:hint="eastAsia" w:ascii="宋体" w:hAnsi="宋体" w:eastAsia="宋体" w:cs="宋体"/>
          <w:color w:val="auto"/>
          <w:highlight w:val="none"/>
        </w:rPr>
        <w:t xml:space="preserve"> </w:t>
      </w:r>
      <w:r/>
    </w:p>
    <w:p>
      <w:pPr>
        <w:ind w:firstLine="384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color w:val="auto"/>
          <w:highlight w:val="none"/>
          <w:lang w:bidi="ar"/>
        </w:rPr>
        <w:t xml:space="preserve">日期：     年   月   日</w:t>
      </w:r>
      <w:r/>
    </w:p>
    <w:p>
      <w:pPr>
        <w:pStyle w:val="930"/>
        <w:ind w:firstLine="480"/>
        <w:spacing w:before="75" w:beforeAutospacing="0" w:after="75" w:afterAutospacing="0" w:line="435" w:lineRule="atLeast"/>
        <w:rPr>
          <w:rFonts w:hint="eastAsia"/>
          <w:lang w:val="en-US" w:eastAsia="zh-CN"/>
        </w:rPr>
      </w:pPr>
      <w:r>
        <w:rPr>
          <w:rFonts w:hint="eastAsia"/>
          <w:lang w:val="en-US" w:eastAsia="zh-CN"/>
        </w:rPr>
      </w:r>
      <w:r/>
    </w:p>
    <w:p>
      <w:pPr>
        <w:pStyle w:val="930"/>
        <w:ind w:firstLine="480"/>
        <w:spacing w:before="75" w:beforeAutospacing="0" w:after="75" w:afterAutospacing="0" w:line="435" w:lineRule="atLeast"/>
        <w:rPr>
          <w:rFonts w:hint="eastAsia"/>
        </w:rPr>
      </w:pPr>
      <w:r>
        <w:rPr>
          <w:rFonts w:hint="eastAsia"/>
        </w:rPr>
      </w:r>
      <w:r/>
    </w:p>
    <w:p>
      <w:pPr>
        <w:pStyle w:val="930"/>
        <w:ind w:firstLine="480"/>
        <w:spacing w:before="75" w:beforeAutospacing="0" w:after="75" w:afterAutospacing="0" w:line="435" w:lineRule="atLeast"/>
        <w:rPr>
          <w:rFonts w:hint="eastAsia"/>
        </w:rPr>
      </w:pPr>
      <w:r>
        <w:rPr>
          <w:rFonts w:hint="eastAsia"/>
        </w:rPr>
      </w:r>
      <w:r/>
    </w:p>
    <w:p>
      <w:pPr>
        <w:pStyle w:val="930"/>
        <w:ind w:firstLine="480"/>
        <w:spacing w:before="75" w:beforeAutospacing="0" w:after="75" w:afterAutospacing="0" w:line="435" w:lineRule="atLeast"/>
        <w:rPr>
          <w:rFonts w:hint="eastAsia"/>
        </w:rPr>
      </w:pPr>
      <w:r>
        <w:rPr>
          <w:rFonts w:hint="eastAsia"/>
        </w:rPr>
      </w:r>
      <w:r/>
    </w:p>
    <w:p>
      <w:pPr>
        <w:pStyle w:val="930"/>
        <w:ind w:firstLine="480"/>
        <w:spacing w:before="75" w:beforeAutospacing="0" w:after="75" w:afterAutospacing="0" w:line="435" w:lineRule="atLeast"/>
        <w:rPr>
          <w:rFonts w:hint="eastAsia"/>
        </w:rPr>
      </w:pPr>
      <w:r>
        <w:rPr>
          <w:rFonts w:hint="eastAsia"/>
        </w:rPr>
      </w:r>
      <w:r/>
    </w:p>
    <w:p>
      <w:pPr>
        <w:pStyle w:val="930"/>
        <w:ind w:firstLine="480"/>
        <w:spacing w:before="75" w:beforeAutospacing="0" w:after="75" w:afterAutospacing="0" w:line="435" w:lineRule="atLeast"/>
        <w:rPr>
          <w:rFonts w:hint="eastAsia"/>
        </w:rPr>
      </w:pPr>
      <w:r>
        <w:rPr>
          <w:rFonts w:hint="eastAsia"/>
        </w:rPr>
      </w:r>
      <w:r/>
    </w:p>
    <w:p>
      <w:pPr>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br w:type="page" w:clear="all"/>
      </w:r>
      <w:r/>
    </w:p>
    <w:p>
      <w:pPr>
        <w:spacing w:line="360" w:lineRule="auto"/>
        <w:rPr>
          <w:rFonts w:hint="eastAsia" w:ascii="宋体" w:hAnsi="宋体" w:eastAsia="宋体" w:cs="宋体"/>
          <w:bCs/>
          <w:color w:val="auto"/>
          <w:highlight w:val="none"/>
          <w:shd w:val="clear" w:color="auto" w:fill="ffffff"/>
          <w:lang w:val="zh-CN"/>
        </w:rPr>
        <w:outlineLvl w:val="1"/>
      </w:pPr>
      <w:r/>
      <w:bookmarkStart w:id="96" w:name="_Toc24028"/>
      <w:r>
        <w:rPr>
          <w:rFonts w:hint="eastAsia" w:ascii="宋体" w:hAnsi="宋体" w:eastAsia="宋体" w:cs="宋体"/>
          <w:b/>
          <w:color w:val="auto"/>
          <w:highlight w:val="none"/>
          <w:shd w:val="clear" w:color="auto" w:fill="ffffff"/>
          <w:lang w:val="en-US" w:eastAsia="zh-CN"/>
        </w:rPr>
        <w:t xml:space="preserve">7</w:t>
      </w:r>
      <w:r>
        <w:rPr>
          <w:rFonts w:hint="eastAsia" w:ascii="宋体" w:hAnsi="宋体" w:eastAsia="宋体" w:cs="宋体"/>
          <w:b/>
          <w:color w:val="auto"/>
          <w:highlight w:val="none"/>
          <w:shd w:val="clear" w:color="auto" w:fill="ffffff"/>
        </w:rPr>
        <w:t xml:space="preserve">、服务或技术要求偏离表</w:t>
      </w:r>
      <w:bookmarkEnd w:id="96"/>
      <w:r/>
      <w:r/>
    </w:p>
    <w:p>
      <w:pPr>
        <w:jc w:val="center"/>
        <w:spacing w:before="156" w:after="156"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服务或技术要求偏离表</w:t>
      </w:r>
      <w:r/>
    </w:p>
    <w:tbl>
      <w:tblPr>
        <w:tblStyle w:val="908"/>
        <w:tblW w:w="820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527"/>
        <w:gridCol w:w="992"/>
      </w:tblGrid>
      <w:tr>
        <w:trPr>
          <w:jc w:val="center"/>
        </w:trPr>
        <w:tc>
          <w:tcPr>
            <w:tcW w:w="828" w:type="dxa"/>
            <w:vAlign w:val="center"/>
            <w:textDirection w:val="lrTb"/>
            <w:noWrap w:val="false"/>
          </w:tcPr>
          <w:p>
            <w:pPr>
              <w:jc w:val="cente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序号</w:t>
            </w:r>
            <w:r/>
          </w:p>
        </w:tc>
        <w:tc>
          <w:tcPr>
            <w:tcW w:w="1800" w:type="dxa"/>
            <w:vAlign w:val="center"/>
            <w:textDirection w:val="lrTb"/>
            <w:noWrap w:val="false"/>
          </w:tcPr>
          <w:p>
            <w:pPr>
              <w:jc w:val="cente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项目名称</w:t>
            </w:r>
            <w:r/>
          </w:p>
        </w:tc>
        <w:tc>
          <w:tcPr>
            <w:tcW w:w="1620" w:type="dxa"/>
            <w:vAlign w:val="center"/>
            <w:textDirection w:val="lrTb"/>
            <w:noWrap w:val="false"/>
          </w:tcPr>
          <w:p>
            <w:pPr>
              <w:jc w:val="cente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采购要求</w:t>
            </w:r>
            <w:r/>
          </w:p>
        </w:tc>
        <w:tc>
          <w:tcPr>
            <w:tcW w:w="1440" w:type="dxa"/>
            <w:vAlign w:val="center"/>
            <w:textDirection w:val="lrTb"/>
            <w:noWrap w:val="false"/>
          </w:tcPr>
          <w:p>
            <w:pPr>
              <w:jc w:val="cente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响应内容</w:t>
            </w:r>
            <w:r/>
          </w:p>
        </w:tc>
        <w:tc>
          <w:tcPr>
            <w:tcW w:w="1527" w:type="dxa"/>
            <w:vAlign w:val="center"/>
            <w:textDirection w:val="lrTb"/>
            <w:noWrap w:val="false"/>
          </w:tcPr>
          <w:p>
            <w:pPr>
              <w:jc w:val="cente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偏离/响应</w:t>
            </w:r>
            <w:r/>
          </w:p>
        </w:tc>
        <w:tc>
          <w:tcPr>
            <w:tcW w:w="992" w:type="dxa"/>
            <w:vAlign w:val="center"/>
            <w:textDirection w:val="lrTb"/>
            <w:noWrap w:val="false"/>
          </w:tcPr>
          <w:p>
            <w:pPr>
              <w:jc w:val="cente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说明</w:t>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527"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992"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527"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992"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527"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992"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527"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992"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527"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992"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527"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992"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527"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992"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527"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992"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527"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992" w:type="dxa"/>
            <w:textDirection w:val="lrTb"/>
            <w:noWrap w:val="false"/>
          </w:tcPr>
          <w:p>
            <w:pPr>
              <w:spacing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r>
    </w:tbl>
    <w:p>
      <w:pPr>
        <w:ind w:firstLine="42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t xml:space="preserve">注：供应商应对照采购文件要求，所提供的服务与采购文件的规定有偏离的，</w:t>
      </w:r>
      <w:r>
        <w:rPr>
          <w:rFonts w:hint="eastAsia" w:ascii="宋体" w:hAnsi="宋体" w:eastAsia="宋体" w:cs="宋体"/>
          <w:b/>
          <w:bCs/>
          <w:color w:val="auto"/>
          <w:highlight w:val="none"/>
        </w:rPr>
        <w:t xml:space="preserve">应在此表中说明与采购要求的偏差和例外</w:t>
      </w:r>
      <w:r>
        <w:rPr>
          <w:rFonts w:hint="eastAsia" w:ascii="宋体" w:hAnsi="宋体" w:eastAsia="宋体" w:cs="宋体"/>
          <w:b/>
          <w:color w:val="auto"/>
          <w:highlight w:val="none"/>
          <w:shd w:val="clear" w:color="auto" w:fill="ffffff"/>
        </w:rPr>
        <w:t xml:space="preserve">，否则将被认为完全响应采购文件的规定。</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840"/>
        <w:spacing w:line="360" w:lineRule="auto"/>
        <w:rPr>
          <w:rFonts w:ascii="宋体" w:hAnsi="宋体" w:eastAsia="宋体" w:cs="宋体"/>
          <w:color w:val="auto"/>
          <w:highlight w:val="none"/>
        </w:rPr>
      </w:pPr>
      <w:r>
        <w:rPr>
          <w:rFonts w:hint="eastAsia" w:ascii="宋体" w:hAnsi="宋体" w:eastAsia="宋体" w:cs="宋体"/>
          <w:color w:val="auto"/>
          <w:highlight w:val="none"/>
          <w:lang w:bidi="ar"/>
        </w:rPr>
        <w:t xml:space="preserve">单位名称：（加盖CA电子公章）</w:t>
      </w:r>
      <w:r>
        <w:rPr>
          <w:rFonts w:hint="eastAsia" w:ascii="宋体" w:hAnsi="宋体" w:eastAsia="宋体" w:cs="宋体"/>
          <w:color w:val="auto"/>
          <w:highlight w:val="none"/>
        </w:rPr>
        <w:t xml:space="preserve"> </w:t>
      </w:r>
      <w:r/>
    </w:p>
    <w:p>
      <w:pPr>
        <w:ind w:firstLine="384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color w:val="auto"/>
          <w:highlight w:val="none"/>
          <w:lang w:bidi="ar"/>
        </w:rPr>
        <w:t xml:space="preserve">日期：     年   月   日</w:t>
      </w:r>
      <w:r/>
    </w:p>
    <w:p>
      <w:pPr>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br w:type="page" w:clear="all"/>
      </w:r>
      <w:r/>
    </w:p>
    <w:p>
      <w:pPr>
        <w:spacing w:line="360" w:lineRule="auto"/>
        <w:rPr>
          <w:rFonts w:hint="eastAsia" w:ascii="宋体" w:hAnsi="宋体" w:eastAsia="宋体" w:cs="宋体"/>
          <w:b/>
          <w:color w:val="auto"/>
          <w:highlight w:val="none"/>
          <w:shd w:val="clear" w:color="auto" w:fill="ffffff"/>
        </w:rPr>
        <w:outlineLvl w:val="1"/>
      </w:pPr>
      <w:r/>
      <w:bookmarkStart w:id="97" w:name="_Toc10528"/>
      <w:r>
        <w:rPr>
          <w:rFonts w:hint="eastAsia" w:ascii="宋体" w:hAnsi="宋体" w:eastAsia="宋体" w:cs="宋体"/>
          <w:b/>
          <w:color w:val="auto"/>
          <w:highlight w:val="none"/>
          <w:shd w:val="clear" w:color="auto" w:fill="ffffff"/>
          <w:lang w:val="en-US" w:eastAsia="zh-CN"/>
        </w:rPr>
        <w:t xml:space="preserve">8</w:t>
      </w:r>
      <w:r>
        <w:rPr>
          <w:rFonts w:hint="eastAsia" w:ascii="宋体" w:hAnsi="宋体" w:eastAsia="宋体" w:cs="宋体"/>
          <w:b/>
          <w:color w:val="auto"/>
          <w:highlight w:val="none"/>
          <w:shd w:val="clear" w:color="auto" w:fill="ffffff"/>
        </w:rPr>
        <w:t xml:space="preserve">、商务条款偏离表</w:t>
      </w:r>
      <w:bookmarkEnd w:id="97"/>
      <w:r/>
      <w:r/>
    </w:p>
    <w:p>
      <w:pPr>
        <w:jc w:val="center"/>
        <w:spacing w:before="156" w:after="156"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商务条款偏离表</w:t>
      </w:r>
      <w:r/>
    </w:p>
    <w:tbl>
      <w:tblPr>
        <w:tblStyle w:val="908"/>
        <w:tblW w:w="865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920"/>
        <w:gridCol w:w="2400"/>
        <w:gridCol w:w="2400"/>
        <w:gridCol w:w="1097"/>
      </w:tblGrid>
      <w:tr>
        <w:trPr>
          <w:jc w:val="center"/>
        </w:trPr>
        <w:tc>
          <w:tcPr>
            <w:tcW w:w="836" w:type="dxa"/>
            <w:textDirection w:val="lrTb"/>
            <w:noWrap w:val="false"/>
          </w:tcPr>
          <w:p>
            <w:pPr>
              <w:jc w:val="cente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序号</w:t>
            </w:r>
            <w:r/>
          </w:p>
        </w:tc>
        <w:tc>
          <w:tcPr>
            <w:tcW w:w="1920" w:type="dxa"/>
            <w:textDirection w:val="lrTb"/>
            <w:noWrap w:val="false"/>
          </w:tcPr>
          <w:p>
            <w:pPr>
              <w:jc w:val="cente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采购文件条目号</w:t>
            </w:r>
            <w:r/>
          </w:p>
        </w:tc>
        <w:tc>
          <w:tcPr>
            <w:tcW w:w="2400" w:type="dxa"/>
            <w:textDirection w:val="lrTb"/>
            <w:noWrap w:val="false"/>
          </w:tcPr>
          <w:p>
            <w:pPr>
              <w:jc w:val="cente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采购文件的商务条款</w:t>
            </w:r>
            <w:r/>
          </w:p>
        </w:tc>
        <w:tc>
          <w:tcPr>
            <w:tcW w:w="2400" w:type="dxa"/>
            <w:textDirection w:val="lrTb"/>
            <w:noWrap w:val="false"/>
          </w:tcPr>
          <w:p>
            <w:pPr>
              <w:jc w:val="cente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响应文件的商务条款</w:t>
            </w:r>
            <w:r/>
          </w:p>
        </w:tc>
        <w:tc>
          <w:tcPr>
            <w:tcW w:w="1097" w:type="dxa"/>
            <w:textDirection w:val="lrTb"/>
            <w:noWrap w:val="false"/>
          </w:tcPr>
          <w:p>
            <w:pPr>
              <w:jc w:val="cente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说明</w:t>
            </w:r>
            <w:r/>
          </w:p>
        </w:tc>
      </w:tr>
      <w:tr>
        <w:trPr>
          <w:jc w:val="center"/>
        </w:trPr>
        <w:tc>
          <w:tcPr>
            <w:tcW w:w="836" w:type="dxa"/>
            <w:textDirection w:val="lrTb"/>
            <w:noWrap w:val="false"/>
          </w:tcPr>
          <w:p>
            <w:pPr>
              <w:jc w:val="cente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1</w:t>
            </w:r>
            <w:r/>
          </w:p>
        </w:tc>
        <w:tc>
          <w:tcPr>
            <w:tcW w:w="192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付款方式</w:t>
            </w:r>
            <w:r/>
          </w:p>
        </w:tc>
        <w:tc>
          <w:tcPr>
            <w:tcW w:w="240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r>
      <w:tr>
        <w:trPr>
          <w:jc w:val="center"/>
        </w:trPr>
        <w:tc>
          <w:tcPr>
            <w:tcW w:w="836" w:type="dxa"/>
            <w:textDirection w:val="lrTb"/>
            <w:noWrap w:val="false"/>
          </w:tcPr>
          <w:p>
            <w:pPr>
              <w:jc w:val="cente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w:t>
            </w:r>
            <w:r/>
          </w:p>
        </w:tc>
        <w:tc>
          <w:tcPr>
            <w:tcW w:w="192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rPr>
              <w:t xml:space="preserve">合同履行期限</w:t>
            </w:r>
            <w:r/>
          </w:p>
        </w:tc>
        <w:tc>
          <w:tcPr>
            <w:tcW w:w="240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r>
      <w:tr>
        <w:trPr>
          <w:jc w:val="center"/>
        </w:trPr>
        <w:tc>
          <w:tcPr>
            <w:tcW w:w="836"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r>
      <w:tr>
        <w:trPr>
          <w:jc w:val="center"/>
        </w:trPr>
        <w:tc>
          <w:tcPr>
            <w:tcW w:w="836"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r>
      <w:tr>
        <w:trPr>
          <w:jc w:val="center"/>
        </w:trPr>
        <w:tc>
          <w:tcPr>
            <w:tcW w:w="836"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r>
      <w:tr>
        <w:trPr>
          <w:jc w:val="center"/>
        </w:trPr>
        <w:tc>
          <w:tcPr>
            <w:tcW w:w="836"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r>
      <w:tr>
        <w:trPr>
          <w:jc w:val="center"/>
        </w:trPr>
        <w:tc>
          <w:tcPr>
            <w:tcW w:w="836"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tc>
      </w:tr>
    </w:tbl>
    <w:p>
      <w:pPr>
        <w:ind w:firstLine="420"/>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注：</w:t>
      </w:r>
      <w:r>
        <w:rPr>
          <w:rFonts w:hint="eastAsia" w:ascii="宋体" w:hAnsi="宋体" w:eastAsia="宋体" w:cs="宋体"/>
          <w:b/>
          <w:color w:val="auto"/>
          <w:highlight w:val="none"/>
          <w:shd w:val="clear" w:color="auto" w:fill="ffffff"/>
        </w:rPr>
        <w:t xml:space="preserve">供应商</w:t>
      </w:r>
      <w:r>
        <w:rPr>
          <w:rFonts w:hint="eastAsia" w:ascii="宋体" w:hAnsi="宋体" w:eastAsia="宋体" w:cs="宋体"/>
          <w:b/>
          <w:bCs/>
          <w:color w:val="auto"/>
          <w:highlight w:val="none"/>
          <w:shd w:val="clear" w:color="auto" w:fill="ffffff"/>
        </w:rPr>
        <w:t xml:space="preserve">的响应文件（除服务要求部分）与采购文件规定的有偏离的，应在此表中说明，否则，</w:t>
      </w:r>
      <w:r>
        <w:rPr>
          <w:rFonts w:hint="eastAsia" w:ascii="宋体" w:hAnsi="宋体" w:eastAsia="宋体" w:cs="宋体"/>
          <w:b/>
          <w:bCs/>
          <w:color w:val="auto"/>
          <w:highlight w:val="none"/>
        </w:rPr>
        <w:t xml:space="preserve">将被认为完全响应采购文件的规定</w:t>
      </w:r>
      <w:r>
        <w:rPr>
          <w:rFonts w:hint="eastAsia" w:ascii="宋体" w:hAnsi="宋体" w:eastAsia="宋体" w:cs="宋体"/>
          <w:b/>
          <w:bCs/>
          <w:color w:val="auto"/>
          <w:highlight w:val="none"/>
          <w:shd w:val="clear" w:color="auto" w:fill="ffffff"/>
        </w:rPr>
        <w:t xml:space="preserve">。</w:t>
      </w:r>
      <w:r/>
    </w:p>
    <w:p>
      <w:pPr>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r>
      <w:r/>
    </w:p>
    <w:p>
      <w:pPr>
        <w:ind w:firstLine="3840"/>
        <w:spacing w:line="360" w:lineRule="auto"/>
        <w:rPr>
          <w:rFonts w:ascii="宋体" w:hAnsi="宋体" w:eastAsia="宋体" w:cs="宋体"/>
          <w:color w:val="auto"/>
          <w:highlight w:val="none"/>
        </w:rPr>
      </w:pPr>
      <w:r>
        <w:rPr>
          <w:rFonts w:hint="eastAsia" w:ascii="宋体" w:hAnsi="宋体" w:eastAsia="宋体" w:cs="宋体"/>
          <w:color w:val="auto"/>
          <w:highlight w:val="none"/>
          <w:lang w:bidi="ar"/>
        </w:rPr>
        <w:t xml:space="preserve">单位名称：（加盖CA电子公章）</w:t>
      </w:r>
      <w:r>
        <w:rPr>
          <w:rFonts w:hint="eastAsia" w:ascii="宋体" w:hAnsi="宋体" w:eastAsia="宋体" w:cs="宋体"/>
          <w:color w:val="auto"/>
          <w:highlight w:val="none"/>
        </w:rPr>
        <w:t xml:space="preserve"> </w:t>
      </w:r>
      <w:r/>
    </w:p>
    <w:p>
      <w:pPr>
        <w:ind w:firstLine="384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color w:val="auto"/>
          <w:highlight w:val="none"/>
          <w:lang w:bidi="ar"/>
        </w:rPr>
        <w:t xml:space="preserve">日期：     年   月   日</w:t>
      </w:r>
      <w:r/>
    </w:p>
    <w:p>
      <w:pP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p>
      <w:pPr>
        <w:ind w:firstLine="562"/>
        <w:jc w:val="center"/>
        <w:spacing w:line="360" w:lineRule="auto"/>
        <w:rPr>
          <w:rFonts w:hint="eastAsia" w:ascii="宋体" w:hAnsi="宋体" w:eastAsia="宋体" w:cs="宋体"/>
          <w:b/>
          <w:color w:val="auto"/>
          <w:spacing w:val="20"/>
          <w:highlight w:val="none"/>
        </w:rPr>
      </w:pPr>
      <w:r>
        <w:rPr>
          <w:rFonts w:hint="eastAsia" w:ascii="宋体" w:hAnsi="宋体" w:eastAsia="宋体" w:cs="宋体"/>
          <w:b/>
          <w:color w:val="auto"/>
          <w:spacing w:val="20"/>
          <w:highlight w:val="none"/>
        </w:rPr>
      </w:r>
      <w:r/>
    </w:p>
    <w:p>
      <w:pPr>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br w:type="page" w:clear="all"/>
      </w:r>
      <w:r/>
    </w:p>
    <w:p>
      <w:pPr>
        <w:spacing w:line="360" w:lineRule="auto"/>
        <w:rPr>
          <w:rFonts w:hint="eastAsia" w:ascii="宋体" w:hAnsi="宋体" w:eastAsia="宋体" w:cs="宋体"/>
          <w:b/>
          <w:color w:val="auto"/>
          <w:highlight w:val="none"/>
          <w:shd w:val="clear" w:color="auto" w:fill="ffffff"/>
        </w:rPr>
        <w:outlineLvl w:val="1"/>
      </w:pPr>
      <w:r/>
      <w:bookmarkStart w:id="98" w:name="_Toc26415"/>
      <w:r>
        <w:rPr>
          <w:rFonts w:hint="eastAsia" w:ascii="宋体" w:hAnsi="宋体" w:eastAsia="宋体" w:cs="宋体"/>
          <w:b/>
          <w:color w:val="auto"/>
          <w:highlight w:val="none"/>
          <w:shd w:val="clear" w:color="auto" w:fill="ffffff"/>
          <w:lang w:val="en-US" w:eastAsia="zh-CN"/>
        </w:rPr>
        <w:t xml:space="preserve">9</w:t>
      </w:r>
      <w:r>
        <w:rPr>
          <w:rFonts w:hint="eastAsia" w:ascii="宋体" w:hAnsi="宋体" w:eastAsia="宋体" w:cs="宋体"/>
          <w:b/>
          <w:color w:val="auto"/>
          <w:highlight w:val="none"/>
          <w:shd w:val="clear" w:color="auto" w:fill="ffffff"/>
        </w:rPr>
        <w:t xml:space="preserve">、拟投入项目组人员一览表</w:t>
      </w:r>
      <w:bookmarkEnd w:id="98"/>
      <w:r/>
      <w:r/>
    </w:p>
    <w:p>
      <w:pPr>
        <w:jc w:val="center"/>
        <w:spacing w:before="156" w:after="156"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拟投入项目组人员一览表</w:t>
      </w:r>
      <w:r/>
    </w:p>
    <w:tbl>
      <w:tblPr>
        <w:tblStyle w:val="908"/>
        <w:tblpPr w:horzAnchor="margin" w:tblpXSpec="center" w:vertAnchor="text" w:tblpY="28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989"/>
        <w:gridCol w:w="1171"/>
        <w:gridCol w:w="867"/>
        <w:gridCol w:w="900"/>
        <w:gridCol w:w="2025"/>
      </w:tblGrid>
      <w:tr>
        <w:trPr>
          <w:trHeight w:val="555"/>
        </w:trPr>
        <w:tc>
          <w:tcPr>
            <w:tcW w:w="11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tcW w:w="198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本项目拟任职务</w:t>
            </w:r>
            <w:r/>
          </w:p>
        </w:tc>
        <w:tc>
          <w:tcPr>
            <w:tcW w:w="117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6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90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02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555"/>
        </w:trPr>
        <w:tc>
          <w:tcPr>
            <w:tcW w:w="1123"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89"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项目经理</w:t>
            </w:r>
            <w:r/>
          </w:p>
        </w:tc>
        <w:tc>
          <w:tcPr>
            <w:tcW w:w="1171"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7"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5"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55"/>
        </w:trPr>
        <w:tc>
          <w:tcPr>
            <w:tcW w:w="1123"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89"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技术负责人</w:t>
            </w:r>
            <w:r/>
          </w:p>
        </w:tc>
        <w:tc>
          <w:tcPr>
            <w:tcW w:w="1171"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7"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5"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55"/>
        </w:trPr>
        <w:tc>
          <w:tcPr>
            <w:tcW w:w="1123"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89"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实施组</w:t>
            </w:r>
            <w:r/>
          </w:p>
        </w:tc>
        <w:tc>
          <w:tcPr>
            <w:tcW w:w="1171"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7"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5"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55"/>
        </w:trPr>
        <w:tc>
          <w:tcPr>
            <w:tcW w:w="1123"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89"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1171"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7"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5"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55"/>
        </w:trPr>
        <w:tc>
          <w:tcPr>
            <w:tcW w:w="1123"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89"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71"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7"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00"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25" w:type="dxa"/>
            <w:vAlign w:val="center"/>
            <w:textDirection w:val="lrTb"/>
            <w:noWrap w:val="false"/>
          </w:tcPr>
          <w:p>
            <w:pPr>
              <w:jc w:val="cente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注：1、人员必须按本表承诺人员执行，不得随意更换。</w:t>
      </w:r>
      <w:r/>
    </w:p>
    <w:p>
      <w:pPr>
        <w:ind w:firstLine="420"/>
        <w:spacing w:line="360" w:lineRule="auto"/>
        <w:rPr>
          <w:rFonts w:hint="eastAsia" w:ascii="Times New Roman" w:hAnsi="宋体" w:eastAsia="宋体" w:cs="宋体"/>
          <w:b/>
          <w:bCs/>
          <w:color w:val="auto"/>
          <w:highlight w:val="none"/>
        </w:rPr>
      </w:pPr>
      <w:r>
        <w:rPr>
          <w:rFonts w:hint="eastAsia" w:ascii="宋体" w:hAnsi="宋体" w:eastAsia="宋体" w:cs="宋体"/>
          <w:b/>
          <w:bCs/>
          <w:color w:val="auto"/>
          <w:highlight w:val="none"/>
          <w:u w:val="single"/>
        </w:rPr>
        <w:t xml:space="preserve">2、谈判响应文件中提供“</w:t>
      </w:r>
      <w:r>
        <w:rPr>
          <w:rFonts w:hint="eastAsia" w:ascii="宋体" w:hAnsi="宋体" w:eastAsia="宋体" w:cs="宋体"/>
          <w:b/>
          <w:bCs/>
          <w:color w:val="auto"/>
          <w:highlight w:val="none"/>
        </w:rPr>
        <w:t xml:space="preserve">拟投入项目组人员一览表</w:t>
      </w:r>
      <w:r>
        <w:rPr>
          <w:rFonts w:hint="eastAsia" w:ascii="宋体" w:hAnsi="宋体" w:eastAsia="宋体" w:cs="宋体"/>
          <w:b/>
          <w:bCs/>
          <w:color w:val="auto"/>
          <w:highlight w:val="none"/>
          <w:u w:val="single"/>
        </w:rPr>
        <w:t xml:space="preserve">”及供应商为其缴纳的近期社保证明复印件，服务人员未满足以上</w:t>
      </w:r>
      <w:r>
        <w:rPr>
          <w:rFonts w:hint="eastAsia" w:ascii="宋体" w:hAnsi="宋体" w:eastAsia="宋体" w:cs="宋体"/>
          <w:b/>
          <w:bCs/>
          <w:color w:val="auto"/>
          <w:highlight w:val="none"/>
        </w:rPr>
        <w:t xml:space="preserve">数量</w:t>
      </w:r>
      <w:r>
        <w:rPr>
          <w:rFonts w:hint="eastAsia" w:ascii="宋体" w:hAnsi="宋体" w:eastAsia="宋体" w:cs="宋体"/>
          <w:b/>
          <w:bCs/>
          <w:color w:val="auto"/>
          <w:highlight w:val="none"/>
          <w:u w:val="single"/>
        </w:rPr>
        <w:t xml:space="preserve">要求的视为未实质性响应谈判文件，也不得标</w:t>
      </w:r>
      <w:r>
        <w:rPr>
          <w:rFonts w:hint="eastAsia" w:ascii="宋体" w:hAnsi="宋体" w:eastAsia="宋体" w:cs="宋体"/>
          <w:b/>
          <w:bCs/>
          <w:color w:val="auto"/>
          <w:highlight w:val="none"/>
        </w:rPr>
        <w:t xml:space="preserve">。</w:t>
      </w:r>
      <w:r/>
    </w:p>
    <w:p>
      <w:pPr>
        <w:ind w:left="422"/>
        <w:spacing w:line="400" w:lineRule="exact"/>
        <w:rPr>
          <w:rFonts w:ascii="宋体" w:hAnsi="宋体" w:eastAsia="宋体" w:cs="宋体"/>
          <w:color w:val="auto"/>
          <w:highlight w:val="none"/>
        </w:rPr>
      </w:pPr>
      <w:r>
        <w:rPr>
          <w:rFonts w:ascii="宋体" w:hAnsi="宋体" w:eastAsia="宋体" w:cs="宋体"/>
          <w:color w:val="auto"/>
          <w:highlight w:val="none"/>
        </w:rPr>
      </w:r>
      <w:r/>
    </w:p>
    <w:p>
      <w:pPr>
        <w:ind w:left="422"/>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840"/>
        <w:spacing w:line="360" w:lineRule="auto"/>
        <w:rPr>
          <w:rFonts w:ascii="宋体" w:hAnsi="宋体" w:eastAsia="宋体" w:cs="宋体"/>
          <w:color w:val="auto"/>
          <w:highlight w:val="none"/>
        </w:rPr>
      </w:pPr>
      <w:r>
        <w:rPr>
          <w:rFonts w:hint="eastAsia" w:ascii="宋体" w:hAnsi="宋体" w:eastAsia="宋体" w:cs="宋体"/>
          <w:color w:val="auto"/>
          <w:highlight w:val="none"/>
          <w:lang w:bidi="ar"/>
        </w:rPr>
        <w:t xml:space="preserve">单位名称：（加盖CA电子公章）</w:t>
      </w:r>
      <w:r>
        <w:rPr>
          <w:rFonts w:hint="eastAsia" w:ascii="宋体" w:hAnsi="宋体" w:eastAsia="宋体" w:cs="宋体"/>
          <w:color w:val="auto"/>
          <w:highlight w:val="none"/>
        </w:rPr>
        <w:t xml:space="preserve"> </w:t>
      </w:r>
      <w:r/>
    </w:p>
    <w:p>
      <w:pPr>
        <w:ind w:firstLine="384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color w:val="auto"/>
          <w:highlight w:val="none"/>
          <w:lang w:bidi="ar"/>
        </w:rPr>
        <w:t xml:space="preserve">日期：     年   月   日</w:t>
      </w:r>
      <w:r/>
    </w:p>
    <w:p>
      <w:pPr>
        <w:ind w:firstLine="680"/>
        <w:jc w:val="center"/>
        <w:spacing w:line="400" w:lineRule="exact"/>
        <w:rPr>
          <w:rFonts w:hint="eastAsia" w:ascii="宋体" w:hAnsi="宋体" w:eastAsia="宋体" w:cs="宋体"/>
          <w:b/>
          <w:bCs/>
          <w:color w:val="auto"/>
          <w:spacing w:val="20"/>
          <w:highlight w:val="none"/>
        </w:rPr>
      </w:pPr>
      <w:r>
        <w:rPr>
          <w:rFonts w:hint="eastAsia" w:ascii="宋体" w:hAnsi="宋体" w:eastAsia="宋体" w:cs="宋体"/>
          <w:b/>
          <w:bCs/>
          <w:color w:val="auto"/>
          <w:spacing w:val="20"/>
          <w:highlight w:val="none"/>
        </w:rPr>
      </w:r>
      <w:r/>
    </w:p>
    <w:p>
      <w:pPr>
        <w:spacing w:line="360" w:lineRule="auto"/>
        <w:tabs>
          <w:tab w:val="left" w:pos="132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br w:type="page" w:clear="all"/>
      </w:r>
      <w:r/>
    </w:p>
    <w:p>
      <w:pPr>
        <w:spacing w:line="360" w:lineRule="auto"/>
        <w:rPr>
          <w:rFonts w:hint="eastAsia" w:ascii="宋体" w:hAnsi="宋体" w:eastAsia="宋体" w:cs="宋体"/>
          <w:b/>
          <w:color w:val="auto"/>
          <w:highlight w:val="none"/>
          <w:shd w:val="clear" w:color="auto" w:fill="ffffff"/>
        </w:rPr>
        <w:outlineLvl w:val="1"/>
      </w:pPr>
      <w:r/>
      <w:bookmarkStart w:id="99" w:name="_Toc2336"/>
      <w:r>
        <w:rPr>
          <w:rFonts w:hint="eastAsia" w:ascii="宋体" w:hAnsi="宋体" w:eastAsia="宋体" w:cs="宋体"/>
          <w:b/>
          <w:color w:val="auto"/>
          <w:highlight w:val="none"/>
          <w:shd w:val="clear" w:color="auto" w:fill="ffffff"/>
          <w:lang w:val="en-US" w:eastAsia="zh-CN"/>
        </w:rPr>
        <w:t xml:space="preserve">10</w:t>
      </w:r>
      <w:r>
        <w:rPr>
          <w:rFonts w:hint="eastAsia" w:ascii="宋体" w:hAnsi="宋体" w:eastAsia="宋体" w:cs="宋体"/>
          <w:b/>
          <w:color w:val="auto"/>
          <w:highlight w:val="none"/>
          <w:shd w:val="clear" w:color="auto" w:fill="ffffff"/>
        </w:rPr>
        <w:t xml:space="preserve">、技术支持以及售后服务承诺</w:t>
      </w:r>
      <w:bookmarkEnd w:id="99"/>
      <w:r/>
      <w:r/>
    </w:p>
    <w:p>
      <w:pPr>
        <w:jc w:val="center"/>
        <w:spacing w:before="156" w:after="156"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技术支持以及售后服务承诺</w:t>
      </w:r>
      <w:r/>
    </w:p>
    <w:tbl>
      <w:tblPr>
        <w:tblStyle w:val="9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949"/>
        <w:gridCol w:w="3123"/>
        <w:gridCol w:w="1281"/>
      </w:tblGrid>
      <w:tr>
        <w:trPr>
          <w:trHeight w:val="850"/>
        </w:trPr>
        <w:tc>
          <w:tcPr>
            <w:tcW w:w="9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94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tc>
        <w:tc>
          <w:tcPr>
            <w:tcW w:w="31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响应承诺</w:t>
            </w:r>
            <w:r/>
          </w:p>
        </w:tc>
        <w:tc>
          <w:tcPr>
            <w:tcW w:w="128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trHeight w:val="850"/>
        </w:trPr>
        <w:tc>
          <w:tcPr>
            <w:tcW w:w="9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294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服务响应时间</w:t>
            </w:r>
            <w:r/>
          </w:p>
        </w:tc>
        <w:tc>
          <w:tcPr>
            <w:tcW w:w="31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294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到达现场时间</w:t>
            </w:r>
            <w:r/>
          </w:p>
        </w:tc>
        <w:tc>
          <w:tcPr>
            <w:tcW w:w="31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294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解决问题时间</w:t>
            </w:r>
            <w:r/>
          </w:p>
        </w:tc>
        <w:tc>
          <w:tcPr>
            <w:tcW w:w="31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294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免费质保期</w:t>
            </w:r>
            <w:r/>
          </w:p>
        </w:tc>
        <w:tc>
          <w:tcPr>
            <w:tcW w:w="312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8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1031"/>
        <w:ind w:firstLine="480"/>
        <w:spacing w:line="360" w:lineRule="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r>
      <w:r/>
    </w:p>
    <w:p>
      <w:pPr>
        <w:ind w:firstLine="3840"/>
        <w:spacing w:line="360" w:lineRule="auto"/>
        <w:rPr>
          <w:rFonts w:ascii="宋体" w:hAnsi="宋体" w:eastAsia="宋体" w:cs="宋体"/>
          <w:color w:val="auto"/>
          <w:highlight w:val="none"/>
        </w:rPr>
      </w:pPr>
      <w:r>
        <w:rPr>
          <w:rFonts w:hint="eastAsia" w:ascii="宋体" w:hAnsi="宋体" w:eastAsia="宋体" w:cs="宋体"/>
          <w:color w:val="auto"/>
          <w:highlight w:val="none"/>
          <w:lang w:bidi="ar"/>
        </w:rPr>
        <w:t xml:space="preserve">单位名称：（加盖CA电子公章）</w:t>
      </w:r>
      <w:r>
        <w:rPr>
          <w:rFonts w:hint="eastAsia" w:ascii="宋体" w:hAnsi="宋体" w:eastAsia="宋体" w:cs="宋体"/>
          <w:color w:val="auto"/>
          <w:highlight w:val="none"/>
        </w:rPr>
        <w:t xml:space="preserve"> </w:t>
      </w:r>
      <w:r/>
    </w:p>
    <w:p>
      <w:pPr>
        <w:ind w:firstLine="384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color w:val="auto"/>
          <w:highlight w:val="none"/>
          <w:lang w:bidi="ar"/>
        </w:rPr>
        <w:t xml:space="preserve">日期：     年   月   日</w:t>
      </w:r>
      <w:r/>
    </w:p>
    <w:p>
      <w:pPr>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br w:type="page" w:clear="all"/>
      </w:r>
      <w:r/>
    </w:p>
    <w:p>
      <w:pPr>
        <w:spacing w:line="360" w:lineRule="auto"/>
        <w:rPr>
          <w:rFonts w:hint="eastAsia" w:ascii="宋体" w:hAnsi="宋体" w:eastAsia="宋体" w:cs="宋体"/>
          <w:b/>
          <w:color w:val="auto"/>
          <w:highlight w:val="none"/>
          <w:shd w:val="clear" w:color="auto" w:fill="ffffff"/>
        </w:rPr>
        <w:outlineLvl w:val="1"/>
      </w:pPr>
      <w:r/>
      <w:bookmarkStart w:id="100" w:name="_Toc7137"/>
      <w:r>
        <w:rPr>
          <w:rFonts w:hint="eastAsia" w:ascii="宋体" w:hAnsi="宋体" w:eastAsia="宋体" w:cs="宋体"/>
          <w:b/>
          <w:color w:val="auto"/>
          <w:highlight w:val="none"/>
          <w:shd w:val="clear" w:color="auto" w:fill="ffffff"/>
          <w:lang w:val="en-US" w:eastAsia="zh-CN"/>
        </w:rPr>
        <w:t xml:space="preserve">11</w:t>
      </w:r>
      <w:r>
        <w:rPr>
          <w:rFonts w:hint="eastAsia" w:ascii="宋体" w:hAnsi="宋体" w:eastAsia="宋体" w:cs="宋体"/>
          <w:b/>
          <w:color w:val="auto"/>
          <w:highlight w:val="none"/>
          <w:shd w:val="clear" w:color="auto" w:fill="ffffff"/>
        </w:rPr>
        <w:t xml:space="preserve">、类似业绩一览表</w:t>
      </w:r>
      <w:bookmarkEnd w:id="93"/>
      <w:r/>
      <w:bookmarkEnd w:id="100"/>
      <w:r/>
      <w:r/>
    </w:p>
    <w:p>
      <w:pPr>
        <w:jc w:val="center"/>
        <w:spacing w:before="156" w:after="156"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类似业绩一览表</w:t>
      </w:r>
      <w:r/>
    </w:p>
    <w:tbl>
      <w:tblPr>
        <w:tblStyle w:val="908"/>
        <w:tblW w:w="8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6"/>
        <w:gridCol w:w="2448"/>
        <w:gridCol w:w="1659"/>
        <w:gridCol w:w="1673"/>
        <w:gridCol w:w="1020"/>
        <w:gridCol w:w="987"/>
      </w:tblGrid>
      <w:tr>
        <w:trPr>
          <w:trHeight w:val="753"/>
        </w:trPr>
        <w:tc>
          <w:tcPr>
            <w:tcW w:w="576" w:type="dxa"/>
            <w:vAlign w:val="center"/>
            <w:textDirection w:val="lrTb"/>
            <w:noWrap w:val="false"/>
          </w:tcPr>
          <w:p>
            <w:pPr>
              <w:pStyle w:val="10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w:t>
            </w:r>
            <w:r/>
          </w:p>
          <w:p>
            <w:pPr>
              <w:pStyle w:val="10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号</w:t>
            </w:r>
            <w:r/>
          </w:p>
        </w:tc>
        <w:tc>
          <w:tcPr>
            <w:tcW w:w="2448" w:type="dxa"/>
            <w:vAlign w:val="center"/>
            <w:textDirection w:val="lrTb"/>
            <w:noWrap w:val="false"/>
          </w:tcPr>
          <w:p>
            <w:pPr>
              <w:pStyle w:val="10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项目名称</w:t>
            </w:r>
            <w:r/>
          </w:p>
        </w:tc>
        <w:tc>
          <w:tcPr>
            <w:tcW w:w="1659"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业主单位</w:t>
            </w:r>
            <w:r/>
          </w:p>
        </w:tc>
        <w:tc>
          <w:tcPr>
            <w:tcW w:w="1673"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合同签订日期</w:t>
            </w:r>
            <w:r/>
          </w:p>
        </w:tc>
        <w:tc>
          <w:tcPr>
            <w:tcW w:w="1020"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合同金额</w:t>
            </w:r>
            <w:r/>
          </w:p>
          <w:p>
            <w:pPr>
              <w:pStyle w:val="10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（元）</w:t>
            </w:r>
            <w:r/>
          </w:p>
        </w:tc>
        <w:tc>
          <w:tcPr>
            <w:tcW w:w="987" w:type="dxa"/>
            <w:vAlign w:val="center"/>
            <w:textDirection w:val="lrTb"/>
            <w:noWrap w:val="false"/>
          </w:tcPr>
          <w:p>
            <w:pPr>
              <w:pStyle w:val="10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备注</w:t>
            </w:r>
            <w:r/>
          </w:p>
        </w:tc>
      </w:tr>
      <w:tr>
        <w:trPr>
          <w:trHeight w:val="897"/>
        </w:trPr>
        <w:tc>
          <w:tcPr>
            <w:tcW w:w="5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244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97"/>
        </w:trPr>
        <w:tc>
          <w:tcPr>
            <w:tcW w:w="5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244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97"/>
        </w:trPr>
        <w:tc>
          <w:tcPr>
            <w:tcW w:w="5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244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97"/>
        </w:trPr>
        <w:tc>
          <w:tcPr>
            <w:tcW w:w="57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244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7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8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1006"/>
        <w:ind w:firstLine="396"/>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840"/>
        <w:spacing w:line="360" w:lineRule="auto"/>
        <w:rPr>
          <w:rFonts w:ascii="宋体" w:hAnsi="宋体" w:eastAsia="宋体" w:cs="宋体"/>
          <w:color w:val="auto"/>
          <w:highlight w:val="none"/>
        </w:rPr>
      </w:pPr>
      <w:r>
        <w:rPr>
          <w:rFonts w:hint="eastAsia" w:ascii="宋体" w:hAnsi="宋体" w:eastAsia="宋体" w:cs="宋体"/>
          <w:color w:val="auto"/>
          <w:highlight w:val="none"/>
          <w:lang w:bidi="ar"/>
        </w:rPr>
        <w:t xml:space="preserve">单位名称：（加盖CA电子公章）</w:t>
      </w:r>
      <w:r>
        <w:rPr>
          <w:rFonts w:hint="eastAsia" w:ascii="宋体" w:hAnsi="宋体" w:eastAsia="宋体" w:cs="宋体"/>
          <w:color w:val="auto"/>
          <w:highlight w:val="none"/>
        </w:rPr>
        <w:t xml:space="preserve"> </w:t>
      </w:r>
      <w:r/>
    </w:p>
    <w:p>
      <w:pPr>
        <w:ind w:firstLine="384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color w:val="auto"/>
          <w:highlight w:val="none"/>
          <w:lang w:bidi="ar"/>
        </w:rPr>
        <w:t xml:space="preserve">日期：     年   月   日</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bookmarkStart w:id="101" w:name="_Toc10467992"/>
      <w:r/>
      <w:r/>
    </w:p>
    <w:p>
      <w:pPr>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br w:type="page" w:clear="all"/>
      </w:r>
      <w:r/>
    </w:p>
    <w:p>
      <w:pPr>
        <w:spacing w:line="360" w:lineRule="auto"/>
        <w:rPr>
          <w:rFonts w:hint="eastAsia" w:ascii="宋体" w:hAnsi="宋体" w:eastAsia="宋体" w:cs="宋体"/>
          <w:b/>
          <w:color w:val="auto"/>
          <w:highlight w:val="none"/>
          <w:shd w:val="clear" w:color="auto" w:fill="ffffff"/>
        </w:rPr>
        <w:outlineLvl w:val="1"/>
      </w:pPr>
      <w:r/>
      <w:bookmarkStart w:id="102" w:name="_Toc4880"/>
      <w:r>
        <w:rPr>
          <w:rFonts w:hint="eastAsia" w:ascii="宋体" w:hAnsi="宋体" w:eastAsia="宋体" w:cs="宋体"/>
          <w:b/>
          <w:color w:val="auto"/>
          <w:highlight w:val="none"/>
          <w:shd w:val="clear" w:color="auto" w:fill="ffffff"/>
        </w:rPr>
        <w:t xml:space="preserve">1</w:t>
      </w:r>
      <w:r>
        <w:rPr>
          <w:rFonts w:hint="eastAsia" w:ascii="宋体" w:hAnsi="宋体" w:eastAsia="宋体" w:cs="宋体"/>
          <w:b/>
          <w:color w:val="auto"/>
          <w:highlight w:val="none"/>
          <w:shd w:val="clear" w:color="auto" w:fill="ffffff"/>
          <w:lang w:val="en-US" w:eastAsia="zh-CN"/>
        </w:rPr>
        <w:t xml:space="preserve">2</w:t>
      </w:r>
      <w:r>
        <w:rPr>
          <w:rFonts w:hint="eastAsia" w:ascii="宋体" w:hAnsi="宋体" w:eastAsia="宋体" w:cs="宋体"/>
          <w:b/>
          <w:color w:val="auto"/>
          <w:highlight w:val="none"/>
          <w:shd w:val="clear" w:color="auto" w:fill="ffffff"/>
        </w:rPr>
        <w:t xml:space="preserve">、承诺函</w:t>
      </w:r>
      <w:bookmarkEnd w:id="102"/>
      <w:r/>
      <w:r/>
    </w:p>
    <w:p>
      <w:pPr>
        <w:jc w:val="center"/>
        <w:spacing w:before="156" w:after="156" w:line="360" w:lineRule="auto"/>
        <w:rPr>
          <w:rFonts w:hint="eastAsia" w:ascii="宋体" w:hAnsi="宋体" w:eastAsia="宋体" w:cs="宋体"/>
          <w:color w:val="auto"/>
          <w:highlight w:val="none"/>
          <w:u w:val="single"/>
        </w:rPr>
      </w:pPr>
      <w:r>
        <w:rPr>
          <w:rFonts w:hint="eastAsia" w:ascii="宋体" w:hAnsi="宋体" w:eastAsia="宋体" w:cs="宋体"/>
          <w:b/>
          <w:bCs/>
          <w:color w:val="auto"/>
          <w:sz w:val="32"/>
          <w:szCs w:val="32"/>
          <w:highlight w:val="none"/>
        </w:rPr>
        <w:t xml:space="preserve">承诺函</w:t>
      </w:r>
      <w:r/>
    </w:p>
    <w:p>
      <w:pPr>
        <w:jc w:val="both"/>
        <w:spacing w:line="360" w:lineRule="auto"/>
        <w:widowControl w:val="off"/>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rPr>
        <w:t xml:space="preserve">苏州工业园区卫生健康委员会：</w:t>
      </w:r>
      <w:r/>
    </w:p>
    <w:p>
      <w:pPr>
        <w:ind w:firstLine="480"/>
        <w:jc w:val="both"/>
        <w:spacing w:line="360" w:lineRule="auto"/>
        <w:widowControl w:val="off"/>
        <w:rPr>
          <w:rFonts w:hint="eastAsia" w:ascii="宋体" w:hAnsi="宋体" w:eastAsia="宋体" w:cs="宋体"/>
          <w:b/>
          <w:color w:val="auto"/>
          <w:highlight w:val="none"/>
        </w:rPr>
      </w:pPr>
      <w:r>
        <w:rPr>
          <w:rFonts w:hint="eastAsia" w:ascii="宋体" w:hAnsi="宋体" w:eastAsia="宋体" w:cs="宋体"/>
          <w:color w:val="auto"/>
          <w:highlight w:val="none"/>
        </w:rPr>
        <w:t xml:space="preserve">本公司愿就由贵单位组织实施的编号为</w:t>
      </w:r>
      <w:r>
        <w:rPr>
          <w:rFonts w:hint="eastAsia" w:ascii="宋体" w:hAnsi="宋体" w:eastAsia="宋体" w:cs="宋体"/>
          <w:b/>
          <w:bCs/>
          <w:color w:val="auto"/>
          <w:highlight w:val="none"/>
          <w:u w:val="single"/>
          <w:lang w:eastAsia="zh-CN"/>
        </w:rPr>
        <w:t xml:space="preserve">JSZC-320591-HXZJ-T2026-0021</w:t>
      </w:r>
      <w:r>
        <w:rPr>
          <w:rFonts w:hint="eastAsia" w:ascii="宋体" w:hAnsi="宋体" w:eastAsia="宋体" w:cs="宋体"/>
          <w:b/>
          <w:bCs/>
          <w:color w:val="auto"/>
          <w:highlight w:val="none"/>
        </w:rPr>
        <w:t xml:space="preserve">号</w:t>
      </w:r>
      <w:r>
        <w:rPr>
          <w:rFonts w:hint="eastAsia" w:ascii="宋体" w:hAnsi="宋体" w:eastAsia="宋体" w:cs="宋体"/>
          <w:b/>
          <w:bCs/>
          <w:color w:val="auto"/>
          <w:highlight w:val="none"/>
          <w:u w:val="single"/>
        </w:rPr>
        <w:t xml:space="preserve">2026年度苏州工业园区下属医院信息化设备采购</w:t>
      </w:r>
      <w:r>
        <w:rPr>
          <w:rFonts w:hint="eastAsia" w:ascii="宋体" w:hAnsi="宋体" w:eastAsia="宋体" w:cs="宋体"/>
          <w:color w:val="auto"/>
          <w:highlight w:val="none"/>
        </w:rPr>
        <w:t xml:space="preserve">的</w:t>
      </w:r>
      <w:r>
        <w:rPr>
          <w:rFonts w:hint="eastAsia" w:ascii="宋体" w:hAnsi="宋体" w:eastAsia="宋体" w:cs="宋体"/>
          <w:color w:val="auto"/>
          <w:highlight w:val="none"/>
          <w:lang w:val="en-US" w:eastAsia="zh-CN"/>
        </w:rPr>
        <w:t xml:space="preserve">谈判采购</w:t>
      </w:r>
      <w:r>
        <w:rPr>
          <w:rFonts w:hint="eastAsia" w:ascii="宋体" w:hAnsi="宋体" w:eastAsia="宋体" w:cs="宋体"/>
          <w:color w:val="auto"/>
          <w:highlight w:val="none"/>
        </w:rPr>
        <w:t xml:space="preserve">活动进行</w:t>
      </w:r>
      <w:r>
        <w:rPr>
          <w:rFonts w:hint="eastAsia" w:ascii="宋体" w:hAnsi="宋体" w:eastAsia="宋体" w:cs="宋体"/>
          <w:color w:val="auto"/>
          <w:highlight w:val="none"/>
          <w:lang w:val="en-US" w:eastAsia="zh-CN"/>
        </w:rPr>
        <w:t xml:space="preserve">响应</w:t>
      </w:r>
      <w:r>
        <w:rPr>
          <w:rFonts w:hint="eastAsia" w:ascii="宋体" w:hAnsi="宋体" w:eastAsia="宋体" w:cs="宋体"/>
          <w:color w:val="auto"/>
          <w:highlight w:val="none"/>
        </w:rPr>
        <w:t xml:space="preserve">。本项目谈判采购内容及采购清单中所采购货物及对应生产厂家，根据法律法规、行业规范及政策规定，需要</w:t>
      </w:r>
      <w:r>
        <w:rPr>
          <w:rFonts w:hint="eastAsia" w:ascii="宋体" w:hAnsi="宋体" w:eastAsia="宋体" w:cs="宋体"/>
          <w:color w:val="auto"/>
          <w:highlight w:val="none"/>
          <w:lang w:bidi="ar"/>
        </w:rPr>
        <w:t xml:space="preserve">获得相关行业或领域的各类认证、许可、备案等任何形式的法定批准、准入、许可、认证或资质证明等证书文件的，</w:t>
      </w:r>
      <w:r>
        <w:rPr>
          <w:rFonts w:hint="eastAsia" w:ascii="宋体" w:hAnsi="宋体" w:eastAsia="宋体" w:cs="宋体"/>
          <w:color w:val="auto"/>
          <w:highlight w:val="none"/>
        </w:rPr>
        <w:t xml:space="preserve">我单位承诺所投全部货物及对应生产厂家，在本项目投标截止时间前均已依法取得且有效。</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本单位对上述承诺的真实性负责。如有虚假，将依法承担相应责任。</w:t>
      </w:r>
      <w:r/>
    </w:p>
    <w:p>
      <w:pPr>
        <w:ind w:firstLine="480"/>
        <w:spacing w:line="360" w:lineRule="auto"/>
        <w:tabs>
          <w:tab w:val="left" w:pos="851" w:leader="none"/>
        </w:tabs>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ind w:firstLine="3840"/>
        <w:spacing w:line="360" w:lineRule="auto"/>
        <w:rPr>
          <w:rFonts w:ascii="宋体" w:hAnsi="宋体" w:eastAsia="宋体" w:cs="宋体"/>
          <w:color w:val="auto"/>
          <w:highlight w:val="none"/>
        </w:rPr>
      </w:pPr>
      <w:r>
        <w:rPr>
          <w:rFonts w:hint="eastAsia" w:ascii="宋体" w:hAnsi="宋体" w:eastAsia="宋体" w:cs="宋体"/>
          <w:color w:val="auto"/>
          <w:highlight w:val="none"/>
          <w:lang w:bidi="ar"/>
        </w:rPr>
        <w:t xml:space="preserve">单位名称：（加盖CA电子公章）</w:t>
      </w:r>
      <w:r>
        <w:rPr>
          <w:rFonts w:hint="eastAsia" w:ascii="宋体" w:hAnsi="宋体" w:eastAsia="宋体" w:cs="宋体"/>
          <w:color w:val="auto"/>
          <w:highlight w:val="none"/>
        </w:rPr>
        <w:t xml:space="preserve"> </w:t>
      </w:r>
      <w:r/>
    </w:p>
    <w:p>
      <w:pPr>
        <w:ind w:firstLine="384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color w:val="auto"/>
          <w:highlight w:val="none"/>
          <w:lang w:bidi="ar"/>
        </w:rPr>
        <w:t xml:space="preserve">日期：     年   月   日</w:t>
      </w:r>
      <w:r/>
    </w:p>
    <w:p>
      <w:pPr>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br w:type="page" w:clear="all"/>
      </w:r>
      <w:r/>
    </w:p>
    <w:p>
      <w:pPr>
        <w:spacing w:line="360" w:lineRule="auto"/>
        <w:rPr>
          <w:rFonts w:hint="eastAsia" w:ascii="宋体" w:hAnsi="宋体" w:eastAsia="宋体" w:cs="宋体"/>
          <w:b/>
          <w:color w:val="auto"/>
          <w:highlight w:val="none"/>
          <w:shd w:val="clear" w:color="auto" w:fill="ffffff"/>
        </w:rPr>
        <w:outlineLvl w:val="1"/>
      </w:pPr>
      <w:r/>
      <w:bookmarkStart w:id="103" w:name="_Toc5020"/>
      <w:r>
        <w:rPr>
          <w:rFonts w:hint="eastAsia" w:ascii="宋体" w:hAnsi="宋体" w:eastAsia="宋体" w:cs="宋体"/>
          <w:b/>
          <w:color w:val="auto"/>
          <w:highlight w:val="none"/>
          <w:shd w:val="clear" w:color="auto" w:fill="ffffff"/>
        </w:rPr>
        <w:t xml:space="preserve">1</w:t>
      </w:r>
      <w:r>
        <w:rPr>
          <w:rFonts w:hint="eastAsia" w:ascii="宋体" w:hAnsi="宋体" w:eastAsia="宋体" w:cs="宋体"/>
          <w:b/>
          <w:color w:val="auto"/>
          <w:highlight w:val="none"/>
          <w:shd w:val="clear" w:color="auto" w:fill="ffffff"/>
          <w:lang w:val="en-US" w:eastAsia="zh-CN"/>
        </w:rPr>
        <w:t xml:space="preserve">3</w:t>
      </w:r>
      <w:r>
        <w:rPr>
          <w:rFonts w:hint="eastAsia" w:ascii="宋体" w:hAnsi="宋体" w:eastAsia="宋体" w:cs="宋体"/>
          <w:b/>
          <w:color w:val="auto"/>
          <w:highlight w:val="none"/>
          <w:shd w:val="clear" w:color="auto" w:fill="ffffff"/>
        </w:rPr>
        <w:t xml:space="preserve">、中小企业声明函</w:t>
      </w:r>
      <w:bookmarkEnd w:id="101"/>
      <w:r/>
      <w:bookmarkEnd w:id="103"/>
      <w:r/>
      <w:r/>
    </w:p>
    <w:p>
      <w:pPr>
        <w:jc w:val="center"/>
        <w:spacing w:before="156" w:after="156"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中小企业声明函</w:t>
      </w:r>
      <w:r/>
    </w:p>
    <w:p>
      <w:pPr>
        <w:ind w:firstLine="630"/>
        <w:spacing w:line="360" w:lineRule="auto"/>
        <w:rPr>
          <w:rFonts w:hint="eastAsia" w:ascii="宋体" w:hAnsi="宋体" w:eastAsia="宋体" w:cs="宋体"/>
          <w:color w:val="auto"/>
          <w:highlight w:val="none"/>
        </w:rPr>
      </w:pPr>
      <w:r/>
      <w:bookmarkStart w:id="104" w:name="_Toc10467993"/>
      <w:r>
        <w:rPr>
          <w:rFonts w:hint="eastAsia" w:ascii="宋体" w:hAnsi="宋体" w:eastAsia="宋体" w:cs="宋体"/>
          <w:color w:val="auto"/>
          <w:highlight w:val="none"/>
          <w:lang w:val="zh-CN" w:bidi="ar"/>
        </w:rPr>
        <w:t xml:space="preserve">本公司郑重声明，根据《政府采购促进中小企业发展管理办法》（财库﹝2020﹞46 号）的规定，本公司参加</w:t>
      </w:r>
      <w:r>
        <w:rPr>
          <w:rFonts w:hint="eastAsia" w:ascii="宋体" w:hAnsi="宋体" w:eastAsia="宋体" w:cs="宋体"/>
          <w:color w:val="auto"/>
          <w:highlight w:val="none"/>
          <w:u w:val="single"/>
          <w:lang w:bidi="ar"/>
        </w:rPr>
        <w:t xml:space="preserve">        </w:t>
      </w:r>
      <w:r>
        <w:rPr>
          <w:rFonts w:hint="eastAsia" w:ascii="宋体" w:hAnsi="宋体" w:eastAsia="宋体" w:cs="宋体"/>
          <w:color w:val="auto"/>
          <w:highlight w:val="none"/>
          <w:u w:val="single"/>
          <w:lang w:val="zh-CN" w:bidi="ar"/>
        </w:rPr>
        <w:t xml:space="preserve">（单位名称）</w:t>
      </w:r>
      <w:r>
        <w:rPr>
          <w:rFonts w:hint="eastAsia" w:ascii="宋体" w:hAnsi="宋体" w:eastAsia="宋体" w:cs="宋体"/>
          <w:color w:val="auto"/>
          <w:highlight w:val="none"/>
          <w:u w:val="single"/>
          <w:lang w:bidi="ar"/>
        </w:rPr>
        <w:t xml:space="preserve">    </w:t>
      </w:r>
      <w:r>
        <w:rPr>
          <w:rFonts w:hint="eastAsia" w:ascii="宋体" w:hAnsi="宋体" w:eastAsia="宋体" w:cs="宋体"/>
          <w:color w:val="auto"/>
          <w:highlight w:val="none"/>
          <w:lang w:val="zh-CN" w:bidi="ar"/>
        </w:rPr>
        <w:t xml:space="preserve">的</w:t>
      </w:r>
      <w:r>
        <w:rPr>
          <w:rFonts w:hint="eastAsia" w:ascii="宋体" w:hAnsi="宋体" w:eastAsia="宋体" w:cs="宋体"/>
          <w:bCs/>
          <w:color w:val="auto"/>
          <w:highlight w:val="none"/>
          <w:u w:val="single"/>
          <w:lang w:bidi="ar"/>
        </w:rPr>
        <w:t xml:space="preserve">   （项目名称）      </w:t>
      </w:r>
      <w:r>
        <w:rPr>
          <w:rFonts w:hint="eastAsia" w:ascii="宋体" w:hAnsi="宋体" w:eastAsia="宋体" w:cs="宋体"/>
          <w:color w:val="auto"/>
          <w:highlight w:val="none"/>
          <w:lang w:val="zh-CN" w:bidi="ar"/>
        </w:rPr>
        <w:t xml:space="preserve">采购活动，</w:t>
      </w:r>
      <w:r>
        <w:rPr>
          <w:rFonts w:hint="eastAsia" w:ascii="宋体" w:hAnsi="宋体" w:eastAsia="宋体" w:cs="宋体"/>
          <w:color w:val="auto"/>
          <w:highlight w:val="none"/>
          <w:lang w:bidi="ar"/>
        </w:rPr>
        <w:t xml:space="preserve">提供的货物全部由符合政策要求的中小企业制造。</w:t>
      </w:r>
      <w:r>
        <w:rPr>
          <w:rFonts w:hint="eastAsia" w:ascii="宋体" w:hAnsi="宋体" w:eastAsia="宋体" w:cs="宋体"/>
          <w:color w:val="auto"/>
          <w:highlight w:val="none"/>
          <w:lang w:val="zh-CN" w:bidi="ar"/>
        </w:rPr>
        <w:t xml:space="preserve">相关企业（含联合体中的中小企业、签订分包意向协议的中小企业）的具体情况如下：</w:t>
      </w:r>
      <w:r/>
    </w:p>
    <w:p>
      <w:pPr>
        <w:ind w:firstLine="63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bidi="ar"/>
        </w:rPr>
        <w:t xml:space="preserve">1. </w:t>
      </w:r>
      <w:r>
        <w:rPr>
          <w:rFonts w:hint="eastAsia" w:ascii="宋体" w:hAnsi="宋体" w:eastAsia="宋体" w:cs="宋体"/>
          <w:color w:val="auto"/>
          <w:highlight w:val="none"/>
          <w:u w:val="single"/>
          <w:lang w:val="zh-CN" w:bidi="ar"/>
        </w:rPr>
        <w:t xml:space="preserve">（标的名称）</w:t>
      </w:r>
      <w:r>
        <w:rPr>
          <w:rFonts w:hint="eastAsia" w:ascii="宋体" w:hAnsi="宋体" w:eastAsia="宋体" w:cs="宋体"/>
          <w:color w:val="auto"/>
          <w:highlight w:val="none"/>
          <w:u w:val="single"/>
          <w:lang w:bidi="ar"/>
        </w:rPr>
        <w:t xml:space="preserve">    </w:t>
      </w:r>
      <w:r>
        <w:rPr>
          <w:rFonts w:hint="eastAsia" w:ascii="宋体" w:hAnsi="宋体" w:eastAsia="宋体" w:cs="宋体"/>
          <w:color w:val="auto"/>
          <w:highlight w:val="none"/>
          <w:lang w:val="zh-CN" w:bidi="ar"/>
        </w:rPr>
        <w:t xml:space="preserve">，属于</w:t>
      </w:r>
      <w:r>
        <w:rPr>
          <w:rFonts w:hint="eastAsia" w:ascii="宋体" w:hAnsi="宋体" w:eastAsia="宋体" w:cs="宋体"/>
          <w:color w:val="auto"/>
          <w:highlight w:val="none"/>
          <w:u w:val="single"/>
          <w:lang w:val="zh-CN" w:bidi="ar"/>
        </w:rPr>
        <w:t xml:space="preserve">工业</w:t>
      </w:r>
      <w:r>
        <w:rPr>
          <w:rFonts w:hint="eastAsia" w:ascii="宋体" w:hAnsi="宋体" w:eastAsia="宋体" w:cs="宋体"/>
          <w:color w:val="auto"/>
          <w:highlight w:val="none"/>
          <w:lang w:val="zh-CN" w:bidi="ar"/>
        </w:rPr>
        <w:t xml:space="preserve">；制造商为</w:t>
      </w:r>
      <w:r>
        <w:rPr>
          <w:rFonts w:hint="eastAsia" w:ascii="宋体" w:hAnsi="宋体" w:eastAsia="宋体" w:cs="宋体"/>
          <w:color w:val="auto"/>
          <w:highlight w:val="none"/>
          <w:u w:val="single"/>
          <w:lang w:val="zh-CN" w:bidi="ar"/>
        </w:rPr>
        <w:t xml:space="preserve">（企业名称）</w:t>
      </w:r>
      <w:r>
        <w:rPr>
          <w:rFonts w:hint="eastAsia" w:ascii="宋体" w:hAnsi="宋体" w:eastAsia="宋体" w:cs="宋体"/>
          <w:color w:val="auto"/>
          <w:highlight w:val="none"/>
          <w:u w:val="single"/>
          <w:lang w:bidi="ar"/>
        </w:rPr>
        <w:t xml:space="preserve">        </w:t>
      </w:r>
      <w:r>
        <w:rPr>
          <w:rFonts w:hint="eastAsia" w:ascii="宋体" w:hAnsi="宋体" w:eastAsia="宋体" w:cs="宋体"/>
          <w:color w:val="auto"/>
          <w:highlight w:val="none"/>
          <w:lang w:val="zh-CN" w:bidi="ar"/>
        </w:rPr>
        <w:t xml:space="preserve">，从业人员</w:t>
      </w:r>
      <w:r>
        <w:rPr>
          <w:rFonts w:hint="eastAsia" w:ascii="宋体" w:hAnsi="宋体" w:eastAsia="宋体" w:cs="宋体"/>
          <w:color w:val="auto"/>
          <w:highlight w:val="none"/>
          <w:u w:val="single"/>
          <w:lang w:val="zh-CN" w:bidi="ar"/>
        </w:rPr>
        <w:t xml:space="preserve">      </w:t>
      </w:r>
      <w:r>
        <w:rPr>
          <w:rFonts w:hint="eastAsia" w:ascii="宋体" w:hAnsi="宋体" w:eastAsia="宋体" w:cs="宋体"/>
          <w:color w:val="auto"/>
          <w:highlight w:val="none"/>
          <w:lang w:val="zh-CN" w:bidi="ar"/>
        </w:rPr>
        <w:t xml:space="preserve">人，营业收入为</w:t>
      </w:r>
      <w:r>
        <w:rPr>
          <w:rFonts w:hint="eastAsia" w:ascii="宋体" w:hAnsi="宋体" w:eastAsia="宋体" w:cs="宋体"/>
          <w:color w:val="auto"/>
          <w:highlight w:val="none"/>
          <w:u w:val="single"/>
          <w:lang w:val="zh-CN" w:bidi="ar"/>
        </w:rPr>
        <w:t xml:space="preserve">      </w:t>
      </w:r>
      <w:r>
        <w:rPr>
          <w:rFonts w:hint="eastAsia" w:ascii="宋体" w:hAnsi="宋体" w:eastAsia="宋体" w:cs="宋体"/>
          <w:color w:val="auto"/>
          <w:highlight w:val="none"/>
          <w:lang w:val="zh-CN" w:bidi="ar"/>
        </w:rPr>
        <w:t xml:space="preserve">万元，资产总额为</w:t>
      </w:r>
      <w:r>
        <w:rPr>
          <w:rFonts w:hint="eastAsia" w:ascii="宋体" w:hAnsi="宋体" w:eastAsia="宋体" w:cs="宋体"/>
          <w:color w:val="auto"/>
          <w:highlight w:val="none"/>
          <w:u w:val="single"/>
          <w:lang w:val="zh-CN" w:bidi="ar"/>
        </w:rPr>
        <w:t xml:space="preserve">       </w:t>
      </w:r>
      <w:r>
        <w:rPr>
          <w:rFonts w:hint="eastAsia" w:ascii="宋体" w:hAnsi="宋体" w:eastAsia="宋体" w:cs="宋体"/>
          <w:color w:val="auto"/>
          <w:highlight w:val="none"/>
          <w:lang w:val="zh-CN" w:bidi="ar"/>
        </w:rPr>
        <w:t xml:space="preserve">万元，属于</w:t>
      </w:r>
      <w:r>
        <w:rPr>
          <w:rFonts w:hint="eastAsia" w:ascii="宋体" w:hAnsi="宋体" w:eastAsia="宋体" w:cs="宋体"/>
          <w:color w:val="auto"/>
          <w:highlight w:val="none"/>
          <w:u w:val="single"/>
          <w:lang w:val="zh-CN" w:bidi="ar"/>
        </w:rPr>
        <w:t xml:space="preserve">            </w:t>
      </w:r>
      <w:r>
        <w:rPr>
          <w:rFonts w:hint="eastAsia" w:ascii="宋体" w:hAnsi="宋体" w:eastAsia="宋体" w:cs="宋体"/>
          <w:color w:val="auto"/>
          <w:highlight w:val="none"/>
          <w:lang w:val="zh-CN" w:bidi="ar"/>
        </w:rPr>
        <w:t xml:space="preserve">（中型企业、小型企业、微型企业，三者选一填写）；</w:t>
      </w:r>
      <w:r/>
    </w:p>
    <w:p>
      <w:pPr>
        <w:ind w:firstLine="63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bidi="ar"/>
        </w:rPr>
        <w:t xml:space="preserve">2. </w:t>
      </w:r>
      <w:r>
        <w:rPr>
          <w:rFonts w:hint="eastAsia" w:ascii="宋体" w:hAnsi="宋体" w:eastAsia="宋体" w:cs="宋体"/>
          <w:color w:val="auto"/>
          <w:highlight w:val="none"/>
          <w:u w:val="single"/>
          <w:lang w:val="zh-CN" w:bidi="ar"/>
        </w:rPr>
        <w:t xml:space="preserve">（标的名称）</w:t>
      </w:r>
      <w:r>
        <w:rPr>
          <w:rFonts w:hint="eastAsia" w:ascii="宋体" w:hAnsi="宋体" w:eastAsia="宋体" w:cs="宋体"/>
          <w:color w:val="auto"/>
          <w:highlight w:val="none"/>
          <w:u w:val="single"/>
          <w:lang w:bidi="ar"/>
        </w:rPr>
        <w:t xml:space="preserve">    </w:t>
      </w:r>
      <w:r>
        <w:rPr>
          <w:rFonts w:hint="eastAsia" w:ascii="宋体" w:hAnsi="宋体" w:eastAsia="宋体" w:cs="宋体"/>
          <w:color w:val="auto"/>
          <w:highlight w:val="none"/>
          <w:lang w:val="zh-CN" w:bidi="ar"/>
        </w:rPr>
        <w:t xml:space="preserve">，属于</w:t>
      </w:r>
      <w:r>
        <w:rPr>
          <w:rFonts w:hint="eastAsia" w:ascii="宋体" w:hAnsi="宋体" w:eastAsia="宋体" w:cs="宋体"/>
          <w:color w:val="auto"/>
          <w:highlight w:val="none"/>
          <w:u w:val="single"/>
          <w:lang w:val="zh-CN" w:bidi="ar"/>
        </w:rPr>
        <w:t xml:space="preserve">工业</w:t>
      </w:r>
      <w:r>
        <w:rPr>
          <w:rFonts w:hint="eastAsia" w:ascii="宋体" w:hAnsi="宋体" w:eastAsia="宋体" w:cs="宋体"/>
          <w:color w:val="auto"/>
          <w:highlight w:val="none"/>
          <w:lang w:val="zh-CN" w:bidi="ar"/>
        </w:rPr>
        <w:t xml:space="preserve">；制造商为</w:t>
      </w:r>
      <w:r>
        <w:rPr>
          <w:rFonts w:hint="eastAsia" w:ascii="宋体" w:hAnsi="宋体" w:eastAsia="宋体" w:cs="宋体"/>
          <w:color w:val="auto"/>
          <w:highlight w:val="none"/>
          <w:u w:val="single"/>
          <w:lang w:val="zh-CN" w:bidi="ar"/>
        </w:rPr>
        <w:t xml:space="preserve">（企业名称）</w:t>
      </w:r>
      <w:r>
        <w:rPr>
          <w:rFonts w:hint="eastAsia" w:ascii="宋体" w:hAnsi="宋体" w:eastAsia="宋体" w:cs="宋体"/>
          <w:color w:val="auto"/>
          <w:highlight w:val="none"/>
          <w:u w:val="single"/>
          <w:lang w:bidi="ar"/>
        </w:rPr>
        <w:t xml:space="preserve">        </w:t>
      </w:r>
      <w:r>
        <w:rPr>
          <w:rFonts w:hint="eastAsia" w:ascii="宋体" w:hAnsi="宋体" w:eastAsia="宋体" w:cs="宋体"/>
          <w:color w:val="auto"/>
          <w:highlight w:val="none"/>
          <w:lang w:val="zh-CN" w:bidi="ar"/>
        </w:rPr>
        <w:t xml:space="preserve">，从业人员</w:t>
      </w:r>
      <w:r>
        <w:rPr>
          <w:rFonts w:hint="eastAsia" w:ascii="宋体" w:hAnsi="宋体" w:eastAsia="宋体" w:cs="宋体"/>
          <w:color w:val="auto"/>
          <w:highlight w:val="none"/>
          <w:u w:val="single"/>
          <w:lang w:val="zh-CN" w:bidi="ar"/>
        </w:rPr>
        <w:t xml:space="preserve">      </w:t>
      </w:r>
      <w:r>
        <w:rPr>
          <w:rFonts w:hint="eastAsia" w:ascii="宋体" w:hAnsi="宋体" w:eastAsia="宋体" w:cs="宋体"/>
          <w:color w:val="auto"/>
          <w:highlight w:val="none"/>
          <w:lang w:val="zh-CN" w:bidi="ar"/>
        </w:rPr>
        <w:t xml:space="preserve">人，营业收入为</w:t>
      </w:r>
      <w:r>
        <w:rPr>
          <w:rFonts w:hint="eastAsia" w:ascii="宋体" w:hAnsi="宋体" w:eastAsia="宋体" w:cs="宋体"/>
          <w:color w:val="auto"/>
          <w:highlight w:val="none"/>
          <w:u w:val="single"/>
          <w:lang w:val="zh-CN" w:bidi="ar"/>
        </w:rPr>
        <w:t xml:space="preserve">      </w:t>
      </w:r>
      <w:r>
        <w:rPr>
          <w:rFonts w:hint="eastAsia" w:ascii="宋体" w:hAnsi="宋体" w:eastAsia="宋体" w:cs="宋体"/>
          <w:color w:val="auto"/>
          <w:highlight w:val="none"/>
          <w:lang w:val="zh-CN" w:bidi="ar"/>
        </w:rPr>
        <w:t xml:space="preserve">万元，资产总额为</w:t>
      </w:r>
      <w:r>
        <w:rPr>
          <w:rFonts w:hint="eastAsia" w:ascii="宋体" w:hAnsi="宋体" w:eastAsia="宋体" w:cs="宋体"/>
          <w:color w:val="auto"/>
          <w:highlight w:val="none"/>
          <w:u w:val="single"/>
          <w:lang w:val="zh-CN" w:bidi="ar"/>
        </w:rPr>
        <w:t xml:space="preserve">       </w:t>
      </w:r>
      <w:r>
        <w:rPr>
          <w:rFonts w:hint="eastAsia" w:ascii="宋体" w:hAnsi="宋体" w:eastAsia="宋体" w:cs="宋体"/>
          <w:color w:val="auto"/>
          <w:highlight w:val="none"/>
          <w:lang w:val="zh-CN" w:bidi="ar"/>
        </w:rPr>
        <w:t xml:space="preserve">万元，属于</w:t>
      </w:r>
      <w:r>
        <w:rPr>
          <w:rFonts w:hint="eastAsia" w:ascii="宋体" w:hAnsi="宋体" w:eastAsia="宋体" w:cs="宋体"/>
          <w:color w:val="auto"/>
          <w:highlight w:val="none"/>
          <w:u w:val="single"/>
          <w:lang w:val="zh-CN" w:bidi="ar"/>
        </w:rPr>
        <w:t xml:space="preserve">            </w:t>
      </w:r>
      <w:r>
        <w:rPr>
          <w:rFonts w:hint="eastAsia" w:ascii="宋体" w:hAnsi="宋体" w:eastAsia="宋体" w:cs="宋体"/>
          <w:color w:val="auto"/>
          <w:highlight w:val="none"/>
          <w:lang w:val="zh-CN" w:bidi="ar"/>
        </w:rPr>
        <w:t xml:space="preserve">（中型企业、小型企业、微型企业，三者选一填写）；</w:t>
      </w:r>
      <w:r/>
    </w:p>
    <w:p>
      <w:pPr>
        <w:ind w:firstLine="630"/>
        <w:spacing w:line="360" w:lineRule="auto"/>
        <w:rPr>
          <w:rFonts w:hint="eastAsia" w:ascii="宋体" w:hAnsi="宋体" w:eastAsia="宋体" w:cs="宋体"/>
          <w:color w:val="auto"/>
          <w:highlight w:val="none"/>
          <w:lang w:val="zh-CN" w:bidi="ar"/>
        </w:rPr>
      </w:pPr>
      <w:r>
        <w:rPr>
          <w:rFonts w:hint="eastAsia" w:ascii="宋体" w:hAnsi="宋体" w:eastAsia="宋体" w:cs="宋体"/>
          <w:color w:val="auto"/>
          <w:highlight w:val="none"/>
          <w:lang w:bidi="ar"/>
        </w:rPr>
        <w:t xml:space="preserve">3</w:t>
      </w:r>
      <w:r>
        <w:rPr>
          <w:rFonts w:hint="eastAsia" w:ascii="宋体" w:hAnsi="宋体" w:eastAsia="宋体" w:cs="宋体"/>
          <w:color w:val="auto"/>
          <w:highlight w:val="none"/>
          <w:lang w:val="zh-CN" w:bidi="ar"/>
        </w:rPr>
        <w:t xml:space="preserve">. </w:t>
      </w:r>
      <w:r>
        <w:rPr>
          <w:rFonts w:hint="eastAsia" w:ascii="宋体" w:hAnsi="宋体" w:eastAsia="宋体" w:cs="宋体"/>
          <w:color w:val="auto"/>
          <w:highlight w:val="none"/>
          <w:u w:val="single"/>
          <w:lang w:val="zh-CN" w:bidi="ar"/>
        </w:rPr>
        <w:t xml:space="preserve">（标的名称）</w:t>
      </w:r>
      <w:r>
        <w:rPr>
          <w:rFonts w:hint="eastAsia" w:ascii="宋体" w:hAnsi="宋体" w:eastAsia="宋体" w:cs="宋体"/>
          <w:color w:val="auto"/>
          <w:highlight w:val="none"/>
          <w:u w:val="single"/>
          <w:lang w:bidi="ar"/>
        </w:rPr>
        <w:t xml:space="preserve">    </w:t>
      </w:r>
      <w:r>
        <w:rPr>
          <w:rFonts w:hint="eastAsia" w:ascii="宋体" w:hAnsi="宋体" w:eastAsia="宋体" w:cs="宋体"/>
          <w:color w:val="auto"/>
          <w:highlight w:val="none"/>
          <w:lang w:val="zh-CN" w:bidi="ar"/>
        </w:rPr>
        <w:t xml:space="preserve">，属于</w:t>
      </w:r>
      <w:r>
        <w:rPr>
          <w:rFonts w:hint="eastAsia" w:ascii="宋体" w:hAnsi="宋体" w:eastAsia="宋体" w:cs="宋体"/>
          <w:color w:val="auto"/>
          <w:highlight w:val="none"/>
          <w:u w:val="single"/>
          <w:lang w:val="zh-CN" w:bidi="ar"/>
        </w:rPr>
        <w:t xml:space="preserve">工业</w:t>
      </w:r>
      <w:r>
        <w:rPr>
          <w:rFonts w:hint="eastAsia" w:ascii="宋体" w:hAnsi="宋体" w:eastAsia="宋体" w:cs="宋体"/>
          <w:color w:val="auto"/>
          <w:highlight w:val="none"/>
          <w:lang w:val="zh-CN" w:bidi="ar"/>
        </w:rPr>
        <w:t xml:space="preserve">；制造商为</w:t>
      </w:r>
      <w:r>
        <w:rPr>
          <w:rFonts w:hint="eastAsia" w:ascii="宋体" w:hAnsi="宋体" w:eastAsia="宋体" w:cs="宋体"/>
          <w:color w:val="auto"/>
          <w:highlight w:val="none"/>
          <w:u w:val="single"/>
          <w:lang w:val="zh-CN" w:bidi="ar"/>
        </w:rPr>
        <w:t xml:space="preserve">（企业名称）</w:t>
      </w:r>
      <w:r>
        <w:rPr>
          <w:rFonts w:hint="eastAsia" w:ascii="宋体" w:hAnsi="宋体" w:eastAsia="宋体" w:cs="宋体"/>
          <w:color w:val="auto"/>
          <w:highlight w:val="none"/>
          <w:u w:val="single"/>
          <w:lang w:bidi="ar"/>
        </w:rPr>
        <w:t xml:space="preserve">        </w:t>
      </w:r>
      <w:r>
        <w:rPr>
          <w:rFonts w:hint="eastAsia" w:ascii="宋体" w:hAnsi="宋体" w:eastAsia="宋体" w:cs="宋体"/>
          <w:color w:val="auto"/>
          <w:highlight w:val="none"/>
          <w:lang w:val="zh-CN" w:bidi="ar"/>
        </w:rPr>
        <w:t xml:space="preserve">，从业人员</w:t>
      </w:r>
      <w:r>
        <w:rPr>
          <w:rFonts w:hint="eastAsia" w:ascii="宋体" w:hAnsi="宋体" w:eastAsia="宋体" w:cs="宋体"/>
          <w:color w:val="auto"/>
          <w:highlight w:val="none"/>
          <w:u w:val="single"/>
          <w:lang w:val="zh-CN" w:bidi="ar"/>
        </w:rPr>
        <w:t xml:space="preserve">      </w:t>
      </w:r>
      <w:r>
        <w:rPr>
          <w:rFonts w:hint="eastAsia" w:ascii="宋体" w:hAnsi="宋体" w:eastAsia="宋体" w:cs="宋体"/>
          <w:color w:val="auto"/>
          <w:highlight w:val="none"/>
          <w:lang w:val="zh-CN" w:bidi="ar"/>
        </w:rPr>
        <w:t xml:space="preserve">人，营业收入为</w:t>
      </w:r>
      <w:r>
        <w:rPr>
          <w:rFonts w:hint="eastAsia" w:ascii="宋体" w:hAnsi="宋体" w:eastAsia="宋体" w:cs="宋体"/>
          <w:color w:val="auto"/>
          <w:highlight w:val="none"/>
          <w:u w:val="single"/>
          <w:lang w:val="zh-CN" w:bidi="ar"/>
        </w:rPr>
        <w:t xml:space="preserve">      </w:t>
      </w:r>
      <w:r>
        <w:rPr>
          <w:rFonts w:hint="eastAsia" w:ascii="宋体" w:hAnsi="宋体" w:eastAsia="宋体" w:cs="宋体"/>
          <w:color w:val="auto"/>
          <w:highlight w:val="none"/>
          <w:lang w:val="zh-CN" w:bidi="ar"/>
        </w:rPr>
        <w:t xml:space="preserve">万元，资产总额为</w:t>
      </w:r>
      <w:r>
        <w:rPr>
          <w:rFonts w:hint="eastAsia" w:ascii="宋体" w:hAnsi="宋体" w:eastAsia="宋体" w:cs="宋体"/>
          <w:color w:val="auto"/>
          <w:highlight w:val="none"/>
          <w:u w:val="single"/>
          <w:lang w:val="zh-CN" w:bidi="ar"/>
        </w:rPr>
        <w:t xml:space="preserve">       </w:t>
      </w:r>
      <w:r>
        <w:rPr>
          <w:rFonts w:hint="eastAsia" w:ascii="宋体" w:hAnsi="宋体" w:eastAsia="宋体" w:cs="宋体"/>
          <w:color w:val="auto"/>
          <w:highlight w:val="none"/>
          <w:lang w:val="zh-CN" w:bidi="ar"/>
        </w:rPr>
        <w:t xml:space="preserve">万元，属于</w:t>
      </w:r>
      <w:r>
        <w:rPr>
          <w:rFonts w:hint="eastAsia" w:ascii="宋体" w:hAnsi="宋体" w:eastAsia="宋体" w:cs="宋体"/>
          <w:color w:val="auto"/>
          <w:highlight w:val="none"/>
          <w:u w:val="single"/>
          <w:lang w:val="zh-CN" w:bidi="ar"/>
        </w:rPr>
        <w:t xml:space="preserve">            </w:t>
      </w:r>
      <w:r>
        <w:rPr>
          <w:rFonts w:hint="eastAsia" w:ascii="宋体" w:hAnsi="宋体" w:eastAsia="宋体" w:cs="宋体"/>
          <w:color w:val="auto"/>
          <w:highlight w:val="none"/>
          <w:lang w:val="zh-CN" w:bidi="ar"/>
        </w:rPr>
        <w:t xml:space="preserve">（中型企业、小型企业、微型企业，三者选一填写）；</w:t>
      </w:r>
      <w:r/>
    </w:p>
    <w:p>
      <w:pPr>
        <w:ind w:firstLine="63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bidi="ar"/>
        </w:rPr>
        <w:t xml:space="preserve">……</w:t>
      </w:r>
      <w:r/>
    </w:p>
    <w:p>
      <w:pPr>
        <w:ind w:firstLine="63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bidi="ar"/>
        </w:rPr>
        <w:t xml:space="preserve">以上企业，不属于大企业的分支机构，不存在控股股东为大企业的情形，也不存在与大企业的负责人为同一人的情形。</w:t>
      </w:r>
      <w:r/>
    </w:p>
    <w:p>
      <w:pPr>
        <w:ind w:firstLine="63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bidi="ar"/>
        </w:rPr>
        <w:t xml:space="preserve">本企业对上述声明内容的真实性负责。如有虚假，将依法承担相应责任。</w:t>
      </w:r>
      <w:r/>
    </w:p>
    <w:p>
      <w:pPr>
        <w:ind w:firstLine="3840"/>
        <w:spacing w:line="360" w:lineRule="auto"/>
        <w:rPr>
          <w:rFonts w:ascii="宋体" w:hAnsi="宋体" w:eastAsia="宋体" w:cs="宋体"/>
          <w:color w:val="auto"/>
          <w:highlight w:val="none"/>
          <w:lang w:bidi="ar"/>
        </w:rPr>
      </w:pPr>
      <w:r>
        <w:rPr>
          <w:rFonts w:ascii="宋体" w:hAnsi="宋体" w:eastAsia="宋体" w:cs="宋体"/>
          <w:color w:val="auto"/>
          <w:highlight w:val="none"/>
          <w:lang w:bidi="ar"/>
        </w:rPr>
      </w:r>
      <w:r/>
    </w:p>
    <w:p>
      <w:pPr>
        <w:ind w:firstLine="3840"/>
        <w:spacing w:line="360" w:lineRule="auto"/>
        <w:rPr>
          <w:rFonts w:ascii="宋体" w:hAnsi="宋体" w:eastAsia="宋体" w:cs="宋体"/>
          <w:color w:val="auto"/>
          <w:highlight w:val="none"/>
        </w:rPr>
      </w:pPr>
      <w:r>
        <w:rPr>
          <w:rFonts w:hint="eastAsia" w:ascii="宋体" w:hAnsi="宋体" w:eastAsia="宋体" w:cs="宋体"/>
          <w:color w:val="auto"/>
          <w:highlight w:val="none"/>
          <w:lang w:bidi="ar"/>
        </w:rPr>
        <w:t xml:space="preserve">单位名称：（加盖CA电子公章）</w:t>
      </w:r>
      <w:r>
        <w:rPr>
          <w:rFonts w:hint="eastAsia" w:ascii="宋体" w:hAnsi="宋体" w:eastAsia="宋体" w:cs="宋体"/>
          <w:color w:val="auto"/>
          <w:highlight w:val="none"/>
        </w:rPr>
        <w:t xml:space="preserve"> </w:t>
      </w:r>
      <w:r/>
    </w:p>
    <w:p>
      <w:pPr>
        <w:ind w:firstLine="384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color w:val="auto"/>
          <w:highlight w:val="none"/>
          <w:lang w:bidi="ar"/>
        </w:rPr>
        <w:t xml:space="preserve">日期：     年   月   日</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jc w:val="both"/>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lang w:bidi="ar"/>
        </w:rPr>
        <w:t xml:space="preserve">备注：</w:t>
      </w:r>
      <w:r/>
    </w:p>
    <w:p>
      <w:pPr>
        <w:ind w:firstLine="482"/>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b/>
          <w:color w:val="auto"/>
          <w:highlight w:val="none"/>
          <w:u w:val="single"/>
        </w:rPr>
        <w:t xml:space="preserve">1、请按本项目采购清单顺序填写，每一项均需单列填写，否则</w:t>
      </w:r>
      <w:r>
        <w:rPr>
          <w:rFonts w:hint="eastAsia" w:ascii="宋体" w:hAnsi="宋体" w:eastAsia="宋体" w:cs="宋体"/>
          <w:b/>
          <w:color w:val="auto"/>
          <w:highlight w:val="none"/>
          <w:u w:val="single"/>
          <w:lang w:val="zh-CN"/>
        </w:rPr>
        <w:t xml:space="preserve">视为未提供中小企业声明函；</w:t>
      </w:r>
      <w:r/>
    </w:p>
    <w:p>
      <w:pPr>
        <w:ind w:firstLine="480"/>
        <w:jc w:val="both"/>
        <w:spacing w:line="360" w:lineRule="auto"/>
        <w:widowControl w:val="off"/>
        <w:rPr>
          <w:rFonts w:hint="eastAsia" w:ascii="宋体" w:hAnsi="宋体" w:eastAsia="宋体" w:cs="宋体"/>
          <w:b/>
          <w:bCs/>
          <w:color w:val="auto"/>
          <w:highlight w:val="none"/>
          <w:lang w:val="zh-CN"/>
        </w:rPr>
      </w:pPr>
      <w:r>
        <w:rPr>
          <w:rFonts w:hint="eastAsia" w:ascii="宋体" w:hAnsi="宋体" w:eastAsia="宋体" w:cs="宋体"/>
          <w:color w:val="auto"/>
          <w:highlight w:val="none"/>
          <w:lang w:bidi="ar"/>
        </w:rPr>
        <w:t xml:space="preserve">2、</w:t>
      </w:r>
      <w:r>
        <w:rPr>
          <w:rFonts w:hint="eastAsia" w:ascii="宋体" w:hAnsi="宋体" w:eastAsia="宋体" w:cs="宋体"/>
          <w:color w:val="auto"/>
          <w:highlight w:val="none"/>
          <w:lang w:val="zh-CN" w:bidi="ar"/>
        </w:rPr>
        <w:t xml:space="preserve">从业人员、营业收入、资产总额填报上一年度数据，无上一年度数据的新成立企业可不填报；</w:t>
      </w:r>
      <w:r/>
    </w:p>
    <w:p>
      <w:pPr>
        <w:ind w:firstLine="482"/>
        <w:jc w:val="both"/>
        <w:spacing w:line="360" w:lineRule="auto"/>
        <w:widowControl w:val="off"/>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bidi="ar"/>
        </w:rPr>
        <w:t xml:space="preserve">3、</w:t>
      </w:r>
      <w:r>
        <w:rPr>
          <w:rFonts w:hint="eastAsia" w:ascii="宋体" w:hAnsi="宋体" w:eastAsia="宋体" w:cs="宋体"/>
          <w:b/>
          <w:bCs/>
          <w:color w:val="auto"/>
          <w:highlight w:val="none"/>
          <w:lang w:val="zh-CN" w:bidi="ar"/>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ind w:firstLine="480"/>
        <w:jc w:val="both"/>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bidi="ar"/>
        </w:rPr>
        <w:t xml:space="preserve">4、</w:t>
      </w:r>
      <w:r>
        <w:rPr>
          <w:rFonts w:hint="eastAsia" w:ascii="宋体" w:hAnsi="宋体" w:eastAsia="宋体" w:cs="宋体"/>
          <w:color w:val="auto"/>
          <w:highlight w:val="none"/>
          <w:lang w:val="zh-CN" w:bidi="ar"/>
        </w:rPr>
        <w:t xml:space="preserve">若供应商提供的“中小企业声明函”内容不实的，属于提供虚假材料谋取中标、成交，依照《中华人民共和国政府采购法》</w:t>
      </w:r>
      <w:r>
        <w:rPr>
          <w:rFonts w:hint="eastAsia" w:ascii="宋体" w:hAnsi="宋体" w:eastAsia="宋体" w:cs="宋体"/>
          <w:color w:val="auto"/>
          <w:highlight w:val="none"/>
          <w:lang w:bidi="ar"/>
        </w:rPr>
        <w:t xml:space="preserve">等国家有关规定追究相应责任</w:t>
      </w:r>
      <w:r>
        <w:rPr>
          <w:rFonts w:hint="eastAsia" w:ascii="宋体" w:hAnsi="宋体" w:eastAsia="宋体" w:cs="宋体"/>
          <w:color w:val="auto"/>
          <w:highlight w:val="none"/>
          <w:lang w:val="zh-CN" w:bidi="ar"/>
        </w:rPr>
        <w:t xml:space="preserve">；</w:t>
      </w:r>
      <w:r/>
    </w:p>
    <w:p>
      <w:pPr>
        <w:ind w:firstLine="480"/>
        <w:jc w:val="both"/>
        <w:spacing w:line="360" w:lineRule="auto"/>
        <w:widowControl w:val="off"/>
        <w:rPr>
          <w:rFonts w:hint="eastAsia" w:ascii="宋体" w:hAnsi="宋体" w:eastAsia="宋体" w:cs="宋体"/>
          <w:color w:val="auto"/>
          <w:highlight w:val="none"/>
          <w:lang w:val="zh-CN" w:bidi="ar"/>
        </w:rPr>
      </w:pPr>
      <w:r>
        <w:rPr>
          <w:rFonts w:hint="eastAsia" w:ascii="宋体" w:hAnsi="宋体" w:eastAsia="宋体" w:cs="宋体"/>
          <w:color w:val="auto"/>
          <w:highlight w:val="none"/>
          <w:lang w:bidi="ar"/>
        </w:rPr>
        <w:t xml:space="preserve">5、中小企业是指在中华人民共和国境内依法设立</w:t>
      </w:r>
      <w:r>
        <w:rPr>
          <w:rFonts w:hint="eastAsia" w:ascii="宋体" w:hAnsi="宋体" w:eastAsia="宋体" w:cs="宋体"/>
          <w:color w:val="auto"/>
          <w:highlight w:val="none"/>
          <w:lang w:val="zh-CN" w:bidi="ar"/>
        </w:rPr>
        <w:t xml:space="preserve">，依据国务院批准的中小企业划分标准确定的中型企业、小型企业和微型企业，但与大企业的负责人为同一人，或者与大企业存在直接控股、管理关系的除外。</w:t>
      </w:r>
      <w:bookmarkStart w:id="105" w:name="_Hlk72923453"/>
      <w:r>
        <w:rPr>
          <w:rFonts w:hint="eastAsia" w:ascii="宋体" w:hAnsi="宋体" w:eastAsia="宋体" w:cs="宋体"/>
          <w:color w:val="auto"/>
          <w:highlight w:val="none"/>
          <w:lang w:val="zh-CN" w:bidi="ar"/>
        </w:rPr>
        <w:t xml:space="preserve">符合中小企业划分标准的个体工商户，在政府采购活动中视同中小企业</w:t>
      </w:r>
      <w:bookmarkEnd w:id="105"/>
      <w:r>
        <w:rPr>
          <w:rFonts w:hint="eastAsia" w:ascii="宋体" w:hAnsi="宋体" w:eastAsia="宋体" w:cs="宋体"/>
          <w:color w:val="auto"/>
          <w:highlight w:val="none"/>
          <w:lang w:val="zh-CN" w:bidi="ar"/>
        </w:rPr>
        <w:t xml:space="preserve">。</w:t>
      </w:r>
      <w:r/>
    </w:p>
    <w:p>
      <w:pPr>
        <w:ind w:firstLine="480"/>
        <w:jc w:val="both"/>
        <w:spacing w:line="360" w:lineRule="auto"/>
        <w:widowControl w:val="off"/>
        <w:rPr>
          <w:rFonts w:hint="eastAsia" w:ascii="宋体" w:hAnsi="宋体" w:eastAsia="宋体" w:cs="宋体"/>
          <w:color w:val="auto"/>
          <w:highlight w:val="none"/>
          <w:lang w:val="zh-CN" w:bidi="ar"/>
        </w:rPr>
      </w:pPr>
      <w:r/>
      <w:bookmarkStart w:id="106" w:name="_Hlk159239877"/>
      <w:r/>
      <w:bookmarkStart w:id="107" w:name="_Hlk94450593"/>
      <w:r>
        <w:rPr>
          <w:rFonts w:hint="eastAsia" w:ascii="宋体" w:hAnsi="宋体" w:eastAsia="宋体" w:cs="宋体"/>
          <w:color w:val="auto"/>
          <w:highlight w:val="none"/>
          <w:lang w:val="zh-CN" w:bidi="ar"/>
        </w:rPr>
        <w:t xml:space="preserve">6、响应文件中的电子签章视为供应商对本声明进行了签署盖章并承担相应责任。</w:t>
      </w:r>
      <w:bookmarkEnd w:id="106"/>
      <w:r>
        <w:rPr>
          <w:rFonts w:hint="eastAsia" w:ascii="宋体" w:hAnsi="宋体" w:eastAsia="宋体" w:cs="宋体"/>
          <w:color w:val="auto"/>
          <w:highlight w:val="none"/>
          <w:lang w:val="zh-CN" w:bidi="ar"/>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lang w:bidi="ar"/>
        </w:rPr>
        <w:br w:type="page" w:clear="all"/>
      </w:r>
      <w:r/>
    </w:p>
    <w:p>
      <w:pPr>
        <w:spacing w:before="156" w:line="240" w:lineRule="exact"/>
        <w:rPr>
          <w:rFonts w:hint="eastAsia" w:ascii="宋体" w:hAnsi="宋体" w:eastAsia="宋体" w:cs="宋体"/>
          <w:b/>
          <w:color w:val="auto"/>
          <w:highlight w:val="none"/>
        </w:rPr>
      </w:pPr>
      <w:r/>
      <w:bookmarkStart w:id="108" w:name="_Hlk110020276"/>
      <w:r/>
      <w:bookmarkStart w:id="109" w:name="_Hlk110022134"/>
      <w:r/>
      <w:bookmarkStart w:id="110" w:name="OLE_LINK4"/>
      <w:r>
        <w:rPr>
          <w:rFonts w:hint="eastAsia" w:ascii="宋体" w:hAnsi="宋体" w:eastAsia="宋体" w:cs="宋体"/>
          <w:b/>
          <w:color w:val="auto"/>
          <w:highlight w:val="none"/>
          <w:lang w:bidi="ar"/>
        </w:rPr>
        <w:t xml:space="preserve">附：中小企业划型标准规定（工信部联企业〔2011〕300号）</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（一）农、林、牧、渔业。</w:t>
      </w:r>
      <w:r>
        <w:rPr>
          <w:rFonts w:hint="eastAsia" w:ascii="宋体" w:hAnsi="宋体" w:eastAsia="宋体" w:cs="宋体"/>
          <w:color w:val="auto"/>
          <w:sz w:val="21"/>
          <w:szCs w:val="22"/>
          <w:highlight w:val="none"/>
          <w:lang w:bidi="ar"/>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（二）工业。</w:t>
      </w:r>
      <w:r>
        <w:rPr>
          <w:rFonts w:hint="eastAsia" w:ascii="宋体" w:hAnsi="宋体" w:eastAsia="宋体" w:cs="宋体"/>
          <w:color w:val="auto"/>
          <w:sz w:val="21"/>
          <w:szCs w:val="22"/>
          <w:highlight w:val="none"/>
          <w:lang w:bidi="ar"/>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（三）建筑业。</w:t>
      </w:r>
      <w:r>
        <w:rPr>
          <w:rFonts w:hint="eastAsia" w:ascii="宋体" w:hAnsi="宋体" w:eastAsia="宋体" w:cs="宋体"/>
          <w:color w:val="auto"/>
          <w:sz w:val="21"/>
          <w:szCs w:val="22"/>
          <w:highlight w:val="none"/>
          <w:lang w:bidi="ar"/>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（四）批发业。</w:t>
      </w:r>
      <w:r>
        <w:rPr>
          <w:rFonts w:hint="eastAsia" w:ascii="宋体" w:hAnsi="宋体" w:eastAsia="宋体" w:cs="宋体"/>
          <w:color w:val="auto"/>
          <w:sz w:val="21"/>
          <w:szCs w:val="22"/>
          <w:highlight w:val="none"/>
          <w:lang w:bidi="ar"/>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（五）零售业。</w:t>
      </w:r>
      <w:r>
        <w:rPr>
          <w:rFonts w:hint="eastAsia" w:ascii="宋体" w:hAnsi="宋体" w:eastAsia="宋体" w:cs="宋体"/>
          <w:color w:val="auto"/>
          <w:sz w:val="21"/>
          <w:szCs w:val="22"/>
          <w:highlight w:val="none"/>
          <w:lang w:bidi="ar"/>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（六）交通运输业。</w:t>
      </w:r>
      <w:r>
        <w:rPr>
          <w:rFonts w:hint="eastAsia" w:ascii="宋体" w:hAnsi="宋体" w:eastAsia="宋体" w:cs="宋体"/>
          <w:color w:val="auto"/>
          <w:sz w:val="21"/>
          <w:szCs w:val="22"/>
          <w:highlight w:val="none"/>
          <w:lang w:bidi="ar"/>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（七）仓储业。</w:t>
      </w:r>
      <w:r>
        <w:rPr>
          <w:rFonts w:hint="eastAsia" w:ascii="宋体" w:hAnsi="宋体" w:eastAsia="宋体" w:cs="宋体"/>
          <w:color w:val="auto"/>
          <w:sz w:val="21"/>
          <w:szCs w:val="22"/>
          <w:highlight w:val="none"/>
          <w:lang w:bidi="ar"/>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（八）邮政业。</w:t>
      </w:r>
      <w:r>
        <w:rPr>
          <w:rFonts w:hint="eastAsia" w:ascii="宋体" w:hAnsi="宋体" w:eastAsia="宋体" w:cs="宋体"/>
          <w:color w:val="auto"/>
          <w:sz w:val="21"/>
          <w:szCs w:val="22"/>
          <w:highlight w:val="none"/>
          <w:lang w:bidi="ar"/>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（九）住宿业。</w:t>
      </w:r>
      <w:r>
        <w:rPr>
          <w:rFonts w:hint="eastAsia" w:ascii="宋体" w:hAnsi="宋体" w:eastAsia="宋体" w:cs="宋体"/>
          <w:color w:val="auto"/>
          <w:sz w:val="21"/>
          <w:szCs w:val="22"/>
          <w:highlight w:val="none"/>
          <w:lang w:bidi="ar"/>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（十）餐饮业。</w:t>
      </w:r>
      <w:r>
        <w:rPr>
          <w:rFonts w:hint="eastAsia" w:ascii="宋体" w:hAnsi="宋体" w:eastAsia="宋体" w:cs="宋体"/>
          <w:color w:val="auto"/>
          <w:sz w:val="21"/>
          <w:szCs w:val="22"/>
          <w:highlight w:val="none"/>
          <w:lang w:bidi="ar"/>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（十一）信息传输业。</w:t>
      </w:r>
      <w:r>
        <w:rPr>
          <w:rFonts w:hint="eastAsia" w:ascii="宋体" w:hAnsi="宋体" w:eastAsia="宋体" w:cs="宋体"/>
          <w:color w:val="auto"/>
          <w:sz w:val="21"/>
          <w:szCs w:val="22"/>
          <w:highlight w:val="none"/>
          <w:lang w:bidi="ar"/>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（十二）软件和信息技术服务业。</w:t>
      </w:r>
      <w:r>
        <w:rPr>
          <w:rFonts w:hint="eastAsia" w:ascii="宋体" w:hAnsi="宋体" w:eastAsia="宋体" w:cs="宋体"/>
          <w:color w:val="auto"/>
          <w:sz w:val="21"/>
          <w:szCs w:val="22"/>
          <w:highlight w:val="none"/>
          <w:lang w:bidi="ar"/>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（十三）房地产开发经营。</w:t>
      </w:r>
      <w:r>
        <w:rPr>
          <w:rFonts w:hint="eastAsia" w:ascii="宋体" w:hAnsi="宋体" w:eastAsia="宋体" w:cs="宋体"/>
          <w:color w:val="auto"/>
          <w:sz w:val="21"/>
          <w:szCs w:val="22"/>
          <w:highlight w:val="none"/>
          <w:lang w:bidi="ar"/>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（十四）物业管理。</w:t>
      </w:r>
      <w:r>
        <w:rPr>
          <w:rFonts w:hint="eastAsia" w:ascii="宋体" w:hAnsi="宋体" w:eastAsia="宋体" w:cs="宋体"/>
          <w:color w:val="auto"/>
          <w:sz w:val="21"/>
          <w:szCs w:val="22"/>
          <w:highlight w:val="none"/>
          <w:lang w:bidi="ar"/>
        </w:rPr>
        <w:t xml:space="preserve">从业人员1000人以下或营业收入5000万元以下的为中小微型企业。其中，从业人员</w:t>
      </w:r>
      <w:r/>
    </w:p>
    <w:p>
      <w:pPr>
        <w:spacing w:before="156" w:line="240" w:lineRule="exact"/>
        <w:rPr>
          <w:rFonts w:hint="eastAsia" w:ascii="宋体" w:hAnsi="宋体" w:eastAsia="宋体" w:cs="宋体"/>
          <w:color w:val="auto"/>
          <w:highlight w:val="none"/>
        </w:rPr>
      </w:pPr>
      <w:r>
        <w:rPr>
          <w:rFonts w:hint="eastAsia" w:ascii="宋体" w:hAnsi="宋体" w:eastAsia="宋体" w:cs="宋体"/>
          <w:color w:val="auto"/>
          <w:sz w:val="21"/>
          <w:szCs w:val="22"/>
          <w:highlight w:val="none"/>
          <w:lang w:bidi="ar"/>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（十五）租赁和商务服务业。</w:t>
      </w:r>
      <w:r>
        <w:rPr>
          <w:rFonts w:hint="eastAsia" w:ascii="宋体" w:hAnsi="宋体" w:eastAsia="宋体" w:cs="宋体"/>
          <w:color w:val="auto"/>
          <w:sz w:val="21"/>
          <w:szCs w:val="22"/>
          <w:highlight w:val="none"/>
          <w:lang w:bidi="ar"/>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hint="eastAsia" w:ascii="宋体" w:hAnsi="宋体" w:eastAsia="宋体" w:cs="宋体"/>
          <w:color w:val="auto"/>
          <w:highlight w:val="none"/>
        </w:rPr>
      </w:pPr>
      <w:r>
        <w:rPr>
          <w:rFonts w:hint="eastAsia" w:ascii="宋体" w:hAnsi="宋体" w:eastAsia="宋体" w:cs="宋体"/>
          <w:b/>
          <w:color w:val="auto"/>
          <w:sz w:val="21"/>
          <w:szCs w:val="22"/>
          <w:highlight w:val="none"/>
          <w:lang w:bidi="ar"/>
        </w:rPr>
        <w:t xml:space="preserve">（十六）其他未列明行业。</w:t>
      </w:r>
      <w:r>
        <w:rPr>
          <w:rFonts w:hint="eastAsia" w:ascii="宋体" w:hAnsi="宋体" w:eastAsia="宋体" w:cs="宋体"/>
          <w:color w:val="auto"/>
          <w:sz w:val="21"/>
          <w:szCs w:val="22"/>
          <w:highlight w:val="none"/>
          <w:lang w:bidi="ar"/>
        </w:rPr>
        <w:t xml:space="preserve">从业人员300人以下的为中小微型企业。其中，从业人员100人及以上的为中型企业；从业人员10人及以上的为小型企业；从业人员10人以下的为微型企业。</w:t>
      </w:r>
      <w:bookmarkEnd w:id="107"/>
      <w:r/>
      <w:bookmarkEnd w:id="108"/>
      <w:r/>
      <w:bookmarkEnd w:id="109"/>
      <w:r/>
      <w:bookmarkEnd w:id="110"/>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br w:type="page" w:clear="all"/>
      </w:r>
      <w:r/>
    </w:p>
    <w:p>
      <w:pPr>
        <w:spacing w:line="360" w:lineRule="auto"/>
        <w:rPr>
          <w:rFonts w:hint="eastAsia" w:ascii="宋体" w:hAnsi="宋体" w:eastAsia="宋体" w:cs="宋体"/>
          <w:b/>
          <w:color w:val="auto"/>
          <w:highlight w:val="none"/>
          <w:shd w:val="clear" w:color="auto" w:fill="ffffff"/>
        </w:rPr>
        <w:outlineLvl w:val="1"/>
      </w:pPr>
      <w:r/>
      <w:bookmarkStart w:id="111" w:name="_Toc16989"/>
      <w:r>
        <w:rPr>
          <w:rFonts w:hint="eastAsia" w:ascii="宋体" w:hAnsi="宋体" w:eastAsia="宋体" w:cs="宋体"/>
          <w:b/>
          <w:color w:val="auto"/>
          <w:highlight w:val="none"/>
          <w:shd w:val="clear" w:color="auto" w:fill="ffffff"/>
        </w:rPr>
        <w:t xml:space="preserve">1</w:t>
      </w:r>
      <w:r>
        <w:rPr>
          <w:rFonts w:hint="eastAsia" w:ascii="宋体" w:hAnsi="宋体" w:eastAsia="宋体" w:cs="宋体"/>
          <w:b/>
          <w:color w:val="auto"/>
          <w:highlight w:val="none"/>
          <w:shd w:val="clear" w:color="auto" w:fill="ffffff"/>
          <w:lang w:val="en-US" w:eastAsia="zh-CN"/>
        </w:rPr>
        <w:t xml:space="preserve">4</w:t>
      </w:r>
      <w:r>
        <w:rPr>
          <w:rFonts w:hint="eastAsia" w:ascii="宋体" w:hAnsi="宋体" w:eastAsia="宋体" w:cs="宋体"/>
          <w:b/>
          <w:color w:val="auto"/>
          <w:highlight w:val="none"/>
          <w:shd w:val="clear" w:color="auto" w:fill="ffffff"/>
        </w:rPr>
        <w:t xml:space="preserve">、残疾人福利性单位声明函</w:t>
      </w:r>
      <w:bookmarkEnd w:id="104"/>
      <w:r/>
      <w:bookmarkEnd w:id="111"/>
      <w:r/>
      <w:r/>
    </w:p>
    <w:p>
      <w:pPr>
        <w:jc w:val="center"/>
        <w:spacing w:before="156" w:after="156"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spacing w:line="48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840"/>
        <w:spacing w:line="360" w:lineRule="auto"/>
        <w:rPr>
          <w:rFonts w:ascii="宋体" w:hAnsi="宋体" w:eastAsia="宋体" w:cs="宋体"/>
          <w:color w:val="auto"/>
          <w:highlight w:val="none"/>
        </w:rPr>
      </w:pPr>
      <w:r>
        <w:rPr>
          <w:rFonts w:hint="eastAsia" w:ascii="宋体" w:hAnsi="宋体" w:eastAsia="宋体" w:cs="宋体"/>
          <w:color w:val="auto"/>
          <w:highlight w:val="none"/>
          <w:lang w:bidi="ar"/>
        </w:rPr>
        <w:t xml:space="preserve">单位名称：（加盖CA电子公章）</w:t>
      </w:r>
      <w:r>
        <w:rPr>
          <w:rFonts w:hint="eastAsia" w:ascii="宋体" w:hAnsi="宋体" w:eastAsia="宋体" w:cs="宋体"/>
          <w:color w:val="auto"/>
          <w:highlight w:val="none"/>
        </w:rPr>
        <w:t xml:space="preserve"> </w:t>
      </w:r>
      <w:r/>
    </w:p>
    <w:p>
      <w:pPr>
        <w:ind w:firstLine="384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color w:val="auto"/>
          <w:highlight w:val="none"/>
          <w:lang w:bidi="ar"/>
        </w:rPr>
        <w:t xml:space="preserve">日期：     年   月   日</w:t>
      </w:r>
      <w:r/>
    </w:p>
    <w:p>
      <w:pPr>
        <w:ind w:firstLine="720"/>
        <w:spacing w:line="48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spacing w:line="48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tabs>
          <w:tab w:val="left" w:pos="210" w:leader="none"/>
          <w:tab w:val="left" w:pos="378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bidi="ar"/>
        </w:rPr>
        <w:t xml:space="preserve">注：</w:t>
      </w:r>
      <w:r>
        <w:rPr>
          <w:rFonts w:hint="eastAsia" w:ascii="宋体" w:hAnsi="宋体" w:eastAsia="宋体" w:cs="宋体"/>
          <w:color w:val="auto"/>
          <w:highlight w:val="none"/>
          <w:lang w:val="zh-CN" w:bidi="ar"/>
        </w:rPr>
        <w:t xml:space="preserve">响应文件中的电子签章视为供应商对本声明进行了签署盖章并承担相应责任</w:t>
      </w:r>
      <w:r>
        <w:rPr>
          <w:rFonts w:hint="eastAsia" w:ascii="宋体" w:hAnsi="宋体" w:eastAsia="宋体" w:cs="宋体"/>
          <w:color w:val="auto"/>
          <w:highlight w:val="none"/>
          <w:lang w:bidi="ar"/>
        </w:rPr>
        <w:t xml:space="preserve">。</w:t>
      </w:r>
      <w:r>
        <w:rPr>
          <w:rFonts w:hint="eastAsia" w:ascii="宋体" w:hAnsi="宋体" w:eastAsia="宋体" w:cs="宋体"/>
          <w:color w:val="auto"/>
          <w:highlight w:val="none"/>
          <w:lang w:val="zh-CN" w:bidi="ar"/>
        </w:rPr>
        <w:t xml:space="preserve"> </w:t>
      </w:r>
      <w:r/>
    </w:p>
    <w:p>
      <w:pPr>
        <w:pStyle w:val="950"/>
        <w:ind w:left="3400" w:firstLine="425"/>
        <w:jc w:val="right"/>
        <w:spacing w:line="360" w:lineRule="exact"/>
        <w:rPr>
          <w:rFonts w:hint="eastAsia" w:hAnsi="宋体" w:eastAsia="宋体" w:cs="宋体"/>
          <w:color w:val="auto"/>
          <w:highlight w:val="none"/>
        </w:rPr>
      </w:pPr>
      <w:r>
        <w:rPr>
          <w:rFonts w:hint="eastAsia" w:hAnsi="宋体" w:eastAsia="宋体" w:cs="宋体"/>
          <w:color w:val="auto"/>
          <w:highlight w:val="none"/>
        </w:rPr>
      </w:r>
      <w:r/>
    </w:p>
    <w:p>
      <w:pPr>
        <w:pStyle w:val="950"/>
        <w:ind w:left="3400" w:firstLine="425"/>
        <w:jc w:val="right"/>
        <w:spacing w:line="360" w:lineRule="exact"/>
        <w:rPr>
          <w:rFonts w:hint="eastAsia" w:hAnsi="宋体" w:eastAsia="宋体" w:cs="宋体"/>
          <w:color w:val="auto"/>
          <w:highlight w:val="none"/>
        </w:rPr>
      </w:pPr>
      <w:r>
        <w:rPr>
          <w:rFonts w:hint="eastAsia" w:hAnsi="宋体" w:eastAsia="宋体" w:cs="宋体"/>
          <w:color w:val="auto"/>
          <w:highlight w:val="none"/>
        </w:rPr>
      </w:r>
      <w:r/>
    </w:p>
    <w:p>
      <w:pPr>
        <w:rPr>
          <w:rFonts w:hint="eastAsia" w:ascii="宋体" w:hAnsi="宋体" w:eastAsia="宋体" w:cs="宋体"/>
          <w:b/>
          <w:color w:val="auto"/>
          <w:highlight w:val="none"/>
          <w:shd w:val="clear" w:color="auto" w:fill="ffffff"/>
        </w:rPr>
      </w:pPr>
      <w:r/>
      <w:bookmarkStart w:id="112" w:name="_Toc291668810"/>
      <w:r/>
      <w:bookmarkStart w:id="113" w:name="_Toc13642115"/>
      <w:r>
        <w:rPr>
          <w:rFonts w:hint="eastAsia" w:ascii="宋体" w:hAnsi="宋体" w:eastAsia="宋体" w:cs="宋体"/>
          <w:b/>
          <w:color w:val="auto"/>
          <w:highlight w:val="none"/>
          <w:shd w:val="clear" w:color="auto" w:fill="ffffff"/>
        </w:rPr>
        <w:br w:type="page" w:clear="all"/>
      </w:r>
      <w:r/>
    </w:p>
    <w:p>
      <w:pPr>
        <w:spacing w:line="360" w:lineRule="auto"/>
        <w:rPr>
          <w:rFonts w:hint="eastAsia" w:ascii="宋体" w:hAnsi="宋体" w:eastAsia="宋体" w:cs="宋体"/>
          <w:b/>
          <w:color w:val="auto"/>
          <w:highlight w:val="none"/>
          <w:shd w:val="clear" w:color="auto" w:fill="ffffff"/>
        </w:rPr>
        <w:outlineLvl w:val="1"/>
      </w:pPr>
      <w:r/>
      <w:bookmarkStart w:id="114" w:name="_Toc15578"/>
      <w:r>
        <w:rPr>
          <w:rFonts w:hint="eastAsia" w:ascii="宋体" w:hAnsi="宋体" w:eastAsia="宋体" w:cs="宋体"/>
          <w:b/>
          <w:color w:val="auto"/>
          <w:highlight w:val="none"/>
          <w:shd w:val="clear" w:color="auto" w:fill="ffffff"/>
        </w:rPr>
        <w:t xml:space="preserve">1</w:t>
      </w:r>
      <w:r>
        <w:rPr>
          <w:rFonts w:hint="eastAsia" w:ascii="宋体" w:hAnsi="宋体" w:eastAsia="宋体" w:cs="宋体"/>
          <w:b/>
          <w:color w:val="auto"/>
          <w:highlight w:val="none"/>
          <w:shd w:val="clear" w:color="auto" w:fill="ffffff"/>
          <w:lang w:val="en-US" w:eastAsia="zh-CN"/>
        </w:rPr>
        <w:t xml:space="preserve">5</w:t>
      </w:r>
      <w:r>
        <w:rPr>
          <w:rFonts w:hint="eastAsia" w:ascii="宋体" w:hAnsi="宋体" w:eastAsia="宋体" w:cs="宋体"/>
          <w:b/>
          <w:color w:val="auto"/>
          <w:highlight w:val="none"/>
          <w:shd w:val="clear" w:color="auto" w:fill="ffffff"/>
        </w:rPr>
        <w:t xml:space="preserve">、关于符合本国产品标准的声明函</w:t>
      </w:r>
      <w:bookmarkEnd w:id="114"/>
      <w:r>
        <w:rPr>
          <w:rFonts w:hint="eastAsia" w:ascii="宋体" w:hAnsi="宋体" w:eastAsia="宋体" w:cs="宋体"/>
          <w:b/>
          <w:color w:val="auto"/>
          <w:highlight w:val="none"/>
          <w:shd w:val="clear" w:color="auto" w:fill="ffffff"/>
        </w:rPr>
        <w:t xml:space="preserve"> </w:t>
      </w:r>
      <w:r/>
    </w:p>
    <w:p>
      <w:pPr>
        <w:jc w:val="center"/>
        <w:spacing w:before="156" w:after="156"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关于符合本国产品标准的声明函</w:t>
      </w:r>
      <w:r/>
    </w:p>
    <w:p>
      <w:pPr>
        <w:pStyle w:val="930"/>
        <w:ind w:firstLine="420"/>
        <w:spacing w:before="0" w:beforeAutospacing="0" w:after="0" w:afterAutospacing="0" w:line="360" w:lineRule="auto"/>
        <w:rPr>
          <w:rFonts w:hint="eastAsia"/>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0"/>
        <w:ind w:firstLine="42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w:t>
      </w:r>
      <w:r>
        <w:rPr>
          <w:rFonts w:hint="eastAsia"/>
          <w:color w:val="auto"/>
          <w:highlight w:val="none"/>
          <w:u w:val="single"/>
          <w:shd w:val="clear" w:color="auto" w:fill="ffffff"/>
        </w:rPr>
        <w:t xml:space="preserve">（产品名称1）</w:t>
      </w:r>
      <w:r>
        <w:rPr>
          <w:rFonts w:hint="eastAsia"/>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Fonts w:hint="eastAsia"/>
          <w:color w:val="auto"/>
          <w:highlight w:val="none"/>
          <w:u w:val="single"/>
          <w:shd w:val="clear" w:color="auto" w:fill="ffffff"/>
        </w:rPr>
        <w:t xml:space="preserve">（厂名）</w:t>
      </w:r>
      <w:r>
        <w:rPr>
          <w:rFonts w:hint="eastAsia"/>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  </w:t>
      </w:r>
      <w:r>
        <w:rPr>
          <w:rFonts w:hint="eastAsia"/>
          <w:color w:val="auto"/>
          <w:highlight w:val="none"/>
          <w:shd w:val="clear" w:color="auto" w:fill="ffffff"/>
          <w:vertAlign w:val="superscript"/>
        </w:rPr>
        <w:t xml:space="preserve">3</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930"/>
        <w:ind w:firstLine="42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2.</w:t>
      </w:r>
      <w:r>
        <w:rPr>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Fonts w:hint="eastAsia"/>
          <w:color w:val="auto"/>
          <w:highlight w:val="none"/>
          <w:u w:val="single"/>
          <w:shd w:val="clear" w:color="auto" w:fill="ffffff"/>
        </w:rPr>
        <w:t xml:space="preserve">（厂名）</w:t>
      </w:r>
      <w:r>
        <w:rPr>
          <w:rFonts w:hint="eastAsia"/>
          <w:color w:val="auto"/>
          <w:highlight w:val="none"/>
          <w:shd w:val="clear" w:color="auto" w:fill="ffffff"/>
        </w:rPr>
        <w:t xml:space="preserve">，厂址为</w:t>
      </w:r>
      <w:r>
        <w:rPr>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在中国境内完成。</w:t>
      </w:r>
      <w:r/>
    </w:p>
    <w:p>
      <w:pPr>
        <w:pStyle w:val="930"/>
        <w:ind w:firstLine="42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w:t>
      </w:r>
      <w:r/>
    </w:p>
    <w:p>
      <w:pPr>
        <w:ind w:firstLine="480"/>
        <w:spacing w:line="360" w:lineRule="auto"/>
        <w:tabs>
          <w:tab w:val="left" w:pos="210" w:leader="none"/>
          <w:tab w:val="left" w:pos="3780" w:leader="none"/>
        </w:tabs>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930"/>
        <w:spacing w:before="30" w:beforeAutospacing="0" w:after="30" w:afterAutospacing="0" w:line="0" w:lineRule="atLeast"/>
        <w:shd w:val="clear" w:color="auto" w:fill="ffffff"/>
        <w:rPr>
          <w:rFonts w:hint="eastAsia"/>
          <w:color w:val="auto"/>
          <w:highlight w:val="none"/>
        </w:rPr>
      </w:pPr>
      <w:r>
        <w:rPr>
          <w:rFonts w:hint="eastAsia"/>
          <w:color w:val="auto"/>
          <w:highlight w:val="none"/>
          <w:shd w:val="clear" w:color="auto" w:fill="ffffff"/>
        </w:rPr>
        <w:t xml:space="preserve"> </w:t>
      </w:r>
      <w:r/>
    </w:p>
    <w:p>
      <w:pPr>
        <w:ind w:firstLine="3840"/>
        <w:spacing w:line="360" w:lineRule="auto"/>
        <w:rPr>
          <w:rFonts w:ascii="宋体" w:hAnsi="宋体" w:eastAsia="宋体" w:cs="宋体"/>
          <w:color w:val="auto"/>
          <w:highlight w:val="none"/>
        </w:rPr>
      </w:pPr>
      <w:r>
        <w:rPr>
          <w:rFonts w:hint="eastAsia" w:ascii="宋体" w:hAnsi="宋体" w:eastAsia="宋体" w:cs="宋体"/>
          <w:color w:val="auto"/>
          <w:highlight w:val="none"/>
          <w:lang w:bidi="ar"/>
        </w:rPr>
        <w:t xml:space="preserve">单位名称：（加盖CA电子公章）</w:t>
      </w:r>
      <w:r>
        <w:rPr>
          <w:rFonts w:hint="eastAsia" w:ascii="宋体" w:hAnsi="宋体" w:eastAsia="宋体" w:cs="宋体"/>
          <w:color w:val="auto"/>
          <w:highlight w:val="none"/>
        </w:rPr>
        <w:t xml:space="preserve"> </w:t>
      </w:r>
      <w:r/>
    </w:p>
    <w:p>
      <w:pPr>
        <w:ind w:firstLine="384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color w:val="auto"/>
          <w:highlight w:val="none"/>
          <w:lang w:bidi="ar"/>
        </w:rPr>
        <w:t xml:space="preserve">日期：     年   月   日</w:t>
      </w:r>
      <w:r/>
    </w:p>
    <w:p>
      <w:pPr>
        <w:pStyle w:val="930"/>
        <w:jc w:val="center"/>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        </w:t>
      </w:r>
      <w:r/>
    </w:p>
    <w:p>
      <w:pPr>
        <w:pStyle w:val="930"/>
        <w:spacing w:before="30" w:beforeAutospacing="0" w:after="30" w:afterAutospacing="0" w:line="0" w:lineRule="atLeast"/>
        <w:shd w:val="clear" w:color="auto" w:fill="ffffff"/>
        <w:rPr>
          <w:rFonts w:hint="eastAsia"/>
          <w:color w:val="auto"/>
          <w:highlight w:val="none"/>
        </w:rPr>
      </w:pPr>
      <w:r>
        <w:rPr>
          <w:rFonts w:hint="eastAsia"/>
          <w:color w:val="auto"/>
          <w:highlight w:val="none"/>
          <w:shd w:val="clear" w:color="auto" w:fill="ffffff"/>
        </w:rPr>
        <w:t xml:space="preserve">  </w:t>
      </w:r>
      <w:r/>
    </w:p>
    <w:p>
      <w:pPr>
        <w:pStyle w:val="930"/>
        <w:spacing w:before="30" w:beforeAutospacing="0" w:after="30" w:afterAutospacing="0" w:line="0" w:lineRule="atLeast"/>
        <w:shd w:val="clear" w:color="auto" w:fill="ffffff"/>
        <w:rPr>
          <w:rFonts w:hint="eastAsia"/>
          <w:color w:val="auto"/>
          <w:highlight w:val="none"/>
        </w:rPr>
      </w:pPr>
      <w:r>
        <w:rPr>
          <w:rFonts w:hint="eastAsia"/>
          <w:color w:val="auto"/>
          <w:highlight w:val="none"/>
          <w:shd w:val="clear" w:color="auto" w:fill="ffffff"/>
        </w:rPr>
        <w:t xml:space="preserve">_________________</w:t>
      </w:r>
      <w:r/>
    </w:p>
    <w:p>
      <w:pPr>
        <w:pStyle w:val="93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1.产品如有型号，请在“产品名称”栏一并填写。</w:t>
      </w:r>
      <w:r/>
    </w:p>
    <w:p>
      <w:pPr>
        <w:pStyle w:val="93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2.生产厂名与厂址应与生产厂营业执照载明的相关信息保持一致。</w:t>
      </w:r>
      <w:r/>
    </w:p>
    <w:p>
      <w:pPr>
        <w:pStyle w:val="93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3.该产品的中国境内生产的组件成本占比相关要求实施前，“规定比例”栏可不填，下同。</w:t>
      </w:r>
      <w:r/>
    </w:p>
    <w:p>
      <w:pPr>
        <w:pStyle w:val="93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4.该产品的关键组件要求实施前，“关键组件”栏可不填，下同。</w:t>
      </w:r>
      <w:r/>
    </w:p>
    <w:p>
      <w:pPr>
        <w:pStyle w:val="930"/>
        <w:spacing w:before="30" w:beforeAutospacing="0" w:after="30"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5.该产品的关键工序要求实施前，“关键工序”栏可不填，下同。</w:t>
      </w:r>
      <w:r/>
    </w:p>
    <w:p>
      <w:pPr>
        <w:pStyle w:val="930"/>
        <w:spacing w:before="30" w:beforeAutospacing="0" w:after="30" w:afterAutospacing="0" w:line="360" w:lineRule="auto"/>
        <w:shd w:val="clear" w:color="auto" w:fill="ffffff"/>
        <w:rPr>
          <w:rFonts w:hint="eastAsia"/>
          <w:b/>
          <w:color w:val="auto"/>
          <w:highlight w:val="none"/>
          <w:shd w:val="clear" w:color="auto" w:fill="ffffff"/>
        </w:rPr>
      </w:pPr>
      <w:r>
        <w:rPr>
          <w:rFonts w:hint="eastAsia"/>
          <w:color w:val="auto"/>
          <w:highlight w:val="none"/>
          <w:shd w:val="clear" w:color="auto" w:fill="ffffff"/>
        </w:rPr>
        <w:t xml:space="preserve">6.《声明函》中标注“</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”的地方无需填写。</w:t>
      </w:r>
      <w:r/>
    </w:p>
    <w:p>
      <w:pPr>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br w:type="page" w:clear="all"/>
      </w:r>
      <w:r/>
    </w:p>
    <w:p>
      <w:pPr>
        <w:spacing w:line="360" w:lineRule="auto"/>
        <w:rPr>
          <w:rFonts w:hint="eastAsia" w:ascii="宋体" w:hAnsi="宋体" w:eastAsia="宋体" w:cs="宋体"/>
          <w:bCs/>
          <w:color w:val="auto"/>
          <w:highlight w:val="none"/>
          <w:shd w:val="clear" w:color="auto" w:fill="ffffff"/>
        </w:rPr>
        <w:outlineLvl w:val="1"/>
      </w:pPr>
      <w:r/>
      <w:bookmarkStart w:id="115" w:name="_Toc12627"/>
      <w:r>
        <w:rPr>
          <w:rFonts w:hint="eastAsia" w:ascii="宋体" w:hAnsi="宋体" w:eastAsia="宋体" w:cs="宋体"/>
          <w:b/>
          <w:color w:val="auto"/>
          <w:highlight w:val="none"/>
          <w:shd w:val="clear" w:color="auto" w:fill="ffffff"/>
        </w:rPr>
        <w:t xml:space="preserve">1</w:t>
      </w:r>
      <w:r>
        <w:rPr>
          <w:rFonts w:hint="eastAsia" w:ascii="宋体" w:hAnsi="宋体" w:eastAsia="宋体" w:cs="宋体"/>
          <w:b/>
          <w:color w:val="auto"/>
          <w:highlight w:val="none"/>
          <w:shd w:val="clear" w:color="auto" w:fill="ffffff"/>
          <w:lang w:val="en-US" w:eastAsia="zh-CN"/>
        </w:rPr>
        <w:t xml:space="preserve">6</w:t>
      </w:r>
      <w:r>
        <w:rPr>
          <w:rFonts w:hint="eastAsia" w:ascii="宋体" w:hAnsi="宋体" w:eastAsia="宋体" w:cs="宋体"/>
          <w:b/>
          <w:color w:val="auto"/>
          <w:highlight w:val="none"/>
          <w:shd w:val="clear" w:color="auto" w:fill="ffffff"/>
        </w:rPr>
        <w:t xml:space="preserve">、供应商与其他单位存在直接控股、管理关系情况表</w:t>
      </w:r>
      <w:bookmarkEnd w:id="115"/>
      <w:r/>
      <w:r/>
    </w:p>
    <w:p>
      <w:pPr>
        <w:jc w:val="center"/>
        <w:spacing w:before="156" w:after="156"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供应商与其他单位存在直接控股、管理关系情况表</w:t>
      </w:r>
      <w:r/>
    </w:p>
    <w:tbl>
      <w:tblPr>
        <w:tblStyle w:val="908"/>
        <w:tblW w:w="8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8"/>
        <w:gridCol w:w="1822"/>
        <w:gridCol w:w="1417"/>
        <w:gridCol w:w="1249"/>
        <w:gridCol w:w="1775"/>
        <w:gridCol w:w="1299"/>
        <w:gridCol w:w="6"/>
      </w:tblGrid>
      <w:tr>
        <w:trPr>
          <w:jc w:val="center"/>
          <w:trHeight w:val="766"/>
        </w:trPr>
        <w:tc>
          <w:tcPr>
            <w:gridSpan w:val="3"/>
            <w:tcW w:w="4437"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对响应单位有直接控股关系的单位</w:t>
            </w:r>
            <w:r/>
          </w:p>
        </w:tc>
        <w:tc>
          <w:tcPr>
            <w:gridSpan w:val="4"/>
            <w:tcW w:w="4329"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对应单位有直接管理关系的单位</w:t>
            </w:r>
            <w:r/>
          </w:p>
        </w:tc>
      </w:tr>
      <w:tr>
        <w:trPr>
          <w:gridAfter w:val="1"/>
          <w:jc w:val="center"/>
          <w:trHeight w:val="768"/>
        </w:trPr>
        <w:tc>
          <w:tcPr>
            <w:tcW w:w="1198"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单位名称</w:t>
            </w:r>
            <w:r/>
          </w:p>
        </w:tc>
        <w:tc>
          <w:tcPr>
            <w:tcW w:w="1822"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是否为大型企业</w:t>
            </w:r>
            <w:r/>
          </w:p>
          <w:p>
            <w:pPr>
              <w:jc w:val="center"/>
              <w:widowControl/>
              <w:rPr>
                <w:rFonts w:hint="eastAsia"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1417" w:type="dxa"/>
            <w:vAlign w:val="top"/>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直接控股关系情况说明</w:t>
            </w:r>
            <w:r>
              <w:rPr>
                <w:rFonts w:hint="eastAsia" w:ascii="宋体" w:hAnsi="宋体" w:eastAsia="宋体" w:cs="宋体"/>
                <w:b/>
                <w:color w:val="auto"/>
                <w:sz w:val="18"/>
                <w:szCs w:val="18"/>
                <w:highlight w:val="none"/>
                <w:shd w:val="clear" w:color="auto" w:fill="ffffff"/>
              </w:rPr>
              <w:t xml:space="preserve">（持股比例等）</w:t>
            </w:r>
            <w:r/>
          </w:p>
        </w:tc>
        <w:tc>
          <w:tcPr>
            <w:tcW w:w="1249"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单位名称</w:t>
            </w:r>
            <w:r/>
          </w:p>
        </w:tc>
        <w:tc>
          <w:tcPr>
            <w:tcW w:w="1775"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是否为大型企业</w:t>
            </w:r>
            <w:r/>
          </w:p>
          <w:p>
            <w:pPr>
              <w:jc w:val="center"/>
              <w:widowControl/>
              <w:rPr>
                <w:rFonts w:hint="eastAsia"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1299"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直接管理关系情况说明</w:t>
            </w:r>
            <w:r/>
          </w:p>
        </w:tc>
      </w:tr>
      <w:tr>
        <w:trPr>
          <w:gridAfter w:val="1"/>
          <w:jc w:val="center"/>
          <w:trHeight w:val="850"/>
        </w:trPr>
        <w:tc>
          <w:tcPr>
            <w:tcW w:w="1198"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822"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417"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249"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775"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299"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r>
      <w:tr>
        <w:trPr>
          <w:gridAfter w:val="1"/>
          <w:jc w:val="center"/>
          <w:trHeight w:val="850"/>
        </w:trPr>
        <w:tc>
          <w:tcPr>
            <w:tcW w:w="1198"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822"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417"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249"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775"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299"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r>
      <w:tr>
        <w:trPr>
          <w:gridAfter w:val="1"/>
          <w:jc w:val="center"/>
          <w:trHeight w:val="850"/>
        </w:trPr>
        <w:tc>
          <w:tcPr>
            <w:tcW w:w="1198"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822"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417"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249"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775"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299"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r>
      <w:tr>
        <w:trPr>
          <w:gridAfter w:val="1"/>
          <w:jc w:val="center"/>
          <w:trHeight w:val="850"/>
        </w:trPr>
        <w:tc>
          <w:tcPr>
            <w:tcW w:w="1198"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822"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417"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249"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775"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299"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r>
      <w:tr>
        <w:trPr>
          <w:gridAfter w:val="1"/>
          <w:jc w:val="center"/>
          <w:trHeight w:val="850"/>
        </w:trPr>
        <w:tc>
          <w:tcPr>
            <w:tcW w:w="1198"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822"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417"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249"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775"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299"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r>
      <w:tr>
        <w:trPr>
          <w:gridAfter w:val="1"/>
          <w:jc w:val="center"/>
          <w:trHeight w:val="850"/>
        </w:trPr>
        <w:tc>
          <w:tcPr>
            <w:tcW w:w="1198"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822"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417"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249"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775"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c>
          <w:tcPr>
            <w:tcW w:w="1299" w:type="dxa"/>
            <w:vAlign w:val="center"/>
            <w:textDirection w:val="lrTb"/>
            <w:noWrap w:val="false"/>
          </w:tcPr>
          <w:p>
            <w:pPr>
              <w:jc w:val="center"/>
              <w:widowControl/>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r>
            <w:r/>
          </w:p>
        </w:tc>
      </w:tr>
    </w:tbl>
    <w:p>
      <w:pPr>
        <w:ind w:firstLine="482"/>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注：1、本表仅须填写对投标人（供应商）有直接控股、管理关系的单位情况。投标人（供应商）应按上表要求据实填写，如填写“无”或不填写，均视为投标人（供应商）声明不存在有关情形。</w:t>
      </w:r>
      <w:r/>
    </w:p>
    <w:p>
      <w:pPr>
        <w:ind w:firstLine="482"/>
        <w:spacing w:line="360" w:lineRule="auto"/>
        <w:tabs>
          <w:tab w:val="left" w:pos="210" w:leader="none"/>
          <w:tab w:val="left" w:pos="3780" w:leader="none"/>
        </w:tabs>
        <w:rPr>
          <w:rFonts w:hint="eastAsia" w:ascii="宋体" w:hAnsi="宋体" w:eastAsia="宋体" w:cs="宋体"/>
          <w:color w:val="auto"/>
          <w:highlight w:val="none"/>
        </w:rPr>
      </w:pPr>
      <w:r>
        <w:rPr>
          <w:rFonts w:hint="eastAsia" w:ascii="宋体" w:hAnsi="宋体" w:eastAsia="宋体" w:cs="宋体"/>
          <w:b/>
          <w:color w:val="auto"/>
          <w:sz w:val="24"/>
          <w:szCs w:val="24"/>
          <w:highlight w:val="none"/>
          <w:shd w:val="clear" w:color="auto" w:fill="ffffff"/>
        </w:rPr>
        <w:t xml:space="preserve">2、其中“直接控股”是指投标人（供应商）与大型企业之间存在直接投资并控股（非普通持股）的关系。</w:t>
      </w:r>
      <w:r/>
    </w:p>
    <w:p>
      <w:pPr>
        <w:jc w:val="center"/>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r>
      <w:r/>
    </w:p>
    <w:p>
      <w:pPr>
        <w:ind w:right="105" w:firstLine="21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840"/>
        <w:spacing w:line="360" w:lineRule="auto"/>
        <w:rPr>
          <w:rFonts w:ascii="宋体" w:hAnsi="宋体" w:eastAsia="宋体" w:cs="宋体"/>
          <w:color w:val="auto"/>
          <w:highlight w:val="none"/>
        </w:rPr>
      </w:pPr>
      <w:r>
        <w:rPr>
          <w:rFonts w:hint="eastAsia" w:ascii="宋体" w:hAnsi="宋体" w:eastAsia="宋体" w:cs="宋体"/>
          <w:color w:val="auto"/>
          <w:highlight w:val="none"/>
          <w:lang w:bidi="ar"/>
        </w:rPr>
        <w:t xml:space="preserve">单位名称：（加盖CA电子公章）</w:t>
      </w:r>
      <w:r>
        <w:rPr>
          <w:rFonts w:hint="eastAsia" w:ascii="宋体" w:hAnsi="宋体" w:eastAsia="宋体" w:cs="宋体"/>
          <w:color w:val="auto"/>
          <w:highlight w:val="none"/>
        </w:rPr>
        <w:t xml:space="preserve"> </w:t>
      </w:r>
      <w:r/>
    </w:p>
    <w:p>
      <w:pPr>
        <w:ind w:firstLine="384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color w:val="auto"/>
          <w:highlight w:val="none"/>
          <w:lang w:bidi="ar"/>
        </w:rPr>
        <w:t xml:space="preserve">日期：     年   月   日</w:t>
      </w:r>
      <w:r/>
    </w:p>
    <w:p>
      <w:pPr>
        <w:ind w:right="1560" w:firstLine="480"/>
        <w:jc w:val="right"/>
        <w:spacing w:line="360" w:lineRule="auto"/>
        <w:tabs>
          <w:tab w:val="left" w:pos="48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br w:type="page" w:clear="all"/>
      </w:r>
      <w:r/>
    </w:p>
    <w:p>
      <w:pPr>
        <w:spacing w:line="360" w:lineRule="auto"/>
        <w:rPr>
          <w:rFonts w:hint="eastAsia" w:ascii="宋体" w:hAnsi="宋体" w:eastAsia="宋体" w:cs="宋体"/>
          <w:b/>
          <w:color w:val="auto"/>
          <w:highlight w:val="none"/>
          <w:shd w:val="clear" w:color="auto" w:fill="ffffff"/>
        </w:rPr>
        <w:outlineLvl w:val="1"/>
      </w:pPr>
      <w:r/>
      <w:bookmarkStart w:id="116" w:name="_Toc32650"/>
      <w:r>
        <w:rPr>
          <w:rFonts w:hint="eastAsia" w:ascii="宋体" w:hAnsi="宋体" w:eastAsia="宋体" w:cs="宋体"/>
          <w:b/>
          <w:color w:val="auto"/>
          <w:highlight w:val="none"/>
          <w:shd w:val="clear" w:color="auto" w:fill="ffffff"/>
        </w:rPr>
        <w:t xml:space="preserve">1</w:t>
      </w:r>
      <w:r>
        <w:rPr>
          <w:rFonts w:hint="eastAsia" w:ascii="宋体" w:hAnsi="宋体" w:eastAsia="宋体" w:cs="宋体"/>
          <w:b/>
          <w:color w:val="auto"/>
          <w:highlight w:val="none"/>
          <w:shd w:val="clear" w:color="auto" w:fill="ffffff"/>
          <w:lang w:val="en-US" w:eastAsia="zh-CN"/>
        </w:rPr>
        <w:t xml:space="preserve">7</w:t>
      </w:r>
      <w:r>
        <w:rPr>
          <w:rFonts w:hint="eastAsia" w:ascii="宋体" w:hAnsi="宋体" w:eastAsia="宋体" w:cs="宋体"/>
          <w:b/>
          <w:color w:val="auto"/>
          <w:highlight w:val="none"/>
          <w:shd w:val="clear" w:color="auto" w:fill="ffffff"/>
        </w:rPr>
        <w:t xml:space="preserve">、最后报价合理性澄清说明函</w:t>
      </w:r>
      <w:bookmarkEnd w:id="116"/>
      <w:r/>
      <w:r/>
    </w:p>
    <w:p>
      <w:pPr>
        <w:jc w:val="center"/>
        <w:spacing w:line="360" w:lineRule="auto"/>
        <w:rPr>
          <w:rFonts w:hint="eastAsia" w:ascii="宋体" w:hAnsi="宋体" w:eastAsia="宋体" w:cs="宋体"/>
          <w:b/>
          <w:color w:val="auto"/>
          <w:highlight w:val="none"/>
          <w:lang w:bidi="ar"/>
        </w:rPr>
      </w:pPr>
      <w:r>
        <w:rPr>
          <w:rFonts w:hint="eastAsia" w:ascii="宋体" w:hAnsi="宋体" w:eastAsia="宋体" w:cs="宋体"/>
          <w:b/>
          <w:color w:val="auto"/>
          <w:highlight w:val="none"/>
          <w:lang w:bidi="ar"/>
        </w:rPr>
      </w:r>
      <w:r/>
    </w:p>
    <w:p>
      <w:pPr>
        <w:jc w:val="center"/>
        <w:spacing w:before="156" w:after="156"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最后报价合理性澄清说明函</w:t>
      </w:r>
      <w:r/>
    </w:p>
    <w:p>
      <w:pPr>
        <w:pStyle w:val="930"/>
        <w:ind w:left="420" w:firstLine="420"/>
        <w:jc w:val="both"/>
        <w:spacing w:before="0" w:after="120" w:line="360" w:lineRule="auto"/>
        <w:rPr>
          <w:rFonts w:hint="eastAsia"/>
          <w:color w:val="auto"/>
          <w:highlight w:val="none"/>
        </w:rPr>
      </w:pPr>
      <w:r>
        <w:rPr>
          <w:rFonts w:hint="eastAsia"/>
          <w:color w:val="auto"/>
          <w:highlight w:val="none"/>
          <w:lang w:bidi="ar"/>
        </w:rPr>
        <w:t xml:space="preserve">本公司愿就项目编号：</w:t>
      </w:r>
      <w:r>
        <w:rPr>
          <w:rFonts w:hint="eastAsia"/>
          <w:color w:val="auto"/>
          <w:highlight w:val="none"/>
          <w:u w:val="single"/>
          <w:lang w:bidi="ar"/>
        </w:rPr>
        <w:t xml:space="preserve">              </w:t>
      </w:r>
      <w:r>
        <w:rPr>
          <w:rFonts w:hint="eastAsia"/>
          <w:color w:val="auto"/>
          <w:highlight w:val="none"/>
          <w:lang w:bidi="ar"/>
        </w:rPr>
        <w:t xml:space="preserve">项目名称：</w:t>
      </w:r>
      <w:r>
        <w:rPr>
          <w:rFonts w:hint="eastAsia"/>
          <w:color w:val="auto"/>
          <w:highlight w:val="none"/>
          <w:u w:val="single"/>
          <w:lang w:bidi="ar"/>
        </w:rPr>
        <w:t xml:space="preserve">              </w:t>
      </w:r>
      <w:r>
        <w:rPr>
          <w:rFonts w:hint="eastAsia"/>
          <w:color w:val="auto"/>
          <w:highlight w:val="none"/>
          <w:lang w:bidi="ar"/>
        </w:rPr>
        <w:t xml:space="preserve">的采购活动进行投标，对于本公司的最后报价合理性作出说明如下：</w:t>
      </w:r>
      <w:r/>
    </w:p>
    <w:tbl>
      <w:tblPr>
        <w:tblStyle w:val="908"/>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0"/>
      </w:tblGrid>
      <w:tr>
        <w:trPr>
          <w:jc w:val="center"/>
          <w:trHeight w:val="3940"/>
        </w:trPr>
        <w:tc>
          <w:tcPr>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spacing w:line="600" w:lineRule="auto"/>
              <w:rPr>
                <w:rFonts w:hint="eastAsia" w:ascii="宋体" w:hAnsi="宋体" w:eastAsia="宋体" w:cs="宋体"/>
                <w:b/>
                <w:color w:val="auto"/>
                <w:highlight w:val="none"/>
                <w:shd w:val="pct10" w:color="auto" w:fill="ffffff"/>
              </w:rPr>
            </w:pPr>
            <w:r>
              <w:rPr>
                <w:rFonts w:hint="eastAsia" w:ascii="宋体" w:hAnsi="宋体" w:eastAsia="宋体" w:cs="宋体"/>
                <w:b/>
                <w:color w:val="auto"/>
                <w:highlight w:val="none"/>
                <w:lang w:bidi="ar"/>
              </w:rPr>
              <w:t xml:space="preserve">供应商应根据实际情况自拟澄清说明，并按照谈判小组关于澄清的要求提供相关证明材料作为附件。</w:t>
            </w:r>
            <w:r/>
          </w:p>
        </w:tc>
      </w:tr>
    </w:tbl>
    <w:p>
      <w:pPr>
        <w:ind w:firstLine="482"/>
        <w:spacing w:line="360" w:lineRule="auto"/>
        <w:tabs>
          <w:tab w:val="left" w:pos="210" w:leader="none"/>
          <w:tab w:val="left" w:pos="3780" w:leader="none"/>
        </w:tabs>
        <w:rPr>
          <w:rFonts w:hint="eastAsia"/>
          <w:b/>
          <w:color w:val="auto"/>
          <w:highlight w:val="none"/>
        </w:rPr>
      </w:pPr>
      <w:r>
        <w:rPr>
          <w:rFonts w:hint="eastAsia"/>
          <w:b/>
          <w:color w:val="auto"/>
          <w:highlight w:val="none"/>
          <w:lang w:bidi="ar"/>
        </w:rPr>
        <w:t xml:space="preserve">备注：根据谈判文件第二章“响应须知</w:t>
      </w:r>
      <w:r>
        <w:rPr>
          <w:rFonts w:hint="eastAsia" w:ascii="宋体" w:hAnsi="宋体" w:eastAsia="宋体" w:cs="宋体"/>
          <w:b/>
          <w:color w:val="auto"/>
          <w:highlight w:val="none"/>
          <w:lang w:bidi="ar"/>
        </w:rPr>
        <w:t xml:space="preserve">”第5.7.4条要求，谈判小组认为供应商的报价符合异常低价投标（响应）审查的情形时，应</w:t>
      </w:r>
      <w:r>
        <w:rPr>
          <w:rFonts w:hint="eastAsia"/>
          <w:b/>
          <w:color w:val="auto"/>
          <w:highlight w:val="none"/>
          <w:lang w:bidi="ar"/>
        </w:rPr>
        <w:t xml:space="preserve">当要求相关供应商在评标现场合理的时间内，提供项目具体成本测算等与报价合理性相关的书面说明及相关证明材料（包括但不限于原材料成本、人工成本、制造费用等，由谈判小组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谈判小组应当将其作为无效投标（响应）处理。</w:t>
      </w:r>
      <w:r/>
    </w:p>
    <w:p>
      <w:pPr>
        <w:ind w:firstLine="3840"/>
        <w:spacing w:line="360" w:lineRule="auto"/>
        <w:rPr>
          <w:rFonts w:ascii="宋体" w:hAnsi="宋体" w:eastAsia="宋体" w:cs="宋体"/>
          <w:color w:val="auto"/>
          <w:highlight w:val="none"/>
          <w:lang w:bidi="ar"/>
        </w:rPr>
      </w:pPr>
      <w:r>
        <w:rPr>
          <w:rFonts w:ascii="宋体" w:hAnsi="宋体" w:eastAsia="宋体" w:cs="宋体"/>
          <w:color w:val="auto"/>
          <w:highlight w:val="none"/>
          <w:lang w:bidi="ar"/>
        </w:rPr>
      </w:r>
      <w:r/>
    </w:p>
    <w:p>
      <w:pPr>
        <w:ind w:firstLine="3840"/>
        <w:spacing w:line="360" w:lineRule="auto"/>
        <w:rPr>
          <w:rFonts w:ascii="宋体" w:hAnsi="宋体" w:eastAsia="宋体" w:cs="宋体"/>
          <w:color w:val="auto"/>
          <w:highlight w:val="none"/>
        </w:rPr>
      </w:pPr>
      <w:r>
        <w:rPr>
          <w:rFonts w:hint="eastAsia" w:ascii="宋体" w:hAnsi="宋体" w:eastAsia="宋体" w:cs="宋体"/>
          <w:color w:val="auto"/>
          <w:highlight w:val="none"/>
          <w:lang w:bidi="ar"/>
        </w:rPr>
        <w:t xml:space="preserve">单位名称：（加盖CA电子公章）</w:t>
      </w:r>
      <w:r>
        <w:rPr>
          <w:rFonts w:hint="eastAsia" w:ascii="宋体" w:hAnsi="宋体" w:eastAsia="宋体" w:cs="宋体"/>
          <w:color w:val="auto"/>
          <w:highlight w:val="none"/>
        </w:rPr>
        <w:t xml:space="preserve"> </w:t>
      </w:r>
      <w:r/>
    </w:p>
    <w:p>
      <w:pPr>
        <w:ind w:firstLine="3840"/>
        <w:spacing w:line="360" w:lineRule="auto"/>
        <w:rPr>
          <w:rFonts w:hint="eastAsia" w:ascii="宋体" w:hAnsi="宋体" w:eastAsia="宋体" w:cs="宋体"/>
          <w:b/>
          <w:color w:val="auto"/>
          <w:highlight w:val="none"/>
          <w:shd w:val="clear" w:color="auto" w:fill="ffffff"/>
        </w:rPr>
      </w:pPr>
      <w:r>
        <w:rPr>
          <w:rFonts w:hint="eastAsia" w:ascii="宋体" w:hAnsi="宋体" w:eastAsia="宋体" w:cs="宋体"/>
          <w:color w:val="auto"/>
          <w:highlight w:val="none"/>
          <w:lang w:bidi="ar"/>
        </w:rPr>
        <w:t xml:space="preserve">日期：     年   月   日</w:t>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898"/>
        <w:jc w:val="center"/>
        <w:spacing w:before="156" w:after="156" w:line="360" w:lineRule="auto"/>
        <w:rPr>
          <w:rFonts w:hint="eastAsia" w:ascii="宋体" w:hAnsi="宋体" w:eastAsia="宋体" w:cs="宋体"/>
          <w:b w:val="0"/>
          <w:color w:val="auto"/>
          <w:sz w:val="28"/>
          <w:szCs w:val="28"/>
          <w:highlight w:val="none"/>
        </w:rPr>
      </w:pPr>
      <w:r/>
      <w:bookmarkStart w:id="117" w:name="_Toc19374"/>
      <w:r>
        <w:rPr>
          <w:rFonts w:hint="eastAsia" w:ascii="宋体" w:hAnsi="宋体" w:eastAsia="宋体" w:cs="宋体"/>
          <w:color w:val="auto"/>
          <w:sz w:val="36"/>
          <w:szCs w:val="36"/>
          <w:highlight w:val="none"/>
        </w:rPr>
        <w:t xml:space="preserve">第四章</w:t>
      </w:r>
      <w:bookmarkEnd w:id="112"/>
      <w:r/>
      <w:bookmarkEnd w:id="113"/>
      <w:r>
        <w:rPr>
          <w:rFonts w:hint="eastAsia" w:ascii="宋体" w:hAnsi="宋体" w:eastAsia="宋体" w:cs="宋体"/>
          <w:color w:val="auto"/>
          <w:sz w:val="36"/>
          <w:szCs w:val="36"/>
          <w:highlight w:val="none"/>
        </w:rPr>
        <w:t xml:space="preserve"> 谈判采购内容</w:t>
      </w:r>
      <w:bookmarkEnd w:id="117"/>
      <w:r/>
      <w:r/>
    </w:p>
    <w:p>
      <w:pPr>
        <w:ind w:firstLine="480"/>
        <w:jc w:val="both"/>
        <w:spacing w:line="360" w:lineRule="auto"/>
        <w:widowControl w:val="off"/>
        <w:rPr>
          <w:rFonts w:hint="eastAsia" w:ascii="宋体" w:hAnsi="宋体" w:eastAsia="宋体" w:cs="宋体"/>
          <w:color w:val="auto"/>
          <w:highlight w:val="none"/>
        </w:rPr>
      </w:pPr>
      <w:r/>
      <w:bookmarkStart w:id="118" w:name="_Toc291668811"/>
      <w:r>
        <w:rPr>
          <w:rFonts w:hint="eastAsia" w:ascii="宋体" w:hAnsi="宋体" w:eastAsia="宋体" w:cs="宋体"/>
          <w:color w:val="auto"/>
          <w:highlight w:val="none"/>
        </w:rPr>
        <w:t xml:space="preserve">苏州华星工程造价咨询有限公司受苏州工业园区卫生健康委员会的委托，就其所需的</w:t>
      </w:r>
      <w:r>
        <w:rPr>
          <w:rFonts w:hint="eastAsia" w:ascii="宋体" w:hAnsi="宋体" w:eastAsia="宋体" w:cs="宋体"/>
          <w:bCs/>
          <w:color w:val="auto"/>
          <w:highlight w:val="none"/>
        </w:rPr>
        <w:t xml:space="preserve">2026年度苏州工业园区下属医院信息化设备采购</w:t>
      </w:r>
      <w:r>
        <w:rPr>
          <w:rFonts w:hint="eastAsia" w:ascii="宋体" w:hAnsi="宋体" w:eastAsia="宋体" w:cs="宋体"/>
          <w:color w:val="auto"/>
          <w:highlight w:val="none"/>
        </w:rPr>
        <w:t xml:space="preserve">采用竞争性谈判方式进行采购，欢迎有资格的谈判供应商前来参加本次谈判采购。</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一、采购编号：</w:t>
      </w:r>
      <w:r>
        <w:rPr>
          <w:rFonts w:hint="eastAsia" w:ascii="宋体" w:hAnsi="宋体" w:eastAsia="宋体" w:cs="宋体"/>
          <w:bCs/>
          <w:color w:val="auto"/>
          <w:highlight w:val="none"/>
          <w:lang w:eastAsia="zh-CN"/>
        </w:rPr>
        <w:t xml:space="preserve">JSZC-320591-HXZJ-T2026-0021</w:t>
      </w:r>
      <w:r>
        <w:rPr>
          <w:rFonts w:hint="eastAsia" w:ascii="宋体" w:hAnsi="宋体" w:eastAsia="宋体" w:cs="宋体"/>
          <w:bCs/>
          <w:color w:val="auto"/>
          <w:highlight w:val="none"/>
        </w:rPr>
        <w:t xml:space="preserve">号</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二、采购项目：2026年度</w:t>
      </w:r>
      <w:r>
        <w:rPr>
          <w:rFonts w:hint="eastAsia" w:ascii="宋体" w:hAnsi="宋体" w:eastAsia="宋体" w:cs="宋体"/>
          <w:color w:val="auto"/>
          <w:highlight w:val="none"/>
          <w:lang w:bidi="ar"/>
        </w:rPr>
        <w:t xml:space="preserve">苏州</w:t>
      </w:r>
      <w:r>
        <w:rPr>
          <w:rFonts w:hint="eastAsia" w:ascii="宋体" w:hAnsi="宋体" w:eastAsia="宋体" w:cs="宋体"/>
          <w:color w:val="auto"/>
          <w:highlight w:val="none"/>
        </w:rPr>
        <w:t xml:space="preserve">工业园区下属医院信息化设备采购</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三、建设总体要求</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实用性原则：系统整体</w:t>
      </w:r>
      <w:r>
        <w:rPr>
          <w:rFonts w:hint="eastAsia" w:ascii="宋体" w:hAnsi="宋体" w:eastAsia="宋体" w:cs="宋体"/>
          <w:color w:val="auto"/>
          <w:highlight w:val="none"/>
          <w:lang w:bidi="ar"/>
        </w:rPr>
        <w:t xml:space="preserve">建设</w:t>
      </w:r>
      <w:r>
        <w:rPr>
          <w:rFonts w:hint="eastAsia" w:ascii="宋体" w:hAnsi="宋体" w:eastAsia="宋体" w:cs="宋体"/>
          <w:color w:val="auto"/>
          <w:highlight w:val="none"/>
        </w:rPr>
        <w:t xml:space="preserve">以满足当下业务安全防护实际需求为核心基准，合理控制项目投资成本；同时充分预判业务规模扩张、安全需求升级等中长期发展场景，科学规划系统整体规模，避免重复投入。</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可靠性原则：系统架构设计</w:t>
      </w:r>
      <w:r>
        <w:rPr>
          <w:rFonts w:hint="eastAsia" w:ascii="宋体" w:hAnsi="宋体" w:eastAsia="宋体" w:cs="宋体"/>
          <w:color w:val="auto"/>
          <w:highlight w:val="none"/>
          <w:lang w:bidi="ar"/>
        </w:rPr>
        <w:t xml:space="preserve">全面</w:t>
      </w:r>
      <w:r>
        <w:rPr>
          <w:rFonts w:hint="eastAsia" w:ascii="宋体" w:hAnsi="宋体" w:eastAsia="宋体" w:cs="宋体"/>
          <w:color w:val="auto"/>
          <w:highlight w:val="none"/>
        </w:rPr>
        <w:t xml:space="preserve">规避单点故障风险，核心设备、关键链路均配套冗余备份机制。硬件选型、设备互联方案充分考虑故障容错能力，既能大幅降低故障发生概率，也可实现故障快速定位、短时修复，保障业务持续稳定运行。</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成熟和先进性原则：系统架构、硬件配置、运维管理模式选用行业内成熟落地、稳定可靠的技术方案，同步兼顾技术先进性；在保障无大规模落地风险的前提下，搭载主流前沿安全防护能力，平衡落地稳定性与长期技术迭代需求。</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高可用性原则：在高可靠硬件与架构基础上，保障全业务链路持续可用。设备与整体架构支持在线故障自愈，核心硬件、传输链路支持实时备份、故障自动切换，故障切换过程不中断核心业务运行。</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规范性原则：系统采用的全部硬件设备、通信协议、安全技术均符合现行国际标准、国家行业规范，统一标准化设计，为后期系统扩容、多设备、多业务系统互联互通提供合规基础。</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开放性和标准化原则：整体方案采用高开放、高标准化技术体系，设备各类业务接口、数据</w:t>
      </w:r>
      <w:r>
        <w:rPr>
          <w:rFonts w:hint="eastAsia" w:ascii="宋体" w:hAnsi="宋体" w:eastAsia="宋体" w:cs="宋体"/>
          <w:color w:val="auto"/>
          <w:highlight w:val="none"/>
          <w:lang w:bidi="ar"/>
        </w:rPr>
        <w:t xml:space="preserve">交互</w:t>
      </w:r>
      <w:r>
        <w:rPr>
          <w:rFonts w:hint="eastAsia" w:ascii="宋体" w:hAnsi="宋体" w:eastAsia="宋体" w:cs="宋体"/>
          <w:color w:val="auto"/>
          <w:highlight w:val="none"/>
        </w:rPr>
        <w:t xml:space="preserve">接口遵循通用开放标准；支持第三方业务系统、大数据平台、国产软硬件生态对接适配，无技术封闭壁垒。</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可扩充和扩展化原则：所有安全设备、配套软件系统可满足当前业务防护需求，同时支持模块扩容、性能升级，适配未来带宽扩容、终端接入增长、业务系统新增、多分支机构拓展等场景；技术升级、硬件扩容可兼容现有设备，最大化保护原有项目投资。</w:t>
      </w:r>
      <w:r/>
    </w:p>
    <w:p>
      <w:pPr>
        <w:ind w:firstLine="480"/>
        <w:jc w:val="both"/>
        <w:spacing w:line="360" w:lineRule="auto"/>
        <w:widowControl w:val="off"/>
        <w:rPr>
          <w:rFonts w:hint="eastAsia" w:ascii="宋体" w:hAnsi="宋体" w:eastAsia="宋体" w:cs="宋体"/>
          <w:color w:val="auto"/>
          <w:highlight w:val="none"/>
        </w:rPr>
      </w:pPr>
      <w:r/>
      <w:bookmarkStart w:id="119" w:name="_Toc457140875"/>
      <w:r>
        <w:rPr>
          <w:rFonts w:hint="eastAsia" w:ascii="宋体" w:hAnsi="宋体" w:eastAsia="宋体" w:cs="宋体"/>
          <w:color w:val="auto"/>
          <w:highlight w:val="none"/>
        </w:rPr>
        <w:t xml:space="preserve">四、采购清单</w:t>
      </w:r>
      <w:bookmarkEnd w:id="119"/>
      <w:r>
        <w:rPr>
          <w:rFonts w:hint="eastAsia" w:ascii="宋体" w:hAnsi="宋体" w:eastAsia="宋体" w:cs="宋体"/>
          <w:color w:val="auto"/>
          <w:highlight w:val="none"/>
        </w:rPr>
        <w:t xml:space="preserve">：</w:t>
      </w:r>
      <w:r/>
    </w:p>
    <w:tbl>
      <w:tblPr>
        <w:tblStyle w:val="908"/>
        <w:tblW w:w="49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2270"/>
        <w:gridCol w:w="942"/>
        <w:gridCol w:w="988"/>
        <w:gridCol w:w="2746"/>
      </w:tblGrid>
      <w:tr>
        <w:trPr>
          <w:jc w:val="center"/>
          <w:trHeight w:val="577"/>
        </w:trPr>
        <w:tc>
          <w:tcPr>
            <w:tcW w:w="774"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医院</w:t>
            </w:r>
            <w:r/>
          </w:p>
        </w:tc>
        <w:tc>
          <w:tcPr>
            <w:tcW w:w="138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设备名称</w:t>
            </w:r>
            <w:r/>
          </w:p>
        </w:tc>
        <w:tc>
          <w:tcPr>
            <w:tcW w:w="573"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tcW w:w="60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单位</w:t>
            </w:r>
            <w:r/>
          </w:p>
        </w:tc>
        <w:tc>
          <w:tcPr>
            <w:tcW w:w="167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技术要求</w:t>
            </w:r>
            <w:r/>
          </w:p>
        </w:tc>
      </w:tr>
      <w:tr>
        <w:trPr>
          <w:jc w:val="center"/>
          <w:trHeight w:val="20"/>
        </w:trPr>
        <w:tc>
          <w:tcPr>
            <w:tcW w:w="774" w:type="pct"/>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星海</w:t>
            </w:r>
            <w:r/>
          </w:p>
        </w:tc>
        <w:tc>
          <w:tcPr>
            <w:tcW w:w="138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日志审计</w:t>
            </w:r>
            <w:r/>
          </w:p>
        </w:tc>
        <w:tc>
          <w:tcPr>
            <w:tcW w:w="573"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0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W w:w="1671" w:type="pct"/>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详见下方技术参数</w:t>
            </w:r>
            <w:r/>
          </w:p>
        </w:tc>
      </w:tr>
      <w:tr>
        <w:trPr>
          <w:jc w:val="center"/>
          <w:trHeight w:val="20"/>
        </w:trPr>
        <w:tc>
          <w:tcPr>
            <w:tcW w:w="774" w:type="pct"/>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8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网闸</w:t>
            </w:r>
            <w:r/>
          </w:p>
        </w:tc>
        <w:tc>
          <w:tcPr>
            <w:tcW w:w="573"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0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W w:w="1671" w:type="pct"/>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详见下方技术参数</w:t>
            </w:r>
            <w:r/>
          </w:p>
        </w:tc>
      </w:tr>
      <w:tr>
        <w:trPr>
          <w:jc w:val="center"/>
          <w:trHeight w:val="20"/>
        </w:trPr>
        <w:tc>
          <w:tcPr>
            <w:tcW w:w="774" w:type="pct"/>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星湖</w:t>
            </w:r>
            <w:r/>
          </w:p>
        </w:tc>
        <w:tc>
          <w:tcPr>
            <w:tcW w:w="138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上网行为管理</w:t>
            </w:r>
            <w:r/>
          </w:p>
        </w:tc>
        <w:tc>
          <w:tcPr>
            <w:tcW w:w="573"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0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W w:w="1671" w:type="pct"/>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详见下方技术参数</w:t>
            </w:r>
            <w:r/>
          </w:p>
        </w:tc>
      </w:tr>
      <w:tr>
        <w:trPr>
          <w:jc w:val="center"/>
          <w:trHeight w:val="20"/>
        </w:trPr>
        <w:tc>
          <w:tcPr>
            <w:tcW w:w="774" w:type="pct"/>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8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日志审计</w:t>
            </w:r>
            <w:r/>
          </w:p>
        </w:tc>
        <w:tc>
          <w:tcPr>
            <w:tcW w:w="573"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0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W w:w="1671" w:type="pct"/>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详见下方技术参数</w:t>
            </w:r>
            <w:r/>
          </w:p>
        </w:tc>
      </w:tr>
      <w:tr>
        <w:trPr>
          <w:jc w:val="center"/>
          <w:trHeight w:val="20"/>
        </w:trPr>
        <w:tc>
          <w:tcPr>
            <w:tcW w:w="774" w:type="pct"/>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8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准入设备</w:t>
            </w:r>
            <w:r/>
          </w:p>
        </w:tc>
        <w:tc>
          <w:tcPr>
            <w:tcW w:w="573"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0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W w:w="1671" w:type="pct"/>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详见下方技术参数</w:t>
            </w:r>
            <w:r/>
          </w:p>
        </w:tc>
      </w:tr>
      <w:tr>
        <w:trPr>
          <w:jc w:val="center"/>
          <w:trHeight w:val="20"/>
        </w:trPr>
        <w:tc>
          <w:tcPr>
            <w:tcW w:w="774" w:type="pct"/>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8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备份一体机</w:t>
            </w:r>
            <w:r/>
          </w:p>
        </w:tc>
        <w:tc>
          <w:tcPr>
            <w:tcW w:w="573"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0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W w:w="1671" w:type="pct"/>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详见下方技术参数</w:t>
            </w:r>
            <w:r/>
          </w:p>
        </w:tc>
      </w:tr>
      <w:tr>
        <w:trPr>
          <w:jc w:val="center"/>
          <w:trHeight w:val="20"/>
        </w:trPr>
        <w:tc>
          <w:tcPr>
            <w:tcW w:w="774" w:type="pct"/>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星浦</w:t>
            </w:r>
            <w:r/>
          </w:p>
        </w:tc>
        <w:tc>
          <w:tcPr>
            <w:tcW w:w="138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堡垒机</w:t>
            </w:r>
            <w:r/>
          </w:p>
        </w:tc>
        <w:tc>
          <w:tcPr>
            <w:tcW w:w="573"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0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W w:w="1671" w:type="pct"/>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详见下方技术参数</w:t>
            </w:r>
            <w:r/>
          </w:p>
        </w:tc>
      </w:tr>
      <w:tr>
        <w:trPr>
          <w:jc w:val="center"/>
          <w:trHeight w:val="20"/>
        </w:trPr>
        <w:tc>
          <w:tcPr>
            <w:tcW w:w="774" w:type="pct"/>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8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防火墙</w:t>
            </w:r>
            <w:r/>
          </w:p>
        </w:tc>
        <w:tc>
          <w:tcPr>
            <w:tcW w:w="573"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60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W w:w="1671" w:type="pct"/>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详见下方技术参数</w:t>
            </w:r>
            <w:r/>
          </w:p>
        </w:tc>
      </w:tr>
      <w:tr>
        <w:trPr>
          <w:jc w:val="center"/>
          <w:trHeight w:val="20"/>
        </w:trPr>
        <w:tc>
          <w:tcPr>
            <w:tcW w:w="774" w:type="pct"/>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8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准入设备</w:t>
            </w:r>
            <w:r/>
          </w:p>
        </w:tc>
        <w:tc>
          <w:tcPr>
            <w:tcW w:w="573"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0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W w:w="1671" w:type="pct"/>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详见下方技术参数</w:t>
            </w:r>
            <w:r/>
          </w:p>
        </w:tc>
      </w:tr>
      <w:tr>
        <w:trPr>
          <w:jc w:val="center"/>
          <w:trHeight w:val="20"/>
        </w:trPr>
        <w:tc>
          <w:tcPr>
            <w:tcW w:w="774" w:type="pct"/>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8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备份一体机</w:t>
            </w:r>
            <w:r/>
          </w:p>
        </w:tc>
        <w:tc>
          <w:tcPr>
            <w:tcW w:w="573"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0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W w:w="1671" w:type="pct"/>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详见下方技术参数</w:t>
            </w:r>
            <w:r/>
          </w:p>
        </w:tc>
      </w:tr>
      <w:tr>
        <w:trPr>
          <w:jc w:val="center"/>
          <w:trHeight w:val="20"/>
        </w:trPr>
        <w:tc>
          <w:tcPr>
            <w:tcW w:w="774" w:type="pct"/>
            <w:vAlign w:val="center"/>
            <w:vMerge w:val="restart"/>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星塘</w:t>
            </w:r>
            <w:r/>
          </w:p>
        </w:tc>
        <w:tc>
          <w:tcPr>
            <w:tcW w:w="138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防火墙</w:t>
            </w:r>
            <w:r/>
          </w:p>
        </w:tc>
        <w:tc>
          <w:tcPr>
            <w:tcW w:w="573"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0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W w:w="1671" w:type="pct"/>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详见下方技术参数</w:t>
            </w:r>
            <w:r/>
          </w:p>
        </w:tc>
      </w:tr>
      <w:tr>
        <w:trPr>
          <w:jc w:val="center"/>
          <w:trHeight w:val="20"/>
        </w:trPr>
        <w:tc>
          <w:tcPr>
            <w:tcW w:w="774" w:type="pct"/>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8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策略防火墙</w:t>
            </w:r>
            <w:r/>
          </w:p>
        </w:tc>
        <w:tc>
          <w:tcPr>
            <w:tcW w:w="573"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60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W w:w="1671" w:type="pct"/>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详见下方技术参数</w:t>
            </w:r>
            <w:r/>
          </w:p>
        </w:tc>
      </w:tr>
      <w:tr>
        <w:trPr>
          <w:jc w:val="center"/>
          <w:trHeight w:val="442"/>
        </w:trPr>
        <w:tc>
          <w:tcPr>
            <w:tcW w:w="774" w:type="pct"/>
            <w:vAlign w:val="center"/>
            <w:vMerge w:val="continue"/>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8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备份一体机</w:t>
            </w:r>
            <w:r/>
          </w:p>
        </w:tc>
        <w:tc>
          <w:tcPr>
            <w:tcW w:w="573"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01"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台</w:t>
            </w:r>
            <w:r/>
          </w:p>
        </w:tc>
        <w:tc>
          <w:tcPr>
            <w:tcW w:w="1671" w:type="pct"/>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详见下方技术参数</w:t>
            </w:r>
            <w:r/>
          </w:p>
        </w:tc>
      </w:tr>
    </w:tbl>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五、技术参数：</w:t>
      </w:r>
      <w:r>
        <w:rPr>
          <w:rFonts w:hint="eastAsia" w:ascii="宋体" w:hAnsi="宋体" w:eastAsia="宋体" w:cs="宋体"/>
          <w:b/>
          <w:bCs/>
          <w:color w:val="auto"/>
          <w:highlight w:val="none"/>
        </w:rPr>
        <w:t xml:space="preserve">（打“▲”项需提供相应证明材料，否则视为未实质性采购要求）</w:t>
      </w:r>
      <w:r/>
    </w:p>
    <w:p>
      <w:pPr>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日志审计-星海医院</w:t>
      </w:r>
      <w:r/>
    </w:p>
    <w:tbl>
      <w:tblPr>
        <w:tblStyle w:val="9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2"/>
        <w:gridCol w:w="6970"/>
      </w:tblGrid>
      <w:tr>
        <w:trPr>
          <w:jc w:val="center"/>
          <w:tblHeader/>
        </w:trPr>
        <w:tc>
          <w:tcPr>
            <w:tcW w:w="802" w:type="pct"/>
            <w:vAlign w:val="center"/>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指标项</w:t>
            </w:r>
            <w:r/>
          </w:p>
        </w:tc>
        <w:tc>
          <w:tcPr>
            <w:tcW w:w="4198" w:type="pct"/>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指标要求</w:t>
            </w:r>
            <w:r/>
          </w:p>
        </w:tc>
      </w:tr>
      <w:tr>
        <w:trPr>
          <w:jc w:val="center"/>
          <w:trHeight w:val="403"/>
        </w:trPr>
        <w:tc>
          <w:tcPr>
            <w:tcW w:w="802" w:type="pct"/>
            <w:vAlign w:val="center"/>
            <w:textDirection w:val="lrTb"/>
            <w:noWrap w:val="false"/>
          </w:tcPr>
          <w:p>
            <w:pPr>
              <w:jc w:val="center"/>
              <w:spacing w:before="78" w:after="78"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硬件规格</w:t>
            </w:r>
            <w:r/>
          </w:p>
        </w:tc>
        <w:tc>
          <w:tcPr>
            <w:tcW w:w="4198" w:type="pct"/>
            <w:textDirection w:val="lrTb"/>
            <w:noWrap w:val="false"/>
          </w:tcPr>
          <w:p>
            <w:pPr>
              <w:spacing w:before="78" w:after="78"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标准机架设备，采用国产化成熟CPU，国产化成熟操作系统；</w:t>
            </w:r>
            <w:r/>
          </w:p>
        </w:tc>
      </w:tr>
      <w:tr>
        <w:trPr>
          <w:jc w:val="center"/>
          <w:trHeight w:val="90"/>
        </w:trPr>
        <w:tc>
          <w:tcPr>
            <w:tcW w:w="802" w:type="pct"/>
            <w:vAlign w:val="center"/>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bCs/>
                <w:color w:val="auto"/>
                <w:highlight w:val="none"/>
              </w:rPr>
              <w:t xml:space="preserve">接口和性能</w:t>
            </w:r>
            <w:r/>
          </w:p>
        </w:tc>
        <w:tc>
          <w:tcPr>
            <w:tcW w:w="4198" w:type="pct"/>
            <w:textDirection w:val="lrTb"/>
            <w:noWrap w:val="false"/>
          </w:tcPr>
          <w:p>
            <w:pPr>
              <w:spacing w:before="78" w:after="78"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设备标配≥6个千兆电口，≥4个千兆光口，≥2个接口扩展板卡，设备容量不低于4T，日志采集处理均值不小于8000EPS。</w:t>
            </w:r>
            <w:r/>
          </w:p>
        </w:tc>
      </w:tr>
      <w:tr>
        <w:trPr>
          <w:jc w:val="center"/>
          <w:trHeight w:val="492"/>
        </w:trPr>
        <w:tc>
          <w:tcPr>
            <w:tcW w:w="802" w:type="pct"/>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b/>
                <w:bCs/>
                <w:color w:val="auto"/>
                <w:highlight w:val="none"/>
              </w:rPr>
              <w:t xml:space="preserve">配置要求</w:t>
            </w:r>
            <w:r/>
          </w:p>
        </w:tc>
        <w:tc>
          <w:tcPr>
            <w:tcW w:w="419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本次包含可审计对象授权≥50个。</w:t>
            </w:r>
            <w:r/>
          </w:p>
        </w:tc>
      </w:tr>
      <w:tr>
        <w:trPr>
          <w:jc w:val="center"/>
          <w:trHeight w:val="648"/>
        </w:trPr>
        <w:tc>
          <w:tcPr>
            <w:tcW w:w="802" w:type="pct"/>
            <w:vAlign w:val="center"/>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管理范围</w:t>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能对网络设备、安全设备和系统、主机操作系统、数据库以及各种应用系统的日志、事件、告警等安全信息进行全面的审计。</w:t>
            </w:r>
            <w:r/>
          </w:p>
        </w:tc>
      </w:tr>
      <w:tr>
        <w:trPr>
          <w:jc w:val="center"/>
          <w:trHeight w:val="621"/>
        </w:trPr>
        <w:tc>
          <w:tcPr>
            <w:tcW w:w="802" w:type="pct"/>
            <w:vAlign w:val="center"/>
            <w:vMerge w:val="restart"/>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支持采集方式</w:t>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支持SNMP、Syslog、ODBC/JDBC、文件/文件夹、WMI、FTP、SFTP、SMB、NetBIOS、OPSEC等多种方式完成日志收集功能</w:t>
            </w:r>
            <w:r/>
          </w:p>
        </w:tc>
      </w:tr>
      <w:tr>
        <w:trPr>
          <w:jc w:val="center"/>
          <w:trHeight w:val="693"/>
        </w:trPr>
        <w:tc>
          <w:tcPr>
            <w:tcW w:w="802" w:type="pct"/>
            <w:vAlign w:val="center"/>
            <w:vMerge w:val="continue"/>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针对文本格式的日志采集，支持本地文件、Windows共享和FTP、SFTP获取四种采集方式。</w:t>
            </w:r>
            <w:r/>
          </w:p>
        </w:tc>
      </w:tr>
      <w:tr>
        <w:trPr>
          <w:jc w:val="center"/>
          <w:trHeight w:val="693"/>
        </w:trPr>
        <w:tc>
          <w:tcPr>
            <w:tcW w:w="802" w:type="pct"/>
            <w:vAlign w:val="center"/>
            <w:vMerge w:val="continue"/>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bookmarkStart w:id="120" w:name="_Hlk95464185"/>
            <w:r>
              <w:rPr>
                <w:rFonts w:hint="eastAsia" w:ascii="宋体" w:hAnsi="宋体" w:eastAsia="宋体" w:cs="宋体"/>
                <w:color w:val="auto"/>
                <w:highlight w:val="none"/>
              </w:rPr>
              <w:t xml:space="preserve">支持与Kafka、Hadoop、ES、MangoDB、SAP HANA内存数据库大数据存储组件对接进行日志数据传输采集</w:t>
            </w:r>
            <w:bookmarkEnd w:id="120"/>
            <w:r/>
            <w:r/>
          </w:p>
        </w:tc>
      </w:tr>
      <w:tr>
        <w:trPr>
          <w:jc w:val="center"/>
          <w:trHeight w:val="403"/>
        </w:trPr>
        <w:tc>
          <w:tcPr>
            <w:tcW w:w="802" w:type="pct"/>
            <w:vAlign w:val="center"/>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地图定位</w:t>
            </w:r>
            <w:r/>
          </w:p>
        </w:tc>
        <w:tc>
          <w:tcPr>
            <w:tcW w:w="4198" w:type="pct"/>
            <w:textDirection w:val="lrTb"/>
            <w:noWrap w:val="false"/>
          </w:tcPr>
          <w:p>
            <w:pPr>
              <w:spacing w:line="400" w:lineRule="exact"/>
              <w:rPr>
                <w:rFonts w:hint="eastAsia" w:ascii="宋体" w:hAnsi="宋体" w:eastAsia="宋体" w:cs="宋体"/>
                <w:b/>
                <w:bCs/>
                <w:color w:val="auto"/>
                <w:highlight w:val="none"/>
              </w:rPr>
            </w:pPr>
            <w:r>
              <w:rPr>
                <w:rFonts w:hint="eastAsia" w:ascii="宋体" w:hAnsi="宋体" w:eastAsia="宋体" w:cs="宋体"/>
                <w:color w:val="auto"/>
                <w:highlight w:val="none"/>
              </w:rPr>
              <w:t xml:space="preserve">支持对日志提供在线/离线地图定位、支持源IP与目的IP分布走向的视网膜图展示、支持事件拓扑分析用于描述整个事件的访问关系及过程、支持多维分析。</w:t>
            </w:r>
            <w:r/>
          </w:p>
        </w:tc>
      </w:tr>
      <w:tr>
        <w:trPr>
          <w:jc w:val="center"/>
          <w:trHeight w:val="279"/>
        </w:trPr>
        <w:tc>
          <w:tcPr>
            <w:tcW w:w="802" w:type="pct"/>
            <w:vAlign w:val="center"/>
            <w:vMerge w:val="restart"/>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日志范式化</w:t>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系统必须具备日志范式化功能，实现对异构日志格式的统一化；</w:t>
            </w:r>
            <w:r/>
          </w:p>
        </w:tc>
      </w:tr>
      <w:tr>
        <w:trPr>
          <w:jc w:val="center"/>
          <w:trHeight w:val="520"/>
        </w:trPr>
        <w:tc>
          <w:tcPr>
            <w:tcW w:w="802" w:type="pct"/>
            <w:vAlign w:val="center"/>
            <w:vMerge w:val="continue"/>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范式化字段至少应包括事件接收时间、事件产生时间、事件持续时间、用户名称、源地址、源MAC地址、源端口、操作、目的地址、目的MAC地址、目的端口、事件名称、事件摘要、等级、原始等级、原始类型、网络协议、网络应用协议、设备地址、设备名称、设备类型等；</w:t>
            </w:r>
            <w:r/>
          </w:p>
        </w:tc>
      </w:tr>
      <w:tr>
        <w:trPr>
          <w:jc w:val="center"/>
          <w:trHeight w:val="367"/>
        </w:trPr>
        <w:tc>
          <w:tcPr>
            <w:tcW w:w="802" w:type="pct"/>
            <w:vAlign w:val="center"/>
            <w:vMerge w:val="continue"/>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对日志设备类型、日志类型、日志级别等可进行重定义。</w:t>
            </w:r>
            <w:r/>
          </w:p>
        </w:tc>
      </w:tr>
      <w:tr>
        <w:trPr>
          <w:jc w:val="center"/>
          <w:trHeight w:val="367"/>
        </w:trPr>
        <w:tc>
          <w:tcPr>
            <w:tcW w:w="802" w:type="pct"/>
            <w:vAlign w:val="center"/>
            <w:vMerge w:val="continue"/>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支持全智能范式化解析模式，支持解析字段的编辑和调整，如修改字段名称</w:t>
            </w:r>
            <w:r/>
          </w:p>
        </w:tc>
      </w:tr>
      <w:tr>
        <w:trPr>
          <w:jc w:val="center"/>
          <w:trHeight w:val="520"/>
        </w:trPr>
        <w:tc>
          <w:tcPr>
            <w:tcW w:w="802" w:type="pct"/>
            <w:vAlign w:val="center"/>
            <w:vMerge w:val="continue"/>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在范式化的时候能够对日志进行分类，分类需按照安全事件的类型，而不是日志的设备类型，并提供日志分类的类型清单。</w:t>
            </w:r>
            <w:r/>
          </w:p>
        </w:tc>
      </w:tr>
      <w:tr>
        <w:trPr>
          <w:jc w:val="center"/>
          <w:trHeight w:val="260"/>
        </w:trPr>
        <w:tc>
          <w:tcPr>
            <w:tcW w:w="802" w:type="pct"/>
            <w:vAlign w:val="center"/>
            <w:vMerge w:val="restart"/>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日志传输和存储转发</w:t>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日志可加密压缩传输，保证数据的完整性和机密性；</w:t>
            </w:r>
            <w:r/>
          </w:p>
        </w:tc>
      </w:tr>
      <w:tr>
        <w:trPr>
          <w:jc w:val="center"/>
          <w:trHeight w:val="260"/>
        </w:trPr>
        <w:tc>
          <w:tcPr>
            <w:tcW w:w="802" w:type="pct"/>
            <w:vAlign w:val="center"/>
            <w:vMerge w:val="continue"/>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可根据转发条件，将采集范式化后的数据转发到其他的目标地址；</w:t>
            </w:r>
            <w:r/>
          </w:p>
        </w:tc>
      </w:tr>
      <w:tr>
        <w:trPr>
          <w:jc w:val="center"/>
          <w:trHeight w:val="260"/>
        </w:trPr>
        <w:tc>
          <w:tcPr>
            <w:tcW w:w="802" w:type="pct"/>
            <w:vAlign w:val="center"/>
            <w:vMerge w:val="continue"/>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支持加密压缩方式转发，定时转发。</w:t>
            </w:r>
            <w:r/>
          </w:p>
        </w:tc>
      </w:tr>
      <w:tr>
        <w:trPr>
          <w:jc w:val="center"/>
          <w:trHeight w:val="260"/>
        </w:trPr>
        <w:tc>
          <w:tcPr>
            <w:tcW w:w="802" w:type="pct"/>
            <w:vAlign w:val="center"/>
            <w:vMerge w:val="restart"/>
            <w:textDirection w:val="lrTb"/>
            <w:noWrap w:val="false"/>
          </w:tcPr>
          <w:p>
            <w:pPr>
              <w:jc w:val="center"/>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日志查询</w:t>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系统允许管理员以查询场景的形式查看不同类型的日志信息；</w:t>
            </w:r>
            <w:r/>
          </w:p>
        </w:tc>
      </w:tr>
      <w:tr>
        <w:trPr>
          <w:jc w:val="center"/>
          <w:trHeight w:val="260"/>
        </w:trPr>
        <w:tc>
          <w:tcPr>
            <w:tcW w:w="802" w:type="pct"/>
            <w:vAlign w:val="center"/>
            <w:vMerge w:val="continue"/>
            <w:textDirection w:val="lrTb"/>
            <w:noWrap w:val="false"/>
          </w:tcPr>
          <w:p>
            <w:pPr>
              <w:jc w:val="center"/>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用户可自定义查询场景，每个查询场景都要以查询策略的形式进行存储；</w:t>
            </w:r>
            <w:r/>
          </w:p>
        </w:tc>
      </w:tr>
      <w:tr>
        <w:trPr>
          <w:jc w:val="center"/>
          <w:trHeight w:val="260"/>
        </w:trPr>
        <w:tc>
          <w:tcPr>
            <w:tcW w:w="802" w:type="pct"/>
            <w:vAlign w:val="center"/>
            <w:vMerge w:val="continue"/>
            <w:textDirection w:val="lrTb"/>
            <w:noWrap w:val="false"/>
          </w:tcPr>
          <w:p>
            <w:pPr>
              <w:jc w:val="center"/>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自定义事件查询策略，基于事件分类的查询条件不少于10大项50小项。</w:t>
            </w:r>
            <w:r/>
          </w:p>
        </w:tc>
      </w:tr>
      <w:tr>
        <w:trPr>
          <w:jc w:val="center"/>
          <w:trHeight w:val="260"/>
        </w:trPr>
        <w:tc>
          <w:tcPr>
            <w:tcW w:w="802" w:type="pct"/>
            <w:vAlign w:val="center"/>
            <w:vMerge w:val="continue"/>
            <w:textDirection w:val="lrTb"/>
            <w:noWrap w:val="false"/>
          </w:tcPr>
          <w:p>
            <w:pPr>
              <w:jc w:val="center"/>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查询场景可保存，并可重复使用。</w:t>
            </w:r>
            <w:r/>
          </w:p>
        </w:tc>
      </w:tr>
      <w:tr>
        <w:trPr>
          <w:jc w:val="center"/>
          <w:trHeight w:val="455"/>
        </w:trPr>
        <w:tc>
          <w:tcPr>
            <w:tcW w:w="802" w:type="pct"/>
            <w:vAlign w:val="center"/>
            <w:vMerge w:val="restart"/>
            <w:textDirection w:val="lrTb"/>
            <w:noWrap w:val="false"/>
          </w:tcPr>
          <w:p>
            <w:pPr>
              <w:jc w:val="center"/>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日志关联分析</w:t>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系统具有日志关联分析的能力，能够对不同的日志进行相关性分析，发掘潜在的信息；</w:t>
            </w:r>
            <w:r/>
          </w:p>
        </w:tc>
      </w:tr>
      <w:tr>
        <w:trPr>
          <w:jc w:val="center"/>
          <w:trHeight w:val="455"/>
        </w:trPr>
        <w:tc>
          <w:tcPr>
            <w:tcW w:w="802" w:type="pct"/>
            <w:vAlign w:val="center"/>
            <w:vMerge w:val="continue"/>
            <w:textDirection w:val="lrTb"/>
            <w:noWrap w:val="false"/>
          </w:tcPr>
          <w:p>
            <w:pPr>
              <w:jc w:val="center"/>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b/>
                <w:bCs/>
                <w:color w:val="auto"/>
                <w:highlight w:val="none"/>
              </w:rPr>
            </w:pPr>
            <w:r>
              <w:rPr>
                <w:rFonts w:hint="eastAsia" w:ascii="宋体" w:hAnsi="宋体" w:eastAsia="宋体" w:cs="宋体"/>
                <w:color w:val="auto"/>
                <w:highlight w:val="none"/>
              </w:rPr>
              <w:t xml:space="preserve">▲支持基于规则的关联分析引擎，能够提供逻辑关联、统计关联的关联分析能力；关联规则支持规则嵌套和引用，通过多规则联合，可精确识别复杂安全事件和场景；内置规则条数大于100条。</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r/>
          </w:p>
        </w:tc>
      </w:tr>
      <w:tr>
        <w:trPr>
          <w:jc w:val="center"/>
          <w:trHeight w:val="455"/>
        </w:trPr>
        <w:tc>
          <w:tcPr>
            <w:tcW w:w="802" w:type="pct"/>
            <w:vAlign w:val="center"/>
            <w:vMerge w:val="continue"/>
            <w:textDirection w:val="lrTb"/>
            <w:noWrap w:val="false"/>
          </w:tcPr>
          <w:p>
            <w:pPr>
              <w:jc w:val="center"/>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可疑分析模式，内置基线特征、异常行为、威胁场景三大分析模型。其中基线特征种包含特征管理、基线管理、基础管理三大类分析模型；异常行为模型包含疑似泄密分析、非常用异常、阈值异常、突变异常、自定义异常等场景；威胁场景支持企业泄密场景。</w:t>
            </w:r>
            <w:r/>
          </w:p>
        </w:tc>
      </w:tr>
      <w:tr>
        <w:trPr>
          <w:jc w:val="center"/>
          <w:trHeight w:val="348"/>
        </w:trPr>
        <w:tc>
          <w:tcPr>
            <w:tcW w:w="802" w:type="pct"/>
            <w:vAlign w:val="center"/>
            <w:vMerge w:val="restart"/>
            <w:textDirection w:val="lrTb"/>
            <w:noWrap w:val="false"/>
          </w:tcPr>
          <w:p>
            <w:pPr>
              <w:jc w:val="center"/>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历史关联</w:t>
            </w:r>
            <w:r/>
          </w:p>
          <w:p>
            <w:pPr>
              <w:jc w:val="center"/>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系统具备历史日志关联分析的能力</w:t>
            </w:r>
            <w:r/>
          </w:p>
        </w:tc>
      </w:tr>
      <w:tr>
        <w:trPr>
          <w:jc w:val="center"/>
          <w:trHeight w:val="346"/>
        </w:trPr>
        <w:tc>
          <w:tcPr>
            <w:tcW w:w="802" w:type="pct"/>
            <w:vAlign w:val="center"/>
            <w:vMerge w:val="continue"/>
            <w:textDirection w:val="lrTb"/>
            <w:noWrap w:val="false"/>
          </w:tcPr>
          <w:p>
            <w:pPr>
              <w:jc w:val="center"/>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能够对指定时间范围内的不同的历史日志进行相关性分析，发掘潜在的信息</w:t>
            </w:r>
            <w:r/>
          </w:p>
        </w:tc>
      </w:tr>
      <w:tr>
        <w:trPr>
          <w:jc w:val="center"/>
          <w:trHeight w:val="403"/>
        </w:trPr>
        <w:tc>
          <w:tcPr>
            <w:tcW w:w="802" w:type="pct"/>
            <w:vAlign w:val="center"/>
            <w:textDirection w:val="lrTb"/>
            <w:noWrap w:val="false"/>
          </w:tcPr>
          <w:p>
            <w:pPr>
              <w:jc w:val="center"/>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观察列表</w:t>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根据关联分析的结果将可疑或者需要关注的信息加入观察列表，并可以对观察列表中的信息进行关联，也可以被任何规则引用；</w:t>
            </w:r>
            <w:r/>
          </w:p>
        </w:tc>
      </w:tr>
      <w:tr>
        <w:trPr>
          <w:jc w:val="center"/>
          <w:trHeight w:val="1538"/>
        </w:trPr>
        <w:tc>
          <w:tcPr>
            <w:tcW w:w="802" w:type="pct"/>
            <w:vAlign w:val="center"/>
            <w:textDirection w:val="lrTb"/>
            <w:noWrap w:val="false"/>
          </w:tcPr>
          <w:p>
            <w:pPr>
              <w:jc w:val="center"/>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威胁情报采集</w:t>
            </w:r>
            <w:r/>
          </w:p>
        </w:tc>
        <w:tc>
          <w:tcPr>
            <w:tcW w:w="4198" w:type="pct"/>
            <w:textDirection w:val="lrTb"/>
            <w:noWrap w:val="false"/>
          </w:tcPr>
          <w:p>
            <w:pPr>
              <w:spacing w:line="400" w:lineRule="exact"/>
              <w:rPr>
                <w:rFonts w:hint="eastAsia" w:ascii="宋体" w:hAnsi="宋体" w:eastAsia="宋体" w:cs="宋体"/>
                <w:b/>
                <w:bCs/>
                <w:color w:val="auto"/>
                <w:highlight w:val="none"/>
              </w:rPr>
            </w:pPr>
            <w:r>
              <w:rPr>
                <w:rFonts w:hint="eastAsia" w:ascii="宋体" w:hAnsi="宋体" w:eastAsia="宋体" w:cs="宋体"/>
                <w:color w:val="auto"/>
                <w:highlight w:val="none"/>
              </w:rPr>
              <w:t xml:space="preserve">▲日志采集时支持对日志编码方式进行自定义选择，包括UTF-8、UTF-16、GBK／GB2312、IOS-8859-1等。</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r/>
          </w:p>
        </w:tc>
      </w:tr>
      <w:tr>
        <w:trPr>
          <w:jc w:val="center"/>
          <w:trHeight w:val="403"/>
        </w:trPr>
        <w:tc>
          <w:tcPr>
            <w:tcW w:w="802" w:type="pct"/>
            <w:vAlign w:val="center"/>
            <w:textDirection w:val="lrTb"/>
            <w:noWrap w:val="false"/>
          </w:tcPr>
          <w:p>
            <w:pPr>
              <w:jc w:val="center"/>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日志告警</w:t>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支持配置多种告警方式和告警动作，包括弹出提示框、播放警示音、发送邮件、发送微信消息、发送飞书消息、发送钉钉消息等；</w:t>
            </w:r>
            <w:r/>
          </w:p>
        </w:tc>
      </w:tr>
      <w:tr>
        <w:trPr>
          <w:jc w:val="center"/>
          <w:trHeight w:val="312"/>
        </w:trPr>
        <w:tc>
          <w:tcPr>
            <w:tcW w:w="802" w:type="pct"/>
            <w:vAlign w:val="center"/>
            <w:vMerge w:val="restart"/>
            <w:textDirection w:val="lrTb"/>
            <w:noWrap w:val="false"/>
          </w:tcPr>
          <w:p>
            <w:pPr>
              <w:jc w:val="center"/>
              <w:spacing w:line="400" w:lineRule="exact"/>
              <w:rPr>
                <w:rFonts w:hint="eastAsia" w:ascii="宋体" w:hAnsi="宋体" w:eastAsia="宋体" w:cs="宋体"/>
                <w:b/>
                <w:color w:val="auto"/>
                <w:highlight w:val="none"/>
              </w:rPr>
            </w:pPr>
            <w:r/>
            <w:bookmarkStart w:id="121" w:name="_Toc212442884"/>
            <w:r>
              <w:rPr>
                <w:rFonts w:hint="eastAsia" w:ascii="宋体" w:hAnsi="宋体" w:eastAsia="宋体" w:cs="宋体"/>
                <w:b/>
                <w:color w:val="auto"/>
                <w:highlight w:val="none"/>
              </w:rPr>
              <w:t xml:space="preserve">日志报表</w:t>
            </w:r>
            <w:bookmarkEnd w:id="121"/>
            <w:r/>
            <w:r/>
          </w:p>
        </w:tc>
        <w:tc>
          <w:tcPr>
            <w:tcW w:w="4198" w:type="pct"/>
            <w:textDirection w:val="lrTb"/>
            <w:noWrap w:val="false"/>
          </w:tcPr>
          <w:p>
            <w:pPr>
              <w:spacing w:line="400" w:lineRule="exact"/>
              <w:rPr>
                <w:rFonts w:hint="eastAsia" w:ascii="宋体" w:hAnsi="宋体" w:eastAsia="宋体" w:cs="宋体"/>
                <w:b/>
                <w:bCs/>
                <w:color w:val="auto"/>
                <w:highlight w:val="none"/>
              </w:rPr>
            </w:pPr>
            <w:r>
              <w:rPr>
                <w:rFonts w:hint="eastAsia" w:ascii="宋体" w:hAnsi="宋体" w:eastAsia="宋体" w:cs="宋体"/>
                <w:color w:val="auto"/>
                <w:highlight w:val="none"/>
              </w:rPr>
              <w:t xml:space="preserve">内置等级保护、PCI合规、SOX合规和ISO27001等合规类报表报告</w:t>
            </w:r>
            <w:r/>
          </w:p>
        </w:tc>
      </w:tr>
      <w:tr>
        <w:trPr>
          <w:jc w:val="center"/>
          <w:trHeight w:val="312"/>
        </w:trPr>
        <w:tc>
          <w:tcPr>
            <w:tcW w:w="802" w:type="pct"/>
            <w:vAlign w:val="center"/>
            <w:vMerge w:val="continue"/>
            <w:textDirection w:val="lrTb"/>
            <w:noWrap w:val="false"/>
          </w:tcPr>
          <w:p>
            <w:pPr>
              <w:jc w:val="center"/>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支持按照天、月度、季度、年度等时间周期生成报表；</w:t>
            </w:r>
            <w:r/>
          </w:p>
        </w:tc>
      </w:tr>
      <w:tr>
        <w:trPr>
          <w:jc w:val="center"/>
          <w:trHeight w:val="312"/>
        </w:trPr>
        <w:tc>
          <w:tcPr>
            <w:tcW w:w="802" w:type="pct"/>
            <w:vAlign w:val="center"/>
            <w:vMerge w:val="continue"/>
            <w:textDirection w:val="lrTb"/>
            <w:noWrap w:val="false"/>
          </w:tcPr>
          <w:p>
            <w:pPr>
              <w:jc w:val="center"/>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支持在报表中以柱状图、曲线图、饼状图方式统计安全报警情况；</w:t>
            </w:r>
            <w:r/>
          </w:p>
        </w:tc>
      </w:tr>
      <w:tr>
        <w:trPr>
          <w:jc w:val="center"/>
          <w:trHeight w:val="312"/>
        </w:trPr>
        <w:tc>
          <w:tcPr>
            <w:tcW w:w="802" w:type="pct"/>
            <w:vAlign w:val="center"/>
            <w:vMerge w:val="continue"/>
            <w:textDirection w:val="lrTb"/>
            <w:noWrap w:val="false"/>
          </w:tcPr>
          <w:p>
            <w:pPr>
              <w:jc w:val="center"/>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系统内置报表编辑器，可以自定义报表。</w:t>
            </w:r>
            <w:r/>
          </w:p>
        </w:tc>
      </w:tr>
      <w:tr>
        <w:trPr>
          <w:jc w:val="center"/>
          <w:trHeight w:val="312"/>
        </w:trPr>
        <w:tc>
          <w:tcPr>
            <w:tcW w:w="802" w:type="pct"/>
            <w:vAlign w:val="center"/>
            <w:vMerge w:val="continue"/>
            <w:textDirection w:val="lrTb"/>
            <w:noWrap w:val="false"/>
          </w:tcPr>
          <w:p>
            <w:pPr>
              <w:jc w:val="center"/>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支持报表调度，即报表可设置首次生成时间和间隔生成时间，生成后可指定直接发送到接收人邮箱。</w:t>
            </w:r>
            <w:r/>
          </w:p>
        </w:tc>
      </w:tr>
      <w:tr>
        <w:trPr>
          <w:jc w:val="center"/>
          <w:trHeight w:val="325"/>
        </w:trPr>
        <w:tc>
          <w:tcPr>
            <w:tcW w:w="802" w:type="pct"/>
            <w:vAlign w:val="center"/>
            <w:vMerge w:val="restart"/>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系统管理</w:t>
            </w:r>
            <w:r/>
          </w:p>
        </w:tc>
        <w:tc>
          <w:tcPr>
            <w:tcW w:w="4198" w:type="pct"/>
            <w:textDirection w:val="lrTb"/>
            <w:noWrap w:val="false"/>
          </w:tcPr>
          <w:p>
            <w:pPr>
              <w:pStyle w:val="911"/>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可对系统自身的CPU、内存、数据库空间大小等进行监控</w:t>
            </w:r>
            <w:r/>
          </w:p>
        </w:tc>
      </w:tr>
      <w:tr>
        <w:trPr>
          <w:jc w:val="center"/>
          <w:trHeight w:val="325"/>
        </w:trPr>
        <w:tc>
          <w:tcPr>
            <w:tcBorders>
              <w:bottom w:val="single" w:color="auto" w:sz="4" w:space="0"/>
            </w:tcBorders>
            <w:tcW w:w="802" w:type="pct"/>
            <w:vAlign w:val="center"/>
            <w:vMerge w:val="continue"/>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Borders>
              <w:bottom w:val="single" w:color="auto" w:sz="4" w:space="0"/>
            </w:tcBorders>
            <w:tcW w:w="4198" w:type="pct"/>
            <w:vAlign w:val="center"/>
            <w:textDirection w:val="lrTb"/>
            <w:noWrap w:val="false"/>
          </w:tcPr>
          <w:p>
            <w:pPr>
              <w:spacing w:before="78" w:after="78"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可以对自身运行的CPU、内存和磁盘空间等的使用率设置告警阈值；</w:t>
            </w:r>
            <w:r/>
          </w:p>
        </w:tc>
      </w:tr>
      <w:tr>
        <w:trPr>
          <w:jc w:val="center"/>
          <w:trHeight w:val="331"/>
        </w:trPr>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jc w:val="center"/>
              <w:spacing w:before="78" w:after="78"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售后服务</w:t>
            </w:r>
            <w:r/>
          </w:p>
        </w:tc>
        <w:tc>
          <w:tcPr>
            <w:tcBorders>
              <w:top w:val="single" w:color="auto" w:sz="4" w:space="0"/>
              <w:left w:val="single" w:color="auto" w:sz="4" w:space="0"/>
              <w:bottom w:val="single" w:color="auto" w:sz="4" w:space="0"/>
              <w:right w:val="single" w:color="auto" w:sz="4" w:space="0"/>
            </w:tcBorders>
            <w:tcW w:w="419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提供不少于3年原厂质保</w:t>
            </w:r>
            <w:r/>
          </w:p>
        </w:tc>
      </w:tr>
    </w:tbl>
    <w:p>
      <w:pPr>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网闸-星海医院</w:t>
      </w:r>
      <w:r/>
    </w:p>
    <w:tbl>
      <w:tblPr>
        <w:tblStyle w:val="9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2" w:type="dxa"/>
          <w:top w:w="0" w:type="dxa"/>
          <w:right w:w="62" w:type="dxa"/>
          <w:bottom w:w="0" w:type="dxa"/>
        </w:tblCellMar>
        <w:tblLook w:val="04A0" w:firstRow="1" w:lastRow="0" w:firstColumn="1" w:lastColumn="0" w:noHBand="0" w:noVBand="1"/>
      </w:tblPr>
      <w:tblGrid>
        <w:gridCol w:w="1353"/>
        <w:gridCol w:w="6949"/>
      </w:tblGrid>
      <w:tr>
        <w:trPr>
          <w:jc w:val="center"/>
          <w:trHeight w:val="469"/>
        </w:trPr>
        <w:tc>
          <w:tcPr>
            <w:tcW w:w="815" w:type="pct"/>
            <w:vAlign w:val="center"/>
            <w:textDirection w:val="lrTb"/>
            <w:noWrap w:val="false"/>
          </w:tcPr>
          <w:p>
            <w:pPr>
              <w:jc w:val="center"/>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指标项</w:t>
            </w:r>
            <w:r/>
          </w:p>
        </w:tc>
        <w:tc>
          <w:tcPr>
            <w:tcW w:w="4185" w:type="pct"/>
            <w:vAlign w:val="center"/>
            <w:textDirection w:val="lrTb"/>
            <w:noWrap w:val="false"/>
          </w:tcPr>
          <w:p>
            <w:pPr>
              <w:jc w:val="center"/>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规格要求</w:t>
            </w:r>
            <w:r/>
          </w:p>
        </w:tc>
      </w:tr>
      <w:tr>
        <w:trPr>
          <w:jc w:val="center"/>
          <w:trHeight w:val="532"/>
        </w:trPr>
        <w:tc>
          <w:tcPr>
            <w:tcW w:w="815" w:type="pct"/>
            <w:vAlign w:val="center"/>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硬件规格</w:t>
            </w:r>
            <w:r/>
          </w:p>
        </w:tc>
        <w:tc>
          <w:tcPr>
            <w:tcW w:w="4185" w:type="pct"/>
            <w:vAlign w:val="center"/>
            <w:textDirection w:val="lrTb"/>
            <w:noWrap w:val="false"/>
          </w:tcPr>
          <w:p>
            <w:pPr>
              <w:jc w:val="left"/>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标准机架式设备，采用国产化成熟CPU和国产化操作系统</w:t>
            </w:r>
            <w:r/>
          </w:p>
        </w:tc>
      </w:tr>
      <w:tr>
        <w:trPr>
          <w:jc w:val="center"/>
          <w:trHeight w:val="1502"/>
        </w:trPr>
        <w:tc>
          <w:tcPr>
            <w:tcW w:w="815" w:type="pct"/>
            <w:vAlign w:val="center"/>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接口和性能</w:t>
            </w:r>
            <w:r/>
          </w:p>
        </w:tc>
        <w:tc>
          <w:tcPr>
            <w:tcW w:w="4185" w:type="pct"/>
            <w:vAlign w:val="center"/>
            <w:textDirection w:val="lrTb"/>
            <w:noWrap w:val="false"/>
          </w:tcPr>
          <w:p>
            <w:pPr>
              <w:jc w:val="left"/>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内网接口：设备标配≥4个千兆电口，≥4个千兆光口，≥2个扩展槽位；外网接口：设备标配≥4个千兆电口，≥4个千兆光口，≥2个扩展槽位；吞吐量不低于800Mbps，并发数不小于20。</w:t>
            </w:r>
            <w:r/>
          </w:p>
        </w:tc>
      </w:tr>
      <w:tr>
        <w:trPr>
          <w:jc w:val="center"/>
          <w:trHeight w:val="545"/>
        </w:trPr>
        <w:tc>
          <w:tcPr>
            <w:tcW w:w="815" w:type="pct"/>
            <w:vAlign w:val="center"/>
            <w:textDirection w:val="lrTb"/>
            <w:noWrap w:val="false"/>
          </w:tcPr>
          <w:p>
            <w:pPr>
              <w:jc w:val="center"/>
              <w:spacing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系统架构</w:t>
            </w:r>
            <w:r/>
          </w:p>
        </w:tc>
        <w:tc>
          <w:tcPr>
            <w:tcW w:w="4185" w:type="pct"/>
            <w:vAlign w:val="center"/>
            <w:textDirection w:val="lrTb"/>
            <w:noWrap w:val="false"/>
          </w:tcPr>
          <w:p>
            <w:pPr>
              <w:jc w:val="left"/>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采用“2+1”系统架构，即由两个主机系统和一个隔离交换专用硬件组成；隔离交换矩阵基于专用芯片实现，保证数据在搬移的时间内，内、外网隔离卡与内、外网系统为断开状态。</w:t>
            </w:r>
            <w:r/>
          </w:p>
        </w:tc>
      </w:tr>
      <w:tr>
        <w:trPr>
          <w:jc w:val="center"/>
          <w:trHeight w:val="810"/>
        </w:trPr>
        <w:tc>
          <w:tcPr>
            <w:tcW w:w="815" w:type="pct"/>
            <w:vAlign w:val="center"/>
            <w:textDirection w:val="lrTb"/>
            <w:noWrap w:val="false"/>
          </w:tcPr>
          <w:p>
            <w:pPr>
              <w:jc w:val="center"/>
              <w:spacing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系统要求</w:t>
            </w:r>
            <w:r/>
          </w:p>
        </w:tc>
        <w:tc>
          <w:tcPr>
            <w:tcW w:w="4185" w:type="pct"/>
            <w:vAlign w:val="center"/>
            <w:textDirection w:val="lrTb"/>
            <w:noWrap w:val="false"/>
          </w:tcPr>
          <w:p>
            <w:pPr>
              <w:jc w:val="both"/>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内、外网主机分别具备三系统，即系统A、系统B和备份系统。支持在WEB界面上配置启动顺序，在A系统发生故障时，可以切换到B系统；支持将当前运行系统备份；</w:t>
            </w:r>
            <w:r/>
          </w:p>
        </w:tc>
      </w:tr>
      <w:tr>
        <w:trPr>
          <w:jc w:val="center"/>
          <w:trHeight w:val="90"/>
        </w:trPr>
        <w:tc>
          <w:tcPr>
            <w:tcW w:w="815" w:type="pct"/>
            <w:vAlign w:val="center"/>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IPv6环境支持</w:t>
            </w:r>
            <w:r/>
          </w:p>
        </w:tc>
        <w:tc>
          <w:tcPr>
            <w:tcW w:w="4185" w:type="pct"/>
            <w:vAlign w:val="center"/>
            <w:textDirection w:val="lrTb"/>
            <w:noWrap w:val="false"/>
          </w:tcPr>
          <w:p>
            <w:pPr>
              <w:jc w:val="both"/>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支持纯IPv6网络环境，能够在纯IPv6网络环境下正常工作。</w:t>
            </w:r>
            <w:r/>
          </w:p>
        </w:tc>
      </w:tr>
      <w:tr>
        <w:trPr>
          <w:jc w:val="center"/>
          <w:trHeight w:val="429"/>
        </w:trPr>
        <w:tc>
          <w:tcPr>
            <w:tcW w:w="815" w:type="pct"/>
            <w:vAlign w:val="center"/>
            <w:vMerge w:val="restart"/>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强制访问控制</w:t>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支持客户端认证方式。</w:t>
            </w:r>
            <w:r/>
          </w:p>
        </w:tc>
      </w:tr>
      <w:tr>
        <w:trPr>
          <w:jc w:val="center"/>
          <w:trHeight w:val="429"/>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b/>
                <w:bCs/>
                <w:color w:val="auto"/>
                <w:highlight w:val="none"/>
              </w:rPr>
            </w:pPr>
            <w:r>
              <w:rPr>
                <w:rFonts w:hint="eastAsia" w:ascii="宋体" w:hAnsi="宋体" w:eastAsia="宋体" w:cs="宋体"/>
                <w:color w:val="auto"/>
                <w:highlight w:val="none"/>
              </w:rPr>
              <w:t xml:space="preserve">支持基于动态令牌的双因子认证方式。</w:t>
            </w:r>
            <w:r/>
          </w:p>
        </w:tc>
      </w:tr>
      <w:tr>
        <w:trPr>
          <w:jc w:val="center"/>
          <w:trHeight w:val="429"/>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b/>
                <w:bCs/>
                <w:color w:val="auto"/>
                <w:highlight w:val="none"/>
              </w:rPr>
            </w:pPr>
            <w:r>
              <w:rPr>
                <w:rFonts w:hint="eastAsia" w:ascii="宋体" w:hAnsi="宋体" w:eastAsia="宋体" w:cs="宋体"/>
                <w:color w:val="auto"/>
                <w:highlight w:val="none"/>
              </w:rPr>
              <w:t xml:space="preserve">可对用户的客户端版本和进程进行检查，进行准入控制。</w:t>
            </w:r>
            <w:r/>
          </w:p>
        </w:tc>
      </w:tr>
      <w:tr>
        <w:trPr>
          <w:jc w:val="center"/>
          <w:trHeight w:val="429"/>
        </w:trPr>
        <w:tc>
          <w:tcPr>
            <w:tcW w:w="815" w:type="pct"/>
            <w:vAlign w:val="center"/>
            <w:vMerge w:val="restart"/>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文件交换</w:t>
            </w:r>
            <w:r/>
          </w:p>
        </w:tc>
        <w:tc>
          <w:tcPr>
            <w:tcW w:w="4185" w:type="pct"/>
            <w:vAlign w:val="center"/>
            <w:textDirection w:val="lrTb"/>
            <w:noWrap w:val="false"/>
          </w:tcPr>
          <w:p>
            <w:pPr>
              <w:jc w:val="both"/>
              <w:widowControl w:val="off"/>
              <w:rPr>
                <w:rFonts w:hint="eastAsia" w:ascii="宋体" w:hAnsi="宋体" w:eastAsia="宋体" w:cs="宋体"/>
                <w:b/>
                <w:bCs/>
                <w:color w:val="auto"/>
                <w:highlight w:val="none"/>
              </w:rPr>
            </w:pPr>
            <w:r>
              <w:rPr>
                <w:rFonts w:hint="eastAsia" w:ascii="宋体" w:hAnsi="宋体" w:eastAsia="宋体" w:cs="宋体"/>
                <w:color w:val="auto"/>
                <w:highlight w:val="none"/>
              </w:rPr>
              <w:t xml:space="preserve">支持文件传输长度及MD5校验，并支持校验失败自动重传；</w:t>
            </w:r>
            <w:r/>
          </w:p>
        </w:tc>
      </w:tr>
      <w:tr>
        <w:trPr>
          <w:jc w:val="center"/>
          <w:trHeight w:val="315"/>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支持断点续传；支持增量传输、发送后删除、改名传输等发送策略；</w:t>
            </w:r>
            <w:r/>
          </w:p>
        </w:tc>
      </w:tr>
      <w:tr>
        <w:trPr>
          <w:jc w:val="center"/>
          <w:trHeight w:val="90"/>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支持病毒检测；支持NFS、SMBFS、SAMBA等文件系统；文件服务器可以是Windows、Linux/Unix等系统平台；</w:t>
            </w:r>
            <w:r/>
          </w:p>
        </w:tc>
      </w:tr>
      <w:tr>
        <w:trPr>
          <w:jc w:val="center"/>
          <w:trHeight w:val="90"/>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支持文件格式特征过滤；并能提供具备图形化界面的文件类型判断工具以帮助用户识别不常见文件类型；</w:t>
            </w:r>
            <w:r/>
          </w:p>
        </w:tc>
      </w:tr>
      <w:tr>
        <w:trPr>
          <w:jc w:val="center"/>
          <w:trHeight w:val="90"/>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重名策略，接收端客户端支持对重名文件的控制策略，提供“覆盖”、“丢弃”、“重命名”等重名策略。</w:t>
            </w:r>
            <w:r/>
          </w:p>
        </w:tc>
      </w:tr>
      <w:tr>
        <w:trPr>
          <w:jc w:val="center"/>
          <w:trHeight w:val="423"/>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可根据异常条件进行报警，如MD5校验失败、堆内存占用过高等条件；支持邮件报警方式；</w:t>
            </w:r>
            <w:r/>
          </w:p>
        </w:tc>
      </w:tr>
      <w:tr>
        <w:trPr>
          <w:jc w:val="center"/>
          <w:trHeight w:val="90"/>
        </w:trPr>
        <w:tc>
          <w:tcPr>
            <w:tcW w:w="815" w:type="pct"/>
            <w:vAlign w:val="center"/>
            <w:vMerge w:val="restart"/>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文件同步</w:t>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支持NFS、SMBFS等文件系统；文件服务器可以是Windows、Linux/Unix等系统平台。</w:t>
            </w:r>
            <w:r/>
          </w:p>
        </w:tc>
      </w:tr>
      <w:tr>
        <w:trPr>
          <w:jc w:val="center"/>
          <w:trHeight w:val="285"/>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支持文件传输方向可控，实现单向或双向传输。</w:t>
            </w:r>
            <w:r/>
          </w:p>
        </w:tc>
      </w:tr>
      <w:tr>
        <w:trPr>
          <w:jc w:val="center"/>
          <w:trHeight w:val="525"/>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支持文件格式特征过滤；并能提供文件类型判断工具以帮助用户识别不常见文件类型。</w:t>
            </w:r>
            <w:r/>
          </w:p>
        </w:tc>
      </w:tr>
      <w:tr>
        <w:trPr>
          <w:jc w:val="center"/>
          <w:trHeight w:val="137"/>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重名策略，接收端客户端支持对重名文件的控制策略，提供“覆盖”、“丢弃”、“重命名”等重名策略。</w:t>
            </w:r>
            <w:r/>
          </w:p>
        </w:tc>
      </w:tr>
      <w:tr>
        <w:trPr>
          <w:jc w:val="center"/>
          <w:trHeight w:val="90"/>
        </w:trPr>
        <w:tc>
          <w:tcPr>
            <w:tcW w:w="815" w:type="pct"/>
            <w:vAlign w:val="center"/>
            <w:textDirection w:val="lrTb"/>
            <w:noWrap w:val="false"/>
          </w:tcPr>
          <w:p>
            <w:pPr>
              <w:jc w:val="center"/>
              <w:spacing w:line="400" w:lineRule="exact"/>
              <w:widowControl/>
              <w:rPr>
                <w:rFonts w:hint="eastAsia" w:ascii="宋体" w:hAnsi="宋体" w:eastAsia="宋体" w:cs="宋体"/>
                <w:color w:val="auto"/>
                <w:highlight w:val="none"/>
              </w:rPr>
            </w:pPr>
            <w:r>
              <w:rPr>
                <w:rFonts w:hint="eastAsia" w:ascii="宋体" w:hAnsi="宋体" w:eastAsia="宋体" w:cs="宋体"/>
                <w:b/>
                <w:bCs/>
                <w:color w:val="auto"/>
                <w:highlight w:val="none"/>
              </w:rPr>
              <w:t xml:space="preserve">文件网盘</w:t>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支持对外开启WEB服务，供用户登录进行文件上传/下载操作</w:t>
            </w:r>
            <w:r/>
          </w:p>
        </w:tc>
      </w:tr>
      <w:tr>
        <w:trPr>
          <w:jc w:val="center"/>
          <w:trHeight w:val="585"/>
        </w:trPr>
        <w:tc>
          <w:tcPr>
            <w:tcW w:w="815" w:type="pct"/>
            <w:vAlign w:val="center"/>
            <w:vMerge w:val="restart"/>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数据库同步</w:t>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支持Oracle、SQL Server、Sybase、Db2、MySQL等主流数据库；数据库同步客户端支持Windows、Linux等主流平台；</w:t>
            </w:r>
            <w:r/>
          </w:p>
        </w:tc>
      </w:tr>
      <w:tr>
        <w:trPr>
          <w:jc w:val="center"/>
          <w:trHeight w:val="90"/>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支持达梦、人大金仓、Gbase、神通数据库、博阳等主流国产数据库；</w:t>
            </w:r>
            <w:r/>
          </w:p>
        </w:tc>
      </w:tr>
      <w:tr>
        <w:trPr>
          <w:jc w:val="center"/>
          <w:trHeight w:val="285"/>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支持同种数据库间（同构）和不同种数据库间（异构）的同步；</w:t>
            </w:r>
            <w:r/>
          </w:p>
        </w:tc>
      </w:tr>
      <w:tr>
        <w:trPr>
          <w:jc w:val="center"/>
          <w:trHeight w:val="555"/>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支持灵活的数据库冲突处理策略，当关键字数据发生冲突时可选择：覆盖/丢弃；</w:t>
            </w:r>
            <w:r/>
          </w:p>
        </w:tc>
      </w:tr>
      <w:tr>
        <w:trPr>
          <w:jc w:val="center"/>
          <w:trHeight w:val="525"/>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支持数据库同步客户端的双机热备技术，为用户提供更高的冗余技术支持；</w:t>
            </w:r>
            <w:r/>
          </w:p>
        </w:tc>
      </w:tr>
      <w:tr>
        <w:trPr>
          <w:jc w:val="center"/>
          <w:trHeight w:val="90"/>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支持字段值按条件进行数据同步</w:t>
            </w:r>
            <w:r/>
          </w:p>
        </w:tc>
      </w:tr>
      <w:tr>
        <w:trPr>
          <w:jc w:val="center"/>
          <w:trHeight w:val="287"/>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支持数据容错处理，当数据同步失败时，用户可以查询、恢复、删除未能正常传输的数据。</w:t>
            </w:r>
            <w:r/>
          </w:p>
        </w:tc>
      </w:tr>
      <w:tr>
        <w:trPr>
          <w:jc w:val="center"/>
          <w:trHeight w:val="90"/>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b/>
                <w:bCs/>
                <w:color w:val="auto"/>
                <w:highlight w:val="none"/>
              </w:rPr>
            </w:pPr>
            <w:r>
              <w:rPr>
                <w:rFonts w:hint="eastAsia" w:ascii="宋体" w:hAnsi="宋体" w:eastAsia="宋体" w:cs="宋体"/>
                <w:color w:val="auto"/>
                <w:highlight w:val="none"/>
              </w:rPr>
              <w:t xml:space="preserve">支持添加客户端与网闸间证书方式的身份认证；</w:t>
            </w:r>
            <w:r/>
          </w:p>
        </w:tc>
      </w:tr>
      <w:tr>
        <w:trPr>
          <w:jc w:val="center"/>
          <w:trHeight w:val="585"/>
        </w:trPr>
        <w:tc>
          <w:tcPr>
            <w:tcW w:w="815" w:type="pct"/>
            <w:vAlign w:val="center"/>
            <w:vMerge w:val="restart"/>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数据库传输</w:t>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实现对多种（如MySql、SqlServer、Oracle、DB2、Sybase）主流数据库系统的安全访问；</w:t>
            </w:r>
            <w:r/>
          </w:p>
        </w:tc>
      </w:tr>
      <w:tr>
        <w:trPr>
          <w:jc w:val="center"/>
          <w:trHeight w:val="409"/>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提供数据库访问用户的过滤和控制；</w:t>
            </w:r>
            <w:r/>
          </w:p>
        </w:tc>
      </w:tr>
      <w:tr>
        <w:trPr>
          <w:jc w:val="center"/>
          <w:trHeight w:val="409"/>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both"/>
              <w:widowControl w:val="off"/>
              <w:rPr>
                <w:rFonts w:hint="eastAsia" w:ascii="宋体" w:hAnsi="宋体" w:eastAsia="宋体" w:cs="宋体"/>
                <w:b/>
                <w:bCs/>
                <w:color w:val="auto"/>
                <w:highlight w:val="none"/>
              </w:rPr>
            </w:pPr>
            <w:r>
              <w:rPr>
                <w:rFonts w:hint="eastAsia" w:ascii="宋体" w:hAnsi="宋体" w:eastAsia="宋体" w:cs="宋体"/>
                <w:color w:val="auto"/>
                <w:highlight w:val="none"/>
              </w:rPr>
              <w:t xml:space="preserve">支持数据库SQL语句过滤功能；</w:t>
            </w:r>
            <w:r/>
          </w:p>
        </w:tc>
      </w:tr>
      <w:tr>
        <w:trPr>
          <w:jc w:val="center"/>
          <w:trHeight w:val="409"/>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支持oracle数据库集群访问</w:t>
            </w:r>
            <w:r/>
          </w:p>
        </w:tc>
      </w:tr>
      <w:tr>
        <w:trPr>
          <w:jc w:val="center"/>
          <w:trHeight w:val="409"/>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支持用户身份认证。</w:t>
            </w:r>
            <w:r/>
          </w:p>
        </w:tc>
      </w:tr>
      <w:tr>
        <w:trPr>
          <w:jc w:val="center"/>
          <w:trHeight w:val="555"/>
        </w:trPr>
        <w:tc>
          <w:tcPr>
            <w:tcW w:w="815" w:type="pct"/>
            <w:vAlign w:val="center"/>
            <w:vMerge w:val="restart"/>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FTP访问</w:t>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实现安全的FTP访问，支持对访问用户、访问协议命令、上传下载文件类型等访问过滤控制；</w:t>
            </w:r>
            <w:r/>
          </w:p>
        </w:tc>
      </w:tr>
      <w:tr>
        <w:trPr>
          <w:jc w:val="center"/>
          <w:trHeight w:val="384"/>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支持访问时段策略；时间可以设置为一次性或者周循环方式；</w:t>
            </w:r>
            <w:r/>
          </w:p>
        </w:tc>
      </w:tr>
      <w:tr>
        <w:trPr>
          <w:jc w:val="center"/>
          <w:trHeight w:val="384"/>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支持HTTP请求头部大小限制</w:t>
            </w:r>
            <w:r/>
          </w:p>
        </w:tc>
      </w:tr>
      <w:tr>
        <w:trPr>
          <w:jc w:val="center"/>
          <w:trHeight w:val="384"/>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支持用户身份认证。</w:t>
            </w:r>
            <w:r/>
          </w:p>
        </w:tc>
      </w:tr>
      <w:tr>
        <w:trPr>
          <w:jc w:val="center"/>
          <w:trHeight w:val="384"/>
        </w:trPr>
        <w:tc>
          <w:tcPr>
            <w:tcW w:w="815" w:type="pct"/>
            <w:vAlign w:val="center"/>
            <w:vMerge w:val="restart"/>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邮件传输</w:t>
            </w:r>
            <w:r/>
          </w:p>
        </w:tc>
        <w:tc>
          <w:tcPr>
            <w:tcW w:w="4185"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支持基于SMTP协议的邮件发送和POP3协议的邮件接收；</w:t>
            </w:r>
            <w:r/>
          </w:p>
        </w:tc>
      </w:tr>
      <w:tr>
        <w:trPr>
          <w:jc w:val="center"/>
          <w:trHeight w:val="525"/>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支持邮件主题及正文的关键字过滤，以及收件人、发件人地址黑白名单；</w:t>
            </w:r>
            <w:r/>
          </w:p>
        </w:tc>
      </w:tr>
      <w:tr>
        <w:trPr>
          <w:jc w:val="center"/>
          <w:trHeight w:val="285"/>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支持对邮件附件大小进行控制；支持附件类型过滤；</w:t>
            </w:r>
            <w:r/>
          </w:p>
        </w:tc>
      </w:tr>
      <w:tr>
        <w:trPr>
          <w:jc w:val="center"/>
          <w:trHeight w:val="240"/>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邮件收发支持时段访问控制；时间段可以是一次性执行、周循环两种方式；</w:t>
            </w:r>
            <w:r/>
          </w:p>
        </w:tc>
      </w:tr>
      <w:tr>
        <w:trPr>
          <w:jc w:val="center"/>
          <w:trHeight w:val="285"/>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支持用户身份认证。</w:t>
            </w:r>
            <w:r/>
          </w:p>
        </w:tc>
      </w:tr>
      <w:tr>
        <w:trPr>
          <w:jc w:val="center"/>
          <w:trHeight w:val="285"/>
        </w:trPr>
        <w:tc>
          <w:tcPr>
            <w:tcW w:w="815" w:type="pct"/>
            <w:vAlign w:val="center"/>
            <w:vMerge w:val="restart"/>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视频传输</w:t>
            </w:r>
            <w:r/>
          </w:p>
        </w:tc>
        <w:tc>
          <w:tcPr>
            <w:tcW w:w="4185"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支持视频服务器认证，有效保证非法视频服务器不能接入用户的内部网络。</w:t>
            </w:r>
            <w:r/>
          </w:p>
        </w:tc>
      </w:tr>
      <w:tr>
        <w:trPr>
          <w:jc w:val="center"/>
          <w:trHeight w:val="525"/>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▲支持SIP、GB35114、GB/T 28181、DB33、H.323、ONVIF、RTSP、国电B类接口等通用协议；</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r/>
          </w:p>
        </w:tc>
      </w:tr>
      <w:tr>
        <w:trPr>
          <w:jc w:val="center"/>
          <w:trHeight w:val="401"/>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内置视频厂商协议模板，可简化配置、调试步骤；</w:t>
            </w:r>
            <w:r/>
          </w:p>
        </w:tc>
      </w:tr>
      <w:tr>
        <w:trPr>
          <w:jc w:val="center"/>
          <w:trHeight w:val="401"/>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支持集群部署；</w:t>
            </w:r>
            <w:r/>
          </w:p>
        </w:tc>
      </w:tr>
      <w:tr>
        <w:trPr>
          <w:jc w:val="center"/>
          <w:trHeight w:val="585"/>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支持视频功能类型过滤，包括实时点播、历史回放、录像下载、云台控制、回放控制、录像检索、设备查询等；</w:t>
            </w:r>
            <w:r/>
          </w:p>
        </w:tc>
      </w:tr>
      <w:tr>
        <w:trPr>
          <w:jc w:val="center"/>
          <w:trHeight w:val="285"/>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支持视频格式过滤，包括G.711、G.729、H.264、H.263、MP4、PS等；</w:t>
            </w:r>
            <w:r/>
          </w:p>
        </w:tc>
      </w:tr>
      <w:tr>
        <w:trPr>
          <w:jc w:val="center"/>
          <w:trHeight w:val="90"/>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业务状态监控功能，实时提供业务是否可用、连接会话、流量统计等信息。</w:t>
            </w:r>
            <w:r/>
          </w:p>
        </w:tc>
      </w:tr>
      <w:tr>
        <w:trPr>
          <w:jc w:val="center"/>
          <w:trHeight w:val="442"/>
        </w:trPr>
        <w:tc>
          <w:tcPr>
            <w:tcW w:w="815" w:type="pct"/>
            <w:vAlign w:val="center"/>
            <w:vMerge w:val="restart"/>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安全管理</w:t>
            </w:r>
            <w:r/>
          </w:p>
        </w:tc>
        <w:tc>
          <w:tcPr>
            <w:tcW w:w="4185"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支持HTTPS的Web方式管理，实现了远程管理信息加密传输；</w:t>
            </w:r>
            <w:r/>
          </w:p>
        </w:tc>
      </w:tr>
      <w:tr>
        <w:trPr>
          <w:jc w:val="center"/>
          <w:trHeight w:val="525"/>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内/外网主机系统分别具有独立管理接口，而不是采用低安全的管理方式，如通过业务口管理或通过内网唯一管理接口完成全部管理等；</w:t>
            </w:r>
            <w:r/>
          </w:p>
        </w:tc>
      </w:tr>
      <w:tr>
        <w:trPr>
          <w:jc w:val="center"/>
          <w:trHeight w:val="472"/>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支持病毒检测专用模块</w:t>
            </w:r>
            <w:r/>
          </w:p>
        </w:tc>
      </w:tr>
      <w:tr>
        <w:trPr>
          <w:jc w:val="center"/>
          <w:trHeight w:val="90"/>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抗攻击功能，能够识别和防御抗地址欺骗攻击、抗源路由攻击、抗Smurf攻击、抗LAND攻击、抗Winnuke攻击、抗Queso扫描、抗SYN/FIN扫描、抗Null扫描、抗圣诞树攻击、抗死亡之PING扫描、抗fraggle攻击、抗TearDrop攻击、抗SYN Flood、抗UDP Flood、抗ICMP Flood等。</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r/>
          </w:p>
        </w:tc>
      </w:tr>
      <w:tr>
        <w:trPr>
          <w:jc w:val="center"/>
          <w:trHeight w:val="505"/>
        </w:trPr>
        <w:tc>
          <w:tcPr>
            <w:tcW w:w="815" w:type="pct"/>
            <w:vAlign w:val="center"/>
            <w:vMerge w:val="continue"/>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185"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支持配置文件以加密的方式导出。</w:t>
            </w:r>
            <w:r/>
          </w:p>
        </w:tc>
      </w:tr>
      <w:tr>
        <w:trPr>
          <w:jc w:val="center"/>
          <w:trHeight w:val="505"/>
        </w:trPr>
        <w:tc>
          <w:tcPr>
            <w:tcW w:w="815" w:type="pct"/>
            <w:vAlign w:val="center"/>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售后服务</w:t>
            </w:r>
            <w:r/>
          </w:p>
        </w:tc>
        <w:tc>
          <w:tcPr>
            <w:tcW w:w="4185"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提供不少于3年原厂质保</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上网行为管理-星湖医院</w:t>
      </w:r>
      <w:r/>
    </w:p>
    <w:tbl>
      <w:tblPr>
        <w:tblStyle w:val="9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93"/>
        <w:gridCol w:w="6409"/>
      </w:tblGrid>
      <w:tr>
        <w:trPr>
          <w:jc w:val="center"/>
          <w:trHeight w:val="360"/>
        </w:trPr>
        <w:tc>
          <w:tcPr>
            <w:tcBorders>
              <w:top w:val="single" w:color="auto" w:sz="4" w:space="0"/>
              <w:left w:val="single" w:color="auto" w:sz="4" w:space="0"/>
              <w:bottom w:val="single" w:color="auto" w:sz="4" w:space="0"/>
              <w:right w:val="single" w:color="auto" w:sz="4" w:space="0"/>
            </w:tcBorders>
            <w:tcW w:w="1140" w:type="pct"/>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color w:val="auto"/>
                <w:highlight w:val="none"/>
              </w:rPr>
              <w:t xml:space="preserve">指标项</w:t>
            </w:r>
            <w:r/>
          </w:p>
        </w:tc>
        <w:tc>
          <w:tcPr>
            <w:tcBorders>
              <w:top w:val="single" w:color="auto" w:sz="4" w:space="0"/>
              <w:left w:val="none" w:color="000000" w:sz="4" w:space="0"/>
              <w:bottom w:val="single" w:color="auto" w:sz="4" w:space="0"/>
              <w:right w:val="single" w:color="auto" w:sz="4" w:space="0"/>
            </w:tcBorders>
            <w:tcW w:w="3860" w:type="pct"/>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color w:val="auto"/>
                <w:highlight w:val="none"/>
              </w:rPr>
              <w:t xml:space="preserve">指标要求</w:t>
            </w:r>
            <w:r/>
          </w:p>
        </w:tc>
      </w:tr>
      <w:tr>
        <w:trPr>
          <w:jc w:val="center"/>
          <w:trHeight w:val="360"/>
        </w:trPr>
        <w:tc>
          <w:tcPr>
            <w:tcW w:w="1140" w:type="pct"/>
            <w:vAlign w:val="center"/>
            <w:textDirection w:val="lrTb"/>
            <w:noWrap w:val="false"/>
          </w:tcPr>
          <w:p>
            <w:pPr>
              <w:jc w:val="center"/>
              <w:spacing w:line="400" w:lineRule="exact"/>
              <w:rPr>
                <w:rFonts w:hint="eastAsia" w:ascii="宋体" w:hAnsi="宋体" w:eastAsia="宋体" w:cs="宋体"/>
                <w:color w:val="auto"/>
                <w:highlight w:val="none"/>
                <w14:ligatures w14:val="standardContextual"/>
              </w:rPr>
            </w:pPr>
            <w:r>
              <w:rPr>
                <w:rFonts w:hint="eastAsia" w:ascii="宋体" w:hAnsi="宋体" w:eastAsia="宋体" w:cs="宋体"/>
                <w:color w:val="auto"/>
                <w:highlight w:val="none"/>
              </w:rPr>
              <w:t xml:space="preserve">性能要求</w:t>
            </w:r>
            <w:r/>
          </w:p>
        </w:tc>
        <w:tc>
          <w:tcPr>
            <w:tcW w:w="3860"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网络层吞吐量≥8Gb，应用层吞吐量≥1.1Gb，带宽性能≥700Mb，支持用户数≥4500，包转发率≥108Kpps，每秒新建连接数≥12000，最大并发连接数≥500000。</w:t>
            </w:r>
            <w:r/>
          </w:p>
        </w:tc>
      </w:tr>
      <w:tr>
        <w:trPr>
          <w:jc w:val="center"/>
          <w:trHeight w:val="360"/>
        </w:trPr>
        <w:tc>
          <w:tcPr>
            <w:tcW w:w="1140" w:type="pct"/>
            <w:vAlign w:val="center"/>
            <w:textDirection w:val="lrTb"/>
            <w:noWrap w:val="false"/>
          </w:tcPr>
          <w:p>
            <w:pPr>
              <w:jc w:val="center"/>
              <w:spacing w:line="400" w:lineRule="exact"/>
              <w:rPr>
                <w:rFonts w:hint="eastAsia" w:ascii="宋体" w:hAnsi="宋体" w:eastAsia="宋体" w:cs="宋体"/>
                <w:color w:val="auto"/>
                <w:highlight w:val="none"/>
                <w14:ligatures w14:val="standardContextual"/>
              </w:rPr>
            </w:pPr>
            <w:r>
              <w:rPr>
                <w:rFonts w:hint="eastAsia" w:ascii="宋体" w:hAnsi="宋体" w:eastAsia="宋体" w:cs="宋体"/>
                <w:color w:val="auto"/>
                <w:highlight w:val="none"/>
              </w:rPr>
              <w:t xml:space="preserve">硬件要求</w:t>
            </w:r>
            <w:r/>
          </w:p>
        </w:tc>
        <w:tc>
          <w:tcPr>
            <w:tcW w:w="3860"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内存≥8G，硬盘容量≥480G SSD，接口：6千兆电口+4千兆光口SFP。要求设备采用国产芯片及国产操作系统。</w:t>
            </w:r>
            <w:r/>
          </w:p>
        </w:tc>
      </w:tr>
      <w:tr>
        <w:trPr>
          <w:jc w:val="center"/>
          <w:trHeight w:val="360"/>
        </w:trPr>
        <w:tc>
          <w:tcPr>
            <w:tcW w:w="1140"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应用识别规则库</w:t>
            </w:r>
            <w:r/>
          </w:p>
        </w:tc>
        <w:tc>
          <w:tcPr>
            <w:tcW w:w="3860" w:type="pct"/>
            <w:vAlign w:val="center"/>
            <w:textDirection w:val="lrTb"/>
            <w:noWrap w:val="false"/>
          </w:tcPr>
          <w:p>
            <w:pPr>
              <w:spacing w:line="400" w:lineRule="exact"/>
              <w:rPr>
                <w:rFonts w:hint="eastAsia" w:ascii="宋体" w:hAnsi="宋体" w:eastAsia="宋体" w:cs="宋体"/>
                <w:b/>
                <w:bCs/>
                <w:color w:val="auto"/>
                <w:highlight w:val="none"/>
              </w:rPr>
            </w:pPr>
            <w:r>
              <w:rPr>
                <w:rFonts w:hint="eastAsia" w:ascii="宋体" w:hAnsi="宋体" w:eastAsia="宋体" w:cs="宋体"/>
                <w:color w:val="auto"/>
                <w:highlight w:val="none"/>
              </w:rPr>
              <w:t xml:space="preserve">▲设备内置应用识别规则库，支持超过10000种以上应用规则数、支持超过10000种以上的应用；支持根据标签选择应用，并支持给每个应用自定义标签；支持根据标签选择一类应用做控制；支持超过4000种以上主流Saas应用，对Saas应用有默认分类标签，帮助客户统一配置策略。</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r/>
          </w:p>
        </w:tc>
      </w:tr>
      <w:tr>
        <w:trPr>
          <w:jc w:val="center"/>
          <w:trHeight w:val="360"/>
        </w:trPr>
        <w:tc>
          <w:tcPr>
            <w:tcW w:w="1140"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部署方式</w:t>
            </w:r>
            <w:r/>
          </w:p>
        </w:tc>
        <w:tc>
          <w:tcPr>
            <w:tcW w:w="3860"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支持DNS代理，能够基于用户、域名、目标DNS，指定代理策略生效，代理策略可以设置为：重定向至DNS服务器、解析为IP、丢弃、重定向至指定线路。</w:t>
            </w:r>
            <w:r/>
          </w:p>
        </w:tc>
      </w:tr>
      <w:tr>
        <w:trPr>
          <w:jc w:val="center"/>
          <w:trHeight w:val="360"/>
        </w:trPr>
        <w:tc>
          <w:tcPr>
            <w:tcW w:w="1140" w:type="pct"/>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color w:val="auto"/>
                <w:highlight w:val="none"/>
              </w:rPr>
              <w:t xml:space="preserve">协同办公认证</w:t>
            </w:r>
            <w:r/>
          </w:p>
        </w:tc>
        <w:tc>
          <w:tcPr>
            <w:tcW w:w="3860"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支持通过钉钉、企业微信等第三方协同办公软件进行授权认证。</w:t>
            </w:r>
            <w:r/>
          </w:p>
        </w:tc>
      </w:tr>
      <w:tr>
        <w:trPr>
          <w:jc w:val="center"/>
          <w:trHeight w:val="360"/>
        </w:trPr>
        <w:tc>
          <w:tcPr>
            <w:tcW w:w="1140"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故障排查</w:t>
            </w:r>
            <w:r/>
          </w:p>
        </w:tc>
        <w:tc>
          <w:tcPr>
            <w:tcW w:w="3860"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支持网络故障排查，支持PPS异常、丢包异常、ARP异常、内网DOS攻击等异常情况实时监测，显示每日异常事件个数及情况。</w:t>
            </w:r>
            <w:r/>
          </w:p>
        </w:tc>
      </w:tr>
      <w:tr>
        <w:trPr>
          <w:jc w:val="center"/>
          <w:trHeight w:val="360"/>
        </w:trPr>
        <w:tc>
          <w:tcPr>
            <w:tcW w:w="1140" w:type="pct"/>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认证方式</w:t>
            </w:r>
            <w:r/>
          </w:p>
        </w:tc>
        <w:tc>
          <w:tcPr>
            <w:tcW w:w="3860"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▲支持账号密码+动态令牌（Authenticator APP）验证码身份认证，支持通过短信和密码绑定动态令牌。</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r/>
          </w:p>
        </w:tc>
      </w:tr>
      <w:tr>
        <w:trPr>
          <w:jc w:val="center"/>
          <w:trHeight w:val="360"/>
        </w:trPr>
        <w:tc>
          <w:tcPr>
            <w:tcW w:w="1140" w:type="pct"/>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860"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支持radius、AD、POP3、Proxy、PPPOE、 H3C IMC/CAMS、锐捷 SAM、城市热点等系统进行认证单点登录，简化用户操作，可强制指定用户、指定IP段的用户必须使用单点登录。</w:t>
            </w:r>
            <w:r/>
          </w:p>
        </w:tc>
      </w:tr>
      <w:tr>
        <w:trPr>
          <w:jc w:val="center"/>
          <w:trHeight w:val="360"/>
        </w:trPr>
        <w:tc>
          <w:tcPr>
            <w:tcW w:w="1140" w:type="pct"/>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860"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支持终端用户账号绑定手机号码和微信号，绑定后可以通过手机验证码和微信扫码实现上网快捷登录认证。 </w:t>
            </w:r>
            <w:r/>
          </w:p>
        </w:tc>
      </w:tr>
      <w:tr>
        <w:trPr>
          <w:jc w:val="center"/>
          <w:trHeight w:val="360"/>
        </w:trPr>
        <w:tc>
          <w:tcPr>
            <w:tcW w:w="1140" w:type="pct"/>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用户管理</w:t>
            </w:r>
            <w:r/>
          </w:p>
        </w:tc>
        <w:tc>
          <w:tcPr>
            <w:tcW w:w="3860"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1.可设置用户密码置密码最小长度；2.可设置密码必须包括数字或字母或特殊字符；3.可设置用户密码不能等于用户名；4.新密码不能与旧密码相同。</w:t>
            </w:r>
            <w:r/>
          </w:p>
        </w:tc>
      </w:tr>
      <w:tr>
        <w:trPr>
          <w:jc w:val="center"/>
          <w:trHeight w:val="360"/>
        </w:trPr>
        <w:tc>
          <w:tcPr>
            <w:tcW w:w="1140" w:type="pct"/>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860"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支持为用户添加自定义属性（职位、临时项目组、邮件组等），能够根据用户属性自动归类并可以针对用户属性配置上网权限策略、流控策略，审计策略等。</w:t>
            </w:r>
            <w:r/>
          </w:p>
        </w:tc>
      </w:tr>
      <w:tr>
        <w:trPr>
          <w:jc w:val="center"/>
          <w:trHeight w:val="360"/>
        </w:trPr>
        <w:tc>
          <w:tcPr>
            <w:tcW w:w="1140" w:type="pct"/>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邮件管理</w:t>
            </w:r>
            <w:r/>
          </w:p>
        </w:tc>
        <w:tc>
          <w:tcPr>
            <w:tcW w:w="3860"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支持允许用户登录Web mail收邮件，而禁止发送Web mail邮件的功能。</w:t>
            </w:r>
            <w:r/>
          </w:p>
        </w:tc>
      </w:tr>
      <w:tr>
        <w:trPr>
          <w:jc w:val="center"/>
          <w:trHeight w:val="531"/>
        </w:trPr>
        <w:tc>
          <w:tcPr>
            <w:tcW w:w="1140" w:type="pct"/>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860"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支持对加密HTTPS、SMTP-SSL、SMTP的邮件进行识别。</w:t>
            </w:r>
            <w:r/>
          </w:p>
        </w:tc>
      </w:tr>
      <w:tr>
        <w:trPr>
          <w:jc w:val="center"/>
          <w:trHeight w:val="360"/>
        </w:trPr>
        <w:tc>
          <w:tcPr>
            <w:tcW w:w="1140" w:type="pct"/>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color w:val="auto"/>
                <w:highlight w:val="none"/>
              </w:rPr>
              <w:t xml:space="preserve">SSL解密与加密网页管理</w:t>
            </w:r>
            <w:r/>
          </w:p>
        </w:tc>
        <w:tc>
          <w:tcPr>
            <w:tcW w:w="3860"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支持SSL中间人解密和客户端解密，确保数据传输的透明性与安全性。</w:t>
            </w:r>
            <w:r/>
          </w:p>
        </w:tc>
      </w:tr>
      <w:tr>
        <w:trPr>
          <w:jc w:val="center"/>
          <w:trHeight w:val="360"/>
        </w:trPr>
        <w:tc>
          <w:tcPr>
            <w:tcW w:w="1140" w:type="pct"/>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流控策略</w:t>
            </w:r>
            <w:r/>
          </w:p>
        </w:tc>
        <w:tc>
          <w:tcPr>
            <w:tcW w:w="3860"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支持基于用户组、位置、终端类型、URL类型配置流量管控策略，支持基于IP或用户名灵活配置流控单位。</w:t>
            </w:r>
            <w:r/>
          </w:p>
        </w:tc>
      </w:tr>
      <w:tr>
        <w:trPr>
          <w:jc w:val="center"/>
          <w:trHeight w:val="360"/>
        </w:trPr>
        <w:tc>
          <w:tcPr>
            <w:tcW w:w="1140" w:type="pct"/>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860"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能够实时看到各级流控通道的状态：包括所属线路、瞬时速率、通道占用比例、用户数、保证带宽、最大带宽，启用状态等。</w:t>
            </w:r>
            <w:r/>
          </w:p>
        </w:tc>
      </w:tr>
      <w:tr>
        <w:trPr>
          <w:jc w:val="center"/>
          <w:trHeight w:val="500"/>
        </w:trPr>
        <w:tc>
          <w:tcPr>
            <w:tcW w:w="1140"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售后服务</w:t>
            </w:r>
            <w:r/>
          </w:p>
        </w:tc>
        <w:tc>
          <w:tcPr>
            <w:tcW w:w="3860"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提供不少于3年原厂质保</w:t>
            </w:r>
            <w:r/>
          </w:p>
        </w:tc>
      </w:tr>
    </w:tbl>
    <w:p>
      <w:pPr>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日志审计-星湖医院</w:t>
      </w:r>
      <w:r/>
    </w:p>
    <w:tbl>
      <w:tblPr>
        <w:tblStyle w:val="90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2"/>
        <w:gridCol w:w="6970"/>
      </w:tblGrid>
      <w:tr>
        <w:trPr>
          <w:tblHeader/>
        </w:trPr>
        <w:tc>
          <w:tcPr>
            <w:tcW w:w="802" w:type="pct"/>
            <w:vAlign w:val="center"/>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t xml:space="preserve">指标项</w:t>
            </w:r>
            <w:r/>
          </w:p>
        </w:tc>
        <w:tc>
          <w:tcPr>
            <w:tcW w:w="4198" w:type="pct"/>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t xml:space="preserve">指标要求</w:t>
            </w:r>
            <w:r/>
          </w:p>
        </w:tc>
      </w:tr>
      <w:tr>
        <w:trPr>
          <w:trHeight w:val="403"/>
        </w:trPr>
        <w:tc>
          <w:tcPr>
            <w:tcW w:w="802" w:type="pct"/>
            <w:vAlign w:val="center"/>
            <w:textDirection w:val="lrTb"/>
            <w:noWrap w:val="false"/>
          </w:tcPr>
          <w:p>
            <w:pPr>
              <w:jc w:val="center"/>
              <w:spacing w:before="78" w:after="78"/>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硬件规格</w:t>
            </w:r>
            <w:r/>
          </w:p>
        </w:tc>
        <w:tc>
          <w:tcPr>
            <w:tcW w:w="4198" w:type="pct"/>
            <w:textDirection w:val="lrTb"/>
            <w:noWrap w:val="false"/>
          </w:tcPr>
          <w:p>
            <w:pPr>
              <w:spacing w:before="78" w:after="78"/>
              <w:rPr>
                <w:rFonts w:hint="eastAsia" w:ascii="宋体" w:hAnsi="宋体" w:eastAsia="宋体" w:cs="宋体"/>
                <w:color w:val="auto"/>
                <w:highlight w:val="none"/>
              </w:rPr>
            </w:pPr>
            <w:r>
              <w:rPr>
                <w:rFonts w:hint="eastAsia" w:ascii="宋体" w:hAnsi="宋体" w:eastAsia="宋体" w:cs="宋体"/>
                <w:color w:val="auto"/>
                <w:highlight w:val="none"/>
              </w:rPr>
              <w:t xml:space="preserve">标准机架设备，采用国产化成熟CPU，国产化成熟操作系统；</w:t>
            </w:r>
            <w:r/>
          </w:p>
        </w:tc>
      </w:tr>
      <w:tr>
        <w:trPr>
          <w:trHeight w:val="403"/>
        </w:trPr>
        <w:tc>
          <w:tcPr>
            <w:tcW w:w="802" w:type="pct"/>
            <w:vAlign w:val="center"/>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bCs/>
                <w:color w:val="auto"/>
                <w:highlight w:val="none"/>
              </w:rPr>
              <w:t xml:space="preserve">接口和性能</w:t>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设备标配≥6个千兆电口，≥2个万兆光口，设备容量不低于4T，平均每秒处理日志数(eps)最大性能≥2500。</w:t>
            </w:r>
            <w:r/>
          </w:p>
        </w:tc>
      </w:tr>
      <w:tr>
        <w:trPr>
          <w:trHeight w:val="90"/>
        </w:trPr>
        <w:tc>
          <w:tcPr>
            <w:tcW w:w="802"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b/>
                <w:bCs/>
                <w:color w:val="auto"/>
                <w:highlight w:val="none"/>
              </w:rPr>
              <w:t xml:space="preserve">配置要求</w:t>
            </w:r>
            <w:r/>
          </w:p>
        </w:tc>
        <w:tc>
          <w:tcPr>
            <w:tcW w:w="419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本次包含可审计对象授权≥100个；最大可扩展审计主机许可数≥500。</w:t>
            </w:r>
            <w:r/>
          </w:p>
        </w:tc>
      </w:tr>
      <w:tr>
        <w:trPr>
          <w:trHeight w:val="648"/>
        </w:trPr>
        <w:tc>
          <w:tcPr>
            <w:tcW w:w="802" w:type="pct"/>
            <w:vAlign w:val="center"/>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t xml:space="preserve">管理范围</w:t>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能对网络设备、安全设备和系统、主机操作系统、数据库以及各种应用系统的日志、事件、告警等安全信息进行全面的审计。</w:t>
            </w:r>
            <w:r/>
          </w:p>
        </w:tc>
      </w:tr>
      <w:tr>
        <w:trPr>
          <w:trHeight w:val="621"/>
        </w:trPr>
        <w:tc>
          <w:tcPr>
            <w:tcW w:w="802" w:type="pct"/>
            <w:vAlign w:val="center"/>
            <w:vMerge w:val="restart"/>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t xml:space="preserve">支持采集方式</w:t>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支持SNMP、Syslog、ODBC/JDBC、文件/文件夹、WMI、FTP、SFTP、SMB、NetBIOS、OPSEC等多种方式完成日志收集功能</w:t>
            </w:r>
            <w:r/>
          </w:p>
        </w:tc>
      </w:tr>
      <w:tr>
        <w:trPr>
          <w:trHeight w:val="693"/>
        </w:trPr>
        <w:tc>
          <w:tcPr>
            <w:tcW w:w="802" w:type="pct"/>
            <w:vAlign w:val="center"/>
            <w:vMerge w:val="continue"/>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针对文本格式的日志采集，支持本地文件、Windows共享和FTP、SFTP获取四种采集方式。</w:t>
            </w:r>
            <w:r/>
          </w:p>
        </w:tc>
      </w:tr>
      <w:tr>
        <w:trPr>
          <w:trHeight w:val="693"/>
        </w:trPr>
        <w:tc>
          <w:tcPr>
            <w:tcW w:w="802" w:type="pct"/>
            <w:vAlign w:val="center"/>
            <w:vMerge w:val="continue"/>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支持与Kafka、Hadoop、ES、MangoDB、SAP HANA内存数据库大数据存储组件对接进行日志数据传输采集</w:t>
            </w:r>
            <w:r/>
          </w:p>
        </w:tc>
      </w:tr>
      <w:tr>
        <w:trPr>
          <w:trHeight w:val="403"/>
        </w:trPr>
        <w:tc>
          <w:tcPr>
            <w:tcW w:w="802" w:type="pct"/>
            <w:vAlign w:val="center"/>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t xml:space="preserve">拓扑可视化</w:t>
            </w:r>
            <w:r/>
          </w:p>
        </w:tc>
        <w:tc>
          <w:tcPr>
            <w:tcW w:w="4198" w:type="pct"/>
            <w:textDirection w:val="lrTb"/>
            <w:noWrap w:val="false"/>
          </w:tcPr>
          <w:p>
            <w:pPr>
              <w:spacing w:line="400" w:lineRule="exact"/>
              <w:rPr>
                <w:rFonts w:hint="eastAsia" w:ascii="宋体" w:hAnsi="宋体" w:eastAsia="宋体" w:cs="宋体"/>
                <w:b/>
                <w:bCs/>
                <w:color w:val="auto"/>
                <w:highlight w:val="none"/>
              </w:rPr>
            </w:pPr>
            <w:r>
              <w:rPr>
                <w:rFonts w:hint="eastAsia" w:ascii="宋体" w:hAnsi="宋体" w:eastAsia="宋体" w:cs="宋体"/>
                <w:color w:val="auto"/>
                <w:highlight w:val="none"/>
              </w:rPr>
              <w:t xml:space="preserve">系统提供基于资产的拓扑视图，可以按拓扑模式显示资产拓扑节点</w:t>
            </w:r>
            <w:r/>
          </w:p>
        </w:tc>
      </w:tr>
      <w:tr>
        <w:trPr>
          <w:trHeight w:val="403"/>
        </w:trPr>
        <w:tc>
          <w:tcPr>
            <w:tcW w:w="802" w:type="pct"/>
            <w:vAlign w:val="center"/>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t xml:space="preserve">地图定位</w:t>
            </w:r>
            <w:r/>
          </w:p>
        </w:tc>
        <w:tc>
          <w:tcPr>
            <w:tcW w:w="4198" w:type="pct"/>
            <w:vAlign w:val="center"/>
            <w:textDirection w:val="lrTb"/>
            <w:noWrap w:val="false"/>
          </w:tcPr>
          <w:p>
            <w:pPr>
              <w:jc w:val="both"/>
              <w:spacing w:line="400" w:lineRule="exact"/>
              <w:rPr>
                <w:rFonts w:hint="eastAsia" w:ascii="宋体" w:hAnsi="宋体" w:eastAsia="宋体" w:cs="宋体"/>
                <w:b/>
                <w:bCs/>
                <w:color w:val="auto"/>
                <w:highlight w:val="none"/>
              </w:rPr>
            </w:pPr>
            <w:r>
              <w:rPr>
                <w:rFonts w:hint="eastAsia" w:ascii="宋体" w:hAnsi="宋体" w:eastAsia="宋体" w:cs="宋体"/>
                <w:color w:val="auto"/>
                <w:highlight w:val="none"/>
              </w:rPr>
              <w:t xml:space="preserve">支持对日志提供在线/离线地图定位、支持源IP与目的IP分布走向的视网膜图展示、支持事件拓扑分析用于描述整个事件的访问关系及过程、支持多维分析。</w:t>
            </w:r>
            <w:r/>
          </w:p>
        </w:tc>
      </w:tr>
      <w:tr>
        <w:trPr>
          <w:trHeight w:val="538"/>
        </w:trPr>
        <w:tc>
          <w:tcPr>
            <w:tcW w:w="802" w:type="pct"/>
            <w:vAlign w:val="center"/>
            <w:vMerge w:val="restart"/>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t xml:space="preserve">日志范式化</w:t>
            </w:r>
            <w:r/>
          </w:p>
        </w:tc>
        <w:tc>
          <w:tcPr>
            <w:tcW w:w="4198" w:type="pct"/>
            <w:vAlign w:val="center"/>
            <w:textDirection w:val="lrTb"/>
            <w:noWrap w:val="false"/>
          </w:tcPr>
          <w:p>
            <w:pPr>
              <w:jc w:val="both"/>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系统必须具备日志范式化功能，实现对异构日志格式的统一化；</w:t>
            </w:r>
            <w:r/>
          </w:p>
        </w:tc>
      </w:tr>
      <w:tr>
        <w:trPr>
          <w:trHeight w:val="520"/>
        </w:trPr>
        <w:tc>
          <w:tcPr>
            <w:tcW w:w="802" w:type="pct"/>
            <w:vAlign w:val="center"/>
            <w:vMerge w:val="continue"/>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范式化字段至少应包括事件接收时间、事件产生时间、事件持续时间、用户名称、源地址、源MAC地址、源端口、操作、目的地址、目的MAC地址、目的端口、事件名称、事件摘要、等级、原始等级、原始类型、网络协议、网络应用协议、设备地址、设备名称、设备类型等；</w:t>
            </w:r>
            <w:r/>
          </w:p>
        </w:tc>
      </w:tr>
      <w:tr>
        <w:trPr>
          <w:trHeight w:val="468"/>
        </w:trPr>
        <w:tc>
          <w:tcPr>
            <w:tcW w:w="802" w:type="pct"/>
            <w:vAlign w:val="center"/>
            <w:vMerge w:val="continue"/>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对日志设备类型、日志类型、日志级别等可进行重定义。</w:t>
            </w:r>
            <w:r/>
          </w:p>
        </w:tc>
      </w:tr>
      <w:tr>
        <w:trPr>
          <w:trHeight w:val="367"/>
        </w:trPr>
        <w:tc>
          <w:tcPr>
            <w:tcW w:w="802" w:type="pct"/>
            <w:vAlign w:val="center"/>
            <w:vMerge w:val="continue"/>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支持全智能范式化解析模式，支持解析字段的编辑和调整，如修改字段名称</w:t>
            </w:r>
            <w:r/>
          </w:p>
        </w:tc>
      </w:tr>
      <w:tr>
        <w:trPr>
          <w:trHeight w:val="520"/>
        </w:trPr>
        <w:tc>
          <w:tcPr>
            <w:tcW w:w="802" w:type="pct"/>
            <w:vAlign w:val="center"/>
            <w:vMerge w:val="continue"/>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在范式化的时候能够对日志进行分类，分类需按照安全事件的类型，而不是日志的设备类型，并提供日志分类的类型清单。</w:t>
            </w:r>
            <w:r/>
          </w:p>
        </w:tc>
      </w:tr>
      <w:tr>
        <w:trPr>
          <w:trHeight w:val="492"/>
        </w:trPr>
        <w:tc>
          <w:tcPr>
            <w:tcW w:w="802" w:type="pct"/>
            <w:vAlign w:val="center"/>
            <w:vMerge w:val="restart"/>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t xml:space="preserve">日志传输和存储转发</w:t>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日志可加密压缩传输，保证数据的完整性和机密性；</w:t>
            </w:r>
            <w:r/>
          </w:p>
        </w:tc>
      </w:tr>
      <w:tr>
        <w:trPr>
          <w:trHeight w:val="260"/>
        </w:trPr>
        <w:tc>
          <w:tcPr>
            <w:tcW w:w="802" w:type="pct"/>
            <w:vAlign w:val="center"/>
            <w:vMerge w:val="continue"/>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可根据转发条件，将采集范式化后的数据转发到其他的目标地址；</w:t>
            </w:r>
            <w:r/>
          </w:p>
        </w:tc>
      </w:tr>
      <w:tr>
        <w:trPr>
          <w:trHeight w:val="505"/>
        </w:trPr>
        <w:tc>
          <w:tcPr>
            <w:tcW w:w="802" w:type="pct"/>
            <w:vAlign w:val="center"/>
            <w:vMerge w:val="continue"/>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vAlign w:val="center"/>
            <w:textDirection w:val="lrTb"/>
            <w:noWrap w:val="false"/>
          </w:tcPr>
          <w:p>
            <w:pPr>
              <w:jc w:val="both"/>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支持加密压缩方式转发，定时转发。</w:t>
            </w:r>
            <w:r/>
          </w:p>
        </w:tc>
      </w:tr>
      <w:tr>
        <w:trPr>
          <w:trHeight w:val="505"/>
        </w:trPr>
        <w:tc>
          <w:tcPr>
            <w:tcW w:w="802" w:type="pct"/>
            <w:vAlign w:val="center"/>
            <w:vMerge w:val="restart"/>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日志查询</w:t>
            </w:r>
            <w:r/>
          </w:p>
        </w:tc>
        <w:tc>
          <w:tcPr>
            <w:tcW w:w="4198" w:type="pct"/>
            <w:vAlign w:val="center"/>
            <w:textDirection w:val="lrTb"/>
            <w:noWrap w:val="false"/>
          </w:tcPr>
          <w:p>
            <w:pPr>
              <w:jc w:val="both"/>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系统允许管理员以查询场景的形式查看不同类型的日志信息；</w:t>
            </w:r>
            <w:r/>
          </w:p>
        </w:tc>
      </w:tr>
      <w:tr>
        <w:trPr>
          <w:trHeight w:val="260"/>
        </w:trPr>
        <w:tc>
          <w:tcPr>
            <w:tcW w:w="802" w:type="pct"/>
            <w:vAlign w:val="center"/>
            <w:vMerge w:val="continue"/>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用户可自定义查询场景，每个查询场景都要以查询策略的形式进行存储；</w:t>
            </w:r>
            <w:r/>
          </w:p>
        </w:tc>
      </w:tr>
      <w:tr>
        <w:trPr>
          <w:trHeight w:val="260"/>
        </w:trPr>
        <w:tc>
          <w:tcPr>
            <w:tcW w:w="802" w:type="pct"/>
            <w:vAlign w:val="center"/>
            <w:vMerge w:val="continue"/>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自定义事件查询策略，基于事件分类的查询条件不少于10大项50小项。</w:t>
            </w:r>
            <w:r/>
          </w:p>
        </w:tc>
      </w:tr>
      <w:tr>
        <w:trPr>
          <w:trHeight w:val="491"/>
        </w:trPr>
        <w:tc>
          <w:tcPr>
            <w:tcW w:w="802" w:type="pct"/>
            <w:vAlign w:val="center"/>
            <w:vMerge w:val="continue"/>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查询场景可保存，并可重复使用；</w:t>
            </w:r>
            <w:r/>
          </w:p>
        </w:tc>
      </w:tr>
      <w:tr>
        <w:trPr>
          <w:trHeight w:val="455"/>
        </w:trPr>
        <w:tc>
          <w:tcPr>
            <w:tcW w:w="802" w:type="pct"/>
            <w:vAlign w:val="center"/>
            <w:vMerge w:val="restart"/>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日志关联分析</w:t>
            </w:r>
            <w:r/>
          </w:p>
        </w:tc>
        <w:tc>
          <w:tcPr>
            <w:tcW w:w="419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系统具有日志关联分析的能力，能够对不同的日志进行相关性分析，发掘潜在的信息；</w:t>
            </w:r>
            <w:r/>
          </w:p>
        </w:tc>
      </w:tr>
      <w:tr>
        <w:trPr>
          <w:trHeight w:val="506"/>
        </w:trPr>
        <w:tc>
          <w:tcPr>
            <w:tcW w:w="802" w:type="pct"/>
            <w:vAlign w:val="center"/>
            <w:vMerge w:val="continue"/>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系统提供基于图形化方式的规则编辑器；</w:t>
            </w:r>
            <w:r/>
          </w:p>
        </w:tc>
      </w:tr>
      <w:tr>
        <w:trPr>
          <w:trHeight w:val="455"/>
        </w:trPr>
        <w:tc>
          <w:tcPr>
            <w:tcW w:w="802" w:type="pct"/>
            <w:vAlign w:val="center"/>
            <w:vMerge w:val="continue"/>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在编辑规则条件的时候，可以针对事件属性引用规则、应用资产属性、引用资源；</w:t>
            </w:r>
            <w:r/>
          </w:p>
        </w:tc>
      </w:tr>
      <w:tr>
        <w:trPr>
          <w:trHeight w:val="455"/>
        </w:trPr>
        <w:tc>
          <w:tcPr>
            <w:tcW w:w="802" w:type="pct"/>
            <w:vAlign w:val="center"/>
            <w:vMerge w:val="continue"/>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bookmarkStart w:id="122" w:name="OLE_LINK11"/>
            <w:r>
              <w:rPr>
                <w:rFonts w:hint="eastAsia" w:ascii="宋体" w:hAnsi="宋体" w:eastAsia="宋体" w:cs="宋体"/>
                <w:color w:val="auto"/>
                <w:highlight w:val="none"/>
              </w:rPr>
              <w:t xml:space="preserve">▲支持基于规则的关联分析引擎，能够提供逻辑关联、统计关联的关联分析能力；关联规则支持规则嵌套和引用，通过多规则联合，可精确识别复杂安全事件和场景；内置规则条数大于100条。</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bookmarkEnd w:id="122"/>
            <w:r/>
            <w:r/>
          </w:p>
        </w:tc>
      </w:tr>
      <w:tr>
        <w:trPr>
          <w:trHeight w:val="455"/>
        </w:trPr>
        <w:tc>
          <w:tcPr>
            <w:tcW w:w="802" w:type="pct"/>
            <w:vAlign w:val="center"/>
            <w:vMerge w:val="continue"/>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可实现统计计数关联，能够设定一段时间内的事件发生次数的阈值，还能指定重复事件的属性特征；</w:t>
            </w:r>
            <w:r/>
          </w:p>
        </w:tc>
      </w:tr>
      <w:tr>
        <w:trPr>
          <w:trHeight w:val="455"/>
        </w:trPr>
        <w:tc>
          <w:tcPr>
            <w:tcW w:w="802" w:type="pct"/>
            <w:vAlign w:val="center"/>
            <w:vMerge w:val="continue"/>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可疑分析模式，内置基线特征、异常行为、威胁场景三大分析模型。其中基线特征种包含特征管理、基线管理、基础管理三大类分析模型；异常行为模型包含疑似泄密分析、非常用异常、阈值异常、突变异常、自定义异常等场景；威胁场景支持企业泄密场景。</w:t>
            </w:r>
            <w:r/>
          </w:p>
        </w:tc>
      </w:tr>
      <w:tr>
        <w:trPr>
          <w:trHeight w:val="491"/>
        </w:trPr>
        <w:tc>
          <w:tcPr>
            <w:tcW w:w="802" w:type="pct"/>
            <w:vAlign w:val="center"/>
            <w:vMerge w:val="restart"/>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历史关联</w:t>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系统具备历史日志关联分析的能力</w:t>
            </w:r>
            <w:r/>
          </w:p>
        </w:tc>
      </w:tr>
      <w:tr>
        <w:trPr>
          <w:trHeight w:val="346"/>
        </w:trPr>
        <w:tc>
          <w:tcPr>
            <w:tcW w:w="802" w:type="pct"/>
            <w:vAlign w:val="center"/>
            <w:vMerge w:val="continue"/>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能够对指定时间范围内的不同的历史日志进行相关性分析，发掘潜在的信息</w:t>
            </w:r>
            <w:r/>
          </w:p>
        </w:tc>
      </w:tr>
      <w:tr>
        <w:trPr>
          <w:trHeight w:val="403"/>
        </w:trPr>
        <w:tc>
          <w:tcPr>
            <w:tcW w:w="802" w:type="pct"/>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观察列表</w:t>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根据关联分析的结果将可疑或者需要关注的信息加入观察列表，并可以对观察列表中的信息进行关联，也可以被任何规则引用；</w:t>
            </w:r>
            <w:r/>
          </w:p>
        </w:tc>
      </w:tr>
      <w:tr>
        <w:trPr>
          <w:trHeight w:val="403"/>
        </w:trPr>
        <w:tc>
          <w:tcPr>
            <w:tcW w:w="802" w:type="pct"/>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威胁情报采集</w:t>
            </w:r>
            <w:r/>
          </w:p>
        </w:tc>
        <w:tc>
          <w:tcPr>
            <w:tcW w:w="4198" w:type="pct"/>
            <w:textDirection w:val="lrTb"/>
            <w:noWrap w:val="false"/>
          </w:tcPr>
          <w:p>
            <w:pPr>
              <w:spacing w:line="400" w:lineRule="exact"/>
              <w:rPr>
                <w:rFonts w:hint="eastAsia" w:ascii="宋体" w:hAnsi="宋体" w:eastAsia="宋体" w:cs="宋体"/>
                <w:b/>
                <w:bCs/>
                <w:color w:val="auto"/>
                <w:highlight w:val="none"/>
              </w:rPr>
            </w:pPr>
            <w:r>
              <w:rPr>
                <w:rFonts w:hint="eastAsia" w:ascii="宋体" w:hAnsi="宋体" w:eastAsia="宋体" w:cs="宋体"/>
                <w:color w:val="auto"/>
                <w:highlight w:val="none"/>
              </w:rPr>
              <w:t xml:space="preserve">▲日志采集时支持对日志编码方式进行自定义选择，包括UTF-8、UTF-16、GBK／GB2312、IOS-8859-1等。</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r/>
          </w:p>
        </w:tc>
      </w:tr>
      <w:tr>
        <w:trPr>
          <w:trHeight w:val="471"/>
        </w:trPr>
        <w:tc>
          <w:tcPr>
            <w:tcW w:w="802" w:type="pct"/>
            <w:vAlign w:val="center"/>
            <w:vMerge w:val="restart"/>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日志告警</w:t>
            </w:r>
            <w:r/>
          </w:p>
        </w:tc>
        <w:tc>
          <w:tcPr>
            <w:tcW w:w="4198" w:type="pct"/>
            <w:textDirection w:val="lrTb"/>
            <w:noWrap w:val="false"/>
          </w:tcPr>
          <w:p>
            <w:pPr>
              <w:spacing w:line="400" w:lineRule="exact"/>
              <w:rPr>
                <w:rFonts w:hint="eastAsia" w:ascii="宋体" w:hAnsi="宋体" w:eastAsia="宋体" w:cs="宋体"/>
                <w:b/>
                <w:bCs/>
                <w:color w:val="auto"/>
                <w:highlight w:val="none"/>
              </w:rPr>
            </w:pPr>
            <w:r>
              <w:rPr>
                <w:rFonts w:hint="eastAsia" w:ascii="宋体" w:hAnsi="宋体" w:eastAsia="宋体" w:cs="宋体"/>
                <w:color w:val="auto"/>
                <w:highlight w:val="none"/>
              </w:rPr>
              <w:t xml:space="preserve">告警动作支持发出警示音</w:t>
            </w:r>
            <w:r/>
          </w:p>
        </w:tc>
      </w:tr>
      <w:tr>
        <w:trPr>
          <w:trHeight w:val="403"/>
        </w:trPr>
        <w:tc>
          <w:tcPr>
            <w:tcW w:w="802" w:type="pct"/>
            <w:vAlign w:val="center"/>
            <w:vMerge w:val="continue"/>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支持配置多种告警方式和告警动作，包括弹出提示框、播放警示音、发送邮件、发送微信消息、发送飞书消息、发送钉钉消息等；</w:t>
            </w:r>
            <w:r/>
          </w:p>
        </w:tc>
      </w:tr>
      <w:tr>
        <w:trPr>
          <w:trHeight w:val="312"/>
        </w:trPr>
        <w:tc>
          <w:tcPr>
            <w:tcW w:w="802" w:type="pct"/>
            <w:vAlign w:val="center"/>
            <w:vMerge w:val="restart"/>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日志报表</w:t>
            </w:r>
            <w:r/>
          </w:p>
        </w:tc>
        <w:tc>
          <w:tcPr>
            <w:tcW w:w="4198" w:type="pct"/>
            <w:textDirection w:val="lrTb"/>
            <w:noWrap w:val="false"/>
          </w:tcPr>
          <w:p>
            <w:pPr>
              <w:spacing w:line="400" w:lineRule="exact"/>
              <w:rPr>
                <w:rFonts w:hint="eastAsia" w:ascii="宋体" w:hAnsi="宋体" w:eastAsia="宋体" w:cs="宋体"/>
                <w:b/>
                <w:bCs/>
                <w:color w:val="auto"/>
                <w:highlight w:val="none"/>
              </w:rPr>
            </w:pPr>
            <w:r>
              <w:rPr>
                <w:rFonts w:hint="eastAsia" w:ascii="宋体" w:hAnsi="宋体" w:eastAsia="宋体" w:cs="宋体"/>
                <w:color w:val="auto"/>
                <w:highlight w:val="none"/>
              </w:rPr>
              <w:t xml:space="preserve">内置等级保护、PCI合规、SOX合规和ISO27001等合规类报表报告</w:t>
            </w:r>
            <w:r/>
          </w:p>
        </w:tc>
      </w:tr>
      <w:tr>
        <w:trPr>
          <w:trHeight w:val="499"/>
        </w:trPr>
        <w:tc>
          <w:tcPr>
            <w:tcW w:w="802" w:type="pct"/>
            <w:vAlign w:val="center"/>
            <w:vMerge w:val="continue"/>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支持按照天、月度、季度、年度等时间周期生成报表；</w:t>
            </w:r>
            <w:r/>
          </w:p>
        </w:tc>
      </w:tr>
      <w:tr>
        <w:trPr>
          <w:trHeight w:val="312"/>
        </w:trPr>
        <w:tc>
          <w:tcPr>
            <w:tcW w:w="802" w:type="pct"/>
            <w:vAlign w:val="center"/>
            <w:vMerge w:val="continue"/>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支持在报表中以柱状图、曲线图、饼状图方式统计安全报警情况；</w:t>
            </w:r>
            <w:r/>
          </w:p>
        </w:tc>
      </w:tr>
      <w:tr>
        <w:trPr>
          <w:trHeight w:val="484"/>
        </w:trPr>
        <w:tc>
          <w:tcPr>
            <w:tcW w:w="802" w:type="pct"/>
            <w:vAlign w:val="center"/>
            <w:vMerge w:val="continue"/>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系统内置报表编辑器，可以自定义报表。</w:t>
            </w:r>
            <w:r/>
          </w:p>
        </w:tc>
      </w:tr>
      <w:tr>
        <w:trPr>
          <w:trHeight w:val="312"/>
        </w:trPr>
        <w:tc>
          <w:tcPr>
            <w:tcW w:w="802" w:type="pct"/>
            <w:vAlign w:val="center"/>
            <w:vMerge w:val="continue"/>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419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支持报表调度，即报表可设置首次生成时间和间隔生成时间，生成后可指定直接发送到接收人邮箱。</w:t>
            </w:r>
            <w:r/>
          </w:p>
        </w:tc>
      </w:tr>
      <w:tr>
        <w:trPr>
          <w:trHeight w:val="484"/>
        </w:trPr>
        <w:tc>
          <w:tcPr>
            <w:tcW w:w="802" w:type="pct"/>
            <w:vAlign w:val="center"/>
            <w:vMerge w:val="restart"/>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t xml:space="preserve">系统管理</w:t>
            </w:r>
            <w:r/>
          </w:p>
        </w:tc>
        <w:tc>
          <w:tcPr>
            <w:tcW w:w="419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可对系统自身的CPU、内存、数据库空间大小等进行监控</w:t>
            </w:r>
            <w:r/>
          </w:p>
        </w:tc>
      </w:tr>
      <w:tr>
        <w:trPr>
          <w:trHeight w:val="325"/>
        </w:trPr>
        <w:tc>
          <w:tcPr>
            <w:tcBorders>
              <w:bottom w:val="single" w:color="auto" w:sz="4" w:space="0"/>
            </w:tcBorders>
            <w:tcW w:w="802" w:type="pct"/>
            <w:vAlign w:val="center"/>
            <w:vMerge w:val="continue"/>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Borders>
              <w:bottom w:val="single" w:color="auto" w:sz="4" w:space="0"/>
            </w:tcBorders>
            <w:tcW w:w="419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可以对自身运行的CPU、内存和磁盘空间等的使用率设置告警阈值；</w:t>
            </w:r>
            <w:r/>
          </w:p>
        </w:tc>
      </w:tr>
      <w:tr>
        <w:trPr>
          <w:trHeight w:val="331"/>
        </w:trPr>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jc w:val="center"/>
              <w:spacing w:before="78" w:after="78"/>
              <w:rPr>
                <w:rFonts w:hint="eastAsia" w:ascii="宋体" w:hAnsi="宋体" w:eastAsia="宋体" w:cs="宋体"/>
                <w:b/>
                <w:color w:val="auto"/>
                <w:highlight w:val="none"/>
              </w:rPr>
            </w:pPr>
            <w:r>
              <w:rPr>
                <w:rFonts w:hint="eastAsia" w:ascii="宋体" w:hAnsi="宋体" w:eastAsia="宋体" w:cs="宋体"/>
                <w:b/>
                <w:color w:val="auto"/>
                <w:highlight w:val="none"/>
              </w:rPr>
              <w:t xml:space="preserve">售后服务</w:t>
            </w:r>
            <w:r/>
          </w:p>
        </w:tc>
        <w:tc>
          <w:tcPr>
            <w:tcBorders>
              <w:top w:val="single" w:color="auto" w:sz="4" w:space="0"/>
              <w:left w:val="single" w:color="auto" w:sz="4" w:space="0"/>
              <w:bottom w:val="single" w:color="auto" w:sz="4" w:space="0"/>
              <w:right w:val="single" w:color="auto" w:sz="4" w:space="0"/>
            </w:tcBorders>
            <w:tcW w:w="419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提供不少于3年原厂质保</w:t>
            </w:r>
            <w:r/>
          </w:p>
        </w:tc>
      </w:tr>
    </w:tbl>
    <w:p>
      <w:pPr>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准入设备-星湖医院</w:t>
      </w:r>
      <w:r/>
    </w:p>
    <w:tbl>
      <w:tblPr>
        <w:tblStyle w:val="9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99"/>
        <w:gridCol w:w="6403"/>
      </w:tblGrid>
      <w:tr>
        <w:trPr>
          <w:jc w:val="center"/>
          <w:trHeight w:val="528"/>
        </w:trPr>
        <w:tc>
          <w:tcPr>
            <w:tcW w:w="1144" w:type="pct"/>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指标项</w:t>
            </w:r>
            <w:r/>
          </w:p>
        </w:tc>
        <w:tc>
          <w:tcPr>
            <w:tcW w:w="3856" w:type="pct"/>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指标要求</w:t>
            </w:r>
            <w:r/>
          </w:p>
        </w:tc>
      </w:tr>
      <w:tr>
        <w:trPr>
          <w:jc w:val="center"/>
        </w:trPr>
        <w:tc>
          <w:tcPr>
            <w:tcW w:w="1144" w:type="pct"/>
            <w:vAlign w:val="center"/>
            <w:textDirection w:val="lrTb"/>
            <w:noWrap w:val="false"/>
          </w:tcPr>
          <w:p>
            <w:pPr>
              <w:pStyle w:val="1034"/>
              <w:ind w:firstLine="0"/>
              <w:jc w:val="center"/>
              <w:widowControl w:val="off"/>
              <w:rPr>
                <w:rFonts w:hint="eastAsia" w:ascii="宋体" w:hAnsi="宋体" w:cs="宋体"/>
                <w:bCs/>
                <w:color w:val="auto"/>
                <w:szCs w:val="24"/>
                <w:highlight w:val="none"/>
                <w:lang w:bidi="ar"/>
              </w:rPr>
            </w:pPr>
            <w:r>
              <w:rPr>
                <w:rFonts w:hint="eastAsia" w:ascii="宋体" w:hAnsi="宋体" w:cs="宋体"/>
                <w:bCs/>
                <w:color w:val="auto"/>
                <w:szCs w:val="24"/>
                <w:highlight w:val="none"/>
                <w:lang w:bidi="ar"/>
              </w:rPr>
              <w:t xml:space="preserve">配置要求</w:t>
            </w:r>
            <w:r/>
          </w:p>
        </w:tc>
        <w:tc>
          <w:tcPr>
            <w:tcW w:w="3856" w:type="pct"/>
            <w:textDirection w:val="lrTb"/>
            <w:noWrap w:val="false"/>
          </w:tcPr>
          <w:p>
            <w:pPr>
              <w:jc w:val="left"/>
              <w:spacing w:line="400" w:lineRule="exact"/>
              <w:widowControl/>
              <w:rPr>
                <w:rFonts w:hint="eastAsia" w:ascii="宋体" w:hAnsi="宋体" w:cs="宋体"/>
                <w:color w:val="auto"/>
                <w:highlight w:val="none"/>
              </w:rPr>
            </w:pPr>
            <w:r>
              <w:rPr>
                <w:rFonts w:hint="eastAsia" w:ascii="宋体" w:hAnsi="宋体" w:cs="宋体"/>
                <w:color w:val="auto"/>
                <w:highlight w:val="none"/>
              </w:rPr>
              <w:t xml:space="preserve">IPSEC性能参数：加密最大流量（Mbps）≥120，理论并发隧道数（Tunnel）≥1500；SSL性能参数：最大理论加密流量（Mbps）≥600，</w:t>
            </w:r>
            <w:r>
              <w:rPr>
                <w:rFonts w:hint="eastAsia" w:ascii="宋体" w:hAnsi="宋体" w:eastAsia="宋体" w:cs="宋体"/>
                <w:color w:val="auto"/>
                <w:highlight w:val="none"/>
              </w:rPr>
              <w:t xml:space="preserve">最大理论建议并发用户数</w:t>
            </w:r>
            <w:r>
              <w:rPr>
                <w:rFonts w:hint="eastAsia" w:ascii="宋体" w:hAnsi="宋体" w:cs="宋体"/>
                <w:color w:val="auto"/>
                <w:highlight w:val="none"/>
              </w:rPr>
              <w:t xml:space="preserve">≥1200。内存≥16G，硬盘容量≥480G SSD，冗余电源，接口≥6千兆电口+4千兆光口SFP。接入授权≥500。要求设备采用国产芯片及国产操作系统。</w:t>
            </w:r>
            <w:r/>
          </w:p>
        </w:tc>
      </w:tr>
      <w:tr>
        <w:trPr>
          <w:jc w:val="center"/>
        </w:trPr>
        <w:tc>
          <w:tcPr>
            <w:tcW w:w="1144" w:type="pct"/>
            <w:vAlign w:val="center"/>
            <w:textDirection w:val="lrTb"/>
            <w:noWrap w:val="false"/>
          </w:tcPr>
          <w:p>
            <w:pPr>
              <w:pStyle w:val="1034"/>
              <w:ind w:firstLine="0"/>
              <w:jc w:val="center"/>
              <w:widowControl w:val="off"/>
              <w:rPr>
                <w:rFonts w:hint="eastAsia" w:ascii="宋体" w:hAnsi="宋体" w:cs="宋体"/>
                <w:bCs/>
                <w:color w:val="auto"/>
                <w:szCs w:val="24"/>
                <w:highlight w:val="none"/>
                <w:lang w:bidi="ar"/>
              </w:rPr>
            </w:pPr>
            <w:r>
              <w:rPr>
                <w:rFonts w:hint="eastAsia" w:ascii="宋体" w:hAnsi="宋体" w:cs="宋体"/>
                <w:color w:val="auto"/>
                <w:szCs w:val="24"/>
                <w:highlight w:val="none"/>
              </w:rPr>
              <w:t xml:space="preserve">设备部署</w:t>
            </w:r>
            <w:r/>
          </w:p>
        </w:tc>
        <w:tc>
          <w:tcPr>
            <w:tcW w:w="3856" w:type="pct"/>
            <w:textDirection w:val="lrTb"/>
            <w:noWrap w:val="false"/>
          </w:tcPr>
          <w:p>
            <w:pPr>
              <w:jc w:val="left"/>
              <w:spacing w:line="400" w:lineRule="exact"/>
              <w:widowControl/>
              <w:rPr>
                <w:rFonts w:hint="eastAsia" w:ascii="宋体" w:hAnsi="宋体" w:cs="宋体"/>
                <w:color w:val="auto"/>
                <w:highlight w:val="none"/>
              </w:rPr>
            </w:pPr>
            <w:r>
              <w:rPr>
                <w:rFonts w:hint="eastAsia" w:ascii="宋体" w:hAnsi="宋体" w:cs="宋体"/>
                <w:color w:val="auto"/>
                <w:highlight w:val="none"/>
              </w:rPr>
              <w:t xml:space="preserve">为了满足灵活部署的要求，综合网关应支持IPV4/IPV6双栈网络IP配置，</w:t>
            </w:r>
            <w:r>
              <w:rPr>
                <w:rFonts w:hint="eastAsia" w:ascii="宋体" w:hAnsi="宋体" w:eastAsia="宋体" w:cs="宋体"/>
                <w:color w:val="auto"/>
                <w:highlight w:val="none"/>
              </w:rPr>
              <w:t xml:space="preserve">可自主选择配置</w:t>
            </w:r>
            <w:r>
              <w:rPr>
                <w:rFonts w:hint="eastAsia" w:ascii="宋体" w:hAnsi="宋体" w:cs="宋体"/>
                <w:color w:val="auto"/>
                <w:highlight w:val="none"/>
              </w:rPr>
              <w:t xml:space="preserve">LAN口或WAN口。为了保护设备的安全，可支持默认限制所有IP通过WAN口访问系统，支持通过配置IP</w:t>
            </w:r>
            <w:r>
              <w:rPr>
                <w:rFonts w:hint="eastAsia" w:ascii="宋体" w:hAnsi="宋体" w:eastAsia="宋体" w:cs="宋体"/>
                <w:color w:val="auto"/>
                <w:highlight w:val="none"/>
              </w:rPr>
              <w:t xml:space="preserve">白名单的方式来放通</w:t>
            </w:r>
            <w:r>
              <w:rPr>
                <w:rFonts w:hint="eastAsia" w:ascii="宋体" w:hAnsi="宋体" w:cs="宋体"/>
                <w:color w:val="auto"/>
                <w:highlight w:val="none"/>
              </w:rPr>
              <w:t xml:space="preserve">WAN口接入的特殊需求。</w:t>
            </w:r>
            <w:r/>
          </w:p>
        </w:tc>
      </w:tr>
      <w:tr>
        <w:trPr>
          <w:jc w:val="center"/>
        </w:trPr>
        <w:tc>
          <w:tcPr>
            <w:tcW w:w="1144" w:type="pct"/>
            <w:vAlign w:val="center"/>
            <w:textDirection w:val="lrTb"/>
            <w:noWrap w:val="false"/>
          </w:tcPr>
          <w:p>
            <w:pPr>
              <w:pStyle w:val="1034"/>
              <w:ind w:firstLine="0"/>
              <w:jc w:val="center"/>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资源发布能力</w:t>
            </w:r>
            <w:r/>
          </w:p>
        </w:tc>
        <w:tc>
          <w:tcPr>
            <w:tcW w:w="3856" w:type="pct"/>
            <w:textDirection w:val="lrTb"/>
            <w:noWrap w:val="false"/>
          </w:tcPr>
          <w:p>
            <w:pPr>
              <w:jc w:val="left"/>
              <w:spacing w:line="400" w:lineRule="exact"/>
              <w:widowControl/>
              <w:rPr>
                <w:rFonts w:hint="eastAsia" w:ascii="宋体" w:hAnsi="宋体" w:cs="宋体"/>
                <w:color w:val="auto"/>
                <w:highlight w:val="none"/>
              </w:rPr>
            </w:pPr>
            <w:r>
              <w:rPr>
                <w:rFonts w:hint="eastAsia" w:ascii="宋体" w:hAnsi="宋体" w:cs="宋体"/>
                <w:color w:val="auto"/>
                <w:highlight w:val="none"/>
              </w:rPr>
              <w:t xml:space="preserve">为适应复杂多样的内部业务系统，web模式下发布应用资源时，应支持透明代理、</w:t>
            </w:r>
            <w:r>
              <w:rPr>
                <w:rFonts w:hint="eastAsia" w:ascii="宋体" w:hAnsi="宋体" w:eastAsia="宋体" w:cs="宋体"/>
                <w:color w:val="auto"/>
                <w:highlight w:val="none"/>
              </w:rPr>
              <w:t xml:space="preserve">智能改写等模式</w:t>
            </w:r>
            <w:r>
              <w:rPr>
                <w:rFonts w:hint="eastAsia" w:ascii="宋体" w:hAnsi="宋体" w:cs="宋体"/>
                <w:color w:val="auto"/>
                <w:highlight w:val="none"/>
              </w:rPr>
              <w:t xml:space="preserve">，以合理适配较规范化的业务系统及复杂老旧的非常规站点。</w:t>
            </w:r>
            <w:r/>
          </w:p>
        </w:tc>
      </w:tr>
      <w:tr>
        <w:trPr>
          <w:jc w:val="center"/>
        </w:trPr>
        <w:tc>
          <w:tcPr>
            <w:tcW w:w="1144" w:type="pct"/>
            <w:vAlign w:val="center"/>
            <w:textDirection w:val="lrTb"/>
            <w:noWrap w:val="false"/>
          </w:tcPr>
          <w:p>
            <w:pPr>
              <w:pStyle w:val="1034"/>
              <w:ind w:firstLine="0"/>
              <w:jc w:val="center"/>
              <w:widowControl w:val="off"/>
              <w:rPr>
                <w:rFonts w:hint="eastAsia" w:ascii="宋体" w:hAnsi="宋体" w:cs="宋体"/>
                <w:bCs/>
                <w:color w:val="auto"/>
                <w:szCs w:val="24"/>
                <w:highlight w:val="none"/>
                <w:lang w:bidi="ar"/>
              </w:rPr>
            </w:pPr>
            <w:r>
              <w:rPr>
                <w:rFonts w:hint="eastAsia" w:ascii="宋体" w:hAnsi="宋体" w:cs="宋体"/>
                <w:bCs/>
                <w:color w:val="auto"/>
                <w:szCs w:val="24"/>
                <w:highlight w:val="none"/>
                <w:lang w:bidi="ar"/>
              </w:rPr>
              <w:t xml:space="preserve">应用打开方式</w:t>
            </w:r>
            <w:r/>
          </w:p>
        </w:tc>
        <w:tc>
          <w:tcPr>
            <w:tcW w:w="3856" w:type="pct"/>
            <w:textDirection w:val="lrTb"/>
            <w:noWrap w:val="false"/>
          </w:tcPr>
          <w:p>
            <w:pPr>
              <w:jc w:val="left"/>
              <w:spacing w:line="400" w:lineRule="exact"/>
              <w:widowControl/>
              <w:rPr>
                <w:rFonts w:hint="eastAsia" w:ascii="宋体" w:hAnsi="宋体" w:cs="宋体"/>
                <w:bCs/>
                <w:color w:val="auto"/>
                <w:highlight w:val="none"/>
                <w:lang w:bidi="ar"/>
              </w:rPr>
            </w:pPr>
            <w:r>
              <w:rPr>
                <w:rFonts w:hint="eastAsia" w:ascii="宋体" w:hAnsi="宋体" w:cs="宋体"/>
                <w:color w:val="auto"/>
                <w:highlight w:val="none"/>
              </w:rPr>
              <w:t xml:space="preserve">▲</w:t>
            </w:r>
            <w:r>
              <w:rPr>
                <w:rFonts w:hint="eastAsia" w:ascii="宋体" w:hAnsi="宋体" w:eastAsia="宋体" w:cs="宋体"/>
                <w:color w:val="auto"/>
                <w:highlight w:val="none"/>
              </w:rPr>
              <w:t xml:space="preserve">支持配置点击工作台的业务应用即可直接拉起对应的</w:t>
            </w:r>
            <w:r>
              <w:rPr>
                <w:rFonts w:hint="eastAsia" w:ascii="宋体" w:hAnsi="宋体" w:cs="宋体"/>
                <w:bCs/>
                <w:color w:val="auto"/>
                <w:highlight w:val="none"/>
                <w:lang w:bidi="ar"/>
              </w:rPr>
              <w:t xml:space="preserve">CS程序进行访问，包括但不限于浏览器、远程桌面或其他指定程序，支持Windows、macOS、</w:t>
            </w:r>
            <w:r>
              <w:rPr>
                <w:rFonts w:hint="eastAsia" w:ascii="宋体" w:hAnsi="宋体" w:eastAsia="宋体" w:cs="宋体"/>
                <w:color w:val="auto"/>
                <w:highlight w:val="none"/>
              </w:rPr>
              <w:t xml:space="preserve">统信</w:t>
            </w:r>
            <w:r>
              <w:rPr>
                <w:rFonts w:hint="eastAsia" w:ascii="宋体" w:hAnsi="宋体" w:cs="宋体"/>
                <w:bCs/>
                <w:color w:val="auto"/>
                <w:highlight w:val="none"/>
                <w:lang w:bidi="ar"/>
              </w:rPr>
              <w:t xml:space="preserve">UOS、麒麟kylin、中科方德、Ubuntu等主流操作系统；针对Windows系统，还应支持拉起CS应用时携带启动参数，自动访问管理员设定的地址。</w:t>
            </w:r>
            <w:r>
              <w:rPr>
                <w:rFonts w:hint="eastAsia" w:ascii="宋体" w:hAnsi="宋体" w:cs="宋体"/>
                <w:b/>
                <w:bCs/>
                <w:color w:val="auto"/>
                <w:highlight w:val="none"/>
              </w:rPr>
              <w:t xml:space="preserve">(要求提供具有</w:t>
            </w:r>
            <w:r>
              <w:rPr>
                <w:rFonts w:hint="eastAsia" w:ascii="宋体" w:hAnsi="宋体" w:cs="宋体"/>
                <w:b/>
                <w:bCs/>
                <w:color w:val="auto"/>
                <w:highlight w:val="none"/>
                <w:lang w:eastAsia="zh-CN"/>
              </w:rPr>
              <w:t xml:space="preserve">CMA认证的</w:t>
            </w:r>
            <w:r>
              <w:rPr>
                <w:rFonts w:hint="eastAsia" w:ascii="宋体" w:hAnsi="宋体" w:cs="宋体"/>
                <w:b/>
                <w:bCs/>
                <w:color w:val="auto"/>
                <w:highlight w:val="none"/>
              </w:rPr>
              <w:t xml:space="preserve">第三方检测机构出具的合格检测报告或带功能描述的官网截图或产品彩页扫描件。</w:t>
            </w:r>
            <w:r/>
          </w:p>
        </w:tc>
      </w:tr>
      <w:tr>
        <w:trPr>
          <w:jc w:val="center"/>
        </w:trPr>
        <w:tc>
          <w:tcPr>
            <w:tcW w:w="1144" w:type="pct"/>
            <w:vAlign w:val="center"/>
            <w:textDirection w:val="lrTb"/>
            <w:noWrap w:val="false"/>
          </w:tcPr>
          <w:p>
            <w:pPr>
              <w:pStyle w:val="1034"/>
              <w:ind w:firstLine="0"/>
              <w:jc w:val="center"/>
              <w:widowControl w:val="off"/>
              <w:rPr>
                <w:rFonts w:hint="eastAsia" w:ascii="宋体" w:hAnsi="宋体" w:cs="宋体"/>
                <w:bCs/>
                <w:color w:val="auto"/>
                <w:szCs w:val="24"/>
                <w:highlight w:val="none"/>
                <w:lang w:bidi="ar"/>
              </w:rPr>
            </w:pPr>
            <w:r>
              <w:rPr>
                <w:rFonts w:hint="eastAsia" w:ascii="宋体" w:hAnsi="宋体" w:cs="宋体"/>
                <w:color w:val="auto"/>
                <w:szCs w:val="24"/>
                <w:highlight w:val="none"/>
              </w:rPr>
              <w:t xml:space="preserve">终端接入能力</w:t>
            </w:r>
            <w:r/>
          </w:p>
        </w:tc>
        <w:tc>
          <w:tcPr>
            <w:tcW w:w="3856" w:type="pct"/>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为方便手机端与PC端需同时使用的员工：支持手机APP通过扫描PC端二维码自动填入零信任接入地址；手机APP登录后需支持扫码上线PC。</w:t>
            </w:r>
            <w:r/>
          </w:p>
        </w:tc>
      </w:tr>
      <w:tr>
        <w:trPr>
          <w:jc w:val="center"/>
        </w:trPr>
        <w:tc>
          <w:tcPr>
            <w:tcW w:w="1144" w:type="pct"/>
            <w:vAlign w:val="center"/>
            <w:textDirection w:val="lrTb"/>
            <w:noWrap w:val="false"/>
          </w:tcPr>
          <w:p>
            <w:pPr>
              <w:pStyle w:val="1034"/>
              <w:ind w:firstLine="0"/>
              <w:jc w:val="center"/>
              <w:widowControl w:val="off"/>
              <w:rPr>
                <w:rFonts w:hint="eastAsia" w:ascii="宋体" w:hAnsi="宋体" w:cs="宋体"/>
                <w:bCs/>
                <w:color w:val="auto"/>
                <w:szCs w:val="24"/>
                <w:highlight w:val="none"/>
                <w:lang w:bidi="ar"/>
              </w:rPr>
            </w:pPr>
            <w:r>
              <w:rPr>
                <w:rFonts w:hint="eastAsia" w:ascii="宋体" w:hAnsi="宋体" w:cs="宋体"/>
                <w:bCs/>
                <w:color w:val="auto"/>
                <w:szCs w:val="24"/>
                <w:highlight w:val="none"/>
                <w:lang w:bidi="ar"/>
              </w:rPr>
              <w:t xml:space="preserve">访问全局优化</w:t>
            </w:r>
            <w:r/>
          </w:p>
        </w:tc>
        <w:tc>
          <w:tcPr>
            <w:tcW w:w="3856" w:type="pct"/>
            <w:textDirection w:val="lrTb"/>
            <w:noWrap w:val="false"/>
          </w:tcPr>
          <w:p>
            <w:pPr>
              <w:jc w:val="left"/>
              <w:spacing w:line="400" w:lineRule="exact"/>
              <w:widowControl/>
              <w:rPr>
                <w:rFonts w:hint="eastAsia" w:ascii="宋体" w:hAnsi="宋体" w:cs="宋体"/>
                <w:bCs/>
                <w:color w:val="auto"/>
                <w:highlight w:val="none"/>
                <w:lang w:bidi="ar"/>
              </w:rPr>
            </w:pPr>
            <w:r>
              <w:rPr>
                <w:rFonts w:hint="eastAsia" w:ascii="宋体" w:hAnsi="宋体" w:cs="宋体"/>
                <w:bCs/>
                <w:color w:val="auto"/>
                <w:highlight w:val="none"/>
                <w:lang w:bidi="ar"/>
              </w:rPr>
              <w:t xml:space="preserve">零信任隧道应具备抗丢包、抗抖动、平稳发送的能力。为降低业务访问时延，提升访问体验，</w:t>
            </w:r>
            <w:r>
              <w:rPr>
                <w:rFonts w:hint="eastAsia" w:ascii="宋体" w:hAnsi="宋体" w:eastAsia="宋体" w:cs="宋体"/>
                <w:color w:val="auto"/>
                <w:highlight w:val="none"/>
              </w:rPr>
              <w:t xml:space="preserve">零信任在代理访问资源的时候具备时延优化能力</w:t>
            </w:r>
            <w:r>
              <w:rPr>
                <w:rFonts w:hint="eastAsia" w:ascii="宋体" w:hAnsi="宋体" w:cs="宋体"/>
                <w:bCs/>
                <w:color w:val="auto"/>
                <w:highlight w:val="none"/>
                <w:lang w:bidi="ar"/>
              </w:rPr>
              <w:t xml:space="preserve">，代理访问时时延不增加或极少增加访问时延，</w:t>
            </w:r>
            <w:r>
              <w:rPr>
                <w:rFonts w:hint="eastAsia" w:ascii="宋体" w:hAnsi="宋体" w:eastAsia="宋体" w:cs="宋体"/>
                <w:color w:val="auto"/>
                <w:highlight w:val="none"/>
              </w:rPr>
              <w:t xml:space="preserve">大幅降低业务访问的网络时延</w:t>
            </w:r>
            <w:r>
              <w:rPr>
                <w:rFonts w:hint="eastAsia" w:ascii="宋体" w:hAnsi="宋体" w:cs="宋体"/>
                <w:bCs/>
                <w:color w:val="auto"/>
                <w:highlight w:val="none"/>
                <w:lang w:bidi="ar"/>
              </w:rPr>
              <w:t xml:space="preserve">。</w:t>
            </w:r>
            <w:r/>
          </w:p>
        </w:tc>
      </w:tr>
      <w:tr>
        <w:trPr>
          <w:jc w:val="center"/>
        </w:trPr>
        <w:tc>
          <w:tcPr>
            <w:tcW w:w="1144" w:type="pct"/>
            <w:vAlign w:val="center"/>
            <w:textDirection w:val="lrTb"/>
            <w:noWrap w:val="false"/>
          </w:tcPr>
          <w:p>
            <w:pPr>
              <w:pStyle w:val="1034"/>
              <w:ind w:firstLine="0"/>
              <w:jc w:val="center"/>
              <w:widowControl w:val="off"/>
              <w:rPr>
                <w:rFonts w:hint="eastAsia" w:ascii="宋体" w:hAnsi="宋体" w:cs="宋体"/>
                <w:bCs/>
                <w:color w:val="auto"/>
                <w:szCs w:val="24"/>
                <w:highlight w:val="none"/>
                <w:lang w:bidi="ar"/>
              </w:rPr>
            </w:pPr>
            <w:r>
              <w:rPr>
                <w:rFonts w:hint="eastAsia" w:ascii="宋体" w:hAnsi="宋体" w:cs="宋体"/>
                <w:color w:val="auto"/>
                <w:szCs w:val="24"/>
                <w:highlight w:val="none"/>
              </w:rPr>
              <w:t xml:space="preserve">认证管理</w:t>
            </w:r>
            <w:r/>
          </w:p>
        </w:tc>
        <w:tc>
          <w:tcPr>
            <w:tcW w:w="3856" w:type="pct"/>
            <w:textDirection w:val="lrTb"/>
            <w:noWrap w:val="false"/>
          </w:tcPr>
          <w:p>
            <w:pPr>
              <w:jc w:val="left"/>
              <w:spacing w:line="400" w:lineRule="exact"/>
              <w:widowControl/>
              <w:rPr>
                <w:rFonts w:hint="eastAsia" w:ascii="宋体" w:hAnsi="宋体" w:cs="宋体"/>
                <w:color w:val="auto"/>
                <w:highlight w:val="none"/>
              </w:rPr>
            </w:pPr>
            <w:r>
              <w:rPr>
                <w:rFonts w:hint="eastAsia" w:ascii="宋体" w:hAnsi="宋体" w:eastAsia="宋体" w:cs="宋体"/>
                <w:color w:val="auto"/>
                <w:highlight w:val="none"/>
              </w:rPr>
              <w:t xml:space="preserve">为了进一步保障用户身份安全</w:t>
            </w:r>
            <w:r>
              <w:rPr>
                <w:rFonts w:hint="eastAsia" w:ascii="宋体" w:hAnsi="宋体" w:cs="宋体"/>
                <w:color w:val="auto"/>
                <w:highlight w:val="none"/>
              </w:rPr>
              <w:t xml:space="preserve">，需支持多因素认证，支持管理员结合已对接的主认证和辅认证类型进行设置，可自由选择采用首次认证+二次认证+</w:t>
            </w:r>
            <w:r>
              <w:rPr>
                <w:rFonts w:hint="eastAsia" w:ascii="宋体" w:hAnsi="宋体" w:eastAsia="宋体" w:cs="宋体"/>
                <w:color w:val="auto"/>
                <w:highlight w:val="none"/>
              </w:rPr>
              <w:t xml:space="preserve">终端认证</w:t>
            </w:r>
            <w:r>
              <w:rPr>
                <w:rFonts w:hint="eastAsia" w:ascii="宋体" w:hAnsi="宋体" w:cs="宋体"/>
                <w:color w:val="auto"/>
                <w:highlight w:val="none"/>
              </w:rPr>
              <w:t xml:space="preserve">+增强认证等方式。</w:t>
            </w:r>
            <w:r/>
          </w:p>
        </w:tc>
      </w:tr>
      <w:tr>
        <w:trPr>
          <w:jc w:val="center"/>
        </w:trPr>
        <w:tc>
          <w:tcPr>
            <w:tcW w:w="1144" w:type="pct"/>
            <w:vAlign w:val="center"/>
            <w:textDirection w:val="lrTb"/>
            <w:noWrap w:val="false"/>
          </w:tcPr>
          <w:p>
            <w:pPr>
              <w:pStyle w:val="1034"/>
              <w:ind w:firstLine="0"/>
              <w:jc w:val="center"/>
              <w:widowControl w:val="off"/>
              <w:rPr>
                <w:rFonts w:hint="eastAsia" w:ascii="宋体" w:hAnsi="宋体" w:cs="宋体"/>
                <w:bCs/>
                <w:color w:val="auto"/>
                <w:szCs w:val="24"/>
                <w:highlight w:val="none"/>
                <w:lang w:bidi="ar"/>
              </w:rPr>
            </w:pPr>
            <w:r>
              <w:rPr>
                <w:rFonts w:hint="eastAsia" w:ascii="宋体" w:hAnsi="宋体" w:cs="宋体"/>
                <w:bCs/>
                <w:color w:val="auto"/>
                <w:szCs w:val="24"/>
                <w:highlight w:val="none"/>
                <w:lang w:bidi="ar"/>
              </w:rPr>
              <w:t xml:space="preserve">自适应认证</w:t>
            </w:r>
            <w:r/>
          </w:p>
        </w:tc>
        <w:tc>
          <w:tcPr>
            <w:tcW w:w="3856" w:type="pct"/>
            <w:textDirection w:val="lrTb"/>
            <w:noWrap w:val="false"/>
          </w:tcPr>
          <w:p>
            <w:pPr>
              <w:jc w:val="left"/>
              <w:spacing w:line="400" w:lineRule="exact"/>
              <w:widowControl/>
              <w:rPr>
                <w:rFonts w:hint="eastAsia" w:ascii="宋体" w:hAnsi="宋体" w:cs="宋体"/>
                <w:bCs/>
                <w:color w:val="auto"/>
                <w:highlight w:val="none"/>
                <w:lang w:bidi="ar"/>
              </w:rPr>
            </w:pPr>
            <w:r>
              <w:rPr>
                <w:rFonts w:hint="eastAsia" w:ascii="宋体" w:hAnsi="宋体" w:cs="宋体"/>
                <w:bCs/>
                <w:color w:val="auto"/>
                <w:highlight w:val="none"/>
                <w:lang w:bidi="ar"/>
              </w:rPr>
              <w:t xml:space="preserve">为提高员工使用体验，需进一步简化登录操作，需支持在满足条件的情况下，</w:t>
            </w:r>
            <w:r>
              <w:rPr>
                <w:rFonts w:hint="eastAsia" w:ascii="宋体" w:hAnsi="宋体" w:eastAsia="宋体" w:cs="宋体"/>
                <w:color w:val="auto"/>
                <w:highlight w:val="none"/>
              </w:rPr>
              <w:t xml:space="preserve">可配置成即使是关机重启</w:t>
            </w:r>
            <w:r>
              <w:rPr>
                <w:rFonts w:hint="eastAsia" w:ascii="宋体" w:hAnsi="宋体" w:cs="宋体"/>
                <w:bCs/>
                <w:color w:val="auto"/>
                <w:highlight w:val="none"/>
                <w:lang w:bidi="ar"/>
              </w:rPr>
              <w:t xml:space="preserve">，也能自动拉起客户端并自动登录一键上线（强制注销情况除外），可配置的条件包括但不限于：授信终端、Windows域环境、自定义网络环境等。</w:t>
            </w:r>
            <w:r/>
          </w:p>
        </w:tc>
      </w:tr>
      <w:tr>
        <w:trPr>
          <w:jc w:val="center"/>
        </w:trPr>
        <w:tc>
          <w:tcPr>
            <w:tcW w:w="1144" w:type="pct"/>
            <w:vAlign w:val="center"/>
            <w:textDirection w:val="lrTb"/>
            <w:noWrap w:val="false"/>
          </w:tcPr>
          <w:p>
            <w:pPr>
              <w:pStyle w:val="1034"/>
              <w:ind w:firstLine="0"/>
              <w:jc w:val="center"/>
              <w:widowControl w:val="off"/>
              <w:rPr>
                <w:rFonts w:hint="eastAsia" w:ascii="宋体" w:hAnsi="宋体" w:cs="宋体"/>
                <w:bCs/>
                <w:color w:val="auto"/>
                <w:szCs w:val="24"/>
                <w:highlight w:val="none"/>
                <w:lang w:bidi="ar"/>
              </w:rPr>
            </w:pPr>
            <w:r>
              <w:rPr>
                <w:rFonts w:hint="eastAsia" w:ascii="宋体" w:hAnsi="宋体" w:cs="宋体"/>
                <w:bCs/>
                <w:color w:val="auto"/>
                <w:szCs w:val="24"/>
                <w:highlight w:val="none"/>
                <w:lang w:bidi="ar"/>
              </w:rPr>
              <w:t xml:space="preserve">安全特性</w:t>
            </w:r>
            <w:r/>
          </w:p>
        </w:tc>
        <w:tc>
          <w:tcPr>
            <w:tcW w:w="3856" w:type="pct"/>
            <w:textDirection w:val="lrTb"/>
            <w:noWrap w:val="false"/>
          </w:tcPr>
          <w:p>
            <w:pPr>
              <w:jc w:val="left"/>
              <w:spacing w:line="400" w:lineRule="exact"/>
              <w:widowControl/>
              <w:rPr>
                <w:rFonts w:hint="eastAsia" w:ascii="宋体" w:hAnsi="宋体" w:cs="宋体"/>
                <w:bCs/>
                <w:color w:val="auto"/>
                <w:highlight w:val="none"/>
                <w:lang w:bidi="ar"/>
              </w:rPr>
            </w:pPr>
            <w:r>
              <w:rPr>
                <w:rFonts w:hint="eastAsia" w:ascii="宋体" w:hAnsi="宋体" w:cs="宋体"/>
                <w:bCs/>
                <w:color w:val="auto"/>
                <w:highlight w:val="none"/>
                <w:lang w:bidi="ar"/>
              </w:rPr>
              <w:t xml:space="preserve">PC端和移动端均支持通过安全码激活客户端为授权客户端，从而可进行SPA敲门和连接，安全码支持共享码、</w:t>
            </w:r>
            <w:r>
              <w:rPr>
                <w:rFonts w:hint="eastAsia" w:ascii="宋体" w:hAnsi="宋体" w:eastAsia="宋体" w:cs="宋体"/>
                <w:color w:val="auto"/>
                <w:highlight w:val="none"/>
              </w:rPr>
              <w:t xml:space="preserve">一人一码和一次一码等多种模式</w:t>
            </w:r>
            <w:r>
              <w:rPr>
                <w:rFonts w:hint="eastAsia" w:ascii="宋体" w:hAnsi="宋体" w:cs="宋体"/>
                <w:bCs/>
                <w:color w:val="auto"/>
                <w:highlight w:val="none"/>
                <w:lang w:bidi="ar"/>
              </w:rPr>
              <w:t xml:space="preserve">，</w:t>
            </w:r>
            <w:r>
              <w:rPr>
                <w:rFonts w:hint="eastAsia" w:ascii="宋体" w:hAnsi="宋体" w:eastAsia="宋体" w:cs="宋体"/>
                <w:color w:val="auto"/>
                <w:highlight w:val="none"/>
              </w:rPr>
              <w:t xml:space="preserve">支持短信分发安全码</w:t>
            </w:r>
            <w:r>
              <w:rPr>
                <w:rFonts w:hint="eastAsia" w:ascii="宋体" w:hAnsi="宋体" w:cs="宋体"/>
                <w:bCs/>
                <w:color w:val="auto"/>
                <w:highlight w:val="none"/>
                <w:lang w:bidi="ar"/>
              </w:rPr>
              <w:t xml:space="preserve">，保障业务的安全性。不同安全码模式均应同时支持PC端和移动端使用。为进一步增强零信任设备本身的安全性，可配置一次一码模式的SPA服务隐身机制，激活码被用户使用并正常登录零信任系统后转换为安全码加密存储，管理员和用户均无法直接查看安全码，换码成功后激活码失效，控制台日志须体现用户首次登录后的换码过程。</w:t>
            </w:r>
            <w:r/>
          </w:p>
        </w:tc>
      </w:tr>
      <w:tr>
        <w:trPr>
          <w:jc w:val="center"/>
        </w:trPr>
        <w:tc>
          <w:tcPr>
            <w:tcW w:w="1144" w:type="pct"/>
            <w:vAlign w:val="center"/>
            <w:vMerge w:val="restart"/>
            <w:textDirection w:val="lrTb"/>
            <w:noWrap w:val="false"/>
          </w:tcPr>
          <w:p>
            <w:pPr>
              <w:pStyle w:val="1034"/>
              <w:ind w:firstLine="0"/>
              <w:jc w:val="center"/>
              <w:widowControl w:val="off"/>
              <w:rPr>
                <w:rFonts w:hint="eastAsia" w:ascii="宋体" w:hAnsi="宋体" w:cs="宋体"/>
                <w:bCs/>
                <w:color w:val="auto"/>
                <w:szCs w:val="24"/>
                <w:highlight w:val="none"/>
                <w:lang w:bidi="ar"/>
              </w:rPr>
            </w:pPr>
            <w:r>
              <w:rPr>
                <w:rFonts w:hint="eastAsia" w:ascii="宋体" w:hAnsi="宋体" w:cs="宋体"/>
                <w:color w:val="auto"/>
                <w:szCs w:val="24"/>
                <w:highlight w:val="none"/>
              </w:rPr>
              <w:t xml:space="preserve">设备健康检查</w:t>
            </w:r>
            <w:r/>
          </w:p>
        </w:tc>
        <w:tc>
          <w:tcPr>
            <w:tcW w:w="3856"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包括但不限于：应支持系统黑匣子及核心进程的状态检测。应支持CPU负载、内存负载、磁盘空间、网卡健康、硬盘健康、网卡日志、BIOS固件等硬件相关状态的检测。应支持软件版本及补丁修复状态等检测。</w:t>
            </w:r>
            <w:r/>
          </w:p>
        </w:tc>
      </w:tr>
      <w:tr>
        <w:trPr>
          <w:jc w:val="center"/>
        </w:trPr>
        <w:tc>
          <w:tcPr>
            <w:tcW w:w="1144" w:type="pct"/>
            <w:vAlign w:val="center"/>
            <w:vMerge w:val="continue"/>
            <w:textDirection w:val="lrTb"/>
            <w:noWrap w:val="false"/>
          </w:tcPr>
          <w:p>
            <w:pPr>
              <w:pStyle w:val="1034"/>
              <w:ind w:firstLine="0"/>
              <w:jc w:val="center"/>
              <w:widowControl w:val="off"/>
              <w:rPr>
                <w:rFonts w:hint="eastAsia" w:ascii="宋体" w:hAnsi="宋体" w:cs="宋体"/>
                <w:color w:val="auto"/>
                <w:szCs w:val="24"/>
                <w:highlight w:val="none"/>
              </w:rPr>
            </w:pPr>
            <w:r>
              <w:rPr>
                <w:rFonts w:hint="eastAsia" w:ascii="宋体" w:hAnsi="宋体" w:cs="宋体"/>
                <w:color w:val="auto"/>
                <w:szCs w:val="24"/>
                <w:highlight w:val="none"/>
              </w:rPr>
            </w:r>
            <w:r/>
          </w:p>
        </w:tc>
        <w:tc>
          <w:tcPr>
            <w:tcW w:w="3856"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1、为方便管理员统筹查看管理零信任系统的整体运行状态，支持对设备自身的安全状态和策略配置进行巡检，对设备的整体状态进行打分，统计所有检查的正常项、异常项和告警项，并输出巡检报告。</w:t>
            </w:r>
            <w:r/>
          </w:p>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2、支持在设备上查看及下载巡检报告。</w:t>
            </w:r>
            <w:r/>
          </w:p>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3、报告应至少包含检测项、检查状态、存在的问题描述、建议改进措施等。</w:t>
            </w:r>
            <w:r/>
          </w:p>
        </w:tc>
      </w:tr>
      <w:tr>
        <w:trPr>
          <w:jc w:val="center"/>
        </w:trPr>
        <w:tc>
          <w:tcPr>
            <w:tcW w:w="1144" w:type="pct"/>
            <w:vAlign w:val="center"/>
            <w:textDirection w:val="lrTb"/>
            <w:noWrap w:val="false"/>
          </w:tcPr>
          <w:p>
            <w:pPr>
              <w:jc w:val="center"/>
              <w:widowControl w:val="off"/>
              <w:rPr>
                <w:rFonts w:hint="eastAsia" w:ascii="宋体" w:hAnsi="宋体" w:cs="宋体"/>
                <w:color w:val="auto"/>
                <w:highlight w:val="none"/>
              </w:rPr>
            </w:pPr>
            <w:r>
              <w:rPr>
                <w:rFonts w:hint="eastAsia" w:ascii="宋体" w:hAnsi="宋体" w:eastAsia="宋体" w:cs="宋体"/>
                <w:color w:val="auto"/>
                <w:highlight w:val="none"/>
              </w:rPr>
              <w:t xml:space="preserve">监控中心</w:t>
            </w:r>
            <w:r/>
          </w:p>
        </w:tc>
        <w:tc>
          <w:tcPr>
            <w:tcW w:w="3856"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1、支持查看当前在线用户终端总数；</w:t>
            </w:r>
            <w:r/>
          </w:p>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2、支持查看当前在线用户，用户信息至少包括用户名、组织架构、终端类型、浏览器类型、接入IP、最后接入时间、认证方式等；</w:t>
            </w:r>
            <w:r/>
          </w:p>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3、支持管理员对在线用户进行注销操作。</w:t>
            </w:r>
            <w:r/>
          </w:p>
        </w:tc>
      </w:tr>
      <w:tr>
        <w:trPr>
          <w:jc w:val="center"/>
        </w:trPr>
        <w:tc>
          <w:tcPr>
            <w:tcW w:w="1144" w:type="pct"/>
            <w:vAlign w:val="center"/>
            <w:textDirection w:val="lrTb"/>
            <w:noWrap w:val="false"/>
          </w:tcPr>
          <w:p>
            <w:pPr>
              <w:jc w:val="center"/>
              <w:widowControl w:val="off"/>
              <w:rPr>
                <w:rFonts w:hint="eastAsia" w:ascii="宋体" w:hAnsi="宋体" w:cs="宋体"/>
                <w:color w:val="auto"/>
                <w:highlight w:val="none"/>
              </w:rPr>
            </w:pPr>
            <w:r>
              <w:rPr>
                <w:rFonts w:hint="eastAsia" w:ascii="宋体" w:hAnsi="宋体" w:eastAsia="宋体" w:cs="宋体"/>
                <w:color w:val="auto"/>
                <w:highlight w:val="none"/>
              </w:rPr>
              <w:t xml:space="preserve">设备安全</w:t>
            </w:r>
            <w:r/>
          </w:p>
        </w:tc>
        <w:tc>
          <w:tcPr>
            <w:tcW w:w="3856"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支持配置同名用户连续登录错误超过上限时锁定账号，并于指定时长后自动恢复。支持配置同IP用户连续登录错误超过上限时锁定IP，并于指定时长后自动恢复。</w:t>
            </w:r>
            <w:r/>
          </w:p>
        </w:tc>
      </w:tr>
      <w:tr>
        <w:trPr>
          <w:jc w:val="center"/>
          <w:trHeight w:val="491"/>
        </w:trPr>
        <w:tc>
          <w:tcPr>
            <w:tcW w:w="1144" w:type="pct"/>
            <w:vAlign w:val="center"/>
            <w:textDirection w:val="lrTb"/>
            <w:noWrap w:val="false"/>
          </w:tcPr>
          <w:p>
            <w:pPr>
              <w:jc w:val="center"/>
              <w:widowControl w:val="off"/>
              <w:rPr>
                <w:rFonts w:hint="eastAsia" w:ascii="宋体" w:hAnsi="宋体" w:cs="宋体"/>
                <w:color w:val="auto"/>
                <w:highlight w:val="none"/>
              </w:rPr>
            </w:pPr>
            <w:r>
              <w:rPr>
                <w:rFonts w:hint="eastAsia" w:ascii="宋体" w:hAnsi="宋体" w:eastAsia="宋体" w:cs="宋体"/>
                <w:color w:val="auto"/>
                <w:highlight w:val="none"/>
              </w:rPr>
              <w:t xml:space="preserve">售后服务</w:t>
            </w:r>
            <w:r/>
          </w:p>
        </w:tc>
        <w:tc>
          <w:tcPr>
            <w:tcW w:w="3856"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提供不少于3年原厂质保</w:t>
            </w:r>
            <w:r/>
          </w:p>
        </w:tc>
      </w:tr>
    </w:tbl>
    <w:p>
      <w:pPr>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备份一体机-星湖医院</w:t>
      </w:r>
      <w:r/>
    </w:p>
    <w:tbl>
      <w:tblPr>
        <w:tblStyle w:val="908"/>
        <w:tblW w:w="494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4"/>
        <w:gridCol w:w="6347"/>
      </w:tblGrid>
      <w:tr>
        <w:trPr>
          <w:trHeight w:val="5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widowControl w:val="off"/>
              <w:rPr>
                <w:rFonts w:hint="eastAsia" w:ascii="宋体" w:hAnsi="宋体" w:cs="宋体"/>
                <w:b/>
                <w:bCs/>
                <w:color w:val="auto"/>
                <w:highlight w:val="none"/>
              </w:rPr>
            </w:pPr>
            <w:r>
              <w:rPr>
                <w:rFonts w:hint="eastAsia" w:ascii="宋体" w:hAnsi="宋体" w:eastAsia="宋体" w:cs="宋体"/>
                <w:b/>
                <w:bCs/>
                <w:color w:val="auto"/>
                <w:highlight w:val="none"/>
              </w:rPr>
              <w:t xml:space="preserve">指标项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jc w:val="center"/>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指标要求</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widowControl w:val="off"/>
              <w:rPr>
                <w:rFonts w:hint="eastAsia" w:ascii="宋体" w:hAnsi="宋体" w:cs="宋体"/>
                <w:color w:val="auto"/>
                <w:highlight w:val="none"/>
              </w:rPr>
            </w:pPr>
            <w:r>
              <w:rPr>
                <w:rFonts w:hint="eastAsia" w:ascii="宋体" w:hAnsi="宋体" w:cs="宋体"/>
                <w:color w:val="auto"/>
                <w:highlight w:val="none"/>
              </w:rPr>
              <w:t xml:space="preserve">硬件规格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cs="宋体"/>
                <w:color w:val="auto"/>
                <w:highlight w:val="none"/>
              </w:rPr>
            </w:pPr>
            <w:r>
              <w:rPr>
                <w:rFonts w:hint="eastAsia" w:ascii="宋体" w:hAnsi="宋体" w:cs="宋体"/>
                <w:color w:val="auto"/>
                <w:highlight w:val="none"/>
              </w:rPr>
              <w:t xml:space="preserve">2U，内存≥4*32GB DDR5 5600，系统盘≥2*480GB SATA SSD，</w:t>
            </w:r>
            <w:r>
              <w:rPr>
                <w:rFonts w:hint="eastAsia" w:ascii="宋体" w:hAnsi="宋体" w:eastAsia="宋体" w:cs="宋体"/>
                <w:color w:val="auto"/>
                <w:highlight w:val="none"/>
              </w:rPr>
              <w:t xml:space="preserve">数据盘</w:t>
            </w:r>
            <w:r>
              <w:rPr>
                <w:rFonts w:hint="eastAsia" w:ascii="宋体" w:hAnsi="宋体" w:cs="宋体"/>
                <w:color w:val="auto"/>
                <w:highlight w:val="none"/>
              </w:rPr>
              <w:t xml:space="preserve">≥3*8T HDD，白金，冗余电源，接口：4千兆电口+2万兆光口。备份容量≥18T。要求设备采用国产芯片及国产操作系统。</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widowControl w:val="off"/>
              <w:rPr>
                <w:rFonts w:hint="eastAsia" w:ascii="宋体" w:hAnsi="宋体" w:cs="宋体"/>
                <w:color w:val="auto"/>
                <w:highlight w:val="none"/>
              </w:rPr>
            </w:pPr>
            <w:r>
              <w:rPr>
                <w:rFonts w:hint="eastAsia" w:ascii="宋体" w:hAnsi="宋体" w:eastAsia="宋体" w:cs="宋体"/>
                <w:color w:val="auto"/>
                <w:highlight w:val="none"/>
              </w:rPr>
              <w:t xml:space="preserve">整机备份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cs="宋体"/>
                <w:color w:val="auto"/>
                <w:highlight w:val="none"/>
              </w:rPr>
            </w:pPr>
            <w:r>
              <w:rPr>
                <w:rFonts w:hint="eastAsia" w:ascii="宋体" w:hAnsi="宋体" w:cs="宋体"/>
                <w:color w:val="auto"/>
                <w:highlight w:val="none"/>
              </w:rPr>
              <w:t xml:space="preserve">提供基于磁盘数据块复制技术的整机备份，无需了解主机业务系统类型、部署方法、业务系统间的数据交互机制、数据结构/</w:t>
            </w:r>
            <w:r>
              <w:rPr>
                <w:rFonts w:hint="eastAsia" w:ascii="宋体" w:hAnsi="宋体" w:eastAsia="宋体" w:cs="宋体"/>
                <w:color w:val="auto"/>
                <w:highlight w:val="none"/>
              </w:rPr>
              <w:t xml:space="preserve">逻辑关系和数据库的品牌</w:t>
            </w:r>
            <w:r>
              <w:rPr>
                <w:rFonts w:hint="eastAsia" w:ascii="宋体" w:hAnsi="宋体" w:cs="宋体"/>
                <w:color w:val="auto"/>
                <w:highlight w:val="none"/>
              </w:rPr>
              <w:t xml:space="preserve">/版本。</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widowControl w:val="off"/>
              <w:rPr>
                <w:rFonts w:hint="eastAsia" w:ascii="宋体" w:hAnsi="宋体" w:cs="宋体"/>
                <w:color w:val="auto"/>
                <w:highlight w:val="none"/>
              </w:rPr>
            </w:pPr>
            <w:r>
              <w:rPr>
                <w:rFonts w:hint="eastAsia" w:ascii="宋体" w:hAnsi="宋体" w:eastAsia="宋体" w:cs="宋体"/>
                <w:color w:val="auto"/>
                <w:highlight w:val="none"/>
              </w:rPr>
              <w:t xml:space="preserve">定时备份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cs="宋体"/>
                <w:color w:val="auto"/>
                <w:highlight w:val="none"/>
              </w:rPr>
            </w:pPr>
            <w:r>
              <w:rPr>
                <w:rFonts w:hint="eastAsia" w:ascii="宋体" w:hAnsi="宋体" w:cs="宋体"/>
                <w:color w:val="auto"/>
                <w:highlight w:val="none"/>
              </w:rPr>
              <w:t xml:space="preserve">支持任意的小时/天/月/年/仅备份一次等策略执行定时备份，</w:t>
            </w:r>
            <w:r>
              <w:rPr>
                <w:rFonts w:hint="eastAsia" w:ascii="宋体" w:hAnsi="宋体" w:eastAsia="宋体" w:cs="宋体"/>
                <w:color w:val="auto"/>
                <w:highlight w:val="none"/>
              </w:rPr>
              <w:t xml:space="preserve">操作简单</w:t>
            </w:r>
            <w:r>
              <w:rPr>
                <w:rFonts w:hint="eastAsia" w:ascii="宋体" w:hAnsi="宋体" w:cs="宋体"/>
                <w:color w:val="auto"/>
                <w:highlight w:val="none"/>
              </w:rPr>
              <w:t xml:space="preserve">，策略灵活；</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widowControl w:val="off"/>
              <w:rPr>
                <w:rFonts w:hint="eastAsia" w:ascii="宋体" w:hAnsi="宋体" w:cs="宋体"/>
                <w:color w:val="auto"/>
                <w:highlight w:val="none"/>
              </w:rPr>
            </w:pPr>
            <w:r>
              <w:rPr>
                <w:rFonts w:hint="eastAsia" w:ascii="宋体" w:hAnsi="宋体" w:eastAsia="宋体" w:cs="宋体"/>
                <w:color w:val="auto"/>
                <w:highlight w:val="none"/>
              </w:rPr>
              <w:t xml:space="preserve">永久增量备份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cs="宋体"/>
                <w:color w:val="auto"/>
                <w:highlight w:val="none"/>
              </w:rPr>
            </w:pPr>
            <w:r>
              <w:rPr>
                <w:rFonts w:hint="eastAsia" w:ascii="宋体" w:hAnsi="宋体" w:cs="宋体"/>
                <w:color w:val="auto"/>
                <w:highlight w:val="none"/>
              </w:rPr>
              <w:t xml:space="preserve">支持完整备份和增量备份，</w:t>
            </w:r>
            <w:r>
              <w:rPr>
                <w:rFonts w:hint="eastAsia" w:ascii="宋体" w:hAnsi="宋体" w:eastAsia="宋体" w:cs="宋体"/>
                <w:color w:val="auto"/>
                <w:highlight w:val="none"/>
              </w:rPr>
              <w:t xml:space="preserve">第一次备份时使用完整备份保留整机应用的完整状态</w:t>
            </w:r>
            <w:r>
              <w:rPr>
                <w:rFonts w:hint="eastAsia" w:ascii="宋体" w:hAnsi="宋体" w:cs="宋体"/>
                <w:color w:val="auto"/>
                <w:highlight w:val="none"/>
              </w:rPr>
              <w:t xml:space="preserve">，后续采用增量备份，</w:t>
            </w:r>
            <w:r>
              <w:rPr>
                <w:rFonts w:hint="eastAsia" w:ascii="宋体" w:hAnsi="宋体" w:eastAsia="宋体" w:cs="宋体"/>
                <w:color w:val="auto"/>
                <w:highlight w:val="none"/>
              </w:rPr>
              <w:t xml:space="preserve">大幅减少备份的数据量</w:t>
            </w:r>
            <w:r>
              <w:rPr>
                <w:rFonts w:hint="eastAsia" w:ascii="宋体" w:hAnsi="宋体" w:cs="宋体"/>
                <w:color w:val="auto"/>
                <w:highlight w:val="none"/>
              </w:rPr>
              <w:t xml:space="preserve">。</w:t>
            </w:r>
            <w:r/>
          </w:p>
        </w:tc>
      </w:tr>
      <w:tr>
        <w:trPr>
          <w:trHeight w:val="285"/>
        </w:trPr>
        <w:tc>
          <w:tcPr>
            <w:tcBorders>
              <w:top w:val="single" w:color="000000" w:sz="4" w:space="0"/>
              <w:left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widowControl w:val="off"/>
              <w:rPr>
                <w:rFonts w:hint="eastAsia" w:ascii="宋体" w:hAnsi="宋体" w:cs="宋体"/>
                <w:color w:val="auto"/>
                <w:highlight w:val="none"/>
              </w:rPr>
            </w:pPr>
            <w:r>
              <w:rPr>
                <w:rFonts w:hint="eastAsia" w:ascii="宋体" w:hAnsi="宋体" w:cs="宋体"/>
                <w:color w:val="auto"/>
                <w:highlight w:val="none"/>
              </w:rPr>
              <w:t xml:space="preserve">恢复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cs="宋体"/>
                <w:color w:val="auto"/>
                <w:highlight w:val="none"/>
              </w:rPr>
            </w:pPr>
            <w:r>
              <w:rPr>
                <w:rFonts w:hint="eastAsia" w:ascii="宋体" w:hAnsi="宋体" w:cs="宋体"/>
                <w:color w:val="auto"/>
                <w:highlight w:val="none"/>
              </w:rPr>
              <w:t xml:space="preserve">▲支持整机全场景恢复，无需部署配置操作系统、应用和数据库等系统环境，实现全场景带业务逻辑的整机灾难重建，无需人工手动安装驱动、更改注册表信息、应用配置信息等，</w:t>
            </w:r>
            <w:r>
              <w:rPr>
                <w:rFonts w:hint="eastAsia" w:ascii="宋体" w:hAnsi="宋体" w:eastAsia="宋体" w:cs="宋体"/>
                <w:color w:val="auto"/>
                <w:highlight w:val="none"/>
              </w:rPr>
              <w:t xml:space="preserve">极大降低灾难重建恢复难度和效率</w:t>
            </w:r>
            <w:r>
              <w:rPr>
                <w:rFonts w:hint="eastAsia" w:ascii="宋体" w:hAnsi="宋体" w:cs="宋体"/>
                <w:color w:val="auto"/>
                <w:highlight w:val="none"/>
              </w:rPr>
              <w:t xml:space="preserve">。</w:t>
            </w:r>
            <w:r>
              <w:rPr>
                <w:rFonts w:hint="eastAsia" w:ascii="宋体" w:hAnsi="宋体" w:cs="宋体"/>
                <w:b/>
                <w:bCs/>
                <w:color w:val="auto"/>
                <w:highlight w:val="none"/>
              </w:rPr>
              <w:t xml:space="preserve">(要求提供具有</w:t>
            </w:r>
            <w:r>
              <w:rPr>
                <w:rFonts w:hint="eastAsia" w:ascii="宋体" w:hAnsi="宋体" w:cs="宋体"/>
                <w:b/>
                <w:bCs/>
                <w:color w:val="auto"/>
                <w:highlight w:val="none"/>
                <w:lang w:eastAsia="zh-CN"/>
              </w:rPr>
              <w:t xml:space="preserve">CMA认证的</w:t>
            </w:r>
            <w:r>
              <w:rPr>
                <w:rFonts w:hint="eastAsia" w:ascii="宋体" w:hAnsi="宋体" w:cs="宋体"/>
                <w:b/>
                <w:bCs/>
                <w:color w:val="auto"/>
                <w:highlight w:val="none"/>
              </w:rPr>
              <w:t xml:space="preserve">第三方检测机构出具的合格检测报告或带功能描述的官网截图或产品彩页扫描件。</w:t>
            </w:r>
            <w:r/>
          </w:p>
        </w:tc>
      </w:tr>
      <w:tr>
        <w:trPr>
          <w:trHeight w:val="285"/>
        </w:trPr>
        <w:tc>
          <w:tcPr>
            <w:tcBorders>
              <w:top w:val="single" w:color="000000" w:sz="4" w:space="0"/>
              <w:left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widowControl w:val="off"/>
              <w:rPr>
                <w:rFonts w:hint="eastAsia" w:ascii="宋体" w:hAnsi="宋体" w:cs="宋体"/>
                <w:color w:val="auto"/>
                <w:highlight w:val="none"/>
              </w:rPr>
            </w:pPr>
            <w:r>
              <w:rPr>
                <w:rFonts w:hint="eastAsia" w:ascii="宋体" w:hAnsi="宋体" w:eastAsia="宋体" w:cs="宋体"/>
                <w:color w:val="auto"/>
                <w:highlight w:val="none"/>
              </w:rPr>
              <w:t xml:space="preserve">文件恢复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cs="宋体"/>
                <w:color w:val="auto"/>
                <w:highlight w:val="none"/>
              </w:rPr>
            </w:pPr>
            <w:r>
              <w:rPr>
                <w:rFonts w:hint="eastAsia" w:ascii="宋体" w:hAnsi="宋体" w:eastAsia="宋体" w:cs="宋体"/>
                <w:color w:val="auto"/>
                <w:highlight w:val="none"/>
              </w:rPr>
              <w:t xml:space="preserve">用户日常运维过程中丢失单个文件</w:t>
            </w:r>
            <w:r>
              <w:rPr>
                <w:rFonts w:hint="eastAsia" w:ascii="宋体" w:hAnsi="宋体" w:cs="宋体"/>
                <w:color w:val="auto"/>
                <w:highlight w:val="none"/>
              </w:rPr>
              <w:t xml:space="preserve">/文件夹，</w:t>
            </w:r>
            <w:r>
              <w:rPr>
                <w:rFonts w:hint="eastAsia" w:ascii="宋体" w:hAnsi="宋体" w:eastAsia="宋体" w:cs="宋体"/>
                <w:color w:val="auto"/>
                <w:highlight w:val="none"/>
              </w:rPr>
              <w:t xml:space="preserve">备份系统支持将任意时间的备份点加载为网络共享路径或在</w:t>
            </w:r>
            <w:r>
              <w:rPr>
                <w:rFonts w:hint="eastAsia" w:ascii="宋体" w:hAnsi="宋体" w:cs="宋体"/>
                <w:color w:val="auto"/>
                <w:highlight w:val="none"/>
              </w:rPr>
              <w:t xml:space="preserve">WEB浏览器中直接URL访问的方式，管理员可轻松找到该文件并复制出来；支持采用文件的直接恢复的方式，可指定恢复单个文件或文件夹到原机某个目录下。</w:t>
            </w:r>
            <w:r/>
          </w:p>
        </w:tc>
      </w:tr>
      <w:tr>
        <w:trPr>
          <w:trHeight w:val="285"/>
        </w:trPr>
        <w:tc>
          <w:tcPr>
            <w:tcBorders>
              <w:top w:val="single" w:color="000000" w:sz="4" w:space="0"/>
              <w:left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widowControl w:val="off"/>
              <w:rPr>
                <w:rFonts w:hint="eastAsia" w:ascii="宋体" w:hAnsi="宋体" w:cs="宋体"/>
                <w:color w:val="auto"/>
                <w:highlight w:val="none"/>
              </w:rPr>
            </w:pPr>
            <w:r>
              <w:rPr>
                <w:rFonts w:hint="eastAsia" w:ascii="宋体" w:hAnsi="宋体" w:eastAsia="宋体" w:cs="宋体"/>
                <w:color w:val="auto"/>
                <w:highlight w:val="none"/>
              </w:rPr>
              <w:t xml:space="preserve">文件验证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cs="宋体"/>
                <w:color w:val="auto"/>
                <w:highlight w:val="none"/>
              </w:rPr>
            </w:pPr>
            <w:r>
              <w:rPr>
                <w:rFonts w:hint="eastAsia" w:ascii="宋体" w:hAnsi="宋体" w:cs="宋体"/>
                <w:color w:val="auto"/>
                <w:highlight w:val="none"/>
              </w:rPr>
              <w:t xml:space="preserve">可将选定的备份点加载为CIFS文件共享和网络共享路径可直接在WEB</w:t>
            </w:r>
            <w:r>
              <w:rPr>
                <w:rFonts w:hint="eastAsia" w:ascii="宋体" w:hAnsi="宋体" w:eastAsia="宋体" w:cs="宋体"/>
                <w:color w:val="auto"/>
                <w:highlight w:val="none"/>
              </w:rPr>
              <w:t xml:space="preserve">浏览器中直接</w:t>
            </w:r>
            <w:r>
              <w:rPr>
                <w:rFonts w:hint="eastAsia" w:ascii="宋体" w:hAnsi="宋体" w:cs="宋体"/>
                <w:color w:val="auto"/>
                <w:highlight w:val="none"/>
              </w:rPr>
              <w:t xml:space="preserve">URL访问，管理员可快速确认需被验证的备份点文件是否是符合预期，备份点是否可用、可靠。</w:t>
            </w:r>
            <w:r/>
          </w:p>
        </w:tc>
      </w:tr>
      <w:tr>
        <w:trPr>
          <w:trHeight w:val="285"/>
        </w:trPr>
        <w:tc>
          <w:tcPr>
            <w:tcBorders>
              <w:top w:val="single" w:color="000000" w:sz="4" w:space="0"/>
              <w:left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widowControl w:val="off"/>
              <w:rPr>
                <w:rFonts w:hint="eastAsia" w:ascii="宋体" w:hAnsi="宋体" w:cs="宋体"/>
                <w:color w:val="auto"/>
                <w:highlight w:val="none"/>
              </w:rPr>
            </w:pPr>
            <w:r>
              <w:rPr>
                <w:rFonts w:hint="eastAsia" w:ascii="宋体" w:hAnsi="宋体" w:eastAsia="宋体" w:cs="宋体"/>
                <w:color w:val="auto"/>
                <w:highlight w:val="none"/>
              </w:rPr>
              <w:t xml:space="preserve">应急接管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eastAsia="宋体" w:cs="宋体"/>
                <w:color w:val="auto"/>
                <w:highlight w:val="none"/>
              </w:rPr>
              <w:t xml:space="preserve">支持对基于共享存储的集群数据库和应用提供应急接管</w:t>
            </w:r>
            <w:r>
              <w:rPr>
                <w:rFonts w:hint="eastAsia" w:ascii="宋体" w:hAnsi="宋体" w:cs="宋体"/>
                <w:color w:val="auto"/>
                <w:highlight w:val="none"/>
              </w:rPr>
              <w:t xml:space="preserve">，自动化配置集群网卡、聚合网卡参数。</w:t>
            </w:r>
            <w:r>
              <w:rPr>
                <w:rFonts w:hint="eastAsia" w:ascii="宋体" w:hAnsi="宋体" w:cs="宋体"/>
                <w:b/>
                <w:bCs/>
                <w:color w:val="auto"/>
                <w:highlight w:val="none"/>
              </w:rPr>
              <w:t xml:space="preserve">(要求提供具有</w:t>
            </w:r>
            <w:r>
              <w:rPr>
                <w:rFonts w:hint="eastAsia" w:ascii="宋体" w:hAnsi="宋体" w:cs="宋体"/>
                <w:b/>
                <w:bCs/>
                <w:color w:val="auto"/>
                <w:highlight w:val="none"/>
                <w:lang w:eastAsia="zh-CN"/>
              </w:rPr>
              <w:t xml:space="preserve">CMA认证的</w:t>
            </w:r>
            <w:r>
              <w:rPr>
                <w:rFonts w:hint="eastAsia" w:ascii="宋体" w:hAnsi="宋体" w:cs="宋体"/>
                <w:b/>
                <w:bCs/>
                <w:color w:val="auto"/>
                <w:highlight w:val="none"/>
              </w:rPr>
              <w:t xml:space="preserve">第三方检测机构出具的合格检测报告或带功能描述的官网截图或产品彩页扫描件。</w:t>
            </w:r>
            <w:r/>
          </w:p>
        </w:tc>
      </w:tr>
      <w:tr>
        <w:trPr>
          <w:trHeight w:val="285"/>
        </w:trPr>
        <w:tc>
          <w:tcPr>
            <w:tcBorders>
              <w:left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widowControl w:val="off"/>
              <w:rPr>
                <w:rFonts w:hint="eastAsia" w:ascii="宋体" w:hAnsi="宋体" w:cs="宋体"/>
                <w:color w:val="auto"/>
                <w:highlight w:val="none"/>
              </w:rPr>
            </w:pPr>
            <w:r>
              <w:rPr>
                <w:rFonts w:hint="eastAsia" w:ascii="宋体" w:hAnsi="宋体" w:eastAsia="宋体" w:cs="宋体"/>
                <w:color w:val="auto"/>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cs="宋体"/>
                <w:color w:val="auto"/>
                <w:highlight w:val="none"/>
              </w:rPr>
            </w:pPr>
            <w:r>
              <w:rPr>
                <w:rFonts w:hint="eastAsia" w:ascii="宋体" w:hAnsi="宋体" w:cs="宋体"/>
                <w:color w:val="auto"/>
                <w:highlight w:val="none"/>
              </w:rPr>
              <w:t xml:space="preserve">备份系统网络可配置“网卡关闭/开启策略”，</w:t>
            </w:r>
            <w:r>
              <w:rPr>
                <w:rFonts w:hint="eastAsia" w:ascii="宋体" w:hAnsi="宋体" w:eastAsia="宋体" w:cs="宋体"/>
                <w:color w:val="auto"/>
                <w:highlight w:val="none"/>
              </w:rPr>
              <w:t xml:space="preserve">还可将除备份数据传输端口外的</w:t>
            </w:r>
            <w:r>
              <w:rPr>
                <w:rFonts w:hint="eastAsia" w:ascii="宋体" w:hAnsi="宋体" w:cs="宋体"/>
                <w:color w:val="auto"/>
                <w:highlight w:val="none"/>
              </w:rPr>
              <w:t xml:space="preserve">SSH、网络访问等网络端口全部关闭，杜绝除传输备份数据流之外一切网络访问的可能，降低备份系统被攻击的概率。</w:t>
            </w:r>
            <w:r/>
          </w:p>
        </w:tc>
      </w:tr>
      <w:tr>
        <w:trPr>
          <w:trHeight w:val="285"/>
        </w:trPr>
        <w:tc>
          <w:tcPr>
            <w:tcBorders>
              <w:left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widowControl w:val="off"/>
              <w:rPr>
                <w:rFonts w:hint="eastAsia" w:ascii="宋体" w:hAnsi="宋体" w:cs="宋体"/>
                <w:color w:val="auto"/>
                <w:highlight w:val="none"/>
              </w:rPr>
            </w:pPr>
            <w:r>
              <w:rPr>
                <w:rFonts w:hint="eastAsia" w:ascii="宋体" w:hAnsi="宋体" w:eastAsia="宋体" w:cs="宋体"/>
                <w:color w:val="auto"/>
                <w:highlight w:val="none"/>
              </w:rPr>
              <w:t xml:space="preserve">存储策略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cs="宋体"/>
                <w:color w:val="auto"/>
                <w:highlight w:val="none"/>
              </w:rPr>
            </w:pPr>
            <w:r>
              <w:rPr>
                <w:rFonts w:hint="eastAsia" w:ascii="宋体" w:hAnsi="宋体" w:eastAsia="宋体" w:cs="宋体"/>
                <w:color w:val="auto"/>
                <w:highlight w:val="none"/>
              </w:rPr>
              <w:t xml:space="preserve">支持备份系统的系统数据备份到第三方存储</w:t>
            </w:r>
            <w:r>
              <w:rPr>
                <w:rFonts w:hint="eastAsia" w:ascii="宋体" w:hAnsi="宋体" w:cs="宋体"/>
                <w:color w:val="auto"/>
                <w:highlight w:val="none"/>
              </w:rPr>
              <w:t xml:space="preserve">，当备份存储系统自身发生故障时，可通过备份数据进行还原。</w:t>
            </w:r>
            <w:r/>
          </w:p>
        </w:tc>
      </w:tr>
      <w:tr>
        <w:trPr>
          <w:trHeight w:val="285"/>
        </w:trPr>
        <w:tc>
          <w:tcPr>
            <w:tcBorders>
              <w:left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widowControl w:val="off"/>
              <w:rPr>
                <w:rFonts w:hint="eastAsia" w:ascii="宋体" w:hAnsi="宋体" w:cs="宋体"/>
                <w:color w:val="auto"/>
                <w:highlight w:val="none"/>
              </w:rPr>
            </w:pPr>
            <w:r>
              <w:rPr>
                <w:rFonts w:hint="eastAsia" w:ascii="宋体" w:hAnsi="宋体" w:cs="宋体"/>
                <w:color w:val="auto"/>
                <w:highlight w:val="none"/>
              </w:rPr>
              <w:t xml:space="preserve">告警信息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cs="宋体"/>
                <w:color w:val="auto"/>
                <w:highlight w:val="none"/>
              </w:rPr>
            </w:pPr>
            <w:r>
              <w:rPr>
                <w:rFonts w:hint="eastAsia" w:ascii="宋体" w:hAnsi="宋体" w:cs="宋体"/>
                <w:color w:val="auto"/>
                <w:highlight w:val="none"/>
              </w:rPr>
              <w:t xml:space="preserve">支持以邮件、企业微信告警的方式，针对于备份存储系统的软件故障、</w:t>
            </w:r>
            <w:r>
              <w:rPr>
                <w:rFonts w:hint="eastAsia" w:ascii="宋体" w:hAnsi="宋体" w:eastAsia="宋体" w:cs="宋体"/>
                <w:color w:val="auto"/>
                <w:highlight w:val="none"/>
              </w:rPr>
              <w:t xml:space="preserve">存储空间</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备份任务</w:t>
            </w:r>
            <w:r>
              <w:rPr>
                <w:rFonts w:hint="eastAsia" w:ascii="宋体" w:hAnsi="宋体" w:cs="宋体"/>
                <w:color w:val="auto"/>
                <w:highlight w:val="none"/>
              </w:rPr>
              <w:t xml:space="preserve">、操作状态等信息及时通知管理员。</w:t>
            </w:r>
            <w:r/>
          </w:p>
        </w:tc>
      </w:tr>
      <w:tr>
        <w:trPr>
          <w:trHeight w:val="529"/>
        </w:trPr>
        <w:tc>
          <w:tcPr>
            <w:tcBorders>
              <w:left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widowControl w:val="off"/>
              <w:rPr>
                <w:rFonts w:hint="eastAsia" w:ascii="宋体" w:hAnsi="宋体" w:cs="宋体"/>
                <w:color w:val="auto"/>
                <w:highlight w:val="none"/>
              </w:rPr>
            </w:pPr>
            <w:r>
              <w:rPr>
                <w:rFonts w:hint="eastAsia" w:ascii="宋体" w:hAnsi="宋体" w:cs="宋体"/>
                <w:color w:val="auto"/>
                <w:highlight w:val="none"/>
              </w:rPr>
              <w:t xml:space="preserve">售后服务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jc w:val="both"/>
              <w:widowControl w:val="off"/>
              <w:rPr>
                <w:rFonts w:hint="eastAsia" w:ascii="宋体" w:hAnsi="宋体" w:cs="宋体"/>
                <w:color w:val="auto"/>
                <w:highlight w:val="none"/>
              </w:rPr>
            </w:pPr>
            <w:r>
              <w:rPr>
                <w:rFonts w:hint="eastAsia" w:ascii="宋体" w:hAnsi="宋体" w:cs="宋体"/>
                <w:color w:val="auto"/>
                <w:highlight w:val="none"/>
              </w:rPr>
              <w:t xml:space="preserve">提供</w:t>
            </w:r>
            <w:r>
              <w:rPr>
                <w:rFonts w:hint="eastAsia" w:ascii="宋体" w:hAnsi="宋体" w:eastAsia="宋体" w:cs="宋体"/>
                <w:color w:val="auto"/>
                <w:highlight w:val="none"/>
              </w:rPr>
              <w:t xml:space="preserve">不少于</w:t>
            </w:r>
            <w:r>
              <w:rPr>
                <w:rFonts w:hint="eastAsia" w:ascii="宋体" w:hAnsi="宋体" w:cs="宋体"/>
                <w:color w:val="auto"/>
                <w:highlight w:val="none"/>
              </w:rPr>
              <w:t xml:space="preserve">3年原厂质保</w:t>
            </w:r>
            <w:r/>
          </w:p>
        </w:tc>
      </w:tr>
    </w:tbl>
    <w:p>
      <w:pPr>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堡垒机-星浦医院</w:t>
      </w:r>
      <w:r/>
    </w:p>
    <w:tbl>
      <w:tblPr>
        <w:tblStyle w:val="934"/>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2" w:type="dxa"/>
          <w:top w:w="0" w:type="dxa"/>
          <w:right w:w="62" w:type="dxa"/>
          <w:bottom w:w="0" w:type="dxa"/>
        </w:tblCellMar>
        <w:tblLook w:val="04A0" w:firstRow="1" w:lastRow="0" w:firstColumn="1" w:lastColumn="0" w:noHBand="0" w:noVBand="1"/>
      </w:tblPr>
      <w:tblGrid>
        <w:gridCol w:w="1816"/>
        <w:gridCol w:w="6458"/>
      </w:tblGrid>
      <w:tr>
        <w:trPr>
          <w:jc w:val="center"/>
          <w:trHeight w:val="520"/>
        </w:trPr>
        <w:tc>
          <w:tcPr>
            <w:tcW w:w="1097" w:type="pct"/>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指标项</w:t>
            </w:r>
            <w:r/>
          </w:p>
        </w:tc>
        <w:tc>
          <w:tcPr>
            <w:tcW w:w="3902" w:type="pct"/>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规格要求</w:t>
            </w:r>
            <w:r/>
          </w:p>
        </w:tc>
      </w:tr>
      <w:tr>
        <w:trPr>
          <w:jc w:val="center"/>
          <w:trHeight w:val="390"/>
        </w:trPr>
        <w:tc>
          <w:tcPr>
            <w:tcW w:w="1097" w:type="pct"/>
            <w:vAlign w:val="center"/>
            <w:textDirection w:val="lrTb"/>
            <w:noWrap w:val="false"/>
          </w:tcPr>
          <w:p>
            <w:pPr>
              <w:jc w:val="center"/>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硬件规格</w:t>
            </w:r>
            <w:r/>
          </w:p>
        </w:tc>
        <w:tc>
          <w:tcPr>
            <w:tcW w:w="3902"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标准1U或以上机架设备，采用国产化成熟CPU，国产化成熟操作系统；</w:t>
            </w:r>
            <w:r/>
          </w:p>
        </w:tc>
      </w:tr>
      <w:tr>
        <w:trPr>
          <w:jc w:val="center"/>
          <w:trHeight w:val="390"/>
        </w:trPr>
        <w:tc>
          <w:tcPr>
            <w:tcW w:w="1097" w:type="pct"/>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接口和性能</w:t>
            </w:r>
            <w:r/>
          </w:p>
        </w:tc>
        <w:tc>
          <w:tcPr>
            <w:tcW w:w="3902"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必须标配千兆电口≥6个，千兆光口≥4个，内置存储容量≥1.92T；图形运维最大并发数不低于100，字符运维最大并发数不低于200。</w:t>
            </w:r>
            <w:r/>
          </w:p>
        </w:tc>
      </w:tr>
      <w:tr>
        <w:trPr>
          <w:jc w:val="center"/>
          <w:trHeight w:val="450"/>
        </w:trPr>
        <w:tc>
          <w:tcPr>
            <w:tcW w:w="1097" w:type="pct"/>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配置要求</w:t>
            </w:r>
            <w:r/>
          </w:p>
        </w:tc>
        <w:tc>
          <w:tcPr>
            <w:tcW w:w="3902"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本次包含可管理设备数量≥50个，最大可扩展资源≥150</w:t>
            </w:r>
            <w:r/>
          </w:p>
        </w:tc>
      </w:tr>
      <w:tr>
        <w:trPr>
          <w:jc w:val="center"/>
          <w:trHeight w:val="230"/>
        </w:trPr>
        <w:tc>
          <w:tcPr>
            <w:tcW w:w="1097" w:type="pct"/>
            <w:vAlign w:val="center"/>
            <w:vMerge w:val="restart"/>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用户管理</w:t>
            </w:r>
            <w:r/>
          </w:p>
        </w:tc>
        <w:tc>
          <w:tcPr>
            <w:tcW w:w="3902"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支持用户/用户组管理，包括添加、删除、启用、禁用、移动、修改功能</w:t>
            </w:r>
            <w:r/>
          </w:p>
        </w:tc>
      </w:tr>
      <w:tr>
        <w:trPr>
          <w:jc w:val="center"/>
          <w:trHeight w:val="690"/>
        </w:trPr>
        <w:tc>
          <w:tcPr>
            <w:tcW w:w="1097" w:type="pct"/>
            <w:vAlign w:val="center"/>
            <w:vMerge w:val="continue"/>
            <w:textDirection w:val="lrTb"/>
            <w:noWrap w:val="false"/>
          </w:tcPr>
          <w:p>
            <w:pPr>
              <w:jc w:val="lef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902"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用户密码策略包括：最小密码长度（强制最小8位）、密码复杂度（小写字母，大写字母，数字，特殊字符）、不允许密码与用户一致设置，不允许密码与用户逆序，密码周期（过期前提醒）、历史密码对比</w:t>
            </w:r>
            <w:r/>
          </w:p>
        </w:tc>
      </w:tr>
      <w:tr>
        <w:trPr>
          <w:jc w:val="center"/>
          <w:trHeight w:val="506"/>
        </w:trPr>
        <w:tc>
          <w:tcPr>
            <w:tcW w:w="1097" w:type="pct"/>
            <w:vAlign w:val="center"/>
            <w:vMerge w:val="continue"/>
            <w:textDirection w:val="lrTb"/>
            <w:noWrap w:val="false"/>
          </w:tcPr>
          <w:p>
            <w:pPr>
              <w:jc w:val="lef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902"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支持用户帐号有效期配置</w:t>
            </w:r>
            <w:r/>
          </w:p>
        </w:tc>
      </w:tr>
      <w:tr>
        <w:trPr>
          <w:jc w:val="center"/>
          <w:trHeight w:val="506"/>
        </w:trPr>
        <w:tc>
          <w:tcPr>
            <w:tcW w:w="1097" w:type="pct"/>
            <w:vAlign w:val="center"/>
            <w:vMerge w:val="continue"/>
            <w:textDirection w:val="lrTb"/>
            <w:noWrap w:val="false"/>
          </w:tcPr>
          <w:p>
            <w:pPr>
              <w:jc w:val="lef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902"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支持用户客户端IP和MAC限制，防止用户私接</w:t>
            </w:r>
            <w:r/>
          </w:p>
        </w:tc>
      </w:tr>
      <w:tr>
        <w:trPr>
          <w:jc w:val="center"/>
          <w:trHeight w:val="480"/>
        </w:trPr>
        <w:tc>
          <w:tcPr>
            <w:tcW w:w="1097" w:type="pct"/>
            <w:vAlign w:val="center"/>
            <w:vMerge w:val="restart"/>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资源管理与授权</w:t>
            </w:r>
            <w:r/>
          </w:p>
        </w:tc>
        <w:tc>
          <w:tcPr>
            <w:tcW w:w="3902" w:type="pct"/>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支持以资源为视角进行用户访问授权，可在具体资源上直接进行用户角色绑定，提高授权关系绑定易用性和灵活性</w:t>
            </w:r>
            <w:r/>
          </w:p>
        </w:tc>
      </w:tr>
      <w:tr>
        <w:trPr>
          <w:jc w:val="center"/>
          <w:trHeight w:val="435"/>
        </w:trPr>
        <w:tc>
          <w:tcPr>
            <w:tcW w:w="1097" w:type="pct"/>
            <w:vAlign w:val="center"/>
            <w:vMerge w:val="continue"/>
            <w:textDirection w:val="lrTb"/>
            <w:noWrap w:val="false"/>
          </w:tcPr>
          <w:p>
            <w:pPr>
              <w:jc w:val="lef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902"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支持资源（包括服务和资源帐号）批量导入导出功能</w:t>
            </w:r>
            <w:r/>
          </w:p>
        </w:tc>
      </w:tr>
      <w:tr>
        <w:trPr>
          <w:jc w:val="center"/>
          <w:trHeight w:val="435"/>
        </w:trPr>
        <w:tc>
          <w:tcPr>
            <w:tcW w:w="1097" w:type="pct"/>
            <w:vAlign w:val="center"/>
            <w:vMerge w:val="continue"/>
            <w:textDirection w:val="lrTb"/>
            <w:noWrap w:val="false"/>
          </w:tcPr>
          <w:p>
            <w:pPr>
              <w:jc w:val="lef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902"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内置常见资源分类和资源系统类型</w:t>
            </w:r>
            <w:r/>
          </w:p>
        </w:tc>
      </w:tr>
      <w:tr>
        <w:trPr>
          <w:jc w:val="center"/>
          <w:trHeight w:val="435"/>
        </w:trPr>
        <w:tc>
          <w:tcPr>
            <w:tcW w:w="1097" w:type="pct"/>
            <w:vAlign w:val="center"/>
            <w:vMerge w:val="continue"/>
            <w:textDirection w:val="lrTb"/>
            <w:noWrap w:val="false"/>
          </w:tcPr>
          <w:p>
            <w:pPr>
              <w:jc w:val="lef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902"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支持限制RDP访问使用剪贴板上、下行控制、磁盘映射功能</w:t>
            </w:r>
            <w:r/>
          </w:p>
        </w:tc>
      </w:tr>
      <w:tr>
        <w:trPr>
          <w:jc w:val="center"/>
          <w:trHeight w:val="480"/>
        </w:trPr>
        <w:tc>
          <w:tcPr>
            <w:tcW w:w="1097" w:type="pct"/>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资源自动发现</w:t>
            </w:r>
            <w:r/>
          </w:p>
        </w:tc>
        <w:tc>
          <w:tcPr>
            <w:tcW w:w="3902"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支持资源自动发现和添加，便于快速添加资源</w:t>
            </w:r>
            <w:r/>
          </w:p>
        </w:tc>
      </w:tr>
      <w:tr>
        <w:trPr>
          <w:jc w:val="center"/>
          <w:trHeight w:val="90"/>
        </w:trPr>
        <w:tc>
          <w:tcPr>
            <w:tcW w:w="1097" w:type="pct"/>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帐号稽核</w:t>
            </w:r>
            <w:r/>
          </w:p>
        </w:tc>
        <w:tc>
          <w:tcPr>
            <w:tcW w:w="3902"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支持僵尸、幽灵、孤儿帐号稽核功能，并可以导出异常账号稽核情况报告，方便管理员统计异常账号情况。</w:t>
            </w:r>
            <w:r/>
          </w:p>
        </w:tc>
      </w:tr>
      <w:tr>
        <w:trPr>
          <w:jc w:val="center"/>
          <w:trHeight w:val="480"/>
        </w:trPr>
        <w:tc>
          <w:tcPr>
            <w:tcW w:w="1097" w:type="pct"/>
            <w:vAlign w:val="center"/>
            <w:vMerge w:val="restart"/>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数据库审计</w:t>
            </w:r>
            <w:r/>
          </w:p>
        </w:tc>
        <w:tc>
          <w:tcPr>
            <w:tcW w:w="3902" w:type="pct"/>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实现数据库命令级审计，支持的数据库类型应包含主流品牌数据库，不需采用数据镜像方式实现，以免增加部署的复杂性和网络负担</w:t>
            </w:r>
            <w:r/>
          </w:p>
        </w:tc>
      </w:tr>
      <w:tr>
        <w:trPr>
          <w:jc w:val="center"/>
          <w:trHeight w:val="480"/>
        </w:trPr>
        <w:tc>
          <w:tcPr>
            <w:tcW w:w="1097" w:type="pct"/>
            <w:vAlign w:val="center"/>
            <w:vMerge w:val="continue"/>
            <w:textDirection w:val="lrTb"/>
            <w:noWrap w:val="false"/>
          </w:tcPr>
          <w:p>
            <w:pPr>
              <w:jc w:val="lef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902" w:type="pct"/>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支持Oracle、Postgresql、Sybase、MySQL、SQL server数据库下行返回行数记录；支持在Oracle数据库运维，运维人员对变量进行绑定，执行SQL后，堡垒机系统可审计对应SQL中唯一标识符的具体值，协助审计员分析安全事件</w:t>
            </w:r>
            <w:r/>
          </w:p>
        </w:tc>
      </w:tr>
      <w:tr>
        <w:trPr>
          <w:jc w:val="center"/>
          <w:trHeight w:val="480"/>
        </w:trPr>
        <w:tc>
          <w:tcPr>
            <w:tcW w:w="1097" w:type="pct"/>
            <w:vAlign w:val="center"/>
            <w:vMerge w:val="continue"/>
            <w:textDirection w:val="lrTb"/>
            <w:noWrap w:val="false"/>
          </w:tcPr>
          <w:p>
            <w:pPr>
              <w:jc w:val="lef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902" w:type="pct"/>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支持在Oracle数据库运维，运维人员对变量进行绑定，执行SQL后，堡垒机系统可审计对应SQL中唯一标识符的具体值，协助审计员分析安全事件</w:t>
            </w:r>
            <w:r/>
          </w:p>
        </w:tc>
      </w:tr>
      <w:tr>
        <w:trPr>
          <w:jc w:val="center"/>
          <w:trHeight w:val="480"/>
        </w:trPr>
        <w:tc>
          <w:tcPr>
            <w:tcW w:w="1097" w:type="pct"/>
            <w:vAlign w:val="center"/>
            <w:vMerge w:val="continue"/>
            <w:textDirection w:val="lrTb"/>
            <w:noWrap w:val="false"/>
          </w:tcPr>
          <w:p>
            <w:pPr>
              <w:jc w:val="lef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902" w:type="pct"/>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应支持审计以下事件：</w:t>
            </w:r>
            <w:r/>
          </w:p>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数据库用户操作，包括用户登陆鉴别、切换用户、用户授权等；</w:t>
            </w:r>
            <w:r/>
          </w:p>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数据库数据操作，包括数据的增加、删除、修改、查询等；</w:t>
            </w:r>
            <w:r/>
          </w:p>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数据库结构操作，包括新建、删除数据库或数据库标等；</w:t>
            </w:r>
            <w:r/>
          </w:p>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数据库操作结果，包括数据库返回内容、操作成功或失败等。</w:t>
            </w:r>
            <w:r/>
          </w:p>
        </w:tc>
      </w:tr>
      <w:tr>
        <w:trPr>
          <w:jc w:val="center"/>
          <w:trHeight w:val="480"/>
        </w:trPr>
        <w:tc>
          <w:tcPr>
            <w:tcW w:w="1097" w:type="pct"/>
            <w:vAlign w:val="center"/>
            <w:vMerge w:val="continue"/>
            <w:textDirection w:val="lrTb"/>
            <w:noWrap w:val="false"/>
          </w:tcPr>
          <w:p>
            <w:pPr>
              <w:jc w:val="lef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902" w:type="pct"/>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支持通过应用发布实现数据库操作的命令级审计和图形审计的双重审计效果，命令级审计便于重现真实的完整操作命令，图形审计便于直观的查看到真实的操作行为，并支持通过搜索操作语句关键字定位审计回放</w:t>
            </w:r>
            <w:r/>
          </w:p>
        </w:tc>
      </w:tr>
      <w:tr>
        <w:trPr>
          <w:jc w:val="center"/>
          <w:trHeight w:val="735"/>
        </w:trPr>
        <w:tc>
          <w:tcPr>
            <w:tcW w:w="1097" w:type="pct"/>
            <w:vAlign w:val="center"/>
            <w:vMerge w:val="restart"/>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审计查询</w:t>
            </w:r>
            <w:r/>
          </w:p>
        </w:tc>
        <w:tc>
          <w:tcPr>
            <w:tcW w:w="3902"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▲审计查询关键字和结果显示支持多种编码：(UTF-8,Big5,EUC-JP,EUC-KR,GB2312,GB18030,ISO-8859-2,KOI8-R,KS_C_5601_1987,Shift_JIS,Window-874)，由审计管理员自主选择。</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r/>
          </w:p>
        </w:tc>
      </w:tr>
      <w:tr>
        <w:trPr>
          <w:jc w:val="center"/>
          <w:trHeight w:val="735"/>
        </w:trPr>
        <w:tc>
          <w:tcPr>
            <w:tcW w:w="1097" w:type="pct"/>
            <w:vAlign w:val="center"/>
            <w:vMerge w:val="continue"/>
            <w:textDirection w:val="lrTb"/>
            <w:noWrap w:val="false"/>
          </w:tcPr>
          <w:p>
            <w:pPr>
              <w:jc w:val="center"/>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3902"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支持把事件结果生成审计记录，包括以下内容：</w:t>
            </w:r>
            <w:r/>
          </w:p>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1、主机事件审计记录包括：日期和时间、主机标识、事件主体、事件客体、事件描述等；</w:t>
            </w:r>
            <w:r/>
          </w:p>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2、网络事件审计记录除日期和时间、源IP、目的IP外，还包括FTP、TELNET通讯的用户名、操作命令等；HTTP通讯的目标URL等；SMTP/POP3通讯的发件邮箱、收件邮箱、邮件主题等；其他网络协议或应用通讯的名称等；</w:t>
            </w:r>
            <w:r/>
          </w:p>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3、数据库事件审计记录包括：日期时间、客户端标识、数据库标识、操作命令等；</w:t>
            </w:r>
            <w:r/>
          </w:p>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4、应用系统事件审计记录包括：日期时间、应用系统标识、事件主体、事件客体、事件描述等。</w:t>
            </w:r>
            <w:r/>
          </w:p>
        </w:tc>
      </w:tr>
      <w:tr>
        <w:trPr>
          <w:jc w:val="center"/>
          <w:trHeight w:val="90"/>
        </w:trPr>
        <w:tc>
          <w:tcPr>
            <w:tcW w:w="1097" w:type="pct"/>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运维工具自动发现</w:t>
            </w:r>
            <w:r/>
          </w:p>
        </w:tc>
        <w:tc>
          <w:tcPr>
            <w:tcW w:w="3902"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支持自动发现本地运维工具，扫描运维工具的配置并进行保存，简化运维人员的配置过程,同时可针对本地运维工具的功能做限制</w:t>
            </w:r>
            <w:r/>
          </w:p>
        </w:tc>
      </w:tr>
      <w:tr>
        <w:trPr>
          <w:jc w:val="center"/>
          <w:trHeight w:val="735"/>
        </w:trPr>
        <w:tc>
          <w:tcPr>
            <w:tcW w:w="1097" w:type="pct"/>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运维屏幕水印</w:t>
            </w:r>
            <w:r/>
          </w:p>
        </w:tc>
        <w:tc>
          <w:tcPr>
            <w:tcW w:w="3902"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支持通过应用发布开启运维屏幕水印，运维本地无法篡改水印内容，震慑不规范的运维行为，提升运维过程数据安全性。</w:t>
            </w:r>
            <w:r/>
          </w:p>
        </w:tc>
      </w:tr>
      <w:tr>
        <w:trPr>
          <w:jc w:val="center"/>
          <w:trHeight w:val="735"/>
        </w:trPr>
        <w:tc>
          <w:tcPr>
            <w:tcW w:w="1097" w:type="pct"/>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C/S客户端</w:t>
            </w:r>
            <w:r/>
          </w:p>
        </w:tc>
        <w:tc>
          <w:tcPr>
            <w:tcW w:w="3902"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设备运维支持专用C/S客户端模式（非CRT，XSHELL等通用运维工具）:提供C/S客户端功能，用于运维人员和管理员通过C/S客户端登录进行运维操作和管理操作，整个运维过程不依赖任何Active或Java控件</w:t>
            </w:r>
            <w:r/>
          </w:p>
        </w:tc>
      </w:tr>
      <w:tr>
        <w:trPr>
          <w:jc w:val="center"/>
          <w:trHeight w:val="735"/>
        </w:trPr>
        <w:tc>
          <w:tcPr>
            <w:tcW w:w="1097" w:type="pct"/>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自监控与告警</w:t>
            </w:r>
            <w:r/>
          </w:p>
        </w:tc>
        <w:tc>
          <w:tcPr>
            <w:tcW w:w="3902"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实时监控系统CPU、内存、磁盘的使用情况，支持CPU、内存、磁盘使用超过阈值邮件告警，支持对系统关机、重启操作进行邮件告警，并可以设置不同事件级别</w:t>
            </w:r>
            <w:r/>
          </w:p>
        </w:tc>
      </w:tr>
      <w:tr>
        <w:trPr>
          <w:jc w:val="center"/>
          <w:trHeight w:val="735"/>
        </w:trPr>
        <w:tc>
          <w:tcPr>
            <w:tcW w:w="1097" w:type="pct"/>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应用发布防跳转</w:t>
            </w:r>
            <w:r/>
          </w:p>
        </w:tc>
        <w:tc>
          <w:tcPr>
            <w:tcW w:w="3902"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应用发布防跳转：通过应用发布只能访问已授权资源，无法通过应用工具新建未授权资源进行跳转连接；支持web页面或数据库防跳转功能，进行http/https访问过程中，运维人员仅允许访问授权地址。</w:t>
            </w:r>
            <w:r/>
          </w:p>
        </w:tc>
      </w:tr>
      <w:tr>
        <w:trPr>
          <w:jc w:val="center"/>
          <w:trHeight w:val="515"/>
        </w:trPr>
        <w:tc>
          <w:tcPr>
            <w:tcW w:w="1097" w:type="pct"/>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售后服务</w:t>
            </w:r>
            <w:r/>
          </w:p>
        </w:tc>
        <w:tc>
          <w:tcPr>
            <w:tcW w:w="3902"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提供不少于3年原厂质保</w:t>
            </w:r>
            <w:r/>
          </w:p>
        </w:tc>
      </w:tr>
    </w:tbl>
    <w:p>
      <w:pPr>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防火墙-星浦医院</w:t>
      </w:r>
      <w:r/>
    </w:p>
    <w:tbl>
      <w:tblPr>
        <w:tblStyle w:val="9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78"/>
        <w:gridCol w:w="6424"/>
      </w:tblGrid>
      <w:tr>
        <w:trPr>
          <w:jc w:val="center"/>
          <w:trHeight w:val="509"/>
        </w:trPr>
        <w:tc>
          <w:tcPr>
            <w:tcBorders>
              <w:top w:val="single" w:color="auto" w:sz="4" w:space="0"/>
              <w:left w:val="single" w:color="auto" w:sz="4" w:space="0"/>
              <w:right w:val="single" w:color="auto" w:sz="4" w:space="0"/>
            </w:tcBorders>
            <w:tcW w:w="1131" w:type="pct"/>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color w:val="auto"/>
                <w:highlight w:val="none"/>
              </w:rPr>
              <w:t xml:space="preserve">指标项</w:t>
            </w:r>
            <w:r/>
          </w:p>
        </w:tc>
        <w:tc>
          <w:tcPr>
            <w:tcBorders>
              <w:top w:val="single" w:color="auto" w:sz="4" w:space="0"/>
              <w:left w:val="single" w:color="auto" w:sz="4" w:space="0"/>
              <w:bottom w:val="single" w:color="auto" w:sz="4" w:space="0"/>
              <w:right w:val="single" w:color="auto" w:sz="4" w:space="0"/>
            </w:tcBorders>
            <w:tcW w:w="3869" w:type="pct"/>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color w:val="auto"/>
                <w:highlight w:val="none"/>
              </w:rPr>
              <w:t xml:space="preserve">指标要求</w:t>
            </w:r>
            <w:r/>
          </w:p>
        </w:tc>
      </w:tr>
      <w:tr>
        <w:trPr>
          <w:jc w:val="center"/>
        </w:trPr>
        <w:tc>
          <w:tcPr>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性能要求</w:t>
            </w:r>
            <w:r/>
          </w:p>
        </w:tc>
        <w:tc>
          <w:tcPr>
            <w:tcBorders>
              <w:top w:val="single" w:color="auto" w:sz="4" w:space="0"/>
              <w:left w:val="single" w:color="auto" w:sz="4" w:space="0"/>
              <w:bottom w:val="single" w:color="auto" w:sz="4" w:space="0"/>
              <w:right w:val="single" w:color="auto" w:sz="4" w:space="0"/>
            </w:tcBorders>
            <w:tcW w:w="3869"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网络层吞吐量≥10G，应用层吞吐量≥4G，并发连接数≥400万，HTTP新建连接数≥10万。</w:t>
            </w:r>
            <w:r/>
          </w:p>
        </w:tc>
      </w:tr>
      <w:tr>
        <w:trPr>
          <w:jc w:val="center"/>
        </w:trPr>
        <w:tc>
          <w:tcPr>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硬件要求</w:t>
            </w:r>
            <w:r/>
          </w:p>
        </w:tc>
        <w:tc>
          <w:tcPr>
            <w:tcBorders>
              <w:top w:val="single" w:color="auto" w:sz="4" w:space="0"/>
              <w:left w:val="single" w:color="auto" w:sz="4" w:space="0"/>
              <w:bottom w:val="single" w:color="auto" w:sz="4" w:space="0"/>
              <w:right w:val="single" w:color="auto" w:sz="4" w:space="0"/>
            </w:tcBorders>
            <w:tcW w:w="3869"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内存≥8G，硬盘容量≥128G SSD，接口≥6千兆电口。要求设备采用国产芯片及国产操作系统。</w:t>
            </w:r>
            <w:r/>
          </w:p>
        </w:tc>
      </w:tr>
      <w:tr>
        <w:trPr>
          <w:jc w:val="center"/>
        </w:trPr>
        <w:tc>
          <w:tcPr>
            <w:tcBorders>
              <w:top w:val="single" w:color="auto" w:sz="4" w:space="0"/>
              <w:left w:val="single" w:color="auto" w:sz="4" w:space="0"/>
              <w:bottom w:val="single" w:color="auto" w:sz="4" w:space="0"/>
              <w:right w:val="single" w:color="auto" w:sz="4" w:space="0"/>
            </w:tcBorders>
            <w:tcW w:w="1131" w:type="pct"/>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基础网络特性</w:t>
            </w:r>
            <w:r/>
          </w:p>
        </w:tc>
        <w:tc>
          <w:tcPr>
            <w:tcBorders>
              <w:top w:val="single" w:color="auto" w:sz="4" w:space="0"/>
              <w:left w:val="single" w:color="auto" w:sz="4" w:space="0"/>
              <w:bottom w:val="single" w:color="auto" w:sz="4" w:space="0"/>
              <w:right w:val="single" w:color="auto" w:sz="4" w:space="0"/>
            </w:tcBorders>
            <w:tcW w:w="3869"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产品支持路由类型、协议类型、网络对象、国家地区等条件进行自动选路的策略路由，支持不少于3种的调度算法，至少包括带宽比例、加权流量、线路优先等。</w:t>
            </w:r>
            <w:r/>
          </w:p>
        </w:tc>
      </w:tr>
      <w:tr>
        <w:trPr>
          <w:jc w:val="center"/>
        </w:trPr>
        <w:tc>
          <w:tcPr>
            <w:tcBorders>
              <w:top w:val="single" w:color="auto" w:sz="4" w:space="0"/>
              <w:left w:val="single" w:color="auto" w:sz="4" w:space="0"/>
              <w:bottom w:val="single" w:color="auto" w:sz="4" w:space="0"/>
              <w:right w:val="single" w:color="auto" w:sz="4" w:space="0"/>
            </w:tcBorders>
            <w:tcW w:w="1131" w:type="pct"/>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869"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产品支持链路连通性检查功能，支持基于3种以上协议对链路连通性进行探测，探测协议至少包括DNS解析、ARP探测、PING和BFD等方式。</w:t>
            </w:r>
            <w:r/>
          </w:p>
        </w:tc>
      </w:tr>
      <w:tr>
        <w:trPr>
          <w:jc w:val="center"/>
        </w:trPr>
        <w:tc>
          <w:tcPr>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流量控制</w:t>
            </w:r>
            <w:r/>
          </w:p>
        </w:tc>
        <w:tc>
          <w:tcPr>
            <w:tcBorders>
              <w:top w:val="single" w:color="auto" w:sz="4" w:space="0"/>
              <w:left w:val="single" w:color="auto" w:sz="4" w:space="0"/>
              <w:bottom w:val="single" w:color="auto" w:sz="4" w:space="0"/>
              <w:right w:val="single" w:color="auto" w:sz="4" w:space="0"/>
            </w:tcBorders>
            <w:tcW w:w="3869"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产品支持多维度流量控制功能，支持基于IP地址、用户、应用、时间设置流量控制策略，保证关键业务带宽日常需求。</w:t>
            </w:r>
            <w:r/>
          </w:p>
        </w:tc>
      </w:tr>
      <w:tr>
        <w:trPr>
          <w:jc w:val="center"/>
          <w:trHeight w:val="474"/>
        </w:trPr>
        <w:tc>
          <w:tcPr>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DDoS防护</w:t>
            </w:r>
            <w:r/>
          </w:p>
        </w:tc>
        <w:tc>
          <w:tcPr>
            <w:tcBorders>
              <w:top w:val="single" w:color="auto" w:sz="4" w:space="0"/>
              <w:left w:val="single" w:color="auto" w:sz="4" w:space="0"/>
              <w:bottom w:val="single" w:color="auto" w:sz="4" w:space="0"/>
              <w:right w:val="single" w:color="auto" w:sz="4" w:space="0"/>
            </w:tcBorders>
            <w:tcW w:w="3869" w:type="pct"/>
            <w:vAlign w:val="center"/>
            <w:textDirection w:val="lrTb"/>
            <w:noWrap w:val="false"/>
          </w:tcPr>
          <w:p>
            <w:pPr>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产品支持对ICMP、UDP、DNS、SYN等协议进行DDOS防护。</w:t>
            </w:r>
            <w:r/>
          </w:p>
        </w:tc>
      </w:tr>
      <w:tr>
        <w:trPr>
          <w:jc w:val="center"/>
        </w:trPr>
        <w:tc>
          <w:tcPr>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URL分类过滤</w:t>
            </w:r>
            <w:r/>
          </w:p>
        </w:tc>
        <w:tc>
          <w:tcPr>
            <w:tcBorders>
              <w:top w:val="single" w:color="auto" w:sz="4" w:space="0"/>
              <w:left w:val="single" w:color="auto" w:sz="4" w:space="0"/>
              <w:bottom w:val="single" w:color="auto" w:sz="4" w:space="0"/>
              <w:right w:val="single" w:color="auto" w:sz="4" w:space="0"/>
            </w:tcBorders>
            <w:tcW w:w="3869"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产品支持管控非法、违规网站的访问行为，具备海量的URL分类库。</w:t>
            </w:r>
            <w:r/>
          </w:p>
        </w:tc>
      </w:tr>
      <w:tr>
        <w:trPr>
          <w:jc w:val="center"/>
        </w:trPr>
        <w:tc>
          <w:tcPr>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防病毒</w:t>
            </w:r>
            <w:r/>
          </w:p>
        </w:tc>
        <w:tc>
          <w:tcPr>
            <w:tcBorders>
              <w:top w:val="single" w:color="auto" w:sz="4" w:space="0"/>
              <w:left w:val="single" w:color="auto" w:sz="4" w:space="0"/>
              <w:bottom w:val="single" w:color="auto" w:sz="4" w:space="0"/>
              <w:right w:val="single" w:color="auto" w:sz="4" w:space="0"/>
            </w:tcBorders>
            <w:tcW w:w="3869"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产品支持杀毒白名单设置，可以例外排除特定MD5和URL的病毒文件，针对特定文件不进行查杀。</w:t>
            </w:r>
            <w:r/>
          </w:p>
        </w:tc>
      </w:tr>
      <w:tr>
        <w:trPr>
          <w:jc w:val="center"/>
        </w:trPr>
        <w:tc>
          <w:tcPr>
            <w:tcBorders>
              <w:top w:val="single" w:color="auto" w:sz="4" w:space="0"/>
              <w:left w:val="single" w:color="auto" w:sz="4" w:space="0"/>
              <w:bottom w:val="single" w:color="auto" w:sz="4" w:space="0"/>
              <w:right w:val="single" w:color="auto" w:sz="4" w:space="0"/>
            </w:tcBorders>
            <w:tcW w:w="1131" w:type="pct"/>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云威胁情报网关</w:t>
            </w:r>
            <w:r/>
          </w:p>
        </w:tc>
        <w:tc>
          <w:tcPr>
            <w:tcBorders>
              <w:top w:val="single" w:color="auto" w:sz="4" w:space="0"/>
              <w:left w:val="single" w:color="auto" w:sz="4" w:space="0"/>
              <w:bottom w:val="single" w:color="auto" w:sz="4" w:space="0"/>
              <w:right w:val="single" w:color="auto" w:sz="4" w:space="0"/>
            </w:tcBorders>
            <w:tcW w:w="3869"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▲产品支持云威胁情报网关技术，通过全球超过30+pop节点，实现对威胁流量就近进行实时检测&amp;拦截，实现失陷外联实时阻断，保护资产安全。</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r/>
          </w:p>
        </w:tc>
      </w:tr>
      <w:tr>
        <w:trPr>
          <w:jc w:val="center"/>
        </w:trPr>
        <w:tc>
          <w:tcPr>
            <w:tcBorders>
              <w:top w:val="single" w:color="auto" w:sz="4" w:space="0"/>
              <w:left w:val="single" w:color="auto" w:sz="4" w:space="0"/>
              <w:bottom w:val="single" w:color="auto" w:sz="4" w:space="0"/>
              <w:right w:val="single" w:color="auto" w:sz="4" w:space="0"/>
            </w:tcBorders>
            <w:tcW w:w="1131" w:type="pct"/>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869"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产品支持云端未知威胁主动探测技术，实现5min内未知威胁情报全网设备下发。</w:t>
            </w:r>
            <w:r/>
          </w:p>
        </w:tc>
      </w:tr>
      <w:tr>
        <w:trPr>
          <w:jc w:val="center"/>
        </w:trPr>
        <w:tc>
          <w:tcPr>
            <w:tcBorders>
              <w:top w:val="single" w:color="auto" w:sz="4" w:space="0"/>
              <w:left w:val="single" w:color="auto" w:sz="4" w:space="0"/>
              <w:right w:val="single" w:color="auto" w:sz="4" w:space="0"/>
            </w:tcBorders>
            <w:tcW w:w="1131" w:type="pct"/>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安全策略管理</w:t>
            </w:r>
            <w:r/>
          </w:p>
        </w:tc>
        <w:tc>
          <w:tcPr>
            <w:tcBorders>
              <w:top w:val="single" w:color="auto" w:sz="4" w:space="0"/>
              <w:left w:val="single" w:color="auto" w:sz="4" w:space="0"/>
              <w:bottom w:val="single" w:color="auto" w:sz="4" w:space="0"/>
              <w:right w:val="single" w:color="auto" w:sz="4" w:space="0"/>
            </w:tcBorders>
            <w:tcW w:w="3869" w:type="pct"/>
            <w:vAlign w:val="center"/>
            <w:textDirection w:val="lrTb"/>
            <w:noWrap w:val="false"/>
          </w:tcPr>
          <w:p>
            <w:pPr>
              <w:spacing w:line="400" w:lineRule="exact"/>
              <w:rPr>
                <w:rFonts w:hint="eastAsia" w:ascii="宋体" w:hAnsi="宋体" w:eastAsia="宋体" w:cs="宋体"/>
                <w:color w:val="auto"/>
                <w:highlight w:val="none"/>
              </w:rPr>
            </w:pPr>
            <w:r/>
            <w:bookmarkStart w:id="123" w:name="OLE_LINK12"/>
            <w:r>
              <w:rPr>
                <w:rFonts w:hint="eastAsia" w:ascii="宋体" w:hAnsi="宋体" w:eastAsia="宋体" w:cs="宋体"/>
                <w:color w:val="auto"/>
                <w:highlight w:val="none"/>
              </w:rPr>
              <w:t xml:space="preserve">▲产品支持策略生命周期管理功能，支持对安全策略修改的时间、原因、变更类型进行统一管理，便于策略的运维与管理。</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bookmarkEnd w:id="123"/>
            <w:r/>
            <w:r/>
          </w:p>
        </w:tc>
      </w:tr>
      <w:tr>
        <w:trPr>
          <w:jc w:val="center"/>
        </w:trPr>
        <w:tc>
          <w:tcPr>
            <w:tcBorders>
              <w:left w:val="single" w:color="auto" w:sz="4" w:space="0"/>
              <w:right w:val="single" w:color="auto" w:sz="4" w:space="0"/>
            </w:tcBorders>
            <w:tcW w:w="1131" w:type="pct"/>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869"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产品支持安全策略有效性分析功能，分析内容至少包括策略冗余分析、策略匹配分析、风险端口风险等内容，提供安全策略优化建议。</w:t>
            </w:r>
            <w:r/>
          </w:p>
        </w:tc>
      </w:tr>
      <w:tr>
        <w:trPr>
          <w:jc w:val="center"/>
          <w:trHeight w:val="490"/>
        </w:trPr>
        <w:tc>
          <w:tcPr>
            <w:tcBorders>
              <w:left w:val="single" w:color="auto" w:sz="4" w:space="0"/>
              <w:bottom w:val="single" w:color="auto" w:sz="4" w:space="0"/>
              <w:right w:val="single" w:color="auto" w:sz="4" w:space="0"/>
            </w:tcBorders>
            <w:tcW w:w="113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售后服务</w:t>
            </w:r>
            <w:r/>
          </w:p>
        </w:tc>
        <w:tc>
          <w:tcPr>
            <w:tcBorders>
              <w:top w:val="single" w:color="auto" w:sz="4" w:space="0"/>
              <w:left w:val="single" w:color="auto" w:sz="4" w:space="0"/>
              <w:bottom w:val="single" w:color="auto" w:sz="4" w:space="0"/>
              <w:right w:val="single" w:color="auto" w:sz="4" w:space="0"/>
            </w:tcBorders>
            <w:tcW w:w="386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提供不少于3年原厂质保</w:t>
            </w:r>
            <w:r/>
          </w:p>
        </w:tc>
      </w:tr>
    </w:tbl>
    <w:p>
      <w:pPr>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准入设备-星浦医院</w:t>
      </w:r>
      <w:r/>
    </w:p>
    <w:tbl>
      <w:tblPr>
        <w:tblStyle w:val="9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99"/>
        <w:gridCol w:w="6403"/>
      </w:tblGrid>
      <w:tr>
        <w:trPr>
          <w:jc w:val="center"/>
          <w:trHeight w:val="495"/>
        </w:trPr>
        <w:tc>
          <w:tcPr>
            <w:tcW w:w="1144" w:type="pct"/>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指标项</w:t>
            </w:r>
            <w:r/>
          </w:p>
        </w:tc>
        <w:tc>
          <w:tcPr>
            <w:tcW w:w="3856" w:type="pct"/>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指标要求</w:t>
            </w:r>
            <w:r/>
          </w:p>
        </w:tc>
      </w:tr>
      <w:tr>
        <w:trPr>
          <w:jc w:val="center"/>
        </w:trPr>
        <w:tc>
          <w:tcPr>
            <w:tcW w:w="1144" w:type="pct"/>
            <w:vAlign w:val="center"/>
            <w:textDirection w:val="lrTb"/>
            <w:noWrap w:val="false"/>
          </w:tcPr>
          <w:p>
            <w:pPr>
              <w:pStyle w:val="1034"/>
              <w:ind w:firstLine="0"/>
              <w:jc w:val="center"/>
              <w:widowControl w:val="off"/>
              <w:rPr>
                <w:rFonts w:hint="eastAsia" w:ascii="宋体" w:hAnsi="宋体" w:cs="宋体"/>
                <w:bCs/>
                <w:color w:val="auto"/>
                <w:szCs w:val="24"/>
                <w:highlight w:val="none"/>
                <w:lang w:bidi="ar"/>
              </w:rPr>
            </w:pPr>
            <w:r>
              <w:rPr>
                <w:rFonts w:hint="eastAsia" w:ascii="宋体" w:hAnsi="宋体" w:cs="宋体"/>
                <w:bCs/>
                <w:color w:val="auto"/>
                <w:szCs w:val="24"/>
                <w:highlight w:val="none"/>
                <w:lang w:bidi="ar"/>
              </w:rPr>
              <w:t xml:space="preserve">配置要求</w:t>
            </w:r>
            <w:r/>
          </w:p>
        </w:tc>
        <w:tc>
          <w:tcPr>
            <w:tcW w:w="3856" w:type="pct"/>
            <w:textDirection w:val="lrTb"/>
            <w:noWrap w:val="false"/>
          </w:tcPr>
          <w:p>
            <w:pPr>
              <w:jc w:val="left"/>
              <w:spacing w:line="400" w:lineRule="exact"/>
              <w:widowControl/>
              <w:rPr>
                <w:rFonts w:hint="eastAsia" w:ascii="宋体" w:hAnsi="宋体" w:cs="宋体"/>
                <w:color w:val="auto"/>
                <w:highlight w:val="none"/>
              </w:rPr>
            </w:pPr>
            <w:r>
              <w:rPr>
                <w:rFonts w:hint="eastAsia" w:ascii="宋体" w:hAnsi="宋体" w:cs="宋体"/>
                <w:color w:val="auto"/>
                <w:highlight w:val="none"/>
              </w:rPr>
              <w:t xml:space="preserve">IPSEC性能参数：加密最大流量（Mbps）≥120，理论并发隧道数（Tunnel）≥1500；SSL性能参数：最大理论加密流量（Mbps）≥600，</w:t>
            </w:r>
            <w:r>
              <w:rPr>
                <w:rFonts w:hint="eastAsia" w:ascii="宋体" w:hAnsi="宋体" w:eastAsia="宋体" w:cs="宋体"/>
                <w:color w:val="auto"/>
                <w:highlight w:val="none"/>
              </w:rPr>
              <w:t xml:space="preserve">最大理论建议并发用户数</w:t>
            </w:r>
            <w:r>
              <w:rPr>
                <w:rFonts w:hint="eastAsia" w:ascii="宋体" w:hAnsi="宋体" w:cs="宋体"/>
                <w:color w:val="auto"/>
                <w:highlight w:val="none"/>
              </w:rPr>
              <w:t xml:space="preserve">≥1200。内存≥16G，</w:t>
            </w:r>
            <w:r>
              <w:rPr>
                <w:rFonts w:hint="eastAsia" w:ascii="宋体" w:hAnsi="宋体" w:eastAsia="宋体" w:cs="宋体"/>
                <w:color w:val="auto"/>
                <w:highlight w:val="none"/>
              </w:rPr>
              <w:t xml:space="preserve">硬盘容量</w:t>
            </w:r>
            <w:r>
              <w:rPr>
                <w:rFonts w:hint="eastAsia" w:ascii="宋体" w:hAnsi="宋体" w:cs="宋体"/>
                <w:color w:val="auto"/>
                <w:highlight w:val="none"/>
              </w:rPr>
              <w:t xml:space="preserve">≥480G SSD，冗余电源，接口≥6千兆电口+4千兆光口SFP。接入授权≥500。要求设备采用国产芯片及国产操作系统。</w:t>
            </w:r>
            <w:r/>
          </w:p>
        </w:tc>
      </w:tr>
      <w:tr>
        <w:trPr>
          <w:jc w:val="center"/>
        </w:trPr>
        <w:tc>
          <w:tcPr>
            <w:tcW w:w="1144" w:type="pct"/>
            <w:vAlign w:val="center"/>
            <w:textDirection w:val="lrTb"/>
            <w:noWrap w:val="false"/>
          </w:tcPr>
          <w:p>
            <w:pPr>
              <w:pStyle w:val="1034"/>
              <w:ind w:firstLine="0"/>
              <w:jc w:val="center"/>
              <w:widowControl w:val="off"/>
              <w:rPr>
                <w:rFonts w:hint="eastAsia" w:ascii="宋体" w:hAnsi="宋体" w:cs="宋体"/>
                <w:bCs/>
                <w:color w:val="auto"/>
                <w:szCs w:val="24"/>
                <w:highlight w:val="none"/>
                <w:lang w:bidi="ar"/>
              </w:rPr>
            </w:pPr>
            <w:r>
              <w:rPr>
                <w:rFonts w:hint="eastAsia" w:ascii="宋体" w:hAnsi="宋体" w:cs="宋体"/>
                <w:color w:val="auto"/>
                <w:szCs w:val="24"/>
                <w:highlight w:val="none"/>
              </w:rPr>
              <w:t xml:space="preserve">设备部署</w:t>
            </w:r>
            <w:r/>
          </w:p>
        </w:tc>
        <w:tc>
          <w:tcPr>
            <w:tcW w:w="3856" w:type="pct"/>
            <w:textDirection w:val="lrTb"/>
            <w:noWrap w:val="false"/>
          </w:tcPr>
          <w:p>
            <w:pPr>
              <w:jc w:val="left"/>
              <w:spacing w:line="400" w:lineRule="exact"/>
              <w:widowControl/>
              <w:rPr>
                <w:rFonts w:hint="eastAsia" w:ascii="宋体" w:hAnsi="宋体" w:cs="宋体"/>
                <w:color w:val="auto"/>
                <w:highlight w:val="none"/>
              </w:rPr>
            </w:pPr>
            <w:r>
              <w:rPr>
                <w:rFonts w:hint="eastAsia" w:ascii="宋体" w:hAnsi="宋体" w:eastAsia="宋体" w:cs="宋体"/>
                <w:color w:val="auto"/>
                <w:highlight w:val="none"/>
              </w:rPr>
              <w:t xml:space="preserve">为了满足灵活部署的要求</w:t>
            </w:r>
            <w:r>
              <w:rPr>
                <w:rFonts w:hint="eastAsia" w:ascii="宋体" w:hAnsi="宋体" w:cs="宋体"/>
                <w:color w:val="auto"/>
                <w:highlight w:val="none"/>
              </w:rPr>
              <w:t xml:space="preserve">，综合网关应支持IPV4/IPV6双栈网络IP配置，可自主选择配置LAN口或WAN口。为了保护设备的安全，可支持默认限制所有IP通过WAN口访问系统，支持通过配置IP</w:t>
            </w:r>
            <w:r>
              <w:rPr>
                <w:rFonts w:hint="eastAsia" w:ascii="宋体" w:hAnsi="宋体" w:eastAsia="宋体" w:cs="宋体"/>
                <w:color w:val="auto"/>
                <w:highlight w:val="none"/>
              </w:rPr>
              <w:t xml:space="preserve">白名单的方式来放通</w:t>
            </w:r>
            <w:r>
              <w:rPr>
                <w:rFonts w:hint="eastAsia" w:ascii="宋体" w:hAnsi="宋体" w:cs="宋体"/>
                <w:color w:val="auto"/>
                <w:highlight w:val="none"/>
              </w:rPr>
              <w:t xml:space="preserve">WAN口接入的特殊需求。</w:t>
            </w:r>
            <w:r/>
          </w:p>
        </w:tc>
      </w:tr>
      <w:tr>
        <w:trPr>
          <w:jc w:val="center"/>
        </w:trPr>
        <w:tc>
          <w:tcPr>
            <w:tcW w:w="1144" w:type="pct"/>
            <w:vAlign w:val="center"/>
            <w:textDirection w:val="lrTb"/>
            <w:noWrap w:val="false"/>
          </w:tcPr>
          <w:p>
            <w:pPr>
              <w:pStyle w:val="1034"/>
              <w:ind w:firstLine="0"/>
              <w:jc w:val="center"/>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资源发布能力</w:t>
            </w:r>
            <w:r/>
          </w:p>
        </w:tc>
        <w:tc>
          <w:tcPr>
            <w:tcW w:w="3856" w:type="pct"/>
            <w:textDirection w:val="lrTb"/>
            <w:noWrap w:val="false"/>
          </w:tcPr>
          <w:p>
            <w:pPr>
              <w:jc w:val="left"/>
              <w:spacing w:line="400" w:lineRule="exact"/>
              <w:widowControl/>
              <w:rPr>
                <w:rFonts w:hint="eastAsia" w:ascii="宋体" w:hAnsi="宋体" w:cs="宋体"/>
                <w:color w:val="auto"/>
                <w:highlight w:val="none"/>
              </w:rPr>
            </w:pPr>
            <w:r>
              <w:rPr>
                <w:rFonts w:hint="eastAsia" w:ascii="宋体" w:hAnsi="宋体" w:cs="宋体"/>
                <w:color w:val="auto"/>
                <w:highlight w:val="none"/>
              </w:rPr>
              <w:t xml:space="preserve">为适应复杂多样的内部业务系统，web模式下发布应用资源时，</w:t>
            </w:r>
            <w:r>
              <w:rPr>
                <w:rFonts w:hint="eastAsia" w:ascii="宋体" w:hAnsi="宋体" w:eastAsia="宋体" w:cs="宋体"/>
                <w:color w:val="auto"/>
                <w:highlight w:val="none"/>
              </w:rPr>
              <w:t xml:space="preserve">应支持透明代理</w:t>
            </w:r>
            <w:r>
              <w:rPr>
                <w:rFonts w:hint="eastAsia" w:ascii="宋体" w:hAnsi="宋体" w:cs="宋体"/>
                <w:color w:val="auto"/>
                <w:highlight w:val="none"/>
              </w:rPr>
              <w:t xml:space="preserve">、智能改写等模式，以合理适配较规范化的业务系统及复杂老旧的非常规站点。</w:t>
            </w:r>
            <w:r/>
          </w:p>
        </w:tc>
      </w:tr>
      <w:tr>
        <w:trPr>
          <w:jc w:val="center"/>
        </w:trPr>
        <w:tc>
          <w:tcPr>
            <w:tcW w:w="1144" w:type="pct"/>
            <w:vAlign w:val="center"/>
            <w:textDirection w:val="lrTb"/>
            <w:noWrap w:val="false"/>
          </w:tcPr>
          <w:p>
            <w:pPr>
              <w:pStyle w:val="1034"/>
              <w:ind w:firstLine="0"/>
              <w:jc w:val="center"/>
              <w:widowControl w:val="off"/>
              <w:rPr>
                <w:rFonts w:hint="eastAsia" w:ascii="宋体" w:hAnsi="宋体" w:cs="宋体"/>
                <w:bCs/>
                <w:color w:val="auto"/>
                <w:szCs w:val="24"/>
                <w:highlight w:val="none"/>
                <w:lang w:bidi="ar"/>
              </w:rPr>
            </w:pPr>
            <w:r>
              <w:rPr>
                <w:rFonts w:hint="eastAsia" w:ascii="宋体" w:hAnsi="宋体" w:cs="宋体"/>
                <w:bCs/>
                <w:color w:val="auto"/>
                <w:szCs w:val="24"/>
                <w:highlight w:val="none"/>
                <w:lang w:bidi="ar"/>
              </w:rPr>
              <w:t xml:space="preserve">应用打开方式</w:t>
            </w:r>
            <w:r/>
          </w:p>
        </w:tc>
        <w:tc>
          <w:tcPr>
            <w:tcW w:w="3856" w:type="pct"/>
            <w:textDirection w:val="lrTb"/>
            <w:noWrap w:val="false"/>
          </w:tcPr>
          <w:p>
            <w:pPr>
              <w:jc w:val="left"/>
              <w:spacing w:line="400" w:lineRule="exact"/>
              <w:widowControl/>
              <w:rPr>
                <w:rFonts w:hint="eastAsia" w:ascii="宋体" w:hAnsi="宋体" w:cs="宋体"/>
                <w:bCs/>
                <w:color w:val="auto"/>
                <w:highlight w:val="none"/>
                <w:lang w:bidi="ar"/>
              </w:rPr>
            </w:pPr>
            <w:r>
              <w:rPr>
                <w:rFonts w:hint="eastAsia" w:ascii="宋体" w:hAnsi="宋体" w:cs="宋体"/>
                <w:color w:val="auto"/>
                <w:highlight w:val="none"/>
              </w:rPr>
              <w:t xml:space="preserve">▲</w:t>
            </w:r>
            <w:r>
              <w:rPr>
                <w:rFonts w:hint="eastAsia" w:ascii="宋体" w:hAnsi="宋体" w:eastAsia="宋体" w:cs="宋体"/>
                <w:color w:val="auto"/>
                <w:highlight w:val="none"/>
              </w:rPr>
              <w:t xml:space="preserve">支持配置点击工作台的业务应用即可直接拉起对应的</w:t>
            </w:r>
            <w:r>
              <w:rPr>
                <w:rFonts w:hint="eastAsia" w:ascii="宋体" w:hAnsi="宋体" w:cs="宋体"/>
                <w:bCs/>
                <w:color w:val="auto"/>
                <w:highlight w:val="none"/>
                <w:lang w:bidi="ar"/>
              </w:rPr>
              <w:t xml:space="preserve">CS程序进行访问，包括但不限于浏览器、远程桌面或其他指定程序，支持Windows、macOS、统信UOS、麒麟kylin、中科方德、Ubuntu等主流操作系统；针对Windows系统，还应支持拉起CS应用时携带启动参数，自动访问管理员设定的地址。</w:t>
            </w:r>
            <w:r>
              <w:rPr>
                <w:rFonts w:hint="eastAsia" w:ascii="宋体" w:hAnsi="宋体" w:cs="宋体"/>
                <w:b/>
                <w:bCs/>
                <w:color w:val="auto"/>
                <w:highlight w:val="none"/>
              </w:rPr>
              <w:t xml:space="preserve">(要求提供具有</w:t>
            </w:r>
            <w:r>
              <w:rPr>
                <w:rFonts w:hint="eastAsia" w:ascii="宋体" w:hAnsi="宋体" w:cs="宋体"/>
                <w:b/>
                <w:bCs/>
                <w:color w:val="auto"/>
                <w:highlight w:val="none"/>
                <w:lang w:eastAsia="zh-CN"/>
              </w:rPr>
              <w:t xml:space="preserve">CMA认证的</w:t>
            </w:r>
            <w:r>
              <w:rPr>
                <w:rFonts w:hint="eastAsia" w:ascii="宋体" w:hAnsi="宋体" w:cs="宋体"/>
                <w:b/>
                <w:bCs/>
                <w:color w:val="auto"/>
                <w:highlight w:val="none"/>
              </w:rPr>
              <w:t xml:space="preserve">第三方检测机构出具的合格检测报告或带功能描述的官网截图或产品彩页扫描件。</w:t>
            </w:r>
            <w:r/>
          </w:p>
        </w:tc>
      </w:tr>
      <w:tr>
        <w:trPr>
          <w:jc w:val="center"/>
        </w:trPr>
        <w:tc>
          <w:tcPr>
            <w:tcW w:w="1144" w:type="pct"/>
            <w:vAlign w:val="center"/>
            <w:textDirection w:val="lrTb"/>
            <w:noWrap w:val="false"/>
          </w:tcPr>
          <w:p>
            <w:pPr>
              <w:pStyle w:val="1034"/>
              <w:ind w:firstLine="0"/>
              <w:jc w:val="center"/>
              <w:widowControl w:val="off"/>
              <w:rPr>
                <w:rFonts w:hint="eastAsia" w:ascii="宋体" w:hAnsi="宋体" w:cs="宋体"/>
                <w:bCs/>
                <w:color w:val="auto"/>
                <w:szCs w:val="24"/>
                <w:highlight w:val="none"/>
                <w:lang w:bidi="ar"/>
              </w:rPr>
            </w:pPr>
            <w:r>
              <w:rPr>
                <w:rFonts w:hint="eastAsia" w:ascii="宋体" w:hAnsi="宋体" w:cs="宋体"/>
                <w:color w:val="auto"/>
                <w:szCs w:val="24"/>
                <w:highlight w:val="none"/>
              </w:rPr>
              <w:t xml:space="preserve">终端接入能力</w:t>
            </w:r>
            <w:r/>
          </w:p>
        </w:tc>
        <w:tc>
          <w:tcPr>
            <w:tcW w:w="3856" w:type="pct"/>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为方便手机端与PC端需同时使用的员工：支持手机APP通过扫描PC端二维码自动填入零信任接入地址；手机APP登录后需支持扫码上线PC。</w:t>
            </w:r>
            <w:r/>
          </w:p>
        </w:tc>
      </w:tr>
      <w:tr>
        <w:trPr>
          <w:jc w:val="center"/>
        </w:trPr>
        <w:tc>
          <w:tcPr>
            <w:tcW w:w="1144" w:type="pct"/>
            <w:vAlign w:val="center"/>
            <w:textDirection w:val="lrTb"/>
            <w:noWrap w:val="false"/>
          </w:tcPr>
          <w:p>
            <w:pPr>
              <w:pStyle w:val="1034"/>
              <w:ind w:firstLine="0"/>
              <w:jc w:val="center"/>
              <w:widowControl w:val="off"/>
              <w:rPr>
                <w:rFonts w:hint="eastAsia" w:ascii="宋体" w:hAnsi="宋体" w:cs="宋体"/>
                <w:bCs/>
                <w:color w:val="auto"/>
                <w:szCs w:val="24"/>
                <w:highlight w:val="none"/>
                <w:lang w:bidi="ar"/>
              </w:rPr>
            </w:pPr>
            <w:r>
              <w:rPr>
                <w:rFonts w:hint="eastAsia" w:ascii="宋体" w:hAnsi="宋体" w:cs="宋体"/>
                <w:bCs/>
                <w:color w:val="auto"/>
                <w:szCs w:val="24"/>
                <w:highlight w:val="none"/>
                <w:lang w:bidi="ar"/>
              </w:rPr>
              <w:t xml:space="preserve">访问全局优化</w:t>
            </w:r>
            <w:r/>
          </w:p>
        </w:tc>
        <w:tc>
          <w:tcPr>
            <w:tcW w:w="3856" w:type="pct"/>
            <w:textDirection w:val="lrTb"/>
            <w:noWrap w:val="false"/>
          </w:tcPr>
          <w:p>
            <w:pPr>
              <w:jc w:val="left"/>
              <w:spacing w:line="400" w:lineRule="exact"/>
              <w:widowControl/>
              <w:rPr>
                <w:rFonts w:hint="eastAsia" w:ascii="宋体" w:hAnsi="宋体" w:cs="宋体"/>
                <w:bCs/>
                <w:color w:val="auto"/>
                <w:highlight w:val="none"/>
                <w:lang w:bidi="ar"/>
              </w:rPr>
            </w:pPr>
            <w:r>
              <w:rPr>
                <w:rFonts w:hint="eastAsia" w:ascii="宋体" w:hAnsi="宋体" w:cs="宋体"/>
                <w:bCs/>
                <w:color w:val="auto"/>
                <w:highlight w:val="none"/>
                <w:lang w:bidi="ar"/>
              </w:rPr>
              <w:t xml:space="preserve">零信任隧道应具备抗丢包、抗抖动、平稳发送的能力。为降低业务访问时延，提升访问体验，</w:t>
            </w:r>
            <w:r>
              <w:rPr>
                <w:rFonts w:hint="eastAsia" w:ascii="宋体" w:hAnsi="宋体" w:eastAsia="宋体" w:cs="宋体"/>
                <w:color w:val="auto"/>
                <w:highlight w:val="none"/>
              </w:rPr>
              <w:t xml:space="preserve">零信任在代理访问资源的时候具备时延优化能力</w:t>
            </w:r>
            <w:r>
              <w:rPr>
                <w:rFonts w:hint="eastAsia" w:ascii="宋体" w:hAnsi="宋体" w:cs="宋体"/>
                <w:bCs/>
                <w:color w:val="auto"/>
                <w:highlight w:val="none"/>
                <w:lang w:bidi="ar"/>
              </w:rPr>
              <w:t xml:space="preserve">，代理访问时时延不增加或极少增加访问时延，大幅降低业务访问的网络时延。</w:t>
            </w:r>
            <w:r/>
          </w:p>
        </w:tc>
      </w:tr>
      <w:tr>
        <w:trPr>
          <w:jc w:val="center"/>
        </w:trPr>
        <w:tc>
          <w:tcPr>
            <w:tcW w:w="1144" w:type="pct"/>
            <w:vAlign w:val="center"/>
            <w:textDirection w:val="lrTb"/>
            <w:noWrap w:val="false"/>
          </w:tcPr>
          <w:p>
            <w:pPr>
              <w:pStyle w:val="1034"/>
              <w:ind w:firstLine="0"/>
              <w:jc w:val="center"/>
              <w:widowControl w:val="off"/>
              <w:rPr>
                <w:rFonts w:hint="eastAsia" w:ascii="宋体" w:hAnsi="宋体" w:cs="宋体"/>
                <w:bCs/>
                <w:color w:val="auto"/>
                <w:szCs w:val="24"/>
                <w:highlight w:val="none"/>
                <w:lang w:bidi="ar"/>
              </w:rPr>
            </w:pPr>
            <w:r>
              <w:rPr>
                <w:rFonts w:hint="eastAsia" w:ascii="宋体" w:hAnsi="宋体" w:cs="宋体"/>
                <w:color w:val="auto"/>
                <w:szCs w:val="24"/>
                <w:highlight w:val="none"/>
              </w:rPr>
              <w:t xml:space="preserve">认证管理</w:t>
            </w:r>
            <w:r/>
          </w:p>
        </w:tc>
        <w:tc>
          <w:tcPr>
            <w:tcW w:w="3856" w:type="pct"/>
            <w:textDirection w:val="lrTb"/>
            <w:noWrap w:val="false"/>
          </w:tcPr>
          <w:p>
            <w:pPr>
              <w:jc w:val="left"/>
              <w:spacing w:line="400" w:lineRule="exact"/>
              <w:widowControl/>
              <w:rPr>
                <w:rFonts w:hint="eastAsia" w:ascii="宋体" w:hAnsi="宋体" w:cs="宋体"/>
                <w:color w:val="auto"/>
                <w:highlight w:val="none"/>
              </w:rPr>
            </w:pPr>
            <w:r>
              <w:rPr>
                <w:rFonts w:hint="eastAsia" w:ascii="宋体" w:hAnsi="宋体" w:eastAsia="宋体" w:cs="宋体"/>
                <w:color w:val="auto"/>
                <w:highlight w:val="none"/>
              </w:rPr>
              <w:t xml:space="preserve">为了进一步保障用户身份安全</w:t>
            </w:r>
            <w:r>
              <w:rPr>
                <w:rFonts w:hint="eastAsia" w:ascii="宋体" w:hAnsi="宋体" w:cs="宋体"/>
                <w:color w:val="auto"/>
                <w:highlight w:val="none"/>
              </w:rPr>
              <w:t xml:space="preserve">，需支持多因素认证，支持管理员结合已对接的主认证和辅认证类型进行设置，可自由选择采用首次认证+</w:t>
            </w:r>
            <w:r>
              <w:rPr>
                <w:rFonts w:hint="eastAsia" w:ascii="宋体" w:hAnsi="宋体" w:eastAsia="宋体" w:cs="宋体"/>
                <w:color w:val="auto"/>
                <w:highlight w:val="none"/>
              </w:rPr>
              <w:t xml:space="preserve">二次认证</w:t>
            </w:r>
            <w:r>
              <w:rPr>
                <w:rFonts w:hint="eastAsia" w:ascii="宋体" w:hAnsi="宋体" w:cs="宋体"/>
                <w:color w:val="auto"/>
                <w:highlight w:val="none"/>
              </w:rPr>
              <w:t xml:space="preserve">+终端认证+增强认证等方式。</w:t>
            </w:r>
            <w:r/>
          </w:p>
        </w:tc>
      </w:tr>
      <w:tr>
        <w:trPr>
          <w:jc w:val="center"/>
        </w:trPr>
        <w:tc>
          <w:tcPr>
            <w:tcW w:w="1144" w:type="pct"/>
            <w:vAlign w:val="center"/>
            <w:textDirection w:val="lrTb"/>
            <w:noWrap w:val="false"/>
          </w:tcPr>
          <w:p>
            <w:pPr>
              <w:pStyle w:val="1034"/>
              <w:ind w:firstLine="0"/>
              <w:jc w:val="center"/>
              <w:widowControl w:val="off"/>
              <w:rPr>
                <w:rFonts w:hint="eastAsia" w:ascii="宋体" w:hAnsi="宋体" w:cs="宋体"/>
                <w:bCs/>
                <w:color w:val="auto"/>
                <w:szCs w:val="24"/>
                <w:highlight w:val="none"/>
                <w:lang w:bidi="ar"/>
              </w:rPr>
            </w:pPr>
            <w:r>
              <w:rPr>
                <w:rFonts w:hint="eastAsia" w:ascii="宋体" w:hAnsi="宋体" w:cs="宋体"/>
                <w:bCs/>
                <w:color w:val="auto"/>
                <w:szCs w:val="24"/>
                <w:highlight w:val="none"/>
                <w:lang w:bidi="ar"/>
              </w:rPr>
              <w:t xml:space="preserve">自适应认证</w:t>
            </w:r>
            <w:r/>
          </w:p>
        </w:tc>
        <w:tc>
          <w:tcPr>
            <w:tcW w:w="3856" w:type="pct"/>
            <w:textDirection w:val="lrTb"/>
            <w:noWrap w:val="false"/>
          </w:tcPr>
          <w:p>
            <w:pPr>
              <w:jc w:val="left"/>
              <w:spacing w:line="400" w:lineRule="exact"/>
              <w:widowControl/>
              <w:rPr>
                <w:rFonts w:hint="eastAsia" w:ascii="宋体" w:hAnsi="宋体" w:cs="宋体"/>
                <w:bCs/>
                <w:color w:val="auto"/>
                <w:highlight w:val="none"/>
                <w:lang w:bidi="ar"/>
              </w:rPr>
            </w:pPr>
            <w:r>
              <w:rPr>
                <w:rFonts w:hint="eastAsia" w:ascii="宋体" w:hAnsi="宋体" w:cs="宋体"/>
                <w:bCs/>
                <w:color w:val="auto"/>
                <w:highlight w:val="none"/>
                <w:lang w:bidi="ar"/>
              </w:rPr>
              <w:t xml:space="preserve">为提高员工使用体验，需进一步简化登录操作，</w:t>
            </w:r>
            <w:r>
              <w:rPr>
                <w:rFonts w:hint="eastAsia" w:ascii="宋体" w:hAnsi="宋体" w:eastAsia="宋体" w:cs="宋体"/>
                <w:color w:val="auto"/>
                <w:highlight w:val="none"/>
              </w:rPr>
              <w:t xml:space="preserve">需支持在满足条件的情况下</w:t>
            </w:r>
            <w:r>
              <w:rPr>
                <w:rFonts w:hint="eastAsia" w:ascii="宋体" w:hAnsi="宋体" w:cs="宋体"/>
                <w:bCs/>
                <w:color w:val="auto"/>
                <w:highlight w:val="none"/>
                <w:lang w:bidi="ar"/>
              </w:rPr>
              <w:t xml:space="preserve">，可配置成即使是关机重启，</w:t>
            </w:r>
            <w:r>
              <w:rPr>
                <w:rFonts w:hint="eastAsia" w:ascii="宋体" w:hAnsi="宋体" w:eastAsia="宋体" w:cs="宋体"/>
                <w:color w:val="auto"/>
                <w:highlight w:val="none"/>
              </w:rPr>
              <w:t xml:space="preserve">也能自动拉起客户端并自动登录一键上线</w:t>
            </w:r>
            <w:r>
              <w:rPr>
                <w:rFonts w:hint="eastAsia" w:ascii="宋体" w:hAnsi="宋体" w:cs="宋体"/>
                <w:bCs/>
                <w:color w:val="auto"/>
                <w:highlight w:val="none"/>
                <w:lang w:bidi="ar"/>
              </w:rPr>
              <w:t xml:space="preserve">（强制注销情况除外），可配置的条件包括但不限于：授信终端、Windows域环境、自定义网络环境等。</w:t>
            </w:r>
            <w:r/>
          </w:p>
        </w:tc>
      </w:tr>
      <w:tr>
        <w:trPr>
          <w:jc w:val="center"/>
        </w:trPr>
        <w:tc>
          <w:tcPr>
            <w:tcW w:w="1144" w:type="pct"/>
            <w:vAlign w:val="center"/>
            <w:textDirection w:val="lrTb"/>
            <w:noWrap w:val="false"/>
          </w:tcPr>
          <w:p>
            <w:pPr>
              <w:pStyle w:val="1034"/>
              <w:ind w:firstLine="0"/>
              <w:jc w:val="center"/>
              <w:widowControl w:val="off"/>
              <w:rPr>
                <w:rFonts w:hint="eastAsia" w:ascii="宋体" w:hAnsi="宋体" w:cs="宋体"/>
                <w:bCs/>
                <w:color w:val="auto"/>
                <w:szCs w:val="24"/>
                <w:highlight w:val="none"/>
                <w:lang w:bidi="ar"/>
              </w:rPr>
            </w:pPr>
            <w:r>
              <w:rPr>
                <w:rFonts w:hint="eastAsia" w:ascii="宋体" w:hAnsi="宋体" w:cs="宋体"/>
                <w:bCs/>
                <w:color w:val="auto"/>
                <w:szCs w:val="24"/>
                <w:highlight w:val="none"/>
                <w:lang w:bidi="ar"/>
              </w:rPr>
              <w:t xml:space="preserve">安全特性</w:t>
            </w:r>
            <w:r/>
          </w:p>
        </w:tc>
        <w:tc>
          <w:tcPr>
            <w:tcW w:w="3856" w:type="pct"/>
            <w:textDirection w:val="lrTb"/>
            <w:noWrap w:val="false"/>
          </w:tcPr>
          <w:p>
            <w:pPr>
              <w:jc w:val="left"/>
              <w:spacing w:line="400" w:lineRule="exact"/>
              <w:widowControl/>
              <w:rPr>
                <w:rFonts w:hint="eastAsia" w:ascii="宋体" w:hAnsi="宋体" w:cs="宋体"/>
                <w:bCs/>
                <w:color w:val="auto"/>
                <w:highlight w:val="none"/>
                <w:lang w:bidi="ar"/>
              </w:rPr>
            </w:pPr>
            <w:r>
              <w:rPr>
                <w:rFonts w:hint="eastAsia" w:ascii="宋体" w:hAnsi="宋体" w:cs="宋体"/>
                <w:bCs/>
                <w:color w:val="auto"/>
                <w:highlight w:val="none"/>
                <w:lang w:bidi="ar"/>
              </w:rPr>
              <w:t xml:space="preserve">PC端和移动端均支持通过安全码激活客户端为授权客户端，从而可进行SPA敲门和连接，安全码支持共享码、一人一码和一次一码等多种模式，支持短信分发安全码，保障业务的安全性。不同安全码模式均应同时支持PC端和移动端使用。为进一步增强零信任设备本身的安全性，可配置一次一码模式的SPA服务隐身机制，激活码被用户使用并正常登录零信任系统后转换为安全码加密存储，管理员和用户均无法直接查看安全码，换码成功后激活码失效，控制台日志须体现用户首次登录后的换码过程。</w:t>
            </w:r>
            <w:r/>
          </w:p>
        </w:tc>
      </w:tr>
      <w:tr>
        <w:trPr>
          <w:jc w:val="center"/>
        </w:trPr>
        <w:tc>
          <w:tcPr>
            <w:tcW w:w="1144" w:type="pct"/>
            <w:vAlign w:val="center"/>
            <w:vMerge w:val="restart"/>
            <w:textDirection w:val="lrTb"/>
            <w:noWrap w:val="false"/>
          </w:tcPr>
          <w:p>
            <w:pPr>
              <w:jc w:val="center"/>
              <w:spacing w:line="400" w:lineRule="exact"/>
              <w:widowControl/>
              <w:rPr>
                <w:rFonts w:hint="eastAsia" w:ascii="宋体" w:hAnsi="宋体" w:cs="宋体"/>
                <w:bCs/>
                <w:color w:val="auto"/>
                <w:highlight w:val="none"/>
                <w:lang w:bidi="ar"/>
              </w:rPr>
            </w:pPr>
            <w:r>
              <w:rPr>
                <w:rFonts w:hint="eastAsia" w:ascii="宋体" w:hAnsi="宋体" w:cs="宋体"/>
                <w:bCs/>
                <w:color w:val="auto"/>
                <w:highlight w:val="none"/>
                <w:lang w:bidi="ar"/>
              </w:rPr>
              <w:t xml:space="preserve">设备健康检查</w:t>
            </w:r>
            <w:r/>
          </w:p>
        </w:tc>
        <w:tc>
          <w:tcPr>
            <w:tcW w:w="3856" w:type="pct"/>
            <w:textDirection w:val="lrTb"/>
            <w:noWrap w:val="false"/>
          </w:tcPr>
          <w:p>
            <w:pPr>
              <w:jc w:val="left"/>
              <w:spacing w:line="400" w:lineRule="exact"/>
              <w:widowControl/>
              <w:rPr>
                <w:rFonts w:hint="eastAsia" w:ascii="宋体" w:hAnsi="宋体" w:cs="宋体"/>
                <w:bCs/>
                <w:color w:val="auto"/>
                <w:highlight w:val="none"/>
                <w:lang w:bidi="ar"/>
              </w:rPr>
            </w:pPr>
            <w:r>
              <w:rPr>
                <w:rFonts w:hint="eastAsia" w:ascii="宋体" w:hAnsi="宋体" w:cs="宋体"/>
                <w:bCs/>
                <w:color w:val="auto"/>
                <w:highlight w:val="none"/>
                <w:lang w:bidi="ar"/>
              </w:rPr>
              <w:t xml:space="preserve">包括但不限于：应支持系统黑匣子及核心进程的状态检测。应支持CPU负载、内存负载、磁盘空间、网卡健康、硬盘健康、网卡日志、BIOS固件等硬件相关状态的检测。应支持软件版本及补丁修复状态等检测。</w:t>
            </w:r>
            <w:r/>
          </w:p>
        </w:tc>
      </w:tr>
      <w:tr>
        <w:trPr>
          <w:jc w:val="center"/>
        </w:trPr>
        <w:tc>
          <w:tcPr>
            <w:tcW w:w="1144" w:type="pct"/>
            <w:vAlign w:val="center"/>
            <w:vMerge w:val="continue"/>
            <w:textDirection w:val="lrTb"/>
            <w:noWrap w:val="false"/>
          </w:tcPr>
          <w:p>
            <w:pPr>
              <w:jc w:val="center"/>
              <w:spacing w:line="400" w:lineRule="exact"/>
              <w:widowControl/>
              <w:rPr>
                <w:rFonts w:hint="eastAsia" w:ascii="宋体" w:hAnsi="宋体" w:cs="宋体"/>
                <w:bCs/>
                <w:color w:val="auto"/>
                <w:highlight w:val="none"/>
                <w:lang w:bidi="ar"/>
              </w:rPr>
            </w:pPr>
            <w:r>
              <w:rPr>
                <w:rFonts w:hint="eastAsia" w:ascii="宋体" w:hAnsi="宋体" w:cs="宋体"/>
                <w:bCs/>
                <w:color w:val="auto"/>
                <w:highlight w:val="none"/>
                <w:lang w:bidi="ar"/>
              </w:rPr>
            </w:r>
            <w:r/>
          </w:p>
        </w:tc>
        <w:tc>
          <w:tcPr>
            <w:tcW w:w="3856" w:type="pct"/>
            <w:textDirection w:val="lrTb"/>
            <w:noWrap w:val="false"/>
          </w:tcPr>
          <w:p>
            <w:pPr>
              <w:jc w:val="left"/>
              <w:spacing w:line="400" w:lineRule="exact"/>
              <w:widowControl/>
              <w:rPr>
                <w:rFonts w:hint="eastAsia" w:ascii="宋体" w:hAnsi="宋体" w:cs="宋体"/>
                <w:bCs/>
                <w:color w:val="auto"/>
                <w:highlight w:val="none"/>
                <w:lang w:bidi="ar"/>
              </w:rPr>
            </w:pPr>
            <w:r>
              <w:rPr>
                <w:rFonts w:hint="eastAsia" w:ascii="宋体" w:hAnsi="宋体" w:cs="宋体"/>
                <w:bCs/>
                <w:color w:val="auto"/>
                <w:highlight w:val="none"/>
                <w:lang w:bidi="ar"/>
              </w:rPr>
              <w:t xml:space="preserve">1、为方便管理员统筹查看管理零信任系统的整体运行状态，支持对设备自身的安全状态和策略配置进行巡检，对设备的整体状态进行打分，统计所有检查的正常项、异常项和告警项，并输出巡检报告。</w:t>
            </w:r>
            <w:r/>
          </w:p>
          <w:p>
            <w:pPr>
              <w:jc w:val="left"/>
              <w:spacing w:line="400" w:lineRule="exact"/>
              <w:widowControl/>
              <w:rPr>
                <w:rFonts w:hint="eastAsia" w:ascii="宋体" w:hAnsi="宋体" w:cs="宋体"/>
                <w:bCs/>
                <w:color w:val="auto"/>
                <w:highlight w:val="none"/>
                <w:lang w:bidi="ar"/>
              </w:rPr>
            </w:pPr>
            <w:r>
              <w:rPr>
                <w:rFonts w:hint="eastAsia" w:ascii="宋体" w:hAnsi="宋体" w:cs="宋体"/>
                <w:bCs/>
                <w:color w:val="auto"/>
                <w:highlight w:val="none"/>
                <w:lang w:bidi="ar"/>
              </w:rPr>
              <w:t xml:space="preserve">2、支持在设备上查看及下载巡检报告。</w:t>
            </w:r>
            <w:r/>
          </w:p>
          <w:p>
            <w:pPr>
              <w:jc w:val="left"/>
              <w:spacing w:line="400" w:lineRule="exact"/>
              <w:widowControl/>
              <w:rPr>
                <w:rFonts w:hint="eastAsia" w:ascii="宋体" w:hAnsi="宋体" w:cs="宋体"/>
                <w:bCs/>
                <w:color w:val="auto"/>
                <w:highlight w:val="none"/>
                <w:lang w:bidi="ar"/>
              </w:rPr>
            </w:pPr>
            <w:r>
              <w:rPr>
                <w:rFonts w:hint="eastAsia" w:ascii="宋体" w:hAnsi="宋体" w:cs="宋体"/>
                <w:bCs/>
                <w:color w:val="auto"/>
                <w:highlight w:val="none"/>
                <w:lang w:bidi="ar"/>
              </w:rPr>
              <w:t xml:space="preserve">3、报告应至少包含检测项、检查状态、存在的问题描述、建议改进措施等。</w:t>
            </w:r>
            <w:r/>
          </w:p>
        </w:tc>
      </w:tr>
      <w:tr>
        <w:trPr>
          <w:jc w:val="center"/>
        </w:trPr>
        <w:tc>
          <w:tcPr>
            <w:tcW w:w="1144" w:type="pct"/>
            <w:vAlign w:val="center"/>
            <w:textDirection w:val="lrTb"/>
            <w:noWrap w:val="false"/>
          </w:tcPr>
          <w:p>
            <w:pPr>
              <w:jc w:val="center"/>
              <w:spacing w:line="400" w:lineRule="exact"/>
              <w:widowControl/>
              <w:rPr>
                <w:rFonts w:hint="eastAsia" w:ascii="宋体" w:hAnsi="宋体" w:cs="宋体"/>
                <w:bCs/>
                <w:color w:val="auto"/>
                <w:highlight w:val="none"/>
                <w:lang w:bidi="ar"/>
              </w:rPr>
            </w:pPr>
            <w:r>
              <w:rPr>
                <w:rFonts w:hint="eastAsia" w:ascii="宋体" w:hAnsi="宋体" w:cs="宋体"/>
                <w:bCs/>
                <w:color w:val="auto"/>
                <w:highlight w:val="none"/>
                <w:lang w:bidi="ar"/>
              </w:rPr>
              <w:t xml:space="preserve">监控中心</w:t>
            </w:r>
            <w:r/>
          </w:p>
        </w:tc>
        <w:tc>
          <w:tcPr>
            <w:tcW w:w="3856" w:type="pct"/>
            <w:textDirection w:val="lrTb"/>
            <w:noWrap w:val="false"/>
          </w:tcPr>
          <w:p>
            <w:pPr>
              <w:jc w:val="left"/>
              <w:spacing w:line="400" w:lineRule="exact"/>
              <w:widowControl/>
              <w:rPr>
                <w:rFonts w:hint="eastAsia" w:ascii="宋体" w:hAnsi="宋体" w:cs="宋体"/>
                <w:bCs/>
                <w:color w:val="auto"/>
                <w:highlight w:val="none"/>
                <w:lang w:bidi="ar"/>
              </w:rPr>
            </w:pPr>
            <w:r>
              <w:rPr>
                <w:rFonts w:hint="eastAsia" w:ascii="宋体" w:hAnsi="宋体" w:cs="宋体"/>
                <w:bCs/>
                <w:color w:val="auto"/>
                <w:highlight w:val="none"/>
                <w:lang w:bidi="ar"/>
              </w:rPr>
              <w:t xml:space="preserve">1、支持查看当前在线用户终端总数；</w:t>
            </w:r>
            <w:r/>
          </w:p>
          <w:p>
            <w:pPr>
              <w:jc w:val="left"/>
              <w:spacing w:line="400" w:lineRule="exact"/>
              <w:widowControl/>
              <w:rPr>
                <w:rFonts w:hint="eastAsia" w:ascii="宋体" w:hAnsi="宋体" w:cs="宋体"/>
                <w:bCs/>
                <w:color w:val="auto"/>
                <w:highlight w:val="none"/>
                <w:lang w:bidi="ar"/>
              </w:rPr>
            </w:pPr>
            <w:r>
              <w:rPr>
                <w:rFonts w:hint="eastAsia" w:ascii="宋体" w:hAnsi="宋体" w:cs="宋体"/>
                <w:bCs/>
                <w:color w:val="auto"/>
                <w:highlight w:val="none"/>
                <w:lang w:bidi="ar"/>
              </w:rPr>
              <w:t xml:space="preserve">2、支持查看当前在线用户，用户信息至少包括用户名、组织架构、终端类型、浏览器类型、接入IP、最后接入时间、认证方式等；</w:t>
            </w:r>
            <w:r/>
          </w:p>
          <w:p>
            <w:pPr>
              <w:jc w:val="left"/>
              <w:spacing w:line="400" w:lineRule="exact"/>
              <w:widowControl/>
              <w:rPr>
                <w:rFonts w:hint="eastAsia" w:ascii="宋体" w:hAnsi="宋体" w:cs="宋体"/>
                <w:bCs/>
                <w:color w:val="auto"/>
                <w:highlight w:val="none"/>
                <w:lang w:bidi="ar"/>
              </w:rPr>
            </w:pPr>
            <w:r>
              <w:rPr>
                <w:rFonts w:hint="eastAsia" w:ascii="宋体" w:hAnsi="宋体" w:cs="宋体"/>
                <w:bCs/>
                <w:color w:val="auto"/>
                <w:highlight w:val="none"/>
                <w:lang w:bidi="ar"/>
              </w:rPr>
              <w:t xml:space="preserve">3、支持管理员对在线用户进行注销操作。</w:t>
            </w:r>
            <w:r/>
          </w:p>
        </w:tc>
      </w:tr>
      <w:tr>
        <w:trPr>
          <w:jc w:val="center"/>
        </w:trPr>
        <w:tc>
          <w:tcPr>
            <w:tcW w:w="1144" w:type="pct"/>
            <w:vAlign w:val="center"/>
            <w:textDirection w:val="lrTb"/>
            <w:noWrap w:val="false"/>
          </w:tcPr>
          <w:p>
            <w:pPr>
              <w:jc w:val="center"/>
              <w:spacing w:line="400" w:lineRule="exact"/>
              <w:widowControl/>
              <w:rPr>
                <w:rFonts w:hint="eastAsia" w:ascii="宋体" w:hAnsi="宋体" w:cs="宋体"/>
                <w:bCs/>
                <w:color w:val="auto"/>
                <w:highlight w:val="none"/>
                <w:lang w:bidi="ar"/>
              </w:rPr>
            </w:pPr>
            <w:r>
              <w:rPr>
                <w:rFonts w:hint="eastAsia" w:ascii="宋体" w:hAnsi="宋体" w:cs="宋体"/>
                <w:bCs/>
                <w:color w:val="auto"/>
                <w:highlight w:val="none"/>
                <w:lang w:bidi="ar"/>
              </w:rPr>
              <w:t xml:space="preserve">设备安全</w:t>
            </w:r>
            <w:r/>
          </w:p>
        </w:tc>
        <w:tc>
          <w:tcPr>
            <w:tcW w:w="3856" w:type="pct"/>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支持配置同名用户连续登录错误超过上限时锁定账号，并于指定时长后自动恢复。支持配置同IP用户连续登录错误超过上限时锁定IP，并于指定时长后自动恢复。</w:t>
            </w:r>
            <w:r/>
          </w:p>
        </w:tc>
      </w:tr>
      <w:tr>
        <w:trPr>
          <w:jc w:val="center"/>
          <w:trHeight w:val="543"/>
        </w:trPr>
        <w:tc>
          <w:tcPr>
            <w:tcW w:w="1144" w:type="pct"/>
            <w:vAlign w:val="center"/>
            <w:textDirection w:val="lrTb"/>
            <w:noWrap w:val="false"/>
          </w:tcPr>
          <w:p>
            <w:pPr>
              <w:jc w:val="center"/>
              <w:spacing w:line="400" w:lineRule="exact"/>
              <w:widowControl/>
              <w:rPr>
                <w:rFonts w:hint="eastAsia" w:ascii="宋体" w:hAnsi="宋体" w:cs="宋体"/>
                <w:bCs/>
                <w:color w:val="auto"/>
                <w:highlight w:val="none"/>
                <w:lang w:bidi="ar"/>
              </w:rPr>
            </w:pPr>
            <w:r>
              <w:rPr>
                <w:rFonts w:hint="eastAsia" w:ascii="宋体" w:hAnsi="宋体" w:cs="宋体"/>
                <w:bCs/>
                <w:color w:val="auto"/>
                <w:highlight w:val="none"/>
                <w:lang w:bidi="ar"/>
              </w:rPr>
              <w:t xml:space="preserve">售后服务</w:t>
            </w:r>
            <w:r/>
          </w:p>
        </w:tc>
        <w:tc>
          <w:tcPr>
            <w:tcW w:w="3856" w:type="pct"/>
            <w:vAlign w:val="center"/>
            <w:textDirection w:val="lrTb"/>
            <w:noWrap w:val="false"/>
          </w:tcPr>
          <w:p>
            <w:pPr>
              <w:jc w:val="lef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提供不少于3年原厂质保</w:t>
            </w:r>
            <w:r/>
          </w:p>
        </w:tc>
      </w:tr>
    </w:tbl>
    <w:p>
      <w:pPr>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备份一体机-星浦医院</w:t>
      </w:r>
      <w:r/>
    </w:p>
    <w:tbl>
      <w:tblPr>
        <w:tblStyle w:val="908"/>
        <w:tblW w:w="497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6"/>
        <w:gridCol w:w="6386"/>
      </w:tblGrid>
      <w:tr>
        <w:trPr>
          <w:trHeight w:val="53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指标项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指标要求</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lang w:bidi="ar"/>
              </w:rPr>
              <w:t xml:space="preserve">硬件规格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2U，内存≥4*32GB DDR5 5600，系统盘≥2*480GB SATA SSD，数据盘≥3*8T HDD，白金，冗余电源，接口：4千兆电口+2万兆光口。备份容量≥18T。要求设备采用国产芯片及国产操作系统。</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rPr>
                <w:rFonts w:hint="eastAsia" w:ascii="宋体" w:hAnsi="宋体" w:eastAsia="宋体" w:cs="宋体"/>
                <w:bCs/>
                <w:color w:val="auto"/>
                <w:highlight w:val="none"/>
                <w:lang w:bidi="ar"/>
              </w:rPr>
            </w:pPr>
            <w:r>
              <w:rPr>
                <w:rFonts w:hint="eastAsia" w:ascii="宋体" w:hAnsi="宋体" w:eastAsia="宋体" w:cs="宋体"/>
                <w:bCs/>
                <w:color w:val="auto"/>
                <w:highlight w:val="none"/>
                <w:lang w:bidi="ar"/>
              </w:rPr>
              <w:t xml:space="preserve">整机备份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提供基于磁盘数据块复制技术的整机备份，无需了解主机业务系统类型、部署方法、业务系统间的数据交互机制、数据结构/逻辑关系和数据库的品牌/版本。</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rPr>
                <w:rFonts w:hint="eastAsia" w:ascii="宋体" w:hAnsi="宋体" w:eastAsia="宋体" w:cs="宋体"/>
                <w:bCs/>
                <w:color w:val="auto"/>
                <w:highlight w:val="none"/>
                <w:lang w:bidi="ar"/>
              </w:rPr>
            </w:pPr>
            <w:r>
              <w:rPr>
                <w:rFonts w:hint="eastAsia" w:ascii="宋体" w:hAnsi="宋体" w:eastAsia="宋体" w:cs="宋体"/>
                <w:bCs/>
                <w:color w:val="auto"/>
                <w:highlight w:val="none"/>
                <w:lang w:bidi="ar"/>
              </w:rPr>
              <w:t xml:space="preserve">定时备份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支持任意的小时/天/月/年/仅备份一次等策略执行定时备份，操作简单，策略灵活；</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rPr>
                <w:rFonts w:hint="eastAsia" w:ascii="宋体" w:hAnsi="宋体" w:eastAsia="宋体" w:cs="宋体"/>
                <w:bCs/>
                <w:color w:val="auto"/>
                <w:highlight w:val="none"/>
                <w:lang w:bidi="ar"/>
              </w:rPr>
            </w:pPr>
            <w:r>
              <w:rPr>
                <w:rFonts w:hint="eastAsia" w:ascii="宋体" w:hAnsi="宋体" w:eastAsia="宋体" w:cs="宋体"/>
                <w:bCs/>
                <w:color w:val="auto"/>
                <w:highlight w:val="none"/>
                <w:lang w:bidi="ar"/>
              </w:rPr>
              <w:t xml:space="preserve">永久增量备份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支持完整备份和增量备份，第一次备份时使用完整备份保留整机应用的完整状态，后续采用增量备份，大幅减少备份的数据量。</w:t>
            </w:r>
            <w:r/>
          </w:p>
        </w:tc>
      </w:tr>
      <w:tr>
        <w:trPr>
          <w:trHeight w:val="285"/>
        </w:trPr>
        <w:tc>
          <w:tcPr>
            <w:tcBorders>
              <w:top w:val="single" w:color="000000" w:sz="4" w:space="0"/>
              <w:left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rPr>
                <w:rFonts w:hint="eastAsia" w:ascii="宋体" w:hAnsi="宋体" w:eastAsia="宋体" w:cs="宋体"/>
                <w:bCs/>
                <w:color w:val="auto"/>
                <w:highlight w:val="none"/>
                <w:lang w:bidi="ar"/>
              </w:rPr>
            </w:pPr>
            <w:r>
              <w:rPr>
                <w:rFonts w:hint="eastAsia" w:ascii="宋体" w:hAnsi="宋体" w:eastAsia="宋体" w:cs="宋体"/>
                <w:bCs/>
                <w:color w:val="auto"/>
                <w:highlight w:val="none"/>
                <w:lang w:bidi="ar"/>
              </w:rPr>
              <w:t xml:space="preserve">恢复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整机全场景恢复，无需部署配置操作系统、应用和数据库等系统环境，实现全场景带业务逻辑的整机灾难重建，无需人工手动安装驱动、更改注册表信息、应用配置信息等，极大降低灾难重建恢复难度和效率。</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r/>
          </w:p>
        </w:tc>
      </w:tr>
      <w:tr>
        <w:trPr>
          <w:trHeight w:val="285"/>
        </w:trPr>
        <w:tc>
          <w:tcPr>
            <w:tcBorders>
              <w:top w:val="single" w:color="000000" w:sz="4" w:space="0"/>
              <w:left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rPr>
                <w:rFonts w:hint="eastAsia" w:ascii="宋体" w:hAnsi="宋体" w:eastAsia="宋体" w:cs="宋体"/>
                <w:bCs/>
                <w:color w:val="auto"/>
                <w:highlight w:val="none"/>
                <w:lang w:bidi="ar"/>
              </w:rPr>
            </w:pPr>
            <w:r>
              <w:rPr>
                <w:rFonts w:hint="eastAsia" w:ascii="宋体" w:hAnsi="宋体" w:eastAsia="宋体" w:cs="宋体"/>
                <w:bCs/>
                <w:color w:val="auto"/>
                <w:highlight w:val="none"/>
                <w:lang w:bidi="ar"/>
              </w:rPr>
              <w:t xml:space="preserve">文件恢复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用户日常运维过程中丢失单个文件/文件夹，备份系统支持将任意时间的备份点加载为网络共享路径或在WEB浏览器中直接URL访问的方式，管理员可轻松找到该文件并复制出来；支持采用文件的直接恢复的方式，可指定恢复单个文件或文件夹到原机某个目录下。</w:t>
            </w:r>
            <w:r/>
          </w:p>
        </w:tc>
      </w:tr>
      <w:tr>
        <w:trPr>
          <w:trHeight w:val="285"/>
        </w:trPr>
        <w:tc>
          <w:tcPr>
            <w:tcBorders>
              <w:top w:val="single" w:color="000000" w:sz="4" w:space="0"/>
              <w:left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rPr>
                <w:rFonts w:hint="eastAsia" w:ascii="宋体" w:hAnsi="宋体" w:eastAsia="宋体" w:cs="宋体"/>
                <w:bCs/>
                <w:color w:val="auto"/>
                <w:highlight w:val="none"/>
                <w:lang w:bidi="ar"/>
              </w:rPr>
            </w:pPr>
            <w:r>
              <w:rPr>
                <w:rFonts w:hint="eastAsia" w:ascii="宋体" w:hAnsi="宋体" w:eastAsia="宋体" w:cs="宋体"/>
                <w:bCs/>
                <w:color w:val="auto"/>
                <w:highlight w:val="none"/>
                <w:lang w:bidi="ar"/>
              </w:rPr>
              <w:t xml:space="preserve">文件验证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可将选定的备份点加载为CIFS文件共享和网络共享路径可直接在WEB浏览器中直接URL访问，管理员可快速确认需被验证的备份点文件是否是符合预期，备份点是否可用、可靠。</w:t>
            </w:r>
            <w:r/>
          </w:p>
        </w:tc>
      </w:tr>
      <w:tr>
        <w:trPr>
          <w:trHeight w:val="285"/>
        </w:trPr>
        <w:tc>
          <w:tcPr>
            <w:tcBorders>
              <w:top w:val="single" w:color="000000" w:sz="4" w:space="0"/>
              <w:left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rPr>
                <w:rFonts w:hint="eastAsia" w:ascii="宋体" w:hAnsi="宋体" w:eastAsia="宋体" w:cs="宋体"/>
                <w:bCs/>
                <w:color w:val="auto"/>
                <w:highlight w:val="none"/>
                <w:lang w:bidi="ar"/>
              </w:rPr>
            </w:pPr>
            <w:r>
              <w:rPr>
                <w:rFonts w:hint="eastAsia" w:ascii="宋体" w:hAnsi="宋体" w:eastAsia="宋体" w:cs="宋体"/>
                <w:bCs/>
                <w:color w:val="auto"/>
                <w:highlight w:val="none"/>
                <w:lang w:bidi="ar"/>
              </w:rPr>
              <w:t xml:space="preserve">应急接管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▲支持对基于共享存储的集群数据库和应用提供应急接管，自动化配置集群网卡、聚合网卡参数。</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r/>
          </w:p>
        </w:tc>
      </w:tr>
      <w:tr>
        <w:trPr>
          <w:trHeight w:val="285"/>
        </w:trPr>
        <w:tc>
          <w:tcPr>
            <w:tcBorders>
              <w:left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rPr>
                <w:rFonts w:hint="eastAsia" w:ascii="宋体" w:hAnsi="宋体" w:eastAsia="宋体" w:cs="宋体"/>
                <w:bCs/>
                <w:color w:val="auto"/>
                <w:highlight w:val="none"/>
                <w:lang w:bidi="ar"/>
              </w:rPr>
            </w:pPr>
            <w:r>
              <w:rPr>
                <w:rFonts w:hint="eastAsia" w:ascii="宋体" w:hAnsi="宋体" w:eastAsia="宋体" w:cs="宋体"/>
                <w:bCs/>
                <w:color w:val="auto"/>
                <w:highlight w:val="none"/>
                <w:lang w:bidi="ar"/>
              </w:rPr>
              <w:t xml:space="preserve">安全管理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备份系统网络可配置“网卡关闭/开启策略”，还可将除备份数据传输端口外的SSH、网络访问等网络端口全部关闭，杜绝除传输备份数据流之外一切网络访问的可能，降低备份系统被攻击的概率。</w:t>
            </w:r>
            <w:r/>
          </w:p>
        </w:tc>
      </w:tr>
      <w:tr>
        <w:trPr>
          <w:trHeight w:val="285"/>
        </w:trPr>
        <w:tc>
          <w:tcPr>
            <w:tcBorders>
              <w:left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rPr>
                <w:rFonts w:hint="eastAsia" w:ascii="宋体" w:hAnsi="宋体" w:eastAsia="宋体" w:cs="宋体"/>
                <w:bCs/>
                <w:color w:val="auto"/>
                <w:highlight w:val="none"/>
                <w:lang w:bidi="ar"/>
              </w:rPr>
            </w:pPr>
            <w:r>
              <w:rPr>
                <w:rFonts w:hint="eastAsia" w:ascii="宋体" w:hAnsi="宋体" w:eastAsia="宋体" w:cs="宋体"/>
                <w:bCs/>
                <w:color w:val="auto"/>
                <w:highlight w:val="none"/>
                <w:lang w:bidi="ar"/>
              </w:rPr>
              <w:t xml:space="preserve">存储策略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支持备份系统的系统数据备份到第三方存储，当备份存储系统自身发生故障时，可通过备份数据进行还原。</w:t>
            </w:r>
            <w:r/>
          </w:p>
        </w:tc>
      </w:tr>
      <w:tr>
        <w:trPr>
          <w:trHeight w:val="285"/>
        </w:trPr>
        <w:tc>
          <w:tcPr>
            <w:tcBorders>
              <w:left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rPr>
                <w:rFonts w:hint="eastAsia" w:ascii="宋体" w:hAnsi="宋体" w:eastAsia="宋体" w:cs="宋体"/>
                <w:bCs/>
                <w:color w:val="auto"/>
                <w:highlight w:val="none"/>
                <w:lang w:bidi="ar"/>
              </w:rPr>
            </w:pPr>
            <w:r>
              <w:rPr>
                <w:rFonts w:hint="eastAsia" w:ascii="宋体" w:hAnsi="宋体" w:eastAsia="宋体" w:cs="宋体"/>
                <w:bCs/>
                <w:color w:val="auto"/>
                <w:highlight w:val="none"/>
                <w:lang w:bidi="ar"/>
              </w:rPr>
              <w:t xml:space="preserve">告警信息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支持以邮件、企业微信告警的方式，针对于备份存储系统的软件故障、存储空间、备份任务、操作状态等信息及时通知管理员。</w:t>
            </w:r>
            <w:r/>
          </w:p>
        </w:tc>
      </w:tr>
      <w:tr>
        <w:trPr>
          <w:trHeight w:val="556"/>
        </w:trPr>
        <w:tc>
          <w:tcPr>
            <w:tcBorders>
              <w:left w:val="single" w:color="000000" w:sz="4" w:space="0"/>
              <w:right w:val="single" w:color="000000" w:sz="4" w:space="0"/>
            </w:tcBorders>
            <w:tcMar>
              <w:left w:w="15" w:type="dxa"/>
              <w:top w:w="15" w:type="dxa"/>
              <w:right w:w="15" w:type="dxa"/>
              <w:bottom w:w="15" w:type="dxa"/>
            </w:tcMar>
            <w:tcW w:w="1135" w:type="pct"/>
            <w:vAlign w:val="center"/>
            <w:textDirection w:val="lrTb"/>
            <w:noWrap w:val="false"/>
          </w:tcPr>
          <w:p>
            <w:pPr>
              <w:jc w:val="center"/>
              <w:rPr>
                <w:rFonts w:hint="eastAsia" w:ascii="宋体" w:hAnsi="宋体" w:eastAsia="宋体" w:cs="宋体"/>
                <w:bCs/>
                <w:color w:val="auto"/>
                <w:highlight w:val="none"/>
                <w:lang w:bidi="ar"/>
              </w:rPr>
            </w:pPr>
            <w:r>
              <w:rPr>
                <w:rFonts w:hint="eastAsia" w:ascii="宋体" w:hAnsi="宋体" w:eastAsia="宋体" w:cs="宋体"/>
                <w:bCs/>
                <w:color w:val="auto"/>
                <w:highlight w:val="none"/>
                <w:lang w:bidi="ar"/>
              </w:rPr>
              <w:t xml:space="preserve">售后服务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864"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提供不少于3年原厂质保</w:t>
            </w:r>
            <w:r/>
          </w:p>
        </w:tc>
      </w:tr>
    </w:tbl>
    <w:p>
      <w:pPr>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防火墙-星塘医院</w:t>
      </w:r>
      <w:r/>
    </w:p>
    <w:tbl>
      <w:tblPr>
        <w:tblStyle w:val="9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78"/>
        <w:gridCol w:w="6424"/>
      </w:tblGrid>
      <w:tr>
        <w:trPr>
          <w:jc w:val="center"/>
          <w:trHeight w:val="531"/>
        </w:trPr>
        <w:tc>
          <w:tcPr>
            <w:tcBorders>
              <w:top w:val="single" w:color="auto" w:sz="4" w:space="0"/>
              <w:left w:val="single" w:color="auto" w:sz="4" w:space="0"/>
              <w:right w:val="single" w:color="auto" w:sz="4" w:space="0"/>
            </w:tcBorders>
            <w:tcW w:w="1131" w:type="pct"/>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color w:val="auto"/>
                <w:highlight w:val="none"/>
              </w:rPr>
              <w:t xml:space="preserve">指标项</w:t>
            </w:r>
            <w:r/>
          </w:p>
        </w:tc>
        <w:tc>
          <w:tcPr>
            <w:tcBorders>
              <w:top w:val="single" w:color="auto" w:sz="4" w:space="0"/>
              <w:left w:val="single" w:color="auto" w:sz="4" w:space="0"/>
              <w:bottom w:val="single" w:color="auto" w:sz="4" w:space="0"/>
              <w:right w:val="single" w:color="auto" w:sz="4" w:space="0"/>
            </w:tcBorders>
            <w:tcW w:w="3869" w:type="pct"/>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color w:val="auto"/>
                <w:highlight w:val="none"/>
              </w:rPr>
              <w:t xml:space="preserve">指标要求</w:t>
            </w:r>
            <w:r/>
          </w:p>
        </w:tc>
      </w:tr>
      <w:tr>
        <w:trPr>
          <w:jc w:val="center"/>
        </w:trPr>
        <w:tc>
          <w:tcPr>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性能要求</w:t>
            </w:r>
            <w:r/>
          </w:p>
        </w:tc>
        <w:tc>
          <w:tcPr>
            <w:tcBorders>
              <w:top w:val="single" w:color="auto" w:sz="4" w:space="0"/>
              <w:left w:val="single" w:color="auto" w:sz="4" w:space="0"/>
              <w:bottom w:val="single" w:color="auto" w:sz="4" w:space="0"/>
              <w:right w:val="single" w:color="auto" w:sz="4" w:space="0"/>
            </w:tcBorders>
            <w:tcW w:w="3869"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网络层吞吐量≥10G，应用层吞吐量≥4G，并发连接数≥400万，HTTP新建连接数≥10万。</w:t>
            </w:r>
            <w:r/>
          </w:p>
        </w:tc>
      </w:tr>
      <w:tr>
        <w:trPr>
          <w:jc w:val="center"/>
        </w:trPr>
        <w:tc>
          <w:tcPr>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硬件要求</w:t>
            </w:r>
            <w:r/>
          </w:p>
        </w:tc>
        <w:tc>
          <w:tcPr>
            <w:tcBorders>
              <w:top w:val="single" w:color="auto" w:sz="4" w:space="0"/>
              <w:left w:val="single" w:color="auto" w:sz="4" w:space="0"/>
              <w:bottom w:val="single" w:color="auto" w:sz="4" w:space="0"/>
              <w:right w:val="single" w:color="auto" w:sz="4" w:space="0"/>
            </w:tcBorders>
            <w:tcW w:w="3869"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内存≥8G，硬盘容量≥128G SSD，接口≥6千兆电口。要求设备采用国产芯片及国产操作系统。</w:t>
            </w:r>
            <w:r/>
          </w:p>
        </w:tc>
      </w:tr>
      <w:tr>
        <w:trPr>
          <w:jc w:val="center"/>
        </w:trPr>
        <w:tc>
          <w:tcPr>
            <w:tcBorders>
              <w:top w:val="single" w:color="auto" w:sz="4" w:space="0"/>
              <w:left w:val="single" w:color="auto" w:sz="4" w:space="0"/>
              <w:bottom w:val="single" w:color="auto" w:sz="4" w:space="0"/>
              <w:right w:val="single" w:color="auto" w:sz="4" w:space="0"/>
            </w:tcBorders>
            <w:tcW w:w="1131" w:type="pct"/>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基础网络特性</w:t>
            </w:r>
            <w:r/>
          </w:p>
        </w:tc>
        <w:tc>
          <w:tcPr>
            <w:tcBorders>
              <w:top w:val="single" w:color="auto" w:sz="4" w:space="0"/>
              <w:left w:val="single" w:color="auto" w:sz="4" w:space="0"/>
              <w:bottom w:val="single" w:color="auto" w:sz="4" w:space="0"/>
              <w:right w:val="single" w:color="auto" w:sz="4" w:space="0"/>
            </w:tcBorders>
            <w:tcW w:w="3869"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产品支持路由类型、协议类型、网络对象、国家地区等条件进行自动选路的策略路由，支持不少于3种的调度算法，至少包括带宽比例、加权流量、线路优先等。</w:t>
            </w:r>
            <w:r/>
          </w:p>
        </w:tc>
      </w:tr>
      <w:tr>
        <w:trPr>
          <w:jc w:val="center"/>
        </w:trPr>
        <w:tc>
          <w:tcPr>
            <w:tcBorders>
              <w:top w:val="single" w:color="auto" w:sz="4" w:space="0"/>
              <w:left w:val="single" w:color="auto" w:sz="4" w:space="0"/>
              <w:bottom w:val="single" w:color="auto" w:sz="4" w:space="0"/>
              <w:right w:val="single" w:color="auto" w:sz="4" w:space="0"/>
            </w:tcBorders>
            <w:tcW w:w="1131" w:type="pct"/>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869"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产品支持链路连通性检查功能，支持基于3种以上协议对链路连通性进行探测，探测协议至少包括DNS解析、ARP探测、PING和BFD等方式。</w:t>
            </w:r>
            <w:r/>
          </w:p>
        </w:tc>
      </w:tr>
      <w:tr>
        <w:trPr>
          <w:jc w:val="center"/>
        </w:trPr>
        <w:tc>
          <w:tcPr>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流量控制</w:t>
            </w:r>
            <w:r/>
          </w:p>
        </w:tc>
        <w:tc>
          <w:tcPr>
            <w:tcBorders>
              <w:top w:val="single" w:color="auto" w:sz="4" w:space="0"/>
              <w:left w:val="single" w:color="auto" w:sz="4" w:space="0"/>
              <w:bottom w:val="single" w:color="auto" w:sz="4" w:space="0"/>
              <w:right w:val="single" w:color="auto" w:sz="4" w:space="0"/>
            </w:tcBorders>
            <w:tcW w:w="3869"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产品支持多维度流量控制功能，支持基于IP地址、用户、应用、时间设置流量控制策略，保证关键业务带宽日常需求。</w:t>
            </w:r>
            <w:r/>
          </w:p>
        </w:tc>
      </w:tr>
      <w:tr>
        <w:trPr>
          <w:jc w:val="center"/>
        </w:trPr>
        <w:tc>
          <w:tcPr>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DDoS防护</w:t>
            </w:r>
            <w:r/>
          </w:p>
        </w:tc>
        <w:tc>
          <w:tcPr>
            <w:tcBorders>
              <w:top w:val="single" w:color="auto" w:sz="4" w:space="0"/>
              <w:left w:val="single" w:color="auto" w:sz="4" w:space="0"/>
              <w:bottom w:val="single" w:color="auto" w:sz="4" w:space="0"/>
              <w:right w:val="single" w:color="auto" w:sz="4" w:space="0"/>
            </w:tcBorders>
            <w:tcW w:w="3869" w:type="pc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产品支持对ICMP、UDP、DNS、SYN等协议进行DDOS防护。</w:t>
            </w:r>
            <w:r/>
          </w:p>
        </w:tc>
      </w:tr>
      <w:tr>
        <w:trPr>
          <w:jc w:val="center"/>
        </w:trPr>
        <w:tc>
          <w:tcPr>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URL分类过滤</w:t>
            </w:r>
            <w:r/>
          </w:p>
        </w:tc>
        <w:tc>
          <w:tcPr>
            <w:tcBorders>
              <w:top w:val="single" w:color="auto" w:sz="4" w:space="0"/>
              <w:left w:val="single" w:color="auto" w:sz="4" w:space="0"/>
              <w:bottom w:val="single" w:color="auto" w:sz="4" w:space="0"/>
              <w:right w:val="single" w:color="auto" w:sz="4" w:space="0"/>
            </w:tcBorders>
            <w:tcW w:w="3869"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产品支持管控非法、违规网站的访问行为，具备海量的URL分类库。</w:t>
            </w:r>
            <w:r/>
          </w:p>
        </w:tc>
      </w:tr>
      <w:tr>
        <w:trPr>
          <w:jc w:val="center"/>
        </w:trPr>
        <w:tc>
          <w:tcPr>
            <w:tcBorders>
              <w:top w:val="single" w:color="auto" w:sz="4" w:space="0"/>
              <w:left w:val="single" w:color="auto" w:sz="4" w:space="0"/>
              <w:bottom w:val="single" w:color="auto" w:sz="4" w:space="0"/>
              <w:right w:val="single" w:color="auto" w:sz="4" w:space="0"/>
            </w:tcBorders>
            <w:tcW w:w="113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防病毒</w:t>
            </w:r>
            <w:r/>
          </w:p>
        </w:tc>
        <w:tc>
          <w:tcPr>
            <w:tcBorders>
              <w:top w:val="single" w:color="auto" w:sz="4" w:space="0"/>
              <w:left w:val="single" w:color="auto" w:sz="4" w:space="0"/>
              <w:bottom w:val="single" w:color="auto" w:sz="4" w:space="0"/>
              <w:right w:val="single" w:color="auto" w:sz="4" w:space="0"/>
            </w:tcBorders>
            <w:tcW w:w="3869"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产品支持杀毒白名单设置，可以例外排除特定MD5和URL的病毒文件，针对特定文件不进行查杀。</w:t>
            </w:r>
            <w:r/>
          </w:p>
        </w:tc>
      </w:tr>
      <w:tr>
        <w:trPr>
          <w:jc w:val="center"/>
        </w:trPr>
        <w:tc>
          <w:tcPr>
            <w:tcBorders>
              <w:top w:val="single" w:color="auto" w:sz="4" w:space="0"/>
              <w:left w:val="single" w:color="auto" w:sz="4" w:space="0"/>
              <w:bottom w:val="single" w:color="auto" w:sz="4" w:space="0"/>
              <w:right w:val="single" w:color="auto" w:sz="4" w:space="0"/>
            </w:tcBorders>
            <w:tcW w:w="1131" w:type="pct"/>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云威胁情报网关</w:t>
            </w:r>
            <w:r/>
          </w:p>
        </w:tc>
        <w:tc>
          <w:tcPr>
            <w:tcBorders>
              <w:top w:val="single" w:color="auto" w:sz="4" w:space="0"/>
              <w:left w:val="single" w:color="auto" w:sz="4" w:space="0"/>
              <w:bottom w:val="single" w:color="auto" w:sz="4" w:space="0"/>
              <w:right w:val="single" w:color="auto" w:sz="4" w:space="0"/>
            </w:tcBorders>
            <w:tcW w:w="3869"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▲产品支持云威胁情报网关技术，通过全球超过30+pop节点，实现对威胁流量就近进行实时检测&amp;拦截，实现失陷外联实时阻断，保护资产安全。</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r/>
          </w:p>
        </w:tc>
      </w:tr>
      <w:tr>
        <w:trPr>
          <w:jc w:val="center"/>
        </w:trPr>
        <w:tc>
          <w:tcPr>
            <w:tcBorders>
              <w:top w:val="single" w:color="auto" w:sz="4" w:space="0"/>
              <w:left w:val="single" w:color="auto" w:sz="4" w:space="0"/>
              <w:bottom w:val="single" w:color="auto" w:sz="4" w:space="0"/>
              <w:right w:val="single" w:color="auto" w:sz="4" w:space="0"/>
            </w:tcBorders>
            <w:tcW w:w="1131" w:type="pct"/>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869"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产品支持云端未知威胁主动探测技术，实现5min内未知威胁情报全网设备下发。</w:t>
            </w:r>
            <w:r/>
          </w:p>
        </w:tc>
      </w:tr>
      <w:tr>
        <w:trPr>
          <w:jc w:val="center"/>
        </w:trPr>
        <w:tc>
          <w:tcPr>
            <w:tcBorders>
              <w:top w:val="single" w:color="auto" w:sz="4" w:space="0"/>
              <w:left w:val="single" w:color="auto" w:sz="4" w:space="0"/>
              <w:right w:val="single" w:color="auto" w:sz="4" w:space="0"/>
            </w:tcBorders>
            <w:tcW w:w="1131" w:type="pct"/>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安全策略管理</w:t>
            </w:r>
            <w:r/>
          </w:p>
        </w:tc>
        <w:tc>
          <w:tcPr>
            <w:tcBorders>
              <w:top w:val="single" w:color="auto" w:sz="4" w:space="0"/>
              <w:left w:val="single" w:color="auto" w:sz="4" w:space="0"/>
              <w:bottom w:val="single" w:color="auto" w:sz="4" w:space="0"/>
              <w:right w:val="single" w:color="auto" w:sz="4" w:space="0"/>
            </w:tcBorders>
            <w:tcW w:w="3869"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▲产品支持策略生命周期管理功能，支持对安全策略修改的时间、原因、变更类型进行统一管理，便于策略的运维与管理。</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r/>
          </w:p>
        </w:tc>
      </w:tr>
      <w:tr>
        <w:trPr>
          <w:jc w:val="center"/>
        </w:trPr>
        <w:tc>
          <w:tcPr>
            <w:tcBorders>
              <w:left w:val="single" w:color="auto" w:sz="4" w:space="0"/>
              <w:right w:val="single" w:color="auto" w:sz="4" w:space="0"/>
            </w:tcBorders>
            <w:tcW w:w="1131" w:type="pct"/>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869"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产品支持安全策略有效性分析功能，分析内容至少包括策略冗余分析、策略匹配分析、风险端口风险等内容，提供安全策略优化建议。</w:t>
            </w:r>
            <w:r/>
          </w:p>
        </w:tc>
      </w:tr>
      <w:tr>
        <w:trPr>
          <w:jc w:val="center"/>
          <w:trHeight w:val="519"/>
        </w:trPr>
        <w:tc>
          <w:tcPr>
            <w:tcBorders>
              <w:left w:val="single" w:color="auto" w:sz="4" w:space="0"/>
              <w:bottom w:val="single" w:color="auto" w:sz="4" w:space="0"/>
              <w:right w:val="single" w:color="auto" w:sz="4" w:space="0"/>
            </w:tcBorders>
            <w:tcW w:w="113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售后服务</w:t>
            </w:r>
            <w:r/>
          </w:p>
        </w:tc>
        <w:tc>
          <w:tcPr>
            <w:tcBorders>
              <w:top w:val="single" w:color="auto" w:sz="4" w:space="0"/>
              <w:left w:val="single" w:color="auto" w:sz="4" w:space="0"/>
              <w:bottom w:val="single" w:color="auto" w:sz="4" w:space="0"/>
              <w:right w:val="single" w:color="auto" w:sz="4" w:space="0"/>
            </w:tcBorders>
            <w:tcW w:w="3869"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提供不少于3年原厂质保</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策略防火墙-星塘医院</w:t>
      </w:r>
      <w:r/>
    </w:p>
    <w:tbl>
      <w:tblPr>
        <w:tblStyle w:val="9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0"/>
        <w:gridCol w:w="6422"/>
      </w:tblGrid>
      <w:tr>
        <w:trPr>
          <w:jc w:val="center"/>
          <w:trHeight w:val="517"/>
        </w:trPr>
        <w:tc>
          <w:tcPr>
            <w:tcBorders>
              <w:top w:val="single" w:color="auto" w:sz="4" w:space="0"/>
              <w:left w:val="single" w:color="auto" w:sz="4" w:space="0"/>
              <w:right w:val="single" w:color="auto" w:sz="4" w:space="0"/>
            </w:tcBorders>
            <w:tcW w:w="1132" w:type="pct"/>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color w:val="auto"/>
                <w:highlight w:val="none"/>
              </w:rPr>
              <w:t xml:space="preserve">指标项</w:t>
            </w:r>
            <w:r/>
          </w:p>
        </w:tc>
        <w:tc>
          <w:tcPr>
            <w:tcBorders>
              <w:top w:val="single" w:color="auto" w:sz="4" w:space="0"/>
              <w:left w:val="single" w:color="auto" w:sz="4" w:space="0"/>
              <w:bottom w:val="single" w:color="auto" w:sz="4" w:space="0"/>
              <w:right w:val="single" w:color="auto" w:sz="4" w:space="0"/>
            </w:tcBorders>
            <w:tcW w:w="3868" w:type="pct"/>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color w:val="auto"/>
                <w:highlight w:val="none"/>
              </w:rPr>
              <w:t xml:space="preserve">指标要求</w:t>
            </w:r>
            <w:r/>
          </w:p>
        </w:tc>
      </w:tr>
      <w:tr>
        <w:trPr>
          <w:jc w:val="center"/>
        </w:trPr>
        <w:tc>
          <w:tcPr>
            <w:tcBorders>
              <w:top w:val="single" w:color="auto" w:sz="4" w:space="0"/>
              <w:left w:val="single" w:color="auto" w:sz="4" w:space="0"/>
              <w:bottom w:val="single" w:color="auto" w:sz="4" w:space="0"/>
              <w:right w:val="single" w:color="auto" w:sz="4" w:space="0"/>
            </w:tcBorders>
            <w:tcW w:w="1132"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性能要求</w:t>
            </w:r>
            <w:r/>
          </w:p>
        </w:tc>
        <w:tc>
          <w:tcPr>
            <w:tcBorders>
              <w:top w:val="single" w:color="auto" w:sz="4" w:space="0"/>
              <w:left w:val="single" w:color="auto" w:sz="4" w:space="0"/>
              <w:bottom w:val="single" w:color="auto" w:sz="4" w:space="0"/>
              <w:right w:val="single" w:color="auto" w:sz="4" w:space="0"/>
            </w:tcBorders>
            <w:tcW w:w="386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网络层吞吐量≥8G，应用层吞吐量≥2G，并发连接数≥400万，HTTP新建连接数≥8万。</w:t>
            </w:r>
            <w:r/>
          </w:p>
        </w:tc>
      </w:tr>
      <w:tr>
        <w:trPr>
          <w:jc w:val="center"/>
        </w:trPr>
        <w:tc>
          <w:tcPr>
            <w:tcBorders>
              <w:top w:val="single" w:color="auto" w:sz="4" w:space="0"/>
              <w:left w:val="single" w:color="auto" w:sz="4" w:space="0"/>
              <w:bottom w:val="single" w:color="auto" w:sz="4" w:space="0"/>
              <w:right w:val="single" w:color="auto" w:sz="4" w:space="0"/>
            </w:tcBorders>
            <w:tcW w:w="1132"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硬件要求</w:t>
            </w:r>
            <w:r/>
          </w:p>
        </w:tc>
        <w:tc>
          <w:tcPr>
            <w:tcBorders>
              <w:top w:val="single" w:color="auto" w:sz="4" w:space="0"/>
              <w:left w:val="single" w:color="auto" w:sz="4" w:space="0"/>
              <w:bottom w:val="single" w:color="auto" w:sz="4" w:space="0"/>
              <w:right w:val="single" w:color="auto" w:sz="4" w:space="0"/>
            </w:tcBorders>
            <w:tcW w:w="386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内存≥8G，硬盘容量≥128G SSD，接口≥6千兆电口+2万兆光口。要求设备采用国产芯片及国产操作系统。</w:t>
            </w:r>
            <w:r/>
          </w:p>
        </w:tc>
      </w:tr>
      <w:tr>
        <w:trPr>
          <w:jc w:val="center"/>
        </w:trPr>
        <w:tc>
          <w:tcPr>
            <w:tcBorders>
              <w:top w:val="single" w:color="auto" w:sz="4" w:space="0"/>
              <w:left w:val="single" w:color="auto" w:sz="4" w:space="0"/>
              <w:bottom w:val="single" w:color="auto" w:sz="4" w:space="0"/>
              <w:right w:val="single" w:color="auto" w:sz="4" w:space="0"/>
            </w:tcBorders>
            <w:tcW w:w="1132" w:type="pct"/>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基础网络特性</w:t>
            </w:r>
            <w:r/>
          </w:p>
        </w:tc>
        <w:tc>
          <w:tcPr>
            <w:tcBorders>
              <w:top w:val="single" w:color="auto" w:sz="4" w:space="0"/>
              <w:left w:val="single" w:color="auto" w:sz="4" w:space="0"/>
              <w:bottom w:val="single" w:color="auto" w:sz="4" w:space="0"/>
              <w:right w:val="single" w:color="auto" w:sz="4" w:space="0"/>
            </w:tcBorders>
            <w:tcW w:w="386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支持路由模式、透明模式、虚拟网线模式、旁路镜像模式等多种部署方式。</w:t>
            </w:r>
            <w:r/>
          </w:p>
        </w:tc>
      </w:tr>
      <w:tr>
        <w:trPr>
          <w:jc w:val="center"/>
        </w:trPr>
        <w:tc>
          <w:tcPr>
            <w:tcBorders>
              <w:top w:val="single" w:color="auto" w:sz="4" w:space="0"/>
              <w:left w:val="single" w:color="auto" w:sz="4" w:space="0"/>
              <w:bottom w:val="single" w:color="auto" w:sz="4" w:space="0"/>
              <w:right w:val="single" w:color="auto" w:sz="4" w:space="0"/>
            </w:tcBorders>
            <w:tcW w:w="1132" w:type="pct"/>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86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支持虚拟防火墙功能，支持虚拟防火墙的创建和删除，具备独立的接口、会话管理、应用控制策略、NAT等资源。</w:t>
            </w:r>
            <w:r/>
          </w:p>
        </w:tc>
      </w:tr>
      <w:tr>
        <w:trPr>
          <w:jc w:val="center"/>
        </w:trPr>
        <w:tc>
          <w:tcPr>
            <w:tcBorders>
              <w:top w:val="single" w:color="auto" w:sz="4" w:space="0"/>
              <w:left w:val="single" w:color="auto" w:sz="4" w:space="0"/>
              <w:bottom w:val="single" w:color="auto" w:sz="4" w:space="0"/>
              <w:right w:val="single" w:color="auto" w:sz="4" w:space="0"/>
            </w:tcBorders>
            <w:tcW w:w="1132" w:type="pc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用户识别与认证</w:t>
            </w:r>
            <w:r/>
          </w:p>
        </w:tc>
        <w:tc>
          <w:tcPr>
            <w:tcBorders>
              <w:top w:val="single" w:color="auto" w:sz="4" w:space="0"/>
              <w:left w:val="single" w:color="auto" w:sz="4" w:space="0"/>
              <w:bottom w:val="single" w:color="auto" w:sz="4" w:space="0"/>
              <w:right w:val="single" w:color="auto" w:sz="4" w:space="0"/>
            </w:tcBorders>
            <w:tcW w:w="386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支持3种以上的用户认证方式,包含但不限于单点登录、本地账号密码、外部账号密码认证。</w:t>
            </w:r>
            <w:r/>
          </w:p>
        </w:tc>
      </w:tr>
      <w:tr>
        <w:trPr>
          <w:jc w:val="center"/>
        </w:trPr>
        <w:tc>
          <w:tcPr>
            <w:tcBorders>
              <w:top w:val="single" w:color="auto" w:sz="4" w:space="0"/>
              <w:left w:val="single" w:color="auto" w:sz="4" w:space="0"/>
              <w:bottom w:val="single" w:color="auto" w:sz="4" w:space="0"/>
              <w:right w:val="single" w:color="auto" w:sz="4" w:space="0"/>
            </w:tcBorders>
            <w:tcW w:w="1132"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应用识别</w:t>
            </w:r>
            <w:r/>
          </w:p>
        </w:tc>
        <w:tc>
          <w:tcPr>
            <w:tcBorders>
              <w:top w:val="single" w:color="auto" w:sz="4" w:space="0"/>
              <w:left w:val="single" w:color="auto" w:sz="4" w:space="0"/>
              <w:bottom w:val="single" w:color="auto" w:sz="4" w:space="0"/>
              <w:right w:val="single" w:color="auto" w:sz="4" w:space="0"/>
            </w:tcBorders>
            <w:tcW w:w="386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支持对不少于9000种应用的识别和控制，应用类型包括游戏、购物、图书百科、工作招聘、P2P下载、聊天工具、旅游出行、股票软件等类型应用进行检测与控制。</w:t>
            </w:r>
            <w:r/>
          </w:p>
        </w:tc>
      </w:tr>
      <w:tr>
        <w:trPr>
          <w:jc w:val="center"/>
        </w:trPr>
        <w:tc>
          <w:tcPr>
            <w:tcBorders>
              <w:top w:val="single" w:color="auto" w:sz="4" w:space="0"/>
              <w:left w:val="single" w:color="auto" w:sz="4" w:space="0"/>
              <w:bottom w:val="single" w:color="auto" w:sz="4" w:space="0"/>
              <w:right w:val="single" w:color="auto" w:sz="4" w:space="0"/>
            </w:tcBorders>
            <w:tcW w:w="1132"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访问控制</w:t>
            </w:r>
            <w:r/>
          </w:p>
        </w:tc>
        <w:tc>
          <w:tcPr>
            <w:tcBorders>
              <w:top w:val="single" w:color="auto" w:sz="4" w:space="0"/>
              <w:left w:val="single" w:color="auto" w:sz="4" w:space="0"/>
              <w:bottom w:val="single" w:color="auto" w:sz="4" w:space="0"/>
              <w:right w:val="single" w:color="auto" w:sz="4" w:space="0"/>
            </w:tcBorders>
            <w:tcW w:w="3868" w:type="pct"/>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产品支持基于网络区域、网络对象、MAC地址、服务、应用等维度进行访问控制策略设置。</w:t>
            </w:r>
            <w:r/>
          </w:p>
        </w:tc>
      </w:tr>
      <w:tr>
        <w:trPr>
          <w:jc w:val="center"/>
        </w:trPr>
        <w:tc>
          <w:tcPr>
            <w:tcBorders>
              <w:top w:val="single" w:color="auto" w:sz="4" w:space="0"/>
              <w:left w:val="single" w:color="auto" w:sz="4" w:space="0"/>
              <w:bottom w:val="single" w:color="auto" w:sz="4" w:space="0"/>
              <w:right w:val="single" w:color="auto" w:sz="4" w:space="0"/>
            </w:tcBorders>
            <w:tcW w:w="1132"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防病毒</w:t>
            </w:r>
            <w:r/>
          </w:p>
        </w:tc>
        <w:tc>
          <w:tcPr>
            <w:tcBorders>
              <w:top w:val="single" w:color="auto" w:sz="4" w:space="0"/>
              <w:left w:val="single" w:color="auto" w:sz="4" w:space="0"/>
              <w:bottom w:val="single" w:color="auto" w:sz="4" w:space="0"/>
              <w:right w:val="single" w:color="auto" w:sz="4" w:space="0"/>
            </w:tcBorders>
            <w:tcW w:w="3868" w:type="pct"/>
            <w:textDirection w:val="lrTb"/>
            <w:noWrap w:val="false"/>
          </w:tcPr>
          <w:p>
            <w:pPr>
              <w:spacing w:line="400" w:lineRule="exact"/>
              <w:rPr>
                <w:rFonts w:hint="eastAsia" w:ascii="宋体" w:hAnsi="宋体" w:eastAsia="宋体" w:cs="宋体"/>
                <w:color w:val="auto"/>
                <w:highlight w:val="none"/>
                <w14:ligatures w14:val="standardContextual"/>
              </w:rPr>
            </w:pPr>
            <w:r>
              <w:rPr>
                <w:rFonts w:hint="eastAsia" w:ascii="宋体" w:hAnsi="宋体" w:eastAsia="宋体" w:cs="宋体"/>
                <w:color w:val="auto"/>
                <w:highlight w:val="none"/>
              </w:rPr>
              <w:t xml:space="preserve">产品支持对SMTP、HTTP、FTP、SMB、POP3、HTTPS、IMAP等协议进行病毒防御。</w:t>
            </w:r>
            <w:r/>
          </w:p>
        </w:tc>
      </w:tr>
      <w:tr>
        <w:trPr>
          <w:jc w:val="center"/>
        </w:trPr>
        <w:tc>
          <w:tcPr>
            <w:tcBorders>
              <w:top w:val="single" w:color="auto" w:sz="4" w:space="0"/>
              <w:left w:val="single" w:color="auto" w:sz="4" w:space="0"/>
              <w:right w:val="single" w:color="auto" w:sz="4" w:space="0"/>
            </w:tcBorders>
            <w:tcW w:w="1132" w:type="pct"/>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入侵防御</w:t>
            </w:r>
            <w:r/>
          </w:p>
        </w:tc>
        <w:tc>
          <w:tcPr>
            <w:tcBorders>
              <w:top w:val="single" w:color="auto" w:sz="4" w:space="0"/>
              <w:left w:val="single" w:color="auto" w:sz="4" w:space="0"/>
              <w:bottom w:val="single" w:color="auto" w:sz="4" w:space="0"/>
              <w:right w:val="single" w:color="auto" w:sz="4" w:space="0"/>
            </w:tcBorders>
            <w:tcW w:w="386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▲产品内置不低于16000种漏洞规则，同时支持在控制台界面通过漏洞ID、漏洞名称、危险等级、漏洞CVE标识、漏洞描述等条件查询漏洞特征信息，支持用户自定义IPS规则。</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r/>
          </w:p>
        </w:tc>
      </w:tr>
      <w:tr>
        <w:trPr>
          <w:jc w:val="center"/>
        </w:trPr>
        <w:tc>
          <w:tcPr>
            <w:tcBorders>
              <w:left w:val="single" w:color="auto" w:sz="4" w:space="0"/>
              <w:bottom w:val="single" w:color="auto" w:sz="4" w:space="0"/>
              <w:right w:val="single" w:color="auto" w:sz="4" w:space="0"/>
            </w:tcBorders>
            <w:tcW w:w="1132" w:type="pct"/>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86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▲产品支持僵尸主机检测功能，产品内置僵尸网络特征库超过160万种，可识别主机的异常外联行为。</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r/>
          </w:p>
        </w:tc>
      </w:tr>
      <w:tr>
        <w:trPr>
          <w:jc w:val="center"/>
        </w:trPr>
        <w:tc>
          <w:tcPr>
            <w:tcBorders>
              <w:top w:val="single" w:color="auto" w:sz="4" w:space="0"/>
              <w:left w:val="single" w:color="auto" w:sz="4" w:space="0"/>
              <w:bottom w:val="single" w:color="auto" w:sz="4" w:space="0"/>
              <w:right w:val="single" w:color="auto" w:sz="4" w:space="0"/>
            </w:tcBorders>
            <w:tcW w:w="1132"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账号安全</w:t>
            </w:r>
            <w:r/>
          </w:p>
        </w:tc>
        <w:tc>
          <w:tcPr>
            <w:tcBorders>
              <w:top w:val="single" w:color="auto" w:sz="4" w:space="0"/>
              <w:left w:val="single" w:color="auto" w:sz="4" w:space="0"/>
              <w:bottom w:val="single" w:color="auto" w:sz="4" w:space="0"/>
              <w:right w:val="single" w:color="auto" w:sz="4" w:space="0"/>
            </w:tcBorders>
            <w:tcW w:w="3868" w:type="pct"/>
            <w:vAlign w:val="center"/>
            <w:textDirection w:val="lrTb"/>
            <w:noWrap w:val="false"/>
          </w:tcPr>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支持用户账号全生命周期保护功能，包括用户账号多余入口检测、用户账号弱口令检测、用户账号暴力破解检测、失陷账号检测，防止因账号被暴力破解导致的非法提权情况发生。</w:t>
            </w:r>
            <w:r/>
          </w:p>
        </w:tc>
      </w:tr>
      <w:tr>
        <w:trPr>
          <w:jc w:val="center"/>
          <w:trHeight w:val="533"/>
        </w:trPr>
        <w:tc>
          <w:tcPr>
            <w:tcBorders>
              <w:top w:val="single" w:color="auto" w:sz="4" w:space="0"/>
              <w:left w:val="single" w:color="auto" w:sz="4" w:space="0"/>
              <w:bottom w:val="single" w:color="auto" w:sz="4" w:space="0"/>
              <w:right w:val="single" w:color="auto" w:sz="4" w:space="0"/>
            </w:tcBorders>
            <w:tcW w:w="1132"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售后服务</w:t>
            </w:r>
            <w:r/>
          </w:p>
        </w:tc>
        <w:tc>
          <w:tcPr>
            <w:tcBorders>
              <w:top w:val="single" w:color="auto" w:sz="4" w:space="0"/>
              <w:left w:val="single" w:color="auto" w:sz="4" w:space="0"/>
              <w:bottom w:val="single" w:color="auto" w:sz="4" w:space="0"/>
              <w:right w:val="single" w:color="auto" w:sz="4" w:space="0"/>
            </w:tcBorders>
            <w:tcW w:w="3868" w:type="pct"/>
            <w:vAlign w:val="center"/>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提供不少于3年原厂质保</w:t>
            </w:r>
            <w:r/>
          </w:p>
        </w:tc>
      </w:tr>
    </w:tbl>
    <w:p>
      <w:pPr>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备份一体机-星塘医院</w:t>
      </w:r>
      <w:r/>
    </w:p>
    <w:tbl>
      <w:tblPr>
        <w:tblStyle w:val="934"/>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96"/>
        <w:gridCol w:w="6185"/>
      </w:tblGrid>
      <w:tr>
        <w:trPr>
          <w:jc w:val="center"/>
          <w:trHeight w:val="481"/>
        </w:trPr>
        <w:tc>
          <w:tcPr>
            <w:tcW w:w="1143" w:type="pct"/>
            <w:vAlign w:val="center"/>
            <w:textDirection w:val="lrTb"/>
            <w:noWrap w:val="false"/>
          </w:tcPr>
          <w:p>
            <w:pPr>
              <w:jc w:val="center"/>
              <w:widowControl w:val="off"/>
              <w:rPr>
                <w:rFonts w:hint="eastAsia" w:ascii="宋体" w:hAnsi="宋体" w:eastAsia="宋体" w:cs="宋体"/>
                <w:b/>
                <w:bCs/>
                <w:color w:val="auto"/>
                <w:highlight w:val="none"/>
              </w:rPr>
            </w:pPr>
            <w:r>
              <w:rPr>
                <w:rFonts w:hint="eastAsia" w:ascii="宋体" w:hAnsi="宋体" w:eastAsia="宋体" w:cs="宋体"/>
                <w:b/>
                <w:color w:val="auto"/>
                <w:highlight w:val="none"/>
              </w:rPr>
              <w:t xml:space="preserve">指标项</w:t>
            </w:r>
            <w:r/>
          </w:p>
        </w:tc>
        <w:tc>
          <w:tcPr>
            <w:tcW w:w="3856" w:type="pct"/>
            <w:vAlign w:val="center"/>
            <w:textDirection w:val="lrTb"/>
            <w:noWrap w:val="false"/>
          </w:tcPr>
          <w:p>
            <w:pPr>
              <w:jc w:val="center"/>
              <w:widowControl w:val="off"/>
              <w:rPr>
                <w:rFonts w:hint="eastAsia" w:ascii="宋体" w:hAnsi="宋体" w:eastAsia="宋体" w:cs="宋体"/>
                <w:b/>
                <w:bCs/>
                <w:color w:val="auto"/>
                <w:highlight w:val="none"/>
              </w:rPr>
            </w:pPr>
            <w:r>
              <w:rPr>
                <w:rFonts w:hint="eastAsia" w:ascii="宋体" w:hAnsi="宋体" w:eastAsia="宋体" w:cs="宋体"/>
                <w:b/>
                <w:color w:val="auto"/>
                <w:highlight w:val="none"/>
              </w:rPr>
              <w:t xml:space="preserve">指标要求</w:t>
            </w:r>
            <w:r/>
          </w:p>
        </w:tc>
      </w:tr>
      <w:tr>
        <w:trPr>
          <w:jc w:val="center"/>
          <w:trHeight w:val="1986"/>
        </w:trPr>
        <w:tc>
          <w:tcPr>
            <w:tcW w:w="1143" w:type="pct"/>
            <w:vAlign w:val="center"/>
            <w:textDirection w:val="lrTb"/>
            <w:noWrap/>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软/硬件要求</w:t>
            </w:r>
            <w:r/>
          </w:p>
        </w:tc>
        <w:tc>
          <w:tcPr>
            <w:tcW w:w="3856"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硬件参数：≥19英寸工业标准2U机架式，不低于2颗国产海光CPU，单颗CPU物理算力不低于40GHz（核数*主频）；单台配置内存不低于128GB ；系统磁盘不低于2块 480G SSD；数据盘配置不低于48TB，3.5英寸，SATA/SAS接口；标配盘位数不低于12个，电源：白金，冗余电源，接口：4千兆电口+2万兆光口。</w:t>
            </w:r>
            <w:r/>
          </w:p>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软件参数：1套*企业级数据备份与恢复系统软件（36T），不少于3年备份软件升级服务；不少于3年保修服务；满足</w:t>
            </w:r>
            <w:bookmarkStart w:id="124" w:name="OLE_LINK9"/>
            <w:r>
              <w:rPr>
                <w:rFonts w:hint="eastAsia" w:ascii="宋体" w:hAnsi="宋体" w:eastAsia="宋体" w:cs="宋体"/>
                <w:color w:val="auto"/>
                <w:highlight w:val="none"/>
              </w:rPr>
              <w:t xml:space="preserve">信创</w:t>
            </w:r>
            <w:bookmarkEnd w:id="124"/>
            <w:r>
              <w:rPr>
                <w:rFonts w:hint="eastAsia" w:ascii="宋体" w:hAnsi="宋体" w:eastAsia="宋体" w:cs="宋体"/>
                <w:color w:val="auto"/>
                <w:highlight w:val="none"/>
              </w:rPr>
              <w:t xml:space="preserve">要求。</w:t>
            </w:r>
            <w:r/>
          </w:p>
        </w:tc>
      </w:tr>
      <w:tr>
        <w:trPr>
          <w:jc w:val="center"/>
          <w:trHeight w:val="1936"/>
        </w:trPr>
        <w:tc>
          <w:tcPr>
            <w:tcW w:w="1143" w:type="pct"/>
            <w:vAlign w:val="center"/>
            <w:textDirection w:val="lrTb"/>
            <w:noWrap/>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无代理备份</w:t>
            </w:r>
            <w:r/>
          </w:p>
        </w:tc>
        <w:tc>
          <w:tcPr>
            <w:tcW w:w="3856"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▲需支持主流市场国内外主流虚拟化平台的免代理备份，支持VMware vSphere、RedHat oVirt、Huawei FusionCompute 、H3C CAS、ZStack、Sangfor HCI、SmartX、Winhong Cnware等国产主流虚拟化平台的备份恢复，备份和恢复过程中无需在 VM 中安装任何代理，需支持单机和集群部署环境</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r/>
          </w:p>
        </w:tc>
      </w:tr>
      <w:tr>
        <w:trPr>
          <w:jc w:val="center"/>
          <w:trHeight w:val="1018"/>
        </w:trPr>
        <w:tc>
          <w:tcPr>
            <w:tcW w:w="1143" w:type="pct"/>
            <w:vAlign w:val="center"/>
            <w:textDirection w:val="lrTb"/>
            <w:noWrap/>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数据库备份能力</w:t>
            </w:r>
            <w:r/>
          </w:p>
        </w:tc>
        <w:tc>
          <w:tcPr>
            <w:tcW w:w="3856"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需支持主流的数据库备份恢复，包括但不限于达梦DM、人大金仓 Kingbase、GaussDB、Oracle、SQL Server、MySQL、PostgreSQL等主流数据库或应用的在线备份。</w:t>
            </w:r>
            <w:r/>
          </w:p>
        </w:tc>
      </w:tr>
      <w:tr>
        <w:trPr>
          <w:jc w:val="center"/>
          <w:trHeight w:val="576"/>
        </w:trPr>
        <w:tc>
          <w:tcPr>
            <w:tcW w:w="1143" w:type="pct"/>
            <w:vAlign w:val="center"/>
            <w:textDirection w:val="lrTb"/>
            <w:noWrap/>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备份数据校验</w:t>
            </w:r>
            <w:r/>
          </w:p>
        </w:tc>
        <w:tc>
          <w:tcPr>
            <w:tcW w:w="3856"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需支持统一平台智能批量数据验证功能无需跳转操作平台，需能多主机并发验证/演练，零编排全自动（无需工作流及人工干预），包含定期批量验证最新备份时间点、自动完成网络连通性、主机心跳、系统开机截图、数据校验及病毒扫描等验证功能，确保灾备数据可用且合规。</w:t>
            </w:r>
            <w:r>
              <w:rPr>
                <w:rFonts w:hint="eastAsia" w:ascii="宋体" w:hAnsi="宋体" w:eastAsia="宋体" w:cs="宋体"/>
                <w:b/>
                <w:bCs/>
                <w:color w:val="auto"/>
                <w:highlight w:val="none"/>
              </w:rPr>
              <w:t xml:space="preserve">(要求提供具有</w:t>
            </w:r>
            <w:r>
              <w:rPr>
                <w:rFonts w:hint="eastAsia" w:ascii="宋体" w:hAnsi="宋体" w:eastAsia="宋体" w:cs="宋体"/>
                <w:b/>
                <w:bCs/>
                <w:color w:val="auto"/>
                <w:highlight w:val="none"/>
                <w:lang w:eastAsia="zh-CN"/>
              </w:rPr>
              <w:t xml:space="preserve">CMA认证的</w:t>
            </w:r>
            <w:r>
              <w:rPr>
                <w:rFonts w:hint="eastAsia" w:ascii="宋体" w:hAnsi="宋体" w:eastAsia="宋体" w:cs="宋体"/>
                <w:b/>
                <w:bCs/>
                <w:color w:val="auto"/>
                <w:highlight w:val="none"/>
              </w:rPr>
              <w:t xml:space="preserve">第三方检测机构出具的合格检测报告或带功能描述的官网截图或产品彩页扫描件。</w:t>
            </w:r>
            <w:r/>
          </w:p>
        </w:tc>
      </w:tr>
      <w:tr>
        <w:trPr>
          <w:jc w:val="center"/>
          <w:trHeight w:val="576"/>
        </w:trPr>
        <w:tc>
          <w:tcPr>
            <w:tcW w:w="1143" w:type="pct"/>
            <w:vAlign w:val="center"/>
            <w:textDirection w:val="lrTb"/>
            <w:noWrap/>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备份数据防勒索</w:t>
            </w:r>
            <w:r/>
          </w:p>
        </w:tc>
        <w:tc>
          <w:tcPr>
            <w:tcW w:w="3856" w:type="pct"/>
            <w:vAlign w:val="center"/>
            <w:textDirection w:val="lrTb"/>
            <w:noWrap w:val="false"/>
          </w:tcPr>
          <w:p>
            <w:pPr>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备份系统须支持存储级数据防护机制，备份时须能为备份点配置备份保护期，实现全维度防篡改保护，禁止任何人（含 root 及系统管理员）、任何程序（含备份程序）对备份数据执行篡改或删除操作，确保数据不可篡改性与合规性。</w:t>
            </w:r>
            <w:r/>
          </w:p>
        </w:tc>
      </w:tr>
    </w:tbl>
    <w:p>
      <w:pPr>
        <w:ind w:firstLine="482"/>
        <w:spacing w:line="360" w:lineRule="auto"/>
        <w:rPr>
          <w:rFonts w:hint="eastAsia" w:ascii="宋体" w:hAnsi="宋体" w:eastAsia="宋体" w:cs="宋体"/>
          <w:b/>
          <w:bCs/>
          <w:color w:val="auto"/>
          <w:highlight w:val="none"/>
        </w:rPr>
      </w:pPr>
      <w:r/>
      <w:bookmarkStart w:id="125" w:name="_Toc150866587"/>
      <w:r>
        <w:rPr>
          <w:rFonts w:hint="eastAsia" w:ascii="宋体" w:hAnsi="宋体" w:eastAsia="宋体" w:cs="宋体"/>
          <w:b/>
          <w:bCs/>
          <w:color w:val="auto"/>
          <w:highlight w:val="none"/>
        </w:rPr>
        <w:t xml:space="preserve">六、售后服务</w:t>
      </w:r>
      <w:bookmarkEnd w:id="125"/>
      <w:r/>
      <w:r/>
    </w:p>
    <w:p>
      <w:pPr>
        <w:ind w:firstLine="480"/>
        <w:jc w:val="both"/>
        <w:spacing w:line="360" w:lineRule="auto"/>
        <w:widowControl w:val="off"/>
        <w:rPr>
          <w:rFonts w:hint="eastAsia" w:ascii="宋体" w:hAnsi="宋体" w:eastAsia="宋体" w:cs="宋体"/>
          <w:color w:val="auto"/>
          <w:highlight w:val="none"/>
        </w:rPr>
      </w:pPr>
      <w:r/>
      <w:bookmarkStart w:id="126" w:name="_Toc150866588"/>
      <w:r>
        <w:rPr>
          <w:rFonts w:hint="eastAsia" w:ascii="宋体" w:hAnsi="宋体" w:eastAsia="宋体" w:cs="宋体"/>
          <w:color w:val="auto"/>
          <w:highlight w:val="none"/>
        </w:rPr>
        <w:t xml:space="preserve">6.1服务内容</w:t>
      </w:r>
      <w:bookmarkEnd w:id="126"/>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全部设备提供不低于3年原厂免费质保服务，质保期内，所涉及产品质量原因导致的产品维修、更换零部件、人工上门服务和产品（耗材、易损件除外）的全部费用以由成交人承担。如果发生故障，响应单位必须承诺应以优良的服务态度，便利、快捷的方式提供7×24小时响应服务，在30分钟内响应，3小时到达现场，48小时内解决</w:t>
      </w:r>
      <w:r>
        <w:rPr>
          <w:rFonts w:hint="eastAsia" w:ascii="宋体" w:hAnsi="宋体" w:eastAsia="宋体" w:cs="宋体"/>
          <w:color w:val="auto"/>
          <w:highlight w:val="none"/>
          <w:lang w:bidi="ar"/>
        </w:rPr>
        <w:t xml:space="preserve">使用</w:t>
      </w:r>
      <w:r>
        <w:rPr>
          <w:rFonts w:hint="eastAsia" w:ascii="宋体" w:hAnsi="宋体" w:eastAsia="宋体" w:cs="宋体"/>
          <w:color w:val="auto"/>
          <w:highlight w:val="none"/>
        </w:rPr>
        <w:t xml:space="preserve">单位提出的维修要求。</w:t>
      </w:r>
      <w:r/>
    </w:p>
    <w:p>
      <w:pPr>
        <w:ind w:firstLine="480"/>
        <w:jc w:val="both"/>
        <w:spacing w:line="360" w:lineRule="auto"/>
        <w:widowControl w:val="off"/>
        <w:rPr>
          <w:rFonts w:hint="eastAsia" w:ascii="宋体" w:hAnsi="宋体" w:eastAsia="宋体" w:cs="宋体"/>
          <w:color w:val="auto"/>
          <w:highlight w:val="none"/>
        </w:rPr>
      </w:pPr>
      <w:r/>
      <w:bookmarkStart w:id="127" w:name="_Toc150866589"/>
      <w:r>
        <w:rPr>
          <w:rFonts w:hint="eastAsia" w:ascii="宋体" w:hAnsi="宋体" w:eastAsia="宋体" w:cs="宋体"/>
          <w:color w:val="auto"/>
          <w:highlight w:val="none"/>
        </w:rPr>
        <w:t xml:space="preserve">6.2服务要求</w:t>
      </w:r>
      <w:bookmarkEnd w:id="127"/>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实施过程中不造成</w:t>
      </w:r>
      <w:r>
        <w:rPr>
          <w:rFonts w:hint="eastAsia" w:ascii="宋体" w:hAnsi="宋体" w:eastAsia="宋体" w:cs="宋体"/>
          <w:color w:val="auto"/>
          <w:highlight w:val="none"/>
          <w:lang w:bidi="ar"/>
        </w:rPr>
        <w:t xml:space="preserve">任何</w:t>
      </w:r>
      <w:r>
        <w:rPr>
          <w:rFonts w:hint="eastAsia" w:ascii="宋体" w:hAnsi="宋体" w:eastAsia="宋体" w:cs="宋体"/>
          <w:color w:val="auto"/>
          <w:highlight w:val="none"/>
        </w:rPr>
        <w:t xml:space="preserve">网络等业务故障。</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在规定的质量保证期内，供应商应对由于设计制作、工艺或材料的缺陷而发生的任何不足或故障负责。质保期内免费负责修理或更换有缺陷的零部件或整体货品并相应延长此保修期，否则，采购人可采取必要的补救措施，但风险和费用将由供应商承担。</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项目团队要求：需提供本</w:t>
      </w:r>
      <w:r>
        <w:rPr>
          <w:rFonts w:hint="eastAsia" w:ascii="宋体" w:hAnsi="宋体" w:eastAsia="宋体" w:cs="宋体"/>
          <w:color w:val="auto"/>
          <w:highlight w:val="none"/>
          <w:lang w:bidi="ar"/>
        </w:rPr>
        <w:t xml:space="preserve">项目</w:t>
      </w:r>
      <w:r>
        <w:rPr>
          <w:rFonts w:hint="eastAsia" w:ascii="宋体" w:hAnsi="宋体" w:eastAsia="宋体" w:cs="宋体"/>
          <w:color w:val="auto"/>
          <w:highlight w:val="none"/>
        </w:rPr>
        <w:t xml:space="preserve">的详细工作进度安排和项目组人员配备方案。为保证本项目建设过程中，沟通和协调的便利，采购单位须指定一名项目负责人。项目建设过程中一旦出现问题，项目负责人应该能及时赶到现场。</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现场人员接受采购单位统一管理，必须遵守数据中心安全操作规范。</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在交付部署完成后，响应单位需对</w:t>
      </w:r>
      <w:r>
        <w:rPr>
          <w:rFonts w:hint="eastAsia" w:ascii="宋体" w:hAnsi="宋体" w:eastAsia="宋体" w:cs="宋体"/>
          <w:color w:val="auto"/>
          <w:highlight w:val="none"/>
          <w:lang w:bidi="ar"/>
        </w:rPr>
        <w:t xml:space="preserve">采购</w:t>
      </w:r>
      <w:r>
        <w:rPr>
          <w:rFonts w:hint="eastAsia" w:ascii="宋体" w:hAnsi="宋体" w:eastAsia="宋体" w:cs="宋体"/>
          <w:color w:val="auto"/>
          <w:highlight w:val="none"/>
        </w:rPr>
        <w:t xml:space="preserve">单位进行相关技术培训。培训要求：</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（1）供应商提供完整的用户培训方案。</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（2）培训内容包括系统原理、运营管理和故障检测等综合内容，以实际操作培训为主，确保培训人员对设备系统有全面的认识；能熟练地使用这些知识和技巧安全规范地操作、维护网络系统。</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（3）除上述培训外，供应商还需负责在现场组织对系统的安装、调试和运行进行技术示范和业务指导。</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七、项目实施要求</w:t>
      </w:r>
      <w:r/>
    </w:p>
    <w:p>
      <w:pPr>
        <w:ind w:firstLine="480"/>
        <w:jc w:val="both"/>
        <w:spacing w:line="360" w:lineRule="auto"/>
        <w:widowControl w:val="off"/>
        <w:rPr>
          <w:rFonts w:hint="eastAsia" w:ascii="宋体" w:hAnsi="宋体" w:eastAsia="宋体" w:cs="宋体"/>
          <w:color w:val="auto"/>
          <w:highlight w:val="none"/>
          <w:lang w:bidi="ar"/>
        </w:rPr>
      </w:pPr>
      <w:r/>
      <w:bookmarkStart w:id="128" w:name="_Toc150866591"/>
      <w:r>
        <w:rPr>
          <w:rFonts w:hint="eastAsia" w:ascii="宋体" w:hAnsi="宋体" w:eastAsia="宋体" w:cs="宋体"/>
          <w:color w:val="auto"/>
          <w:highlight w:val="none"/>
          <w:lang w:bidi="ar"/>
        </w:rPr>
        <w:t xml:space="preserve">7.1项目进度要求</w:t>
      </w:r>
      <w:bookmarkEnd w:id="128"/>
      <w:r/>
      <w:r/>
    </w:p>
    <w:p>
      <w:pPr>
        <w:ind w:firstLine="480"/>
        <w:jc w:val="both"/>
        <w:spacing w:line="360" w:lineRule="auto"/>
        <w:widowControl w:val="off"/>
        <w:rPr>
          <w:rFonts w:hint="eastAsia" w:ascii="宋体" w:hAnsi="宋体" w:eastAsia="宋体" w:cs="宋体"/>
          <w:color w:val="auto"/>
          <w:highlight w:val="none"/>
          <w:lang w:eastAsia="zh-CN" w:bidi="ar"/>
        </w:rPr>
      </w:pPr>
      <w:r>
        <w:rPr>
          <w:rFonts w:hint="eastAsia" w:ascii="宋体" w:hAnsi="宋体" w:eastAsia="宋体" w:cs="宋体"/>
          <w:color w:val="auto"/>
          <w:highlight w:val="none"/>
          <w:lang w:bidi="ar"/>
        </w:rPr>
        <w:t xml:space="preserve">本项目建设</w:t>
      </w:r>
      <w:r>
        <w:rPr>
          <w:rFonts w:hint="eastAsia" w:ascii="宋体" w:hAnsi="宋体" w:eastAsia="宋体" w:cs="宋体"/>
          <w:color w:val="auto"/>
          <w:highlight w:val="none"/>
          <w:lang w:eastAsia="zh-CN" w:bidi="ar"/>
        </w:rPr>
        <w:t xml:space="preserve">期限为90天，要求签订合同后90天内完成设备到货、安装、调试。响应单位应在建设完成时，资料准备齐全具备验收交付条件。</w:t>
      </w:r>
      <w:r/>
    </w:p>
    <w:p>
      <w:pPr>
        <w:ind w:firstLine="480"/>
        <w:jc w:val="both"/>
        <w:spacing w:line="360" w:lineRule="auto"/>
        <w:widowControl w:val="off"/>
        <w:rPr>
          <w:rFonts w:hint="eastAsia" w:ascii="宋体" w:hAnsi="宋体" w:eastAsia="宋体" w:cs="宋体"/>
          <w:bCs/>
          <w:color w:val="auto"/>
          <w:highlight w:val="none"/>
          <w:lang w:eastAsia="zh-CN"/>
        </w:rPr>
      </w:pPr>
      <w:r>
        <w:rPr>
          <w:rFonts w:hint="eastAsia" w:ascii="宋体" w:hAnsi="宋体" w:eastAsia="宋体" w:cs="宋体"/>
          <w:color w:val="auto"/>
          <w:highlight w:val="none"/>
          <w:lang w:eastAsia="zh-CN" w:bidi="ar"/>
        </w:rPr>
        <w:t xml:space="preserve">7.2</w:t>
      </w:r>
      <w:r>
        <w:rPr>
          <w:rFonts w:hint="eastAsia" w:ascii="宋体" w:hAnsi="宋体" w:eastAsia="宋体" w:cs="宋体"/>
          <w:bCs/>
          <w:color w:val="auto"/>
          <w:highlight w:val="none"/>
          <w:lang w:eastAsia="zh-CN"/>
        </w:rPr>
        <w:t xml:space="preserve">项目风险管理要求</w:t>
      </w:r>
      <w:r/>
    </w:p>
    <w:p>
      <w:pPr>
        <w:ind w:firstLine="480"/>
        <w:jc w:val="both"/>
        <w:spacing w:line="360" w:lineRule="auto"/>
        <w:widowControl w:val="off"/>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在项目进行阶段，对识别出的风险进行定性与定量评估，确定风险发生的概率、影响程度及优先级。针对高优先级风险，制定应对措施。</w:t>
      </w:r>
      <w:r/>
    </w:p>
    <w:p>
      <w:pPr>
        <w:ind w:firstLine="480"/>
        <w:jc w:val="both"/>
        <w:spacing w:line="360" w:lineRule="auto"/>
        <w:widowControl w:val="off"/>
        <w:rPr>
          <w:rFonts w:hint="eastAsia" w:ascii="宋体" w:hAnsi="宋体" w:eastAsia="宋体" w:cs="宋体"/>
          <w:bCs/>
          <w:color w:val="auto"/>
          <w:highlight w:val="none"/>
          <w:lang w:eastAsia="zh-CN"/>
        </w:rPr>
      </w:pPr>
      <w:r/>
      <w:bookmarkStart w:id="129" w:name="_Toc150866592"/>
      <w:r>
        <w:rPr>
          <w:rFonts w:hint="eastAsia" w:ascii="宋体" w:hAnsi="宋体" w:eastAsia="宋体" w:cs="宋体"/>
          <w:bCs/>
          <w:color w:val="auto"/>
          <w:highlight w:val="none"/>
          <w:lang w:eastAsia="zh-CN"/>
        </w:rPr>
        <w:t xml:space="preserve">7.3交货及</w:t>
      </w:r>
      <w:r>
        <w:rPr>
          <w:rFonts w:hint="eastAsia" w:ascii="宋体" w:hAnsi="宋体" w:eastAsia="宋体" w:cs="宋体"/>
          <w:color w:val="auto"/>
          <w:highlight w:val="none"/>
          <w:lang w:eastAsia="zh-CN" w:bidi="ar"/>
        </w:rPr>
        <w:t xml:space="preserve">安装</w:t>
      </w:r>
      <w:r>
        <w:rPr>
          <w:rFonts w:hint="eastAsia" w:ascii="宋体" w:hAnsi="宋体" w:eastAsia="宋体" w:cs="宋体"/>
          <w:bCs/>
          <w:color w:val="auto"/>
          <w:highlight w:val="none"/>
          <w:lang w:eastAsia="zh-CN"/>
        </w:rPr>
        <w:t xml:space="preserve">要求</w:t>
      </w:r>
      <w:bookmarkEnd w:id="129"/>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lang w:eastAsia="zh-CN"/>
        </w:rPr>
        <w:t xml:space="preserve">响应单位保证其提供的设</w:t>
      </w:r>
      <w:r>
        <w:rPr>
          <w:rFonts w:hint="eastAsia" w:ascii="宋体" w:hAnsi="宋体" w:eastAsia="宋体" w:cs="宋体"/>
          <w:color w:val="auto"/>
          <w:highlight w:val="none"/>
        </w:rPr>
        <w:t xml:space="preserve">备中所有预装和为本项目安装的软件为具有合法版权或使用权的正版软件且无</w:t>
      </w:r>
      <w:r>
        <w:rPr>
          <w:rFonts w:hint="eastAsia" w:ascii="宋体" w:hAnsi="宋体" w:eastAsia="宋体" w:cs="宋体"/>
          <w:bCs/>
          <w:color w:val="auto"/>
          <w:highlight w:val="none"/>
          <w:lang w:eastAsia="zh-CN"/>
        </w:rPr>
        <w:t xml:space="preserve">质量</w:t>
      </w:r>
      <w:r>
        <w:rPr>
          <w:rFonts w:hint="eastAsia" w:ascii="宋体" w:hAnsi="宋体" w:eastAsia="宋体" w:cs="宋体"/>
          <w:color w:val="auto"/>
          <w:highlight w:val="none"/>
        </w:rPr>
        <w:t xml:space="preserve">瑕疵，且为该产品的当前最新版本或最适合用户的版本。 </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供应商应遵守现场的一切规章制度，成交人应在安装前，提供详细的安装方案、项目人员配置及质量保证计划。</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成交人负责保管、看护进场的货物及配件直至采购单位确认收货为止。</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八、服务人员要求</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服务项目组织是项目实施的基础，针对本项目实行项目负责制。并约定其权力和义务，以保证</w:t>
      </w:r>
      <w:r>
        <w:rPr>
          <w:rFonts w:hint="eastAsia" w:ascii="宋体" w:hAnsi="宋体" w:eastAsia="宋体" w:cs="宋体"/>
          <w:bCs/>
          <w:color w:val="auto"/>
          <w:highlight w:val="none"/>
          <w:lang w:eastAsia="zh-CN"/>
        </w:rPr>
        <w:t xml:space="preserve">项目</w:t>
      </w:r>
      <w:r>
        <w:rPr>
          <w:rFonts w:hint="eastAsia" w:ascii="宋体" w:hAnsi="宋体" w:eastAsia="宋体" w:cs="宋体"/>
          <w:color w:val="auto"/>
          <w:highlight w:val="none"/>
        </w:rPr>
        <w:t xml:space="preserve">目标的实现。项目经理根据需要向职能部门和专业所协调配备所需的人力资源，形成临时性项目部，在执行项目的进度目标时，受项目经理领导，职能部室负责对员工进行技术培训，同时控制本专业的质量。</w:t>
      </w:r>
      <w:r/>
    </w:p>
    <w:tbl>
      <w:tblPr>
        <w:tblStyle w:val="908"/>
        <w:tblW w:w="50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519"/>
        <w:gridCol w:w="4808"/>
        <w:gridCol w:w="1198"/>
      </w:tblGrid>
      <w:tr>
        <w:trPr>
          <w:trHeight w:val="464"/>
        </w:trPr>
        <w:tc>
          <w:tcPr>
            <w:shd w:val="clear" w:color="auto" w:fill="bfbfbf"/>
            <w:tcW w:w="481"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bfbfbf"/>
            <w:tcW w:w="912"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项目职务</w:t>
            </w:r>
            <w:r/>
          </w:p>
        </w:tc>
        <w:tc>
          <w:tcPr>
            <w:shd w:val="clear" w:color="auto" w:fill="bfbfbf"/>
            <w:tcW w:w="2887" w:type="pct"/>
            <w:vAlign w:val="center"/>
            <w:textDirection w:val="lrTb"/>
            <w:noWrap w:val="false"/>
          </w:tcPr>
          <w:p>
            <w:pPr>
              <w:ind w:firstLine="120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岗位职责</w:t>
            </w:r>
            <w:r/>
          </w:p>
        </w:tc>
        <w:tc>
          <w:tcPr>
            <w:shd w:val="clear" w:color="auto" w:fill="bfbfbf"/>
            <w:tcW w:w="719"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人员数量</w:t>
            </w:r>
            <w:r/>
          </w:p>
        </w:tc>
      </w:tr>
      <w:tr>
        <w:trPr>
          <w:trHeight w:val="628"/>
        </w:trPr>
        <w:tc>
          <w:tcPr>
            <w:tcW w:w="481"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912"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项目经理</w:t>
            </w:r>
            <w:r/>
          </w:p>
        </w:tc>
        <w:tc>
          <w:tcPr>
            <w:tcW w:w="2887" w:type="pct"/>
            <w:vAlign w:val="center"/>
            <w:textDirection w:val="lrTb"/>
            <w:noWrap w:val="false"/>
          </w:tcPr>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贯彻国家、采购方及公司各项法规、规定及各项规章制度，与公司签订项目管理目标责任状，本项目的第一责任人；</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适时沟通，确立项目目标，建立组织机构，编制计划，负责项目全面管理；</w:t>
            </w:r>
            <w:r/>
          </w:p>
        </w:tc>
        <w:tc>
          <w:tcPr>
            <w:tcW w:w="719" w:type="pct"/>
            <w:vAlign w:val="center"/>
            <w:textDirection w:val="lrTb"/>
            <w:noWrap w:val="false"/>
          </w:tcPr>
          <w:p>
            <w:pPr>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1人</w:t>
            </w:r>
            <w:r/>
          </w:p>
        </w:tc>
      </w:tr>
      <w:tr>
        <w:trPr>
          <w:trHeight w:val="957"/>
        </w:trPr>
        <w:tc>
          <w:tcPr>
            <w:tcW w:w="481"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912"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技术负责人</w:t>
            </w:r>
            <w:r/>
          </w:p>
        </w:tc>
        <w:tc>
          <w:tcPr>
            <w:tcW w:w="2887" w:type="pct"/>
            <w:vAlign w:val="center"/>
            <w:vMerge w:val="restart"/>
            <w:textDirection w:val="lrTb"/>
            <w:noWrap w:val="false"/>
          </w:tcPr>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负责硬件调试；负责方案实施； 负责业务迁移及测试；负责现场技术的保障工作；负责系统调试，系统性能、功能测试；负责技术文档记录、编写、提交。</w:t>
            </w:r>
            <w:r/>
          </w:p>
        </w:tc>
        <w:tc>
          <w:tcPr>
            <w:tcW w:w="719"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1人</w:t>
            </w:r>
            <w:r/>
          </w:p>
        </w:tc>
      </w:tr>
      <w:tr>
        <w:trPr>
          <w:trHeight w:val="957"/>
        </w:trPr>
        <w:tc>
          <w:tcPr>
            <w:tcW w:w="481"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912"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实施组</w:t>
            </w:r>
            <w:r/>
          </w:p>
        </w:tc>
        <w:tc>
          <w:tcPr>
            <w:tcW w:w="2887" w:type="pct"/>
            <w:vAlign w:val="center"/>
            <w:vMerge w:val="continue"/>
            <w:textDirection w:val="lrTb"/>
            <w:noWrap w:val="false"/>
          </w:tcPr>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19" w:type="pct"/>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1人</w:t>
            </w:r>
            <w:r/>
          </w:p>
        </w:tc>
      </w:tr>
    </w:tbl>
    <w:p>
      <w:pPr>
        <w:ind w:firstLine="482"/>
        <w:jc w:val="both"/>
        <w:spacing w:line="360" w:lineRule="auto"/>
        <w:widowControl w:val="off"/>
        <w:rPr>
          <w:rFonts w:hint="eastAsia" w:hAnsi="宋体" w:eastAsia="宋体" w:cs="宋体"/>
          <w:color w:val="auto"/>
          <w:highlight w:val="none"/>
        </w:rPr>
      </w:pPr>
      <w:r/>
      <w:bookmarkStart w:id="130" w:name="_Toc150866595"/>
      <w:r/>
      <w:bookmarkStart w:id="131" w:name="_Toc114047164"/>
      <w:r>
        <w:rPr>
          <w:rFonts w:hint="eastAsia" w:hAnsi="宋体" w:eastAsia="宋体" w:cs="宋体"/>
          <w:b/>
          <w:bCs/>
          <w:color w:val="auto"/>
          <w:highlight w:val="none"/>
          <w:u w:val="single"/>
        </w:rPr>
        <w:t xml:space="preserve">注：谈判响应文件中提供“</w:t>
      </w:r>
      <w:r>
        <w:rPr>
          <w:rFonts w:hint="eastAsia" w:hAnsi="宋体" w:eastAsia="宋体" w:cs="宋体"/>
          <w:b/>
          <w:bCs/>
          <w:color w:val="auto"/>
          <w:highlight w:val="none"/>
        </w:rPr>
        <w:t xml:space="preserve">项目组人员一览表</w:t>
      </w:r>
      <w:r>
        <w:rPr>
          <w:rFonts w:hint="eastAsia" w:hAnsi="宋体" w:eastAsia="宋体" w:cs="宋体"/>
          <w:b/>
          <w:bCs/>
          <w:color w:val="auto"/>
          <w:highlight w:val="none"/>
          <w:u w:val="single"/>
        </w:rPr>
        <w:t xml:space="preserve">”及供应商为其缴纳的近期社保证明复印件，服务人员未满足以上数量要求的视为未实质性响应谈判文件，也不得标</w:t>
      </w:r>
      <w:r>
        <w:rPr>
          <w:rFonts w:hint="eastAsia" w:hAnsi="宋体" w:eastAsia="宋体" w:cs="宋体"/>
          <w:color w:val="auto"/>
          <w:highlight w:val="none"/>
        </w:rPr>
        <w:t xml:space="preserve">。</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九、质量保证</w:t>
      </w:r>
      <w:bookmarkEnd w:id="130"/>
      <w:r/>
      <w:bookmarkEnd w:id="131"/>
      <w:r>
        <w:rPr>
          <w:rFonts w:hint="eastAsia" w:ascii="宋体" w:hAnsi="宋体" w:eastAsia="宋体" w:cs="宋体"/>
          <w:color w:val="auto"/>
          <w:highlight w:val="none"/>
        </w:rPr>
        <w:t xml:space="preserve">及应急</w:t>
      </w:r>
      <w:r>
        <w:rPr>
          <w:rFonts w:hint="eastAsia" w:ascii="宋体" w:hAnsi="宋体" w:eastAsia="宋体" w:cs="宋体"/>
          <w:bCs/>
          <w:color w:val="auto"/>
          <w:highlight w:val="none"/>
          <w:lang w:eastAsia="zh-CN"/>
        </w:rPr>
        <w:t xml:space="preserve">响应要求</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9.1质量保证</w:t>
      </w:r>
      <w:r/>
    </w:p>
    <w:p>
      <w:pPr>
        <w:ind w:firstLine="480"/>
        <w:jc w:val="both"/>
        <w:spacing w:line="360" w:lineRule="auto"/>
        <w:widowControl w:val="off"/>
        <w:rPr>
          <w:rFonts w:hint="eastAsia" w:ascii="宋体" w:hAnsi="宋体" w:eastAsia="宋体" w:cs="宋体"/>
          <w:color w:val="auto"/>
          <w:highlight w:val="none"/>
        </w:rPr>
      </w:pPr>
      <w:r/>
      <w:bookmarkStart w:id="132" w:name="OLE_LINK3"/>
      <w:r>
        <w:rPr>
          <w:rFonts w:hint="eastAsia" w:ascii="宋体" w:hAnsi="宋体" w:eastAsia="宋体" w:cs="宋体"/>
          <w:color w:val="auto"/>
          <w:highlight w:val="none"/>
        </w:rPr>
        <w:t xml:space="preserve">响应单位</w:t>
      </w:r>
      <w:bookmarkEnd w:id="132"/>
      <w:r>
        <w:rPr>
          <w:rFonts w:hint="eastAsia" w:ascii="宋体" w:hAnsi="宋体" w:eastAsia="宋体" w:cs="宋体"/>
          <w:color w:val="auto"/>
          <w:highlight w:val="none"/>
        </w:rPr>
        <w:t xml:space="preserve">需建立健全质量管理体系，保证项目质量，并提供完善的项目质量管理方案。</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（1）产品质量及安装符合国家质量标准和验收规范，并响应谈判文件所规定技术性能要求，以及成交人承诺的其他指标。</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b/>
          <w:bCs/>
          <w:color w:val="auto"/>
          <w:highlight w:val="none"/>
        </w:rPr>
        <w:t xml:space="preserve">本项目谈判采购内容及采购清单中所采购货物及对应生产厂家，根据法律法规、行业规范及政策规定，需要获得相关行业或领域的各类认证、许可、备案等任何形式的法定批准、准入、许可、认证或资质证明等证书文件的，供应商所投全部货物及对应生产厂家，在本项目投标截止时间前均已依法取得且有效。</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（3）所有设备在到达安装现场时须经采购单位技术人员记录验收后才可进行设备安装，验货时须提交该产品的原厂质量合格证明及服务质保证明文件。</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（4）所有设备、附（配）件应具备该类产品的功能要求，无瑕疵和缺陷，质量为合格产品，同时有明确的生产厂商或制造厂商。</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9.2应急响应要求</w:t>
      </w:r>
      <w:r/>
    </w:p>
    <w:p>
      <w:pPr>
        <w:ind w:firstLine="480"/>
        <w:jc w:val="both"/>
        <w:spacing w:line="360" w:lineRule="auto"/>
        <w:widowControl w:val="off"/>
        <w:rPr>
          <w:rFonts w:hint="eastAsia" w:ascii="宋体" w:hAnsi="宋体" w:eastAsia="宋体" w:cs="宋体"/>
          <w:bCs/>
          <w:color w:val="auto"/>
          <w:highlight w:val="none"/>
          <w:lang w:eastAsia="zh-CN"/>
        </w:rPr>
      </w:pPr>
      <w:r>
        <w:rPr>
          <w:rFonts w:hint="eastAsia" w:ascii="宋体" w:hAnsi="宋体" w:eastAsia="宋体" w:cs="宋体"/>
          <w:color w:val="auto"/>
          <w:highlight w:val="none"/>
        </w:rPr>
        <w:t xml:space="preserve">响应单位需建</w:t>
      </w:r>
      <w:r>
        <w:rPr>
          <w:rFonts w:hint="eastAsia" w:ascii="宋体" w:hAnsi="宋体" w:eastAsia="宋体" w:cs="宋体"/>
          <w:bCs/>
          <w:color w:val="auto"/>
          <w:highlight w:val="none"/>
          <w:lang w:eastAsia="zh-CN"/>
        </w:rPr>
        <w:t xml:space="preserve">立实时检测体系，对应急事件响应迅速，及时做出恢复措施，并在事后进行</w:t>
      </w:r>
      <w:r>
        <w:rPr>
          <w:rFonts w:hint="eastAsia" w:ascii="宋体" w:hAnsi="宋体" w:eastAsia="宋体" w:cs="宋体"/>
          <w:color w:val="auto"/>
          <w:highlight w:val="none"/>
          <w:lang w:eastAsia="zh-CN" w:bidi="ar"/>
        </w:rPr>
        <w:t xml:space="preserve">总结</w:t>
      </w:r>
      <w:r>
        <w:rPr>
          <w:rFonts w:hint="eastAsia" w:ascii="宋体" w:hAnsi="宋体" w:eastAsia="宋体" w:cs="宋体"/>
          <w:bCs/>
          <w:color w:val="auto"/>
          <w:highlight w:val="none"/>
          <w:lang w:eastAsia="zh-CN"/>
        </w:rPr>
        <w:t xml:space="preserve">。</w:t>
      </w:r>
      <w:r/>
    </w:p>
    <w:p>
      <w:pPr>
        <w:ind w:firstLine="480"/>
        <w:jc w:val="both"/>
        <w:spacing w:line="360" w:lineRule="auto"/>
        <w:widowControl w:val="off"/>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9.3验收标准</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安装前验收：安装开始前，响应单位工程师和采购单位的代表根据响应单位提供的设备进行确认。一旦清单与招标要求不符或发现缺损、不实，响应单位须立即予以无条件更换，有关费用全部由响应单位承担，并自行承担后果，采购单位有权另行发包。 </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验收标准：按本谈判文件、供应商的谈判响应文件、承诺及国家相关标准为准。按《江苏省政府采购履约验收管理办法》（苏财规〔2024〕7号）的通知的要求，提供验收通知单、验收书，详见合同。</w:t>
      </w:r>
      <w:r/>
    </w:p>
    <w:p>
      <w:pPr>
        <w:ind w:firstLine="482"/>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十、综合说明：</w:t>
      </w:r>
      <w:r/>
    </w:p>
    <w:p>
      <w:pPr>
        <w:ind w:firstLine="480"/>
        <w:jc w:val="both"/>
        <w:spacing w:line="360" w:lineRule="auto"/>
        <w:widowControl w:val="off"/>
        <w:rPr>
          <w:rFonts w:hint="eastAsia" w:ascii="宋体" w:hAnsi="宋体" w:eastAsia="宋体" w:cs="宋体"/>
          <w:strike/>
          <w:color w:val="auto"/>
          <w:highlight w:val="none"/>
        </w:rPr>
      </w:pPr>
      <w:r>
        <w:rPr>
          <w:rFonts w:hint="eastAsia" w:ascii="宋体" w:hAnsi="宋体" w:eastAsia="宋体" w:cs="宋体"/>
          <w:color w:val="auto"/>
          <w:highlight w:val="none"/>
        </w:rPr>
        <w:t xml:space="preserve">1、供应商明确所投设备的品牌、规格、型号；</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2、供应商必须承诺</w:t>
      </w:r>
      <w:r>
        <w:rPr>
          <w:rFonts w:hint="eastAsia" w:ascii="宋体" w:hAnsi="宋体" w:eastAsia="宋体" w:cs="宋体"/>
          <w:color w:val="auto"/>
          <w:highlight w:val="none"/>
          <w:lang w:bidi="ar"/>
        </w:rPr>
        <w:t xml:space="preserve">采购</w:t>
      </w:r>
      <w:r>
        <w:rPr>
          <w:rFonts w:hint="eastAsia" w:ascii="宋体" w:hAnsi="宋体" w:eastAsia="宋体" w:cs="宋体"/>
          <w:color w:val="auto"/>
          <w:highlight w:val="none"/>
        </w:rPr>
        <w:t xml:space="preserve">文件中提出的全部技术规格与要求，如果以其中某些条款不响应时，应在文件中逐条列出，未列出的视同响应。</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3、供应商应对采购文件中全部内容进行报价，只投其中部分内容者，其标书将被拒绝。</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所有报价的产品，各项技术标准应当符合国家（强制性）标准及各项规范要求；国家没有相应标准、规范的，可使用行业标准、规定；非标准产品按招标约定的技术要求和规范。所有报价产品应是全新的、未使用过的、原包装未拆封的商品，完全符合采购规定的质量、规格和性能的要求。</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知识产权：设计成果等项目相关成果知识产权归采购方所有。供应商应保证采购人免除且供应商承担由于采购人使用该项目或项目任何一部分时而引起第三方提出的侵犯知识产权、专利权、商标权或设计权的起诉、行动、行政程序索赔、请求等以及采购人为此而产生的损失和损害、费用和支出，包括律师费用，且如有上述纠纷，采购人有权取消其成交资格。</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6、付款方式：详见合同条款。</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7、本项目在向成交单位发放成交</w:t>
      </w:r>
      <w:r>
        <w:rPr>
          <w:rFonts w:hint="eastAsia" w:ascii="宋体" w:hAnsi="宋体" w:eastAsia="宋体" w:cs="宋体"/>
          <w:color w:val="auto"/>
          <w:highlight w:val="none"/>
          <w:lang w:bidi="ar"/>
        </w:rPr>
        <w:t xml:space="preserve">通知书</w:t>
      </w:r>
      <w:r>
        <w:rPr>
          <w:rFonts w:hint="eastAsia" w:ascii="宋体" w:hAnsi="宋体" w:eastAsia="宋体" w:cs="宋体"/>
          <w:color w:val="auto"/>
          <w:highlight w:val="none"/>
        </w:rPr>
        <w:t xml:space="preserve">时，将向参与项目评审的未成交供应商发放《未成交通知书》，以电子招投标系统通知形式告知该未成交供应商的评审得分与排名，请及时接收查阅，未成交供应商未按约定的时间和方式获取告知信息的，视为自动放弃并自行</w:t>
      </w:r>
      <w:r>
        <w:rPr>
          <w:rFonts w:hint="eastAsia" w:ascii="宋体" w:hAnsi="宋体" w:eastAsia="宋体" w:cs="宋体"/>
          <w:bCs/>
          <w:color w:val="auto"/>
          <w:highlight w:val="none"/>
          <w:lang w:eastAsia="zh-CN"/>
        </w:rPr>
        <w:t xml:space="preserve">承担</w:t>
      </w:r>
      <w:r>
        <w:rPr>
          <w:rFonts w:hint="eastAsia" w:ascii="宋体" w:hAnsi="宋体" w:eastAsia="宋体" w:cs="宋体"/>
          <w:color w:val="auto"/>
          <w:highlight w:val="none"/>
        </w:rPr>
        <w:t xml:space="preserve">相应后果。</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8、本项目不接受进口产品。</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9、凡涉及谈判文件的补充说明和修改，均以采购代理机构在网上发布的内容为准。</w:t>
      </w:r>
      <w:r/>
    </w:p>
    <w:p>
      <w:pPr>
        <w:rPr>
          <w:rFonts w:hint="eastAsia" w:ascii="宋体" w:hAnsi="宋体" w:eastAsia="宋体" w:cs="宋体"/>
          <w:b/>
          <w:bCs/>
          <w:color w:val="auto"/>
          <w:sz w:val="36"/>
          <w:szCs w:val="36"/>
          <w:highlight w:val="none"/>
        </w:rPr>
      </w:pPr>
      <w:r>
        <w:rPr>
          <w:rFonts w:hint="eastAsia" w:ascii="宋体" w:hAnsi="宋体" w:eastAsia="宋体" w:cs="宋体"/>
          <w:color w:val="auto"/>
          <w:sz w:val="36"/>
          <w:szCs w:val="36"/>
          <w:highlight w:val="none"/>
        </w:rPr>
        <w:br w:type="page" w:clear="all"/>
      </w:r>
      <w:r/>
    </w:p>
    <w:p>
      <w:pPr>
        <w:pStyle w:val="898"/>
        <w:jc w:val="center"/>
        <w:spacing w:before="156" w:after="156" w:line="360" w:lineRule="auto"/>
        <w:rPr>
          <w:rFonts w:hint="eastAsia" w:ascii="宋体" w:hAnsi="宋体" w:eastAsia="宋体" w:cs="宋体"/>
          <w:color w:val="auto"/>
          <w:sz w:val="36"/>
          <w:szCs w:val="36"/>
          <w:highlight w:val="none"/>
        </w:rPr>
      </w:pPr>
      <w:r/>
      <w:bookmarkStart w:id="133" w:name="_Toc21978"/>
      <w:r>
        <w:rPr>
          <w:rFonts w:hint="eastAsia" w:ascii="宋体" w:hAnsi="宋体" w:eastAsia="宋体" w:cs="宋体"/>
          <w:color w:val="auto"/>
          <w:sz w:val="36"/>
          <w:szCs w:val="36"/>
          <w:highlight w:val="none"/>
        </w:rPr>
        <w:t xml:space="preserve">第五章 合同条款</w:t>
      </w:r>
      <w:bookmarkEnd w:id="118"/>
      <w:r/>
      <w:bookmarkEnd w:id="133"/>
      <w:r/>
      <w:r/>
    </w:p>
    <w:p>
      <w:pPr>
        <w:jc w:val="center"/>
        <w:spacing w:before="156" w:after="156" w:line="360" w:lineRule="auto"/>
        <w:rPr>
          <w:rFonts w:hint="eastAsia" w:ascii="宋体" w:hAnsi="宋体" w:eastAsia="宋体" w:cs="宋体"/>
          <w:color w:val="auto"/>
          <w:highlight w:val="none"/>
        </w:rPr>
      </w:pPr>
      <w:r/>
      <w:bookmarkStart w:id="134" w:name="OLE_LINK5"/>
      <w:r>
        <w:rPr>
          <w:rFonts w:hint="eastAsia" w:ascii="宋体" w:hAnsi="宋体" w:eastAsia="宋体" w:cs="宋体"/>
          <w:b/>
          <w:bCs/>
          <w:color w:val="auto"/>
          <w:sz w:val="32"/>
          <w:szCs w:val="32"/>
          <w:highlight w:val="none"/>
        </w:rPr>
        <w:t xml:space="preserve">第一部分 </w:t>
      </w:r>
      <w:bookmarkEnd w:id="134"/>
      <w:r>
        <w:rPr>
          <w:rFonts w:hint="eastAsia" w:ascii="宋体" w:hAnsi="宋体" w:eastAsia="宋体" w:cs="宋体"/>
          <w:b/>
          <w:bCs/>
          <w:color w:val="auto"/>
          <w:sz w:val="32"/>
          <w:szCs w:val="32"/>
          <w:highlight w:val="none"/>
        </w:rPr>
        <w:t xml:space="preserve">合同一般条款</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一、合同文件</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lang w:val="zh-CN"/>
        </w:rPr>
        <w:t xml:space="preserve">合同</w:t>
      </w:r>
      <w:r>
        <w:rPr>
          <w:rFonts w:hint="eastAsia" w:ascii="宋体" w:hAnsi="宋体" w:eastAsia="宋体" w:cs="宋体"/>
          <w:color w:val="auto"/>
          <w:highlight w:val="none"/>
          <w:lang w:val="zh-CN" w:bidi="ar"/>
        </w:rPr>
        <w:t xml:space="preserve">文件</w:t>
      </w:r>
      <w:r>
        <w:rPr>
          <w:rFonts w:hint="eastAsia" w:ascii="宋体" w:hAnsi="宋体" w:eastAsia="宋体" w:cs="宋体"/>
          <w:color w:val="auto"/>
          <w:highlight w:val="none"/>
          <w:lang w:val="zh-CN"/>
        </w:rPr>
        <w:t xml:space="preserve">适用法律</w:t>
      </w:r>
      <w:r/>
    </w:p>
    <w:p>
      <w:pPr>
        <w:ind w:firstLine="480"/>
        <w:jc w:val="both"/>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1.1适用于</w:t>
      </w:r>
      <w:r>
        <w:rPr>
          <w:rFonts w:hint="eastAsia" w:ascii="宋体" w:hAnsi="宋体" w:eastAsia="宋体" w:cs="宋体"/>
          <w:color w:val="auto"/>
          <w:highlight w:val="none"/>
          <w:lang w:val="zh-CN" w:bidi="ar"/>
        </w:rPr>
        <w:t xml:space="preserve">合同</w:t>
      </w:r>
      <w:r>
        <w:rPr>
          <w:rFonts w:hint="eastAsia" w:ascii="宋体" w:hAnsi="宋体" w:eastAsia="宋体" w:cs="宋体"/>
          <w:color w:val="auto"/>
          <w:highlight w:val="none"/>
          <w:lang w:val="zh-CN"/>
        </w:rPr>
        <w:t xml:space="preserve">文件的法律是中华人民共和国现行法律、法规及甲方所在地的地方性法规。</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val="zh-CN"/>
        </w:rPr>
        <w:t xml:space="preserve">2. 合同文件组</w:t>
      </w:r>
      <w:r>
        <w:rPr>
          <w:rFonts w:hint="eastAsia" w:ascii="宋体" w:hAnsi="宋体" w:eastAsia="宋体" w:cs="宋体"/>
          <w:color w:val="auto"/>
          <w:highlight w:val="none"/>
          <w:lang w:val="zh-CN" w:bidi="ar"/>
        </w:rPr>
        <w:t xml:space="preserve">成和解释顺序</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val="zh-CN" w:bidi="ar"/>
        </w:rPr>
        <w:t xml:space="preserve">2.1合同文件的组成和解释顺序如下：</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val="zh-CN" w:bidi="ar"/>
        </w:rPr>
        <w:t xml:space="preserve">2.1.1 合同的特殊性条款</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val="zh-CN" w:bidi="ar"/>
        </w:rPr>
        <w:t xml:space="preserve">2.1.2 合同的一般性条款</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val="zh-CN" w:bidi="ar"/>
        </w:rPr>
        <w:t xml:space="preserve">2.1.3 洽商、变更等明确双方权利义务的纪要、协议</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val="zh-CN" w:bidi="ar"/>
        </w:rPr>
        <w:t xml:space="preserve">2.1.4 </w:t>
      </w:r>
      <w:r>
        <w:rPr>
          <w:rFonts w:hint="eastAsia" w:ascii="宋体" w:hAnsi="宋体" w:eastAsia="宋体" w:cs="宋体"/>
          <w:color w:val="auto"/>
          <w:highlight w:val="none"/>
          <w:lang w:bidi="ar"/>
        </w:rPr>
        <w:t xml:space="preserve">成交</w:t>
      </w:r>
      <w:r>
        <w:rPr>
          <w:rFonts w:hint="eastAsia" w:ascii="宋体" w:hAnsi="宋体" w:eastAsia="宋体" w:cs="宋体"/>
          <w:color w:val="auto"/>
          <w:highlight w:val="none"/>
          <w:lang w:val="zh-CN" w:bidi="ar"/>
        </w:rPr>
        <w:t xml:space="preserve">通知书、</w:t>
      </w:r>
      <w:r>
        <w:rPr>
          <w:rFonts w:hint="eastAsia" w:ascii="宋体" w:hAnsi="宋体" w:eastAsia="宋体" w:cs="宋体"/>
          <w:color w:val="auto"/>
          <w:highlight w:val="none"/>
          <w:lang w:bidi="ar"/>
        </w:rPr>
        <w:t xml:space="preserve">谈判响应文件</w:t>
      </w:r>
      <w:r>
        <w:rPr>
          <w:rFonts w:hint="eastAsia" w:ascii="宋体" w:hAnsi="宋体" w:eastAsia="宋体" w:cs="宋体"/>
          <w:color w:val="auto"/>
          <w:highlight w:val="none"/>
          <w:lang w:val="zh-CN" w:bidi="ar"/>
        </w:rPr>
        <w:t xml:space="preserve">和</w:t>
      </w:r>
      <w:r>
        <w:rPr>
          <w:rFonts w:hint="eastAsia" w:ascii="宋体" w:hAnsi="宋体" w:eastAsia="宋体" w:cs="宋体"/>
          <w:color w:val="auto"/>
          <w:highlight w:val="none"/>
          <w:lang w:bidi="ar"/>
        </w:rPr>
        <w:t xml:space="preserve">谈判</w:t>
      </w:r>
      <w:r>
        <w:rPr>
          <w:rFonts w:hint="eastAsia" w:ascii="宋体" w:hAnsi="宋体" w:eastAsia="宋体" w:cs="宋体"/>
          <w:color w:val="auto"/>
          <w:highlight w:val="none"/>
          <w:lang w:val="zh-CN" w:bidi="ar"/>
        </w:rPr>
        <w:t xml:space="preserve">文件</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val="zh-CN" w:bidi="ar"/>
        </w:rPr>
        <w:t xml:space="preserve">2.1.5 标准、规范和其它有关技术资料、技术要求</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val="zh-CN" w:bidi="ar"/>
        </w:rPr>
        <w:t xml:space="preserve">2.2 合同的特殊性条款的效力优于合同的一般性条款的效力</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val="zh-CN" w:bidi="ar"/>
        </w:rPr>
        <w:t xml:space="preserve">3. 合同文件使用文字</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val="zh-CN" w:bidi="ar"/>
        </w:rPr>
        <w:t xml:space="preserve">3.1 合同文件使用中文书写、解释和说明</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w:t>
      </w:r>
      <w:r>
        <w:rPr>
          <w:rFonts w:hint="eastAsia" w:ascii="宋体" w:hAnsi="宋体" w:eastAsia="宋体" w:cs="宋体"/>
          <w:color w:val="auto"/>
          <w:highlight w:val="none"/>
          <w:lang w:val="zh-CN" w:bidi="ar"/>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val="zh-CN" w:bidi="ar"/>
        </w:rPr>
        <w:t xml:space="preserve">二、标的物的一般条款</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4.  完整物权</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对于出卖的标的物，乙方</w:t>
      </w:r>
      <w:r>
        <w:rPr>
          <w:rFonts w:hint="eastAsia" w:ascii="宋体" w:hAnsi="宋体" w:eastAsia="宋体" w:cs="宋体"/>
          <w:color w:val="auto"/>
          <w:highlight w:val="none"/>
          <w:lang w:val="zh-CN" w:bidi="ar"/>
        </w:rPr>
        <w:t xml:space="preserve">应当</w:t>
      </w:r>
      <w:r>
        <w:rPr>
          <w:rFonts w:hint="eastAsia" w:ascii="宋体" w:hAnsi="宋体" w:eastAsia="宋体" w:cs="宋体"/>
          <w:color w:val="auto"/>
          <w:highlight w:val="none"/>
          <w:lang w:val="zh-CN"/>
        </w:rPr>
        <w:t xml:space="preserve">拥有完整物权，并且乙方负有保证第三人不得向甲方主张任何权利（包括知识产权）的义务。</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5.  质量保证</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5.2  根据甲方按检验</w:t>
      </w:r>
      <w:r>
        <w:rPr>
          <w:rFonts w:hint="eastAsia" w:ascii="宋体" w:hAnsi="宋体" w:eastAsia="宋体" w:cs="宋体"/>
          <w:color w:val="auto"/>
          <w:highlight w:val="none"/>
          <w:lang w:val="zh-CN" w:bidi="ar"/>
        </w:rPr>
        <w:t xml:space="preserve">标准</w:t>
      </w:r>
      <w:r>
        <w:rPr>
          <w:rFonts w:hint="eastAsia" w:ascii="宋体" w:hAnsi="宋体" w:eastAsia="宋体" w:cs="宋体"/>
          <w:color w:val="auto"/>
          <w:highlight w:val="none"/>
          <w:lang w:val="zh-CN"/>
        </w:rPr>
        <w:t xml:space="preserve">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jc w:val="both"/>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5.3  除合同特殊条款规定外，合同条款中标的物的质量保证期均自标的物通过最终验收之日起计算，且质量保证期不低于_________年。</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6.  包装</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7.  伴随服务</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7.1  乙方除应履行按期按量交付合格标的物的义务之外，还应提供下列服务。</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7.1.1  标的物的现场安装、启动、调试、监督；</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7.1.2  提供标的物组装和一般维修所必须的工具；</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7.1.3 在合同规定的期限内对所提供标的物实行运行监督、维修服务的前提条件是该服务并不能免除乙方在质量保证期内所承担的义务；</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7.1.4  对甲方技术人员的技术指导或培训。</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7.2  除合同另有规定之外，伴随服务的费用均已含在合同价款中，甲方不再另行进行支付。</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三、标的物的交付、检验和验收</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8.  标的物的交付</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val="zh-CN"/>
        </w:rPr>
        <w:t xml:space="preserve">8.1 标的物的所有权自标</w:t>
      </w:r>
      <w:r>
        <w:rPr>
          <w:rFonts w:hint="eastAsia" w:ascii="宋体" w:hAnsi="宋体" w:eastAsia="宋体" w:cs="宋体"/>
          <w:color w:val="auto"/>
          <w:highlight w:val="none"/>
          <w:lang w:val="zh-CN" w:bidi="ar"/>
        </w:rPr>
        <w:t xml:space="preserve">的物交付时转移。</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val="zh-CN" w:bidi="ar"/>
        </w:rPr>
        <w:t xml:space="preserve">8.2 乙方应当按照约定的期限和约定的地点交付标的物。</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val="zh-CN" w:bidi="ar"/>
        </w:rPr>
        <w:t xml:space="preserve">8.3 乙方应当按照约定或者交易习惯向甲方交付提取标的物单证以外的有关单证和资料。</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9.  检验和</w:t>
      </w:r>
      <w:r>
        <w:rPr>
          <w:rFonts w:hint="eastAsia" w:ascii="宋体" w:hAnsi="宋体" w:eastAsia="宋体" w:cs="宋体"/>
          <w:color w:val="auto"/>
          <w:highlight w:val="none"/>
          <w:lang w:val="zh-CN" w:bidi="ar"/>
        </w:rPr>
        <w:t xml:space="preserve">验收</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乙方应确保所供产品及安装均能满足相关主管部门的验收合格要求。</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9.2 甲方根据合同规定的内容和验收标准进行验收，同时比较乙方出具的检验证明，经检验无误后出具验收合格证明，该证明作为最终付款所需文件的组成部分。</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9.3 验收期限自</w:t>
      </w:r>
      <w:r>
        <w:rPr>
          <w:rFonts w:hint="eastAsia" w:ascii="宋体" w:hAnsi="宋体" w:eastAsia="宋体" w:cs="宋体"/>
          <w:color w:val="auto"/>
          <w:highlight w:val="none"/>
          <w:lang w:val="zh-CN" w:bidi="ar"/>
        </w:rPr>
        <w:t xml:space="preserve">标的</w:t>
      </w:r>
      <w:r>
        <w:rPr>
          <w:rFonts w:hint="eastAsia" w:ascii="宋体" w:hAnsi="宋体" w:eastAsia="宋体" w:cs="宋体"/>
          <w:color w:val="auto"/>
          <w:highlight w:val="none"/>
          <w:lang w:val="zh-CN"/>
        </w:rPr>
        <w:t xml:space="preserve">物交付之日起三十天内。特殊情况需延长的，双方应在合同的特殊条款中约定。</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9.4 如双方对验收</w:t>
      </w:r>
      <w:r>
        <w:rPr>
          <w:rFonts w:hint="eastAsia" w:ascii="宋体" w:hAnsi="宋体" w:eastAsia="宋体" w:cs="宋体"/>
          <w:color w:val="auto"/>
          <w:highlight w:val="none"/>
          <w:lang w:val="zh-CN" w:bidi="ar"/>
        </w:rPr>
        <w:t xml:space="preserve">结果</w:t>
      </w:r>
      <w:r>
        <w:rPr>
          <w:rFonts w:hint="eastAsia" w:ascii="宋体" w:hAnsi="宋体" w:eastAsia="宋体" w:cs="宋体"/>
          <w:color w:val="auto"/>
          <w:highlight w:val="none"/>
          <w:lang w:val="zh-CN"/>
        </w:rPr>
        <w:t xml:space="preserve">有分歧，则以苏州市技术质量监督局的检验结果为准，检验费用由有过失的一方支付。</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四、对标的物提出</w:t>
      </w:r>
      <w:r>
        <w:rPr>
          <w:rFonts w:hint="eastAsia" w:ascii="宋体" w:hAnsi="宋体" w:eastAsia="宋体" w:cs="宋体"/>
          <w:color w:val="auto"/>
          <w:highlight w:val="none"/>
          <w:lang w:val="zh-CN" w:bidi="ar"/>
        </w:rPr>
        <w:t xml:space="preserve">异议</w:t>
      </w:r>
      <w:r>
        <w:rPr>
          <w:rFonts w:hint="eastAsia" w:ascii="宋体" w:hAnsi="宋体" w:eastAsia="宋体" w:cs="宋体"/>
          <w:color w:val="auto"/>
          <w:highlight w:val="none"/>
          <w:lang w:val="zh-CN"/>
        </w:rPr>
        <w:t xml:space="preserve">的时间和办法</w:t>
      </w:r>
      <w:r/>
    </w:p>
    <w:p>
      <w:pPr>
        <w:ind w:firstLine="480"/>
        <w:jc w:val="both"/>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10.  对标的物提出</w:t>
      </w:r>
      <w:r>
        <w:rPr>
          <w:rFonts w:hint="eastAsia" w:ascii="宋体" w:hAnsi="宋体" w:eastAsia="宋体" w:cs="宋体"/>
          <w:color w:val="auto"/>
          <w:highlight w:val="none"/>
          <w:lang w:val="zh-CN" w:bidi="ar"/>
        </w:rPr>
        <w:t xml:space="preserve">异议</w:t>
      </w:r>
      <w:r>
        <w:rPr>
          <w:rFonts w:hint="eastAsia" w:ascii="宋体" w:hAnsi="宋体" w:eastAsia="宋体" w:cs="宋体"/>
          <w:color w:val="auto"/>
          <w:highlight w:val="none"/>
          <w:lang w:val="zh-CN"/>
        </w:rPr>
        <w:t xml:space="preserve">的时间和办法 </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10.1甲方在验收</w:t>
      </w:r>
      <w:r>
        <w:rPr>
          <w:rFonts w:hint="eastAsia" w:ascii="宋体" w:hAnsi="宋体" w:eastAsia="宋体" w:cs="宋体"/>
          <w:color w:val="auto"/>
          <w:highlight w:val="none"/>
          <w:lang w:val="zh-CN" w:bidi="ar"/>
        </w:rPr>
        <w:t xml:space="preserve">过程</w:t>
      </w:r>
      <w:r>
        <w:rPr>
          <w:rFonts w:hint="eastAsia" w:ascii="宋体" w:hAnsi="宋体" w:eastAsia="宋体" w:cs="宋体"/>
          <w:color w:val="auto"/>
          <w:highlight w:val="none"/>
          <w:lang w:val="zh-CN"/>
        </w:rPr>
        <w:t xml:space="preserve">中，应当于双方约定的检验期间内将标的物的数量或质量不符合约定的</w:t>
      </w:r>
      <w:r>
        <w:rPr>
          <w:rFonts w:hint="eastAsia" w:ascii="宋体" w:hAnsi="宋体" w:eastAsia="宋体" w:cs="宋体"/>
          <w:color w:val="auto"/>
          <w:highlight w:val="none"/>
          <w:lang w:val="zh-CN" w:bidi="ar"/>
        </w:rPr>
        <w:t xml:space="preserve">情形</w:t>
      </w:r>
      <w:r>
        <w:rPr>
          <w:rFonts w:hint="eastAsia" w:ascii="宋体" w:hAnsi="宋体" w:eastAsia="宋体" w:cs="宋体"/>
          <w:color w:val="auto"/>
          <w:highlight w:val="none"/>
          <w:lang w:val="zh-CN"/>
        </w:rPr>
        <w:t xml:space="preserve">及处理方式以书面形式通知乙方。</w:t>
      </w:r>
      <w:r/>
    </w:p>
    <w:p>
      <w:pPr>
        <w:ind w:firstLine="480"/>
        <w:jc w:val="both"/>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10.2如甲方在验收期满后既不出具验收合格证明又未提出书面异议的视为乙方所交标的物符合合同规定。</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10.3乙方应在收到甲方书面异议后七天内负责处理问题，否则将视为默认甲方提出的异议和处理意见。</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五、合同价款和支付</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w:t>
      </w:r>
      <w:r>
        <w:rPr>
          <w:rFonts w:hint="eastAsia" w:ascii="宋体" w:hAnsi="宋体" w:eastAsia="宋体" w:cs="宋体"/>
          <w:color w:val="auto"/>
          <w:highlight w:val="none"/>
          <w:lang w:val="zh-CN"/>
        </w:rPr>
        <w:t xml:space="preserve">合同价款和支付</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11.1本合同的结算</w:t>
      </w:r>
      <w:r>
        <w:rPr>
          <w:rFonts w:hint="eastAsia" w:ascii="宋体" w:hAnsi="宋体" w:eastAsia="宋体" w:cs="宋体"/>
          <w:color w:val="auto"/>
          <w:highlight w:val="none"/>
          <w:lang w:val="zh-CN" w:bidi="ar"/>
        </w:rPr>
        <w:t xml:space="preserve">货币</w:t>
      </w:r>
      <w:r>
        <w:rPr>
          <w:rFonts w:hint="eastAsia" w:ascii="宋体" w:hAnsi="宋体" w:eastAsia="宋体" w:cs="宋体"/>
          <w:color w:val="auto"/>
          <w:highlight w:val="none"/>
          <w:lang w:val="zh-CN"/>
        </w:rPr>
        <w:t xml:space="preserve">为人民币，单位元。</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11.2乙方应按照</w:t>
      </w:r>
      <w:r>
        <w:rPr>
          <w:rFonts w:hint="eastAsia" w:ascii="宋体" w:hAnsi="宋体" w:eastAsia="宋体" w:cs="宋体"/>
          <w:color w:val="auto"/>
          <w:highlight w:val="none"/>
          <w:lang w:val="zh-CN" w:bidi="ar"/>
        </w:rPr>
        <w:t xml:space="preserve">双方</w:t>
      </w:r>
      <w:r>
        <w:rPr>
          <w:rFonts w:hint="eastAsia" w:ascii="宋体" w:hAnsi="宋体" w:eastAsia="宋体" w:cs="宋体"/>
          <w:color w:val="auto"/>
          <w:highlight w:val="none"/>
          <w:lang w:val="zh-CN"/>
        </w:rPr>
        <w:t xml:space="preserve">签订的合同规定交货并在合同特殊条款规定的期限内持下列单据结算货款。</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11.2.1合格的</w:t>
      </w:r>
      <w:r>
        <w:rPr>
          <w:rFonts w:hint="eastAsia" w:ascii="宋体" w:hAnsi="宋体" w:eastAsia="宋体" w:cs="宋体"/>
          <w:color w:val="auto"/>
          <w:highlight w:val="none"/>
          <w:lang w:val="zh-CN" w:bidi="ar"/>
        </w:rPr>
        <w:t xml:space="preserve">销售</w:t>
      </w:r>
      <w:r>
        <w:rPr>
          <w:rFonts w:hint="eastAsia" w:ascii="宋体" w:hAnsi="宋体" w:eastAsia="宋体" w:cs="宋体"/>
          <w:color w:val="auto"/>
          <w:highlight w:val="none"/>
          <w:lang w:val="zh-CN"/>
        </w:rPr>
        <w:t xml:space="preserve">发票；</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11.2.2甲方签收后的送货回单和验收合格证明。</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11.3 甲方应按</w:t>
      </w:r>
      <w:r>
        <w:rPr>
          <w:rFonts w:hint="eastAsia" w:ascii="宋体" w:hAnsi="宋体" w:eastAsia="宋体" w:cs="宋体"/>
          <w:color w:val="auto"/>
          <w:highlight w:val="none"/>
          <w:lang w:val="zh-CN" w:bidi="ar"/>
        </w:rPr>
        <w:t xml:space="preserve">合同</w:t>
      </w:r>
      <w:r>
        <w:rPr>
          <w:rFonts w:hint="eastAsia" w:ascii="宋体" w:hAnsi="宋体" w:eastAsia="宋体" w:cs="宋体"/>
          <w:color w:val="auto"/>
          <w:highlight w:val="none"/>
          <w:lang w:val="zh-CN"/>
        </w:rPr>
        <w:t xml:space="preserve">特殊条款规定的期限和方式付款。</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11.4根据现行</w:t>
      </w:r>
      <w:r>
        <w:rPr>
          <w:rFonts w:hint="eastAsia" w:ascii="宋体" w:hAnsi="宋体" w:eastAsia="宋体" w:cs="宋体"/>
          <w:color w:val="auto"/>
          <w:highlight w:val="none"/>
          <w:lang w:val="zh-CN" w:bidi="ar"/>
        </w:rPr>
        <w:t xml:space="preserve">税法</w:t>
      </w:r>
      <w:r>
        <w:rPr>
          <w:rFonts w:hint="eastAsia" w:ascii="宋体" w:hAnsi="宋体" w:eastAsia="宋体" w:cs="宋体"/>
          <w:color w:val="auto"/>
          <w:highlight w:val="none"/>
          <w:lang w:val="zh-CN"/>
        </w:rPr>
        <w:t xml:space="preserve">对甲方征收的与本合同有关的一切税费均由甲方承担；根据现行税法对乙方征收的与本合同有关的一切税费均由乙方承担。</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六、违约</w:t>
      </w:r>
      <w:r>
        <w:rPr>
          <w:rFonts w:hint="eastAsia" w:ascii="宋体" w:hAnsi="宋体" w:eastAsia="宋体" w:cs="宋体"/>
          <w:color w:val="auto"/>
          <w:highlight w:val="none"/>
          <w:lang w:val="zh-CN" w:bidi="ar"/>
        </w:rPr>
        <w:t xml:space="preserve">责任</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12.  违约</w:t>
      </w:r>
      <w:r>
        <w:rPr>
          <w:rFonts w:hint="eastAsia" w:ascii="宋体" w:hAnsi="宋体" w:eastAsia="宋体" w:cs="宋体"/>
          <w:color w:val="auto"/>
          <w:highlight w:val="none"/>
          <w:lang w:val="zh-CN" w:bidi="ar"/>
        </w:rPr>
        <w:t xml:space="preserve">责任</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合同一方不履行合同义务或者履行合同义务不符合约定的，应当承担继续履行、采取补救措施或者赔偿损失等违约责任。</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13.  甲方</w:t>
      </w:r>
      <w:r>
        <w:rPr>
          <w:rFonts w:hint="eastAsia" w:ascii="宋体" w:hAnsi="宋体" w:eastAsia="宋体" w:cs="宋体"/>
          <w:color w:val="auto"/>
          <w:highlight w:val="none"/>
          <w:lang w:val="zh-CN" w:bidi="ar"/>
        </w:rPr>
        <w:t xml:space="preserve">违约</w:t>
      </w:r>
      <w:r>
        <w:rPr>
          <w:rFonts w:hint="eastAsia" w:ascii="宋体" w:hAnsi="宋体" w:eastAsia="宋体" w:cs="宋体"/>
          <w:color w:val="auto"/>
          <w:highlight w:val="none"/>
          <w:lang w:val="zh-CN"/>
        </w:rPr>
        <w:t xml:space="preserve">责任</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13.1 在合同</w:t>
      </w:r>
      <w:r>
        <w:rPr>
          <w:rFonts w:hint="eastAsia" w:ascii="宋体" w:hAnsi="宋体" w:eastAsia="宋体" w:cs="宋体"/>
          <w:color w:val="auto"/>
          <w:highlight w:val="none"/>
          <w:lang w:val="zh-CN" w:bidi="ar"/>
        </w:rPr>
        <w:t xml:space="preserve">生效</w:t>
      </w:r>
      <w:r>
        <w:rPr>
          <w:rFonts w:hint="eastAsia" w:ascii="宋体" w:hAnsi="宋体" w:eastAsia="宋体" w:cs="宋体"/>
          <w:color w:val="auto"/>
          <w:highlight w:val="none"/>
          <w:lang w:val="zh-CN"/>
        </w:rPr>
        <w:t xml:space="preserve">后，甲方要求退货的，应向乙方偿付合同总价款5%的违约金，违约金不足以补偿损失的，乙方有权要求甲方补足。</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13.2 甲方</w:t>
      </w:r>
      <w:r>
        <w:rPr>
          <w:rFonts w:hint="eastAsia" w:ascii="宋体" w:hAnsi="宋体" w:eastAsia="宋体" w:cs="宋体"/>
          <w:color w:val="auto"/>
          <w:highlight w:val="none"/>
          <w:lang w:val="zh-CN" w:bidi="ar"/>
        </w:rPr>
        <w:t xml:space="preserve">逾期付款</w:t>
      </w:r>
      <w:r>
        <w:rPr>
          <w:rFonts w:hint="eastAsia" w:ascii="宋体" w:hAnsi="宋体" w:eastAsia="宋体" w:cs="宋体"/>
          <w:color w:val="auto"/>
          <w:highlight w:val="none"/>
          <w:lang w:val="zh-CN"/>
        </w:rPr>
        <w:t xml:space="preserve">的应按照逾期付款金额的每天万分之四支付逾期付款违约金。</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13.3 甲方</w:t>
      </w:r>
      <w:r>
        <w:rPr>
          <w:rFonts w:hint="eastAsia" w:ascii="宋体" w:hAnsi="宋体" w:eastAsia="宋体" w:cs="宋体"/>
          <w:color w:val="auto"/>
          <w:highlight w:val="none"/>
          <w:lang w:val="zh-CN" w:bidi="ar"/>
        </w:rPr>
        <w:t xml:space="preserve">违反</w:t>
      </w:r>
      <w:r>
        <w:rPr>
          <w:rFonts w:hint="eastAsia" w:ascii="宋体" w:hAnsi="宋体" w:eastAsia="宋体" w:cs="宋体"/>
          <w:color w:val="auto"/>
          <w:highlight w:val="none"/>
          <w:lang w:val="zh-CN"/>
        </w:rPr>
        <w:t xml:space="preserve">合同规定，拒绝接收乙方交付的合格标的物，应当承担乙方由此造成的损失。</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14.  乙方违约责任</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14.1 乙方不能</w:t>
      </w:r>
      <w:r>
        <w:rPr>
          <w:rFonts w:hint="eastAsia" w:ascii="宋体" w:hAnsi="宋体" w:eastAsia="宋体" w:cs="宋体"/>
          <w:color w:val="auto"/>
          <w:highlight w:val="none"/>
          <w:lang w:val="zh-CN" w:bidi="ar"/>
        </w:rPr>
        <w:t xml:space="preserve">交货</w:t>
      </w:r>
      <w:r>
        <w:rPr>
          <w:rFonts w:hint="eastAsia" w:ascii="宋体" w:hAnsi="宋体" w:eastAsia="宋体" w:cs="宋体"/>
          <w:color w:val="auto"/>
          <w:highlight w:val="none"/>
          <w:lang w:val="zh-CN"/>
        </w:rPr>
        <w:t xml:space="preserve">（逾期超过十五天视为不能交货），或交货不合格从而影响甲方按期正常使用的，甲方有权解除合同，乙方向甲方偿付合同总价款5%的违约金，违约金</w:t>
      </w:r>
      <w:r>
        <w:rPr>
          <w:rFonts w:hint="eastAsia" w:ascii="宋体" w:hAnsi="宋体" w:eastAsia="宋体" w:cs="宋体"/>
          <w:color w:val="auto"/>
          <w:highlight w:val="none"/>
          <w:lang w:val="zh-CN" w:bidi="ar"/>
        </w:rPr>
        <w:t xml:space="preserve">不足以</w:t>
      </w:r>
      <w:r>
        <w:rPr>
          <w:rFonts w:hint="eastAsia" w:ascii="宋体" w:hAnsi="宋体" w:eastAsia="宋体" w:cs="宋体"/>
          <w:color w:val="auto"/>
          <w:highlight w:val="none"/>
          <w:lang w:val="zh-CN"/>
        </w:rPr>
        <w:t xml:space="preserve">补偿损失的甲方有权要求乙方补足。</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14.2 乙方逾期交货的，应在发货前与甲方协商，甲方仍需求的，乙方应立即发货并应按照逾期交货部分货款的每天万分之四支付逾期交货违约金，同时承担甲方因此遭致的损失费用。</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15.</w:t>
      </w:r>
      <w:r>
        <w:rPr>
          <w:rFonts w:hint="eastAsia" w:ascii="宋体" w:hAnsi="宋体" w:eastAsia="宋体" w:cs="宋体"/>
          <w:color w:val="auto"/>
          <w:highlight w:val="none"/>
          <w:lang w:val="zh-CN" w:bidi="ar"/>
        </w:rPr>
        <w:t xml:space="preserve">不可抗力</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15.1 因</w:t>
      </w:r>
      <w:r>
        <w:rPr>
          <w:rFonts w:hint="eastAsia" w:ascii="宋体" w:hAnsi="宋体" w:eastAsia="宋体" w:cs="宋体"/>
          <w:color w:val="auto"/>
          <w:highlight w:val="none"/>
          <w:lang w:val="zh-CN" w:bidi="ar"/>
        </w:rPr>
        <w:t xml:space="preserve">不可抗力</w:t>
      </w:r>
      <w:r>
        <w:rPr>
          <w:rFonts w:hint="eastAsia" w:ascii="宋体" w:hAnsi="宋体" w:eastAsia="宋体" w:cs="宋体"/>
          <w:color w:val="auto"/>
          <w:highlight w:val="none"/>
          <w:lang w:val="zh-CN"/>
        </w:rPr>
        <w:t xml:space="preserve">不能履行合同的，根据不可抗力的影响，部分或者全部免除责任。但合同一方迟延履行后发生不可抗力的，不能免除责任。</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15.2 合同一方因不可抗力不能履行合同的，应当及时通知对方，以减轻可能给对方造成的损失，并应当在合理期限内提供证明。</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七、索赔</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16. 索赔</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16.1甲</w:t>
      </w:r>
      <w:r>
        <w:rPr>
          <w:rFonts w:hint="eastAsia" w:ascii="宋体" w:hAnsi="宋体" w:eastAsia="宋体" w:cs="宋体"/>
          <w:color w:val="auto"/>
          <w:highlight w:val="none"/>
          <w:lang w:val="zh-CN" w:bidi="ar"/>
        </w:rPr>
        <w:t xml:space="preserve">方有权</w:t>
      </w:r>
      <w:r>
        <w:rPr>
          <w:rFonts w:hint="eastAsia" w:ascii="宋体" w:hAnsi="宋体" w:eastAsia="宋体" w:cs="宋体"/>
          <w:color w:val="auto"/>
          <w:highlight w:val="none"/>
          <w:lang w:val="zh-CN"/>
        </w:rPr>
        <w:t xml:space="preserve">根据当地产品质量检验机构或其它有权部门出具的检验证书向乙方提出索赔。</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16.2 在本</w:t>
      </w:r>
      <w:r>
        <w:rPr>
          <w:rFonts w:hint="eastAsia" w:ascii="宋体" w:hAnsi="宋体" w:eastAsia="宋体" w:cs="宋体"/>
          <w:color w:val="auto"/>
          <w:highlight w:val="none"/>
          <w:lang w:val="zh-CN" w:bidi="ar"/>
        </w:rPr>
        <w:t xml:space="preserve">合同</w:t>
      </w:r>
      <w:r>
        <w:rPr>
          <w:rFonts w:hint="eastAsia" w:ascii="宋体" w:hAnsi="宋体" w:eastAsia="宋体" w:cs="宋体"/>
          <w:color w:val="auto"/>
          <w:highlight w:val="none"/>
          <w:lang w:val="zh-CN"/>
        </w:rPr>
        <w:t xml:space="preserve">规定的检验期和质量保证期内，如果乙方对甲方提出的索赔或差异有责任，则乙方应按甲方同意的下列一种或多种方式解决索赔事宜：</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16.2.1 乙方同意退货，并按合同规定的货币将货款退还给甲方，并承担由此发生的一切损失和费用，包括利息、银行手续费、运费、保险费、检验费、仓储费、装卸费以及为保护退回标的物所需的其他必要费用。</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16.2.2 根据标的物的低劣程度、损坏程度以及甲方遭受损失的数额，经双方协商确定降低标的物的价格。</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16.3 如果在甲方发出索赔通知后七天内，乙方未能答复，上述索赔应视为已被乙方接受。若</w:t>
      </w:r>
      <w:r>
        <w:rPr>
          <w:rFonts w:hint="eastAsia" w:ascii="宋体" w:hAnsi="宋体" w:eastAsia="宋体" w:cs="宋体"/>
          <w:color w:val="auto"/>
          <w:highlight w:val="none"/>
          <w:lang w:val="zh-CN" w:bidi="ar"/>
        </w:rPr>
        <w:t xml:space="preserve">乙方</w:t>
      </w:r>
      <w:r>
        <w:rPr>
          <w:rFonts w:hint="eastAsia" w:ascii="宋体" w:hAnsi="宋体" w:eastAsia="宋体" w:cs="宋体"/>
          <w:color w:val="auto"/>
          <w:highlight w:val="none"/>
          <w:lang w:val="zh-CN"/>
        </w:rPr>
        <w:t xml:space="preserve">未在甲方提出索赔通知后七天内或甲方同意的更长时间内，按照合同规定的任何一种方法解决索赔事宜，甲方将从未付款中扣回索赔金额，如果这些金额</w:t>
      </w:r>
      <w:r>
        <w:rPr>
          <w:rFonts w:hint="eastAsia" w:ascii="宋体" w:hAnsi="宋体" w:eastAsia="宋体" w:cs="宋体"/>
          <w:color w:val="auto"/>
          <w:highlight w:val="none"/>
          <w:lang w:val="zh-CN" w:bidi="ar"/>
        </w:rPr>
        <w:t xml:space="preserve">不足以</w:t>
      </w:r>
      <w:r>
        <w:rPr>
          <w:rFonts w:hint="eastAsia" w:ascii="宋体" w:hAnsi="宋体" w:eastAsia="宋体" w:cs="宋体"/>
          <w:color w:val="auto"/>
          <w:highlight w:val="none"/>
          <w:lang w:val="zh-CN"/>
        </w:rPr>
        <w:t xml:space="preserve">补偿索赔金额，甲方有权向乙方提出对不足部分的补偿。</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16.4  甲方提出索赔的书面材料应报政府采购监督管理部门备案。同时乙方同意的索赔方案也应报政府采购监督管理部门备案。</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八、合同的</w:t>
      </w:r>
      <w:r>
        <w:rPr>
          <w:rFonts w:hint="eastAsia" w:ascii="宋体" w:hAnsi="宋体" w:eastAsia="宋体" w:cs="宋体"/>
          <w:color w:val="auto"/>
          <w:highlight w:val="none"/>
          <w:lang w:val="zh-CN" w:bidi="ar"/>
        </w:rPr>
        <w:t xml:space="preserve">解除</w:t>
      </w:r>
      <w:r>
        <w:rPr>
          <w:rFonts w:hint="eastAsia" w:ascii="宋体" w:hAnsi="宋体" w:eastAsia="宋体" w:cs="宋体"/>
          <w:color w:val="auto"/>
          <w:highlight w:val="none"/>
          <w:lang w:val="zh-CN"/>
        </w:rPr>
        <w:t xml:space="preserve">和转让</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17. 合同的解除</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w:t>
      </w:r>
      <w:r>
        <w:rPr>
          <w:rFonts w:hint="eastAsia" w:ascii="宋体" w:hAnsi="宋体" w:eastAsia="宋体" w:cs="宋体"/>
          <w:color w:val="auto"/>
          <w:highlight w:val="none"/>
          <w:lang w:val="zh-CN"/>
        </w:rPr>
        <w:t xml:space="preserve">有下列情形之一</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zh-CN"/>
        </w:rPr>
        <w:t xml:space="preserve">合同一方可以解除合同</w:t>
      </w:r>
      <w:r>
        <w:rPr>
          <w:rFonts w:hint="eastAsia" w:ascii="宋体" w:hAnsi="宋体" w:eastAsia="宋体" w:cs="宋体"/>
          <w:color w:val="auto"/>
          <w:highlight w:val="none"/>
        </w:rPr>
        <w:t xml:space="preserve">：</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17.1.1 因</w:t>
      </w:r>
      <w:r>
        <w:rPr>
          <w:rFonts w:hint="eastAsia" w:ascii="宋体" w:hAnsi="宋体" w:eastAsia="宋体" w:cs="宋体"/>
          <w:color w:val="auto"/>
          <w:highlight w:val="none"/>
          <w:lang w:val="zh-CN" w:bidi="ar"/>
        </w:rPr>
        <w:t xml:space="preserve">不可抗力</w:t>
      </w:r>
      <w:r>
        <w:rPr>
          <w:rFonts w:hint="eastAsia" w:ascii="宋体" w:hAnsi="宋体" w:eastAsia="宋体" w:cs="宋体"/>
          <w:color w:val="auto"/>
          <w:highlight w:val="none"/>
          <w:lang w:val="zh-CN"/>
        </w:rPr>
        <w:t xml:space="preserve">致使不能实现合同目的，未受不可抗力影响的一方有权解除合同；</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17.1.2 因合同一方违约导致合同不能履行，另一方有权解除合同；</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17.2 有权解除合同的一方，应当在违约事实或不可抗力发生之后三十天内书面通知对方以主张解除合同，合同在书面通知到达对方时解除。</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18. 合同的转让</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合同的部分和全部都不得转让。</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九、合同的</w:t>
      </w:r>
      <w:r>
        <w:rPr>
          <w:rFonts w:hint="eastAsia" w:ascii="宋体" w:hAnsi="宋体" w:eastAsia="宋体" w:cs="宋体"/>
          <w:color w:val="auto"/>
          <w:highlight w:val="none"/>
          <w:lang w:val="zh-CN" w:bidi="ar"/>
        </w:rPr>
        <w:t xml:space="preserve">生效</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rPr>
        <w:t xml:space="preserve">19. </w:t>
      </w:r>
      <w:r>
        <w:rPr>
          <w:rFonts w:hint="eastAsia" w:ascii="宋体" w:hAnsi="宋体" w:eastAsia="宋体" w:cs="宋体"/>
          <w:color w:val="auto"/>
          <w:highlight w:val="none"/>
          <w:lang w:val="zh-CN"/>
        </w:rPr>
        <w:t xml:space="preserve">合同</w:t>
      </w:r>
      <w:r>
        <w:rPr>
          <w:rFonts w:hint="eastAsia" w:ascii="宋体" w:hAnsi="宋体" w:eastAsia="宋体" w:cs="宋体"/>
          <w:color w:val="auto"/>
          <w:highlight w:val="none"/>
          <w:lang w:val="zh-CN" w:bidi="ar"/>
        </w:rPr>
        <w:t xml:space="preserve">的生效</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本合同在双方签名盖章后即生效。</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val="zh-CN" w:bidi="ar"/>
        </w:rPr>
        <w:t xml:space="preserve">十、争议解决</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lang w:val="zh-CN" w:bidi="ar"/>
        </w:rPr>
        <w:t xml:space="preserve">20. 争议解决</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bidi="ar"/>
        </w:rPr>
        <w:t xml:space="preserve">甲乙双</w:t>
      </w:r>
      <w:r>
        <w:rPr>
          <w:rFonts w:hint="eastAsia" w:ascii="宋体" w:hAnsi="宋体" w:eastAsia="宋体" w:cs="宋体"/>
          <w:color w:val="auto"/>
          <w:highlight w:val="none"/>
          <w:lang w:val="zh-CN"/>
        </w:rPr>
        <w:t xml:space="preserve">方因</w:t>
      </w:r>
      <w:r>
        <w:rPr>
          <w:rFonts w:hint="eastAsia" w:ascii="宋体" w:hAnsi="宋体" w:eastAsia="宋体" w:cs="宋体"/>
          <w:color w:val="auto"/>
          <w:highlight w:val="none"/>
          <w:lang w:val="zh-CN" w:bidi="ar"/>
        </w:rPr>
        <w:t xml:space="preserve">合同</w:t>
      </w:r>
      <w:r>
        <w:rPr>
          <w:rFonts w:hint="eastAsia" w:ascii="宋体" w:hAnsi="宋体" w:eastAsia="宋体" w:cs="宋体"/>
          <w:color w:val="auto"/>
          <w:highlight w:val="none"/>
          <w:lang w:val="zh-CN"/>
        </w:rPr>
        <w:t xml:space="preserve">发生争议，应在采购代理机构的主持下进行调解，协商不成，任何一方可以向甲方所在地人民法院起诉。</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十一、</w:t>
      </w:r>
      <w:r>
        <w:rPr>
          <w:rFonts w:hint="eastAsia" w:ascii="宋体" w:hAnsi="宋体" w:eastAsia="宋体" w:cs="宋体"/>
          <w:color w:val="auto"/>
          <w:highlight w:val="none"/>
          <w:lang w:val="zh-CN" w:bidi="ar"/>
        </w:rPr>
        <w:t xml:space="preserve">附则</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21. 合同份数。</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本合同一式</w:t>
      </w:r>
      <w:r>
        <w:rPr>
          <w:rFonts w:hint="eastAsia" w:ascii="宋体" w:hAnsi="宋体" w:eastAsia="宋体" w:cs="宋体"/>
          <w:color w:val="auto"/>
          <w:highlight w:val="none"/>
        </w:rPr>
        <w:t xml:space="preserve">伍</w:t>
      </w:r>
      <w:r>
        <w:rPr>
          <w:rFonts w:hint="eastAsia" w:ascii="宋体" w:hAnsi="宋体" w:eastAsia="宋体" w:cs="宋体"/>
          <w:color w:val="auto"/>
          <w:highlight w:val="none"/>
          <w:lang w:val="zh-CN"/>
        </w:rPr>
        <w:t xml:space="preserve">份，甲方执</w:t>
      </w:r>
      <w:r>
        <w:rPr>
          <w:rFonts w:hint="eastAsia" w:ascii="宋体" w:hAnsi="宋体" w:eastAsia="宋体" w:cs="宋体"/>
          <w:color w:val="auto"/>
          <w:highlight w:val="none"/>
        </w:rPr>
        <w:t xml:space="preserve">贰</w:t>
      </w:r>
      <w:r>
        <w:rPr>
          <w:rFonts w:hint="eastAsia" w:ascii="宋体" w:hAnsi="宋体" w:eastAsia="宋体" w:cs="宋体"/>
          <w:color w:val="auto"/>
          <w:highlight w:val="none"/>
          <w:lang w:val="zh-CN"/>
        </w:rPr>
        <w:t xml:space="preserve">份，乙方执</w:t>
      </w:r>
      <w:r>
        <w:rPr>
          <w:rFonts w:hint="eastAsia" w:ascii="宋体" w:hAnsi="宋体" w:eastAsia="宋体" w:cs="宋体"/>
          <w:color w:val="auto"/>
          <w:highlight w:val="none"/>
        </w:rPr>
        <w:t xml:space="preserve">贰</w:t>
      </w:r>
      <w:r>
        <w:rPr>
          <w:rFonts w:hint="eastAsia" w:ascii="宋体" w:hAnsi="宋体" w:eastAsia="宋体" w:cs="宋体"/>
          <w:color w:val="auto"/>
          <w:highlight w:val="none"/>
          <w:lang w:val="zh-CN"/>
        </w:rPr>
        <w:t xml:space="preserve">份，采购代理机构一份。</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22. 未尽</w:t>
      </w:r>
      <w:r>
        <w:rPr>
          <w:rFonts w:hint="eastAsia" w:ascii="宋体" w:hAnsi="宋体" w:eastAsia="宋体" w:cs="宋体"/>
          <w:color w:val="auto"/>
          <w:highlight w:val="none"/>
          <w:lang w:val="zh-CN" w:bidi="ar"/>
        </w:rPr>
        <w:t xml:space="preserve">事宜</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本合同未尽事宜应按《中华人民共和国政府采购法》及其他有关政府采购的法律法规的规定执行。</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56" w:after="156"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第二部分 合同特殊条款</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根据政府采购编号</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采购文件及乙方成交的响应文件和成交通知书，甲乙双方就此次</w:t>
      </w:r>
      <w:r>
        <w:rPr>
          <w:rFonts w:hint="eastAsia" w:ascii="宋体" w:hAnsi="宋体" w:eastAsia="宋体" w:cs="宋体"/>
          <w:color w:val="auto"/>
          <w:highlight w:val="none"/>
        </w:rPr>
        <w:t xml:space="preserve">成交</w:t>
      </w:r>
      <w:r>
        <w:rPr>
          <w:rFonts w:hint="eastAsia" w:ascii="宋体" w:hAnsi="宋体" w:eastAsia="宋体" w:cs="宋体"/>
          <w:color w:val="auto"/>
          <w:highlight w:val="none"/>
          <w:lang w:val="zh-CN"/>
        </w:rPr>
        <w:t xml:space="preserve">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CN"/>
        </w:rPr>
        <w:t xml:space="preserve">事宜，签订本合同书。</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一、合同内容：</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、乙方负责完成甲方的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CN"/>
        </w:rPr>
        <w:t xml:space="preserve">，详见《标的物清单》。</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zh-CN"/>
        </w:rPr>
        <w:t xml:space="preserve">、下列文件为本合同不可分割部分：</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2.1</w:t>
      </w:r>
      <w:r>
        <w:rPr>
          <w:rFonts w:hint="eastAsia" w:ascii="宋体" w:hAnsi="宋体" w:eastAsia="宋体" w:cs="宋体"/>
          <w:color w:val="auto"/>
          <w:highlight w:val="none"/>
        </w:rPr>
        <w:t xml:space="preserve">谈判</w:t>
      </w:r>
      <w:r>
        <w:rPr>
          <w:rFonts w:hint="eastAsia" w:ascii="宋体" w:hAnsi="宋体" w:eastAsia="宋体" w:cs="宋体"/>
          <w:color w:val="auto"/>
          <w:highlight w:val="none"/>
          <w:lang w:val="zh-CN"/>
        </w:rPr>
        <w:t xml:space="preserve">文件；</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2.2乙方</w:t>
      </w:r>
      <w:r>
        <w:rPr>
          <w:rFonts w:hint="eastAsia" w:ascii="宋体" w:hAnsi="宋体" w:eastAsia="宋体" w:cs="宋体"/>
          <w:color w:val="auto"/>
          <w:highlight w:val="none"/>
        </w:rPr>
        <w:t xml:space="preserve">成交</w:t>
      </w:r>
      <w:r>
        <w:rPr>
          <w:rFonts w:hint="eastAsia" w:ascii="宋体" w:hAnsi="宋体" w:eastAsia="宋体" w:cs="宋体"/>
          <w:color w:val="auto"/>
          <w:highlight w:val="none"/>
          <w:lang w:val="zh-CN"/>
        </w:rPr>
        <w:t xml:space="preserve">的</w:t>
      </w:r>
      <w:r>
        <w:rPr>
          <w:rFonts w:hint="eastAsia" w:ascii="宋体" w:hAnsi="宋体" w:eastAsia="宋体" w:cs="宋体"/>
          <w:color w:val="auto"/>
          <w:highlight w:val="none"/>
        </w:rPr>
        <w:t xml:space="preserve">谈判响应文件</w:t>
      </w:r>
      <w:r>
        <w:rPr>
          <w:rFonts w:hint="eastAsia" w:ascii="宋体" w:hAnsi="宋体" w:eastAsia="宋体" w:cs="宋体"/>
          <w:color w:val="auto"/>
          <w:highlight w:val="none"/>
          <w:lang w:val="zh-CN"/>
        </w:rPr>
        <w:t xml:space="preserve">；</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2.3乙方在招投标过程中所作的其他承诺、声明、书面澄清等；</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2.4</w:t>
      </w:r>
      <w:r>
        <w:rPr>
          <w:rFonts w:hint="eastAsia" w:ascii="宋体" w:hAnsi="宋体" w:eastAsia="宋体" w:cs="宋体"/>
          <w:color w:val="auto"/>
          <w:highlight w:val="none"/>
        </w:rPr>
        <w:t xml:space="preserve">成交</w:t>
      </w:r>
      <w:r>
        <w:rPr>
          <w:rFonts w:hint="eastAsia" w:ascii="宋体" w:hAnsi="宋体" w:eastAsia="宋体" w:cs="宋体"/>
          <w:color w:val="auto"/>
          <w:highlight w:val="none"/>
          <w:lang w:val="zh-CN"/>
        </w:rPr>
        <w:t xml:space="preserve">通知书。</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二、价格与支付：</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w:t>
      </w:r>
      <w:r>
        <w:rPr>
          <w:rFonts w:hint="eastAsia" w:ascii="宋体" w:hAnsi="宋体" w:eastAsia="宋体" w:cs="宋体"/>
          <w:color w:val="auto"/>
          <w:highlight w:val="none"/>
        </w:rPr>
        <w:t xml:space="preserve">本合同为固定综合单价合同，</w:t>
      </w:r>
      <w:r>
        <w:rPr>
          <w:rFonts w:hint="eastAsia" w:ascii="宋体" w:hAnsi="宋体" w:eastAsia="宋体" w:cs="宋体"/>
          <w:color w:val="auto"/>
          <w:highlight w:val="none"/>
          <w:lang w:val="zh-CN"/>
        </w:rPr>
        <w:t xml:space="preserve">合同价格按此次</w:t>
      </w:r>
      <w:r>
        <w:rPr>
          <w:rFonts w:hint="eastAsia" w:ascii="宋体" w:hAnsi="宋体" w:eastAsia="宋体" w:cs="宋体"/>
          <w:color w:val="auto"/>
          <w:highlight w:val="none"/>
        </w:rPr>
        <w:t xml:space="preserve">成交</w:t>
      </w:r>
      <w:r>
        <w:rPr>
          <w:rFonts w:hint="eastAsia" w:ascii="宋体" w:hAnsi="宋体" w:eastAsia="宋体" w:cs="宋体"/>
          <w:color w:val="auto"/>
          <w:highlight w:val="none"/>
          <w:lang w:val="zh-CN"/>
        </w:rPr>
        <w:t xml:space="preserve">价格执行，合同总金额为人民币</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元，</w:t>
      </w:r>
      <w:r>
        <w:rPr>
          <w:rFonts w:hint="eastAsia" w:ascii="宋体" w:hAnsi="宋体" w:eastAsia="宋体" w:cs="宋体"/>
          <w:color w:val="auto"/>
          <w:highlight w:val="none"/>
        </w:rPr>
        <w:t xml:space="preserve">投标总报价</w:t>
      </w:r>
      <w:r>
        <w:rPr>
          <w:rFonts w:hint="eastAsia" w:ascii="宋体" w:hAnsi="宋体" w:eastAsia="宋体" w:cs="宋体"/>
          <w:color w:val="auto"/>
          <w:highlight w:val="none"/>
          <w:lang w:val="zh-CN"/>
        </w:rPr>
        <w:t xml:space="preserve">包括全部产品供货（包括全套产品、辅配件、随设备应提交的资料等）、包装、运输、人工、装卸、保险、技术培训、原厂质保期服务、</w:t>
      </w:r>
      <w:r>
        <w:rPr>
          <w:rFonts w:hint="eastAsia" w:ascii="宋体" w:hAnsi="宋体" w:eastAsia="宋体" w:cs="宋体"/>
          <w:color w:val="auto"/>
          <w:highlight w:val="none"/>
        </w:rPr>
        <w:t xml:space="preserve">招标代理费</w:t>
      </w:r>
      <w:r>
        <w:rPr>
          <w:rFonts w:hint="eastAsia" w:ascii="宋体" w:hAnsi="宋体" w:eastAsia="宋体" w:cs="宋体"/>
          <w:color w:val="auto"/>
          <w:highlight w:val="none"/>
          <w:lang w:val="zh-CN"/>
        </w:rPr>
        <w:t xml:space="preserve">费以及上述未提及但有关于本次招标设备的供货、安装、调试，</w:t>
      </w:r>
      <w:r>
        <w:rPr>
          <w:rFonts w:hint="eastAsia" w:ascii="宋体" w:hAnsi="宋体" w:eastAsia="宋体" w:cs="宋体"/>
          <w:color w:val="auto"/>
          <w:highlight w:val="none"/>
        </w:rPr>
        <w:t xml:space="preserve">直至验收合格交付及</w:t>
      </w:r>
      <w:r>
        <w:rPr>
          <w:rFonts w:hint="eastAsia" w:ascii="宋体" w:hAnsi="宋体" w:eastAsia="宋体" w:cs="宋体"/>
          <w:color w:val="auto"/>
          <w:highlight w:val="none"/>
          <w:lang w:val="zh-CN" w:bidi="ar"/>
        </w:rPr>
        <w:t xml:space="preserve">质保</w:t>
      </w:r>
      <w:r>
        <w:rPr>
          <w:rFonts w:hint="eastAsia" w:ascii="宋体" w:hAnsi="宋体" w:eastAsia="宋体" w:cs="宋体"/>
          <w:color w:val="auto"/>
          <w:highlight w:val="none"/>
        </w:rPr>
        <w:t xml:space="preserve">期间服务</w:t>
      </w:r>
      <w:r>
        <w:rPr>
          <w:rFonts w:hint="eastAsia" w:ascii="宋体" w:hAnsi="宋体" w:eastAsia="宋体" w:cs="宋体"/>
          <w:color w:val="auto"/>
          <w:highlight w:val="none"/>
          <w:lang w:val="zh-CN"/>
        </w:rPr>
        <w:t xml:space="preserve">。</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2、付款方式：</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2、付款步骤：</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w:t>
      </w:r>
      <w:r>
        <w:rPr>
          <w:rFonts w:hint="eastAsia" w:ascii="宋体" w:hAnsi="宋体" w:eastAsia="宋体" w:cs="宋体"/>
          <w:color w:val="auto"/>
          <w:highlight w:val="none"/>
          <w:lang w:val="zh-CN" w:bidi="ar"/>
        </w:rPr>
        <w:t xml:space="preserve">预付款</w:t>
      </w:r>
      <w:r>
        <w:rPr>
          <w:rFonts w:hint="eastAsia" w:ascii="宋体" w:hAnsi="宋体" w:eastAsia="宋体" w:cs="宋体"/>
          <w:color w:val="auto"/>
          <w:highlight w:val="none"/>
        </w:rPr>
        <w:t xml:space="preserve">：</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□乙方明确</w:t>
      </w:r>
      <w:r>
        <w:rPr>
          <w:rFonts w:hint="eastAsia" w:ascii="宋体" w:hAnsi="宋体" w:eastAsia="宋体" w:cs="宋体"/>
          <w:color w:val="auto"/>
          <w:highlight w:val="none"/>
          <w:lang w:val="zh-CN" w:bidi="ar"/>
        </w:rPr>
        <w:t xml:space="preserve">表示</w:t>
      </w:r>
      <w:r>
        <w:rPr>
          <w:rFonts w:hint="eastAsia" w:ascii="宋体" w:hAnsi="宋体" w:eastAsia="宋体" w:cs="宋体"/>
          <w:color w:val="auto"/>
          <w:highlight w:val="none"/>
        </w:rPr>
        <w:t xml:space="preserve">无需预付款；</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□有预付款：待合同签订生效后，甲方支付合同金额的30%的预付款，预付款将从第</w:t>
      </w:r>
      <w:r>
        <w:rPr>
          <w:rFonts w:hint="eastAsia" w:ascii="宋体" w:hAnsi="宋体" w:eastAsia="宋体" w:cs="宋体"/>
          <w:color w:val="auto"/>
          <w:highlight w:val="none"/>
          <w:u w:val="single"/>
        </w:rPr>
        <w:t xml:space="preserve">1</w:t>
      </w:r>
      <w:r>
        <w:rPr>
          <w:rFonts w:hint="eastAsia" w:ascii="宋体" w:hAnsi="宋体" w:eastAsia="宋体" w:cs="宋体"/>
          <w:color w:val="auto"/>
          <w:highlight w:val="none"/>
        </w:rPr>
        <w:t xml:space="preserve">笔（期）待支付的进度款款项中扣除。</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w:t>
      </w:r>
      <w:r>
        <w:rPr>
          <w:rFonts w:hint="eastAsia" w:ascii="宋体" w:hAnsi="宋体" w:eastAsia="宋体" w:cs="宋体"/>
          <w:b/>
          <w:color w:val="auto"/>
          <w:highlight w:val="none"/>
        </w:rPr>
        <w:t xml:space="preserve">进度款：</w:t>
      </w:r>
      <w:r>
        <w:rPr>
          <w:rFonts w:hint="eastAsia" w:ascii="宋体" w:hAnsi="宋体" w:eastAsia="宋体" w:cs="宋体"/>
          <w:color w:val="auto"/>
          <w:highlight w:val="none"/>
        </w:rPr>
        <w:t xml:space="preserve">乙方所提供的货物全部交付完毕，且全部货物验收合格后,甲方支付合同总金额的50％；乙方将所有货物安装调试通过且验收完成，甲方支付至合同总金额的70％。</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w:t>
      </w:r>
      <w:r>
        <w:rPr>
          <w:rFonts w:hint="eastAsia" w:ascii="宋体" w:hAnsi="宋体" w:eastAsia="宋体" w:cs="宋体"/>
          <w:b/>
          <w:color w:val="auto"/>
          <w:highlight w:val="none"/>
        </w:rPr>
        <w:t xml:space="preserve">结清款：</w:t>
      </w:r>
      <w:r>
        <w:rPr>
          <w:rFonts w:hint="eastAsia" w:ascii="宋体" w:hAnsi="宋体" w:eastAsia="宋体" w:cs="宋体"/>
          <w:color w:val="auto"/>
          <w:highlight w:val="none"/>
        </w:rPr>
        <w:t xml:space="preserve">经甲方组织的整个项目验收合格，且经园区审计部门审计，甲方支付至审计结果的90%；剩余10%在免费质保期满后七个工作日内付清。</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2.4在签订合同时，乙方明确表示无需预付款或者主动要求降低预付款比例的，甲方可不适用上述关于预付款的规定。</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3、项目实施完成后，将按如下方式进行最终审计：</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（1）以审计单位审定结果为本项目价款结算依据；</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本工程竣工审计按照园区财政投资建设项目的相关规定，承包人和发包人均应无条件同意配合，并承诺不就此提出任何异议。竣工结算审计后，如果工程结算核减金额超过送审总价的7%，则其结算审计费用的浮动部分中，超过7%部分按核减造价4%计算确定的审计费用由承包人承担，由采购人在工程款中代扣。</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4、在政府采购合同履行中，甲方需追加货物、工程或者服务的，需要具备以下要求：（1）追加金额</w:t>
      </w:r>
      <w:r>
        <w:rPr>
          <w:rFonts w:hint="eastAsia" w:ascii="宋体" w:hAnsi="宋体" w:eastAsia="宋体" w:cs="宋体"/>
          <w:color w:val="auto"/>
          <w:highlight w:val="none"/>
          <w:lang w:val="zh-CN" w:bidi="ar"/>
        </w:rPr>
        <w:t xml:space="preserve">不得</w:t>
      </w:r>
      <w:r>
        <w:rPr>
          <w:rFonts w:hint="eastAsia" w:ascii="宋体" w:hAnsi="宋体" w:eastAsia="宋体" w:cs="宋体"/>
          <w:color w:val="auto"/>
          <w:highlight w:val="none"/>
        </w:rPr>
        <w:t xml:space="preserve">超过原合同金额的10%；（2）原合同金额10%以内的追加费用，仅限于原合同内采购清单数量调整增加的项目费用，原合同外采购内容不得计入。</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5、付款方式：银行</w:t>
      </w:r>
      <w:r>
        <w:rPr>
          <w:rFonts w:hint="eastAsia" w:ascii="宋体" w:hAnsi="宋体" w:eastAsia="宋体" w:cs="宋体"/>
          <w:color w:val="auto"/>
          <w:highlight w:val="none"/>
          <w:lang w:val="zh-CN" w:bidi="ar"/>
        </w:rPr>
        <w:t xml:space="preserve">转账</w:t>
      </w:r>
      <w:r>
        <w:rPr>
          <w:rFonts w:hint="eastAsia" w:ascii="宋体" w:hAnsi="宋体" w:eastAsia="宋体" w:cs="宋体"/>
          <w:color w:val="auto"/>
          <w:highlight w:val="none"/>
        </w:rPr>
        <w:t xml:space="preserve">、银行汇票或转账支票，具体支付方式甲方有权根据财务安排自主选择。</w:t>
      </w:r>
      <w:r/>
    </w:p>
    <w:p>
      <w:pPr>
        <w:ind w:firstLine="480"/>
        <w:jc w:val="both"/>
        <w:spacing w:line="360" w:lineRule="auto"/>
        <w:widowControl w:val="off"/>
        <w:rPr>
          <w:rFonts w:hint="eastAsia" w:ascii="宋体" w:hAnsi="宋体" w:eastAsia="宋体" w:cs="宋体"/>
          <w:color w:val="auto"/>
          <w:highlight w:val="none"/>
          <w:lang w:val="zh-CN" w:bidi="ar"/>
        </w:rPr>
      </w:pPr>
      <w:r>
        <w:rPr>
          <w:rFonts w:hint="eastAsia" w:ascii="宋体" w:hAnsi="宋体" w:eastAsia="宋体" w:cs="宋体"/>
          <w:color w:val="auto"/>
          <w:highlight w:val="none"/>
        </w:rPr>
        <w:t xml:space="preserve">6、乙方开</w:t>
      </w:r>
      <w:r>
        <w:rPr>
          <w:rFonts w:hint="eastAsia" w:ascii="宋体" w:hAnsi="宋体" w:eastAsia="宋体" w:cs="宋体"/>
          <w:color w:val="auto"/>
          <w:highlight w:val="none"/>
          <w:lang w:val="zh-CN" w:bidi="ar"/>
        </w:rPr>
        <w:t xml:space="preserve">户银行名称、地址、账号为：</w:t>
      </w:r>
      <w:r/>
    </w:p>
    <w:p>
      <w:pPr>
        <w:ind w:firstLine="480"/>
        <w:jc w:val="both"/>
        <w:spacing w:line="360" w:lineRule="auto"/>
        <w:widowControl w:val="off"/>
        <w:rPr>
          <w:rFonts w:hint="eastAsia" w:ascii="宋体" w:hAnsi="宋体" w:eastAsia="宋体" w:cs="宋体"/>
          <w:color w:val="auto"/>
          <w:highlight w:val="none"/>
          <w:lang w:val="zh-CN" w:bidi="ar"/>
        </w:rPr>
      </w:pPr>
      <w:r>
        <w:rPr>
          <w:rFonts w:hint="eastAsia" w:ascii="宋体" w:hAnsi="宋体" w:eastAsia="宋体" w:cs="宋体"/>
          <w:color w:val="auto"/>
          <w:highlight w:val="none"/>
          <w:lang w:val="zh-CN" w:bidi="ar"/>
        </w:rPr>
        <w:t xml:space="preserve">户名：</w:t>
      </w:r>
      <w:r/>
    </w:p>
    <w:p>
      <w:pPr>
        <w:ind w:firstLine="480"/>
        <w:jc w:val="both"/>
        <w:spacing w:line="360" w:lineRule="auto"/>
        <w:widowControl w:val="off"/>
        <w:rPr>
          <w:rFonts w:hint="eastAsia" w:ascii="宋体" w:hAnsi="宋体" w:eastAsia="宋体" w:cs="宋体"/>
          <w:color w:val="auto"/>
          <w:highlight w:val="none"/>
          <w:lang w:val="zh-CN" w:bidi="ar"/>
        </w:rPr>
      </w:pPr>
      <w:r>
        <w:rPr>
          <w:rFonts w:hint="eastAsia" w:ascii="宋体" w:hAnsi="宋体" w:eastAsia="宋体" w:cs="宋体"/>
          <w:color w:val="auto"/>
          <w:highlight w:val="none"/>
          <w:lang w:val="zh-CN" w:bidi="ar"/>
        </w:rPr>
        <w:t xml:space="preserve">开户银行：</w:t>
      </w:r>
      <w:r/>
    </w:p>
    <w:p>
      <w:pPr>
        <w:ind w:firstLine="480"/>
        <w:jc w:val="both"/>
        <w:spacing w:line="360" w:lineRule="auto"/>
        <w:widowControl w:val="off"/>
        <w:rPr>
          <w:rFonts w:hint="eastAsia" w:ascii="宋体" w:hAnsi="宋体" w:eastAsia="宋体" w:cs="宋体"/>
          <w:color w:val="auto"/>
          <w:highlight w:val="none"/>
          <w:lang w:val="zh-CN" w:bidi="ar"/>
        </w:rPr>
      </w:pPr>
      <w:r>
        <w:rPr>
          <w:rFonts w:hint="eastAsia" w:ascii="宋体" w:hAnsi="宋体" w:eastAsia="宋体" w:cs="宋体"/>
          <w:color w:val="auto"/>
          <w:highlight w:val="none"/>
          <w:lang w:val="zh-CN" w:bidi="ar"/>
        </w:rPr>
        <w:t xml:space="preserve">账号：</w:t>
      </w:r>
      <w:r/>
    </w:p>
    <w:p>
      <w:pPr>
        <w:ind w:firstLine="480"/>
        <w:jc w:val="both"/>
        <w:spacing w:line="360" w:lineRule="auto"/>
        <w:widowControl w:val="off"/>
        <w:rPr>
          <w:rFonts w:hint="eastAsia" w:ascii="宋体" w:hAnsi="宋体" w:eastAsia="宋体" w:cs="宋体"/>
          <w:color w:val="auto"/>
          <w:highlight w:val="none"/>
          <w:lang w:val="zh-CN" w:bidi="ar"/>
        </w:rPr>
      </w:pPr>
      <w:r>
        <w:rPr>
          <w:rFonts w:hint="eastAsia" w:ascii="宋体" w:hAnsi="宋体" w:eastAsia="宋体" w:cs="宋体"/>
          <w:color w:val="auto"/>
          <w:highlight w:val="none"/>
          <w:lang w:val="zh-CN" w:bidi="ar"/>
        </w:rPr>
        <w:t xml:space="preserve">地址：</w:t>
      </w:r>
      <w:r/>
    </w:p>
    <w:p>
      <w:pPr>
        <w:ind w:firstLine="480"/>
        <w:jc w:val="both"/>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三、</w:t>
      </w:r>
      <w:r>
        <w:rPr>
          <w:rFonts w:hint="eastAsia" w:ascii="宋体" w:hAnsi="宋体" w:eastAsia="宋体" w:cs="宋体"/>
          <w:color w:val="auto"/>
          <w:highlight w:val="none"/>
        </w:rPr>
        <w:t xml:space="preserve">交货</w:t>
      </w:r>
      <w:r>
        <w:rPr>
          <w:rFonts w:hint="eastAsia" w:ascii="宋体" w:hAnsi="宋体" w:eastAsia="宋体" w:cs="宋体"/>
          <w:color w:val="auto"/>
          <w:highlight w:val="none"/>
          <w:lang w:val="zh-CN" w:bidi="ar"/>
        </w:rPr>
        <w:t xml:space="preserve">条件</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1、设备交付方式：乙方将设备送至甲方指定的地点并负责供货、安装、调试。</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2、交货时间：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日，发货前应书面通知甲方。</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3、交货地点：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4、乙方发货到甲方指定地点时应先用函、电通告甲方。</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5、产品的外观、包装、运输应按国家规定或部颁标准执行，如因乙方包装不当以及其他原因造成损坏或丢失，应由乙方负责修复或补缺。</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6、产品</w:t>
      </w:r>
      <w:r>
        <w:rPr>
          <w:rFonts w:hint="eastAsia" w:ascii="宋体" w:hAnsi="宋体" w:eastAsia="宋体" w:cs="宋体"/>
          <w:color w:val="auto"/>
          <w:highlight w:val="none"/>
          <w:lang w:val="zh-CN" w:bidi="ar"/>
        </w:rPr>
        <w:t xml:space="preserve">交货</w:t>
      </w:r>
      <w:r>
        <w:rPr>
          <w:rFonts w:hint="eastAsia" w:ascii="宋体" w:hAnsi="宋体" w:eastAsia="宋体" w:cs="宋体"/>
          <w:color w:val="auto"/>
          <w:highlight w:val="none"/>
        </w:rPr>
        <w:t xml:space="preserve">时，包装完整无破损，还必须提供以下材料：</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A、设备装箱清单</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B、质检合格文件</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C、原产地</w:t>
      </w:r>
      <w:r>
        <w:rPr>
          <w:rFonts w:hint="eastAsia" w:ascii="宋体" w:hAnsi="宋体" w:eastAsia="宋体" w:cs="宋体"/>
          <w:color w:val="auto"/>
          <w:highlight w:val="none"/>
          <w:lang w:val="zh-CN" w:bidi="ar"/>
        </w:rPr>
        <w:t xml:space="preserve">证明</w:t>
      </w:r>
      <w:r>
        <w:rPr>
          <w:rFonts w:hint="eastAsia" w:ascii="宋体" w:hAnsi="宋体" w:eastAsia="宋体" w:cs="宋体"/>
          <w:color w:val="auto"/>
          <w:highlight w:val="none"/>
        </w:rPr>
        <w:t xml:space="preserve">文件</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D、中文标注</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E、使用维修保养中文说明书</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F、其他必备材料和必备工具、货物等</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G、保修单</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H、相关设备原厂质保证明单。（如有）</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四、质量与验收：</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1、乙方应按照标书的有关规定提供合格设备；</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2、设备质量出现问题，乙方负责包修、包退、包换，费用由乙方承担；</w:t>
      </w:r>
      <w:r/>
    </w:p>
    <w:p>
      <w:pPr>
        <w:ind w:firstLine="480"/>
        <w:jc w:val="both"/>
        <w:spacing w:line="360" w:lineRule="auto"/>
        <w:widowControl w:val="off"/>
        <w:rPr>
          <w:rFonts w:hint="eastAsia" w:ascii="宋体" w:hAnsi="宋体" w:eastAsia="宋体" w:cs="宋体"/>
          <w:color w:val="auto"/>
          <w:highlight w:val="none"/>
          <w:lang w:bidi="ar"/>
        </w:rPr>
      </w:pPr>
      <w:r>
        <w:rPr>
          <w:rFonts w:hint="eastAsia" w:ascii="宋体" w:hAnsi="宋体" w:eastAsia="宋体" w:cs="宋体"/>
          <w:color w:val="auto"/>
          <w:highlight w:val="none"/>
        </w:rPr>
        <w:t xml:space="preserve">3、本项目将根据政府采购法及相关法规，《江苏省政府采购履约验收管理办法》以及《关于进一步加强履约验收管理的通知》文件的规定，对供应商进行履约验收，确认验收合</w:t>
      </w:r>
      <w:r>
        <w:rPr>
          <w:rFonts w:hint="eastAsia" w:ascii="宋体" w:hAnsi="宋体" w:eastAsia="宋体" w:cs="宋体"/>
          <w:color w:val="auto"/>
          <w:highlight w:val="none"/>
          <w:lang w:bidi="ar"/>
        </w:rPr>
        <w:t xml:space="preserve">格的，将出具《政府采购履约验收书》。</w:t>
      </w:r>
      <w:r/>
    </w:p>
    <w:p>
      <w:pPr>
        <w:ind w:firstLine="480"/>
        <w:jc w:val="both"/>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3.1</w:t>
      </w:r>
      <w:r>
        <w:rPr>
          <w:rFonts w:hint="eastAsia" w:ascii="宋体" w:hAnsi="宋体" w:eastAsia="宋体" w:cs="宋体"/>
          <w:color w:val="auto"/>
          <w:highlight w:val="none"/>
          <w:lang w:val="zh-CN"/>
        </w:rPr>
        <w:t xml:space="preserve">履约验收主体：甲方；</w:t>
      </w:r>
      <w:r>
        <w:rPr>
          <w:rFonts w:hint="eastAsia" w:ascii="宋体" w:hAnsi="宋体" w:eastAsia="宋体" w:cs="宋体"/>
          <w:color w:val="auto"/>
          <w:highlight w:val="none"/>
          <w:lang w:val="zh-CN"/>
        </w:rPr>
        <w:tab/>
      </w:r>
      <w:r/>
    </w:p>
    <w:p>
      <w:pPr>
        <w:ind w:firstLine="480"/>
        <w:jc w:val="both"/>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3.2提出履约验收申请</w:t>
      </w:r>
      <w:r>
        <w:rPr>
          <w:rFonts w:hint="eastAsia" w:ascii="宋体" w:hAnsi="宋体" w:eastAsia="宋体" w:cs="宋体"/>
          <w:color w:val="auto"/>
          <w:highlight w:val="none"/>
          <w:lang w:val="zh-CN"/>
        </w:rPr>
        <w:t xml:space="preserve">：合同履行达到采购文件明确的验收条件时，乙方应向甲方发出项目验收申请。乙方未及时履约或发出验收申请的，甲方依照合同约定催告，</w:t>
      </w:r>
      <w:r>
        <w:rPr>
          <w:rFonts w:hint="eastAsia" w:ascii="宋体" w:hAnsi="宋体" w:eastAsia="宋体" w:cs="宋体"/>
          <w:color w:val="auto"/>
          <w:highlight w:val="none"/>
        </w:rPr>
        <w:t xml:space="preserve">提出履约验收要求</w:t>
      </w:r>
      <w:r>
        <w:rPr>
          <w:rFonts w:hint="eastAsia" w:ascii="宋体" w:hAnsi="宋体" w:eastAsia="宋体" w:cs="宋体"/>
          <w:color w:val="auto"/>
          <w:highlight w:val="none"/>
          <w:lang w:val="zh-CN"/>
        </w:rPr>
        <w:t xml:space="preserve">。乙方在收到催告后五个工作日内拒不配合的，甲方将依照合同约定追究其责任。</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3.3履约验收准备时间：甲方应及时全面准备验收，自收到验收申请之日起五个工作日内做好必要的验收准备工作、启动项目验收、通知乙方。</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3.4履约验收方式：甲方应组织成立验收小组，验收小组负责实施项目验收工作。</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3.5验收期限：自产品安装调试完毕交付之日起30日内，如有特殊情况，双方另行协调。</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3.6验收标准：国家或行业相关标准（如有）、《江苏省政府采购履约验收管理办法》以及《关于进一步加强履约验收管理的通知》、合同条款、采购需求的所有内容，采购文件、投标文件、乙方在评标过程中做出的有关澄清说明或补充文件、中标通知书等。</w:t>
      </w:r>
      <w:r/>
    </w:p>
    <w:p>
      <w:pPr>
        <w:ind w:firstLine="480"/>
        <w:jc w:val="both"/>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3.7履约验收程序：</w:t>
      </w:r>
      <w:r/>
    </w:p>
    <w:p>
      <w:pPr>
        <w:ind w:firstLine="480"/>
        <w:jc w:val="both"/>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3.7</w:t>
      </w:r>
      <w:r>
        <w:rPr>
          <w:rFonts w:hint="eastAsia" w:ascii="宋体" w:hAnsi="宋体" w:eastAsia="宋体" w:cs="宋体"/>
          <w:color w:val="auto"/>
          <w:highlight w:val="none"/>
          <w:lang w:val="zh-CN"/>
        </w:rPr>
        <w:t xml:space="preserve">.1验收小组应当认真履行项目验收职责，做好验收记录，确保验收意见客观真实反映乙方对合同的履行情况。验收小组应当要求乙方提供能证明其按照合同约定数量或工作量清单履约的相关记录或者凭证，根据履约验收方案，</w:t>
      </w:r>
      <w:r>
        <w:rPr>
          <w:rFonts w:hint="eastAsia" w:ascii="宋体" w:hAnsi="宋体" w:eastAsia="宋体" w:cs="宋体"/>
          <w:color w:val="auto"/>
          <w:highlight w:val="none"/>
        </w:rPr>
        <w:t xml:space="preserve">对乙方提供的货物按照采购文件</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val="zh-CN"/>
        </w:rPr>
        <w:t xml:space="preserve">文件、政府采购合同等逐一进行检验、核实、评估等工作，使用音视频、对现场情况描述且签字等方式留存证明材料，由乙方确认，作为履约验收的重要凭据。验收结束后，验收小组应在验收书中作出最终验收意见，验收小组成员对验收意见有异议的，应当在验收意见栏签署不同意见并说明理由否则视为同意验收意见。验收意见由乙方盖章确认后报甲方。相关验收费用由乙方承担，并在报价时综合考虑。</w:t>
      </w:r>
      <w:r/>
    </w:p>
    <w:p>
      <w:pPr>
        <w:ind w:firstLine="480"/>
        <w:jc w:val="both"/>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3.7</w:t>
      </w: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rPr>
        <w:t xml:space="preserve">甲方应当对验收小组的验收意见进行确认并盖章</w:t>
      </w:r>
      <w:r>
        <w:rPr>
          <w:rFonts w:hint="eastAsia" w:ascii="宋体" w:hAnsi="宋体" w:eastAsia="宋体" w:cs="宋体"/>
          <w:color w:val="auto"/>
          <w:highlight w:val="none"/>
          <w:lang w:val="zh-CN"/>
        </w:rPr>
        <w:t xml:space="preserve">。确认验收合格的，甲方在验收书上加盖单位公章；验收结果与采购合同不一致的，甲方应当根据验收意见中载明的具体偏差内容和处置建议，研究确定验收结论并加盖公章；验收小组成员意见存在分歧的，甲方应当对异议事项进行复核，妥善处置。</w:t>
      </w:r>
      <w:r/>
    </w:p>
    <w:p>
      <w:pPr>
        <w:ind w:firstLine="480"/>
        <w:jc w:val="both"/>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3.8</w:t>
      </w:r>
      <w:r>
        <w:rPr>
          <w:rFonts w:hint="eastAsia" w:ascii="宋体" w:hAnsi="宋体" w:eastAsia="宋体" w:cs="宋体"/>
          <w:color w:val="auto"/>
          <w:highlight w:val="none"/>
          <w:lang w:val="zh-CN"/>
        </w:rPr>
        <w:t xml:space="preserve">履约验收内容：包括每一项技术和商务要求的履约情况。包括但不限于：</w:t>
      </w:r>
      <w:r>
        <w:rPr>
          <w:rFonts w:hint="eastAsia" w:ascii="宋体" w:hAnsi="宋体" w:eastAsia="宋体" w:cs="宋体"/>
          <w:color w:val="auto"/>
          <w:highlight w:val="none"/>
        </w:rPr>
        <w:t xml:space="preserve">检查外包装是否完好无损</w:t>
      </w:r>
      <w:r>
        <w:rPr>
          <w:rFonts w:hint="eastAsia" w:ascii="宋体" w:hAnsi="宋体" w:eastAsia="宋体" w:cs="宋体"/>
          <w:color w:val="auto"/>
          <w:highlight w:val="none"/>
          <w:lang w:val="zh-CN"/>
        </w:rPr>
        <w:t xml:space="preserve">；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firstLine="480"/>
        <w:jc w:val="both"/>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3.9</w:t>
      </w:r>
      <w:r>
        <w:rPr>
          <w:rFonts w:hint="eastAsia" w:ascii="宋体" w:hAnsi="宋体" w:eastAsia="宋体" w:cs="宋体"/>
          <w:color w:val="auto"/>
          <w:highlight w:val="none"/>
          <w:lang w:val="zh-CN"/>
        </w:rPr>
        <w:t xml:space="preserve">履约验收时限：甲方在验收过程中发现的问题，具备限期整改条件的，甲方应在发现服务质量不符合约定之日起 3日内向乙方提出书面限期整改，</w:t>
      </w:r>
      <w:r>
        <w:rPr>
          <w:rFonts w:hint="eastAsia" w:ascii="宋体" w:hAnsi="宋体" w:eastAsia="宋体" w:cs="宋体"/>
          <w:color w:val="auto"/>
          <w:highlight w:val="none"/>
        </w:rPr>
        <w:t xml:space="preserve">乙方在接到书面限期整改后</w:t>
      </w:r>
      <w:r>
        <w:rPr>
          <w:rFonts w:hint="eastAsia" w:ascii="宋体" w:hAnsi="宋体" w:eastAsia="宋体" w:cs="宋体"/>
          <w:color w:val="auto"/>
          <w:highlight w:val="none"/>
          <w:lang w:val="zh-CN"/>
        </w:rPr>
        <w:t xml:space="preserve">，应当在3日内负责处理并书面回复甲方，否则将视为默认甲方提出的异议和处理意见。整改期满后重新验收。不具备整改条件或乙方未按要求按期整改的，甲方依法追究乙方的违约责任并根据生效的裁判文书支付资金。乙方不认可验收意见的，按照采购合同约定的方式解决；合同中约定的方式未能解决的，按照《中华人民共和国民法典》等法律法规规定处理。</w:t>
      </w:r>
      <w:r/>
    </w:p>
    <w:p>
      <w:pPr>
        <w:ind w:firstLine="480"/>
        <w:jc w:val="both"/>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3.10</w:t>
      </w:r>
      <w:r>
        <w:rPr>
          <w:rFonts w:hint="eastAsia" w:ascii="宋体" w:hAnsi="宋体" w:eastAsia="宋体" w:cs="宋体"/>
          <w:color w:val="auto"/>
          <w:highlight w:val="none"/>
          <w:lang w:val="zh-CN"/>
        </w:rPr>
        <w:t xml:space="preserve">验收时或在验收后因质量原因产生的争议，</w:t>
      </w:r>
      <w:r>
        <w:rPr>
          <w:rFonts w:hint="eastAsia" w:ascii="宋体" w:hAnsi="宋体" w:eastAsia="宋体" w:cs="宋体"/>
          <w:color w:val="auto"/>
          <w:highlight w:val="none"/>
        </w:rPr>
        <w:t xml:space="preserve">由甲乙双方共同邀请国家认可的质量检测机构进行检测</w:t>
      </w:r>
      <w:r>
        <w:rPr>
          <w:rFonts w:hint="eastAsia" w:ascii="宋体" w:hAnsi="宋体" w:eastAsia="宋体" w:cs="宋体"/>
          <w:color w:val="auto"/>
          <w:highlight w:val="none"/>
          <w:lang w:val="zh-CN"/>
        </w:rPr>
        <w:t xml:space="preserve">，以第三方国家认可的质量检测机构的检测结果作为依据，检测不合格或存在质量问题的，检测费用由乙方承担。因乙方原因或乙方主动申请发生的费用，由乙方承担。</w:t>
      </w:r>
      <w:r/>
    </w:p>
    <w:p>
      <w:pPr>
        <w:ind w:firstLine="480"/>
        <w:jc w:val="both"/>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3.11如果甲方在验收期满后既不出具验收合格证明又未提出书面异议的视为乙方所提供服务符合合同规定</w:t>
      </w:r>
      <w:r>
        <w:rPr>
          <w:rFonts w:hint="eastAsia" w:ascii="宋体" w:hAnsi="宋体" w:eastAsia="宋体" w:cs="宋体"/>
          <w:color w:val="auto"/>
          <w:highlight w:val="none"/>
          <w:lang w:val="zh-CN"/>
        </w:rPr>
        <w:t xml:space="preserve">。</w:t>
      </w:r>
      <w:r/>
    </w:p>
    <w:p>
      <w:pPr>
        <w:ind w:firstLine="480"/>
        <w:jc w:val="both"/>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3.12</w:t>
      </w:r>
      <w:r>
        <w:rPr>
          <w:rFonts w:hint="eastAsia" w:ascii="宋体" w:hAnsi="宋体" w:eastAsia="宋体" w:cs="宋体"/>
          <w:color w:val="auto"/>
          <w:highlight w:val="none"/>
          <w:lang w:val="zh-CN"/>
        </w:rPr>
        <w:t xml:space="preserve">合同履行达到采购文件明确的验收条件时，乙方未及时履约或发出验收申请的，</w:t>
      </w:r>
      <w:r>
        <w:rPr>
          <w:rFonts w:hint="eastAsia" w:ascii="宋体" w:hAnsi="宋体" w:eastAsia="宋体" w:cs="宋体"/>
          <w:color w:val="auto"/>
          <w:highlight w:val="none"/>
        </w:rPr>
        <w:t xml:space="preserve">甲方依照合同约定催告</w:t>
      </w:r>
      <w:r>
        <w:rPr>
          <w:rFonts w:hint="eastAsia" w:ascii="宋体" w:hAnsi="宋体" w:eastAsia="宋体" w:cs="宋体"/>
          <w:color w:val="auto"/>
          <w:highlight w:val="none"/>
          <w:lang w:val="zh-CN"/>
        </w:rPr>
        <w:t xml:space="preserve">，提出履约验收要求。乙方在收到催告后五个工作日内拒不配合的，则视为乙方同意甲方的验收结果，由此产生的不利于乙方的后果由乙方自行承担。</w:t>
      </w:r>
      <w:r/>
    </w:p>
    <w:p>
      <w:pPr>
        <w:ind w:firstLine="480"/>
        <w:jc w:val="both"/>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3.13</w:t>
      </w:r>
      <w:r>
        <w:rPr>
          <w:rFonts w:hint="eastAsia" w:ascii="宋体" w:hAnsi="宋体" w:eastAsia="宋体" w:cs="宋体"/>
          <w:color w:val="auto"/>
          <w:highlight w:val="none"/>
          <w:lang w:val="zh-CN"/>
        </w:rPr>
        <w:t xml:space="preserve"> </w:t>
      </w:r>
      <w:r>
        <w:rPr>
          <w:rFonts w:hint="eastAsia" w:ascii="宋体" w:hAnsi="宋体" w:eastAsia="宋体" w:cs="宋体"/>
          <w:color w:val="auto"/>
          <w:highlight w:val="none"/>
        </w:rPr>
        <w:t xml:space="preserve">履约验收合格作为政府采购项目财政性资金支付的必备条件</w:t>
      </w:r>
      <w:r>
        <w:rPr>
          <w:rFonts w:hint="eastAsia" w:ascii="宋体" w:hAnsi="宋体" w:eastAsia="宋体" w:cs="宋体"/>
          <w:color w:val="auto"/>
          <w:highlight w:val="none"/>
          <w:lang w:val="zh-CN"/>
        </w:rPr>
        <w:t xml:space="preserve">。</w:t>
      </w:r>
      <w:r/>
    </w:p>
    <w:p>
      <w:pPr>
        <w:ind w:firstLine="480"/>
        <w:jc w:val="both"/>
        <w:spacing w:line="360" w:lineRule="auto"/>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五</w:t>
      </w:r>
      <w:r>
        <w:rPr>
          <w:rFonts w:hint="eastAsia" w:ascii="宋体" w:hAnsi="宋体" w:eastAsia="宋体" w:cs="宋体"/>
          <w:color w:val="auto"/>
          <w:highlight w:val="none"/>
          <w:lang w:val="zh-CN"/>
        </w:rPr>
        <w:t xml:space="preserve">、售后服务：</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1、质保期为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2、按照采购文件和乙方在响应文件中承诺的服务执行。</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六、交货和安装：</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1、交货时间：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日，发货前应书面通知甲方；</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2、交货地点：甲方指定地点并通过甲方验收。</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3、附货物一并交付甲方的资料。</w:t>
      </w:r>
      <w:r/>
    </w:p>
    <w:p>
      <w:pPr>
        <w:ind w:firstLine="480"/>
        <w:jc w:val="both"/>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七、</w:t>
      </w:r>
      <w:r>
        <w:rPr>
          <w:rFonts w:hint="eastAsia" w:ascii="宋体" w:hAnsi="宋体" w:eastAsia="宋体" w:cs="宋体"/>
          <w:color w:val="auto"/>
          <w:highlight w:val="none"/>
        </w:rPr>
        <w:t xml:space="preserve">违约责任</w:t>
      </w:r>
      <w:r/>
    </w:p>
    <w:p>
      <w:pPr>
        <w:ind w:firstLine="480"/>
        <w:jc w:val="both"/>
        <w:spacing w:line="360" w:lineRule="auto"/>
        <w:widowControl w:val="off"/>
        <w:rPr>
          <w:rFonts w:hint="eastAsia" w:ascii="宋体" w:hAnsi="宋体" w:eastAsia="宋体" w:cs="宋体"/>
          <w:bCs/>
          <w:color w:val="auto"/>
          <w:highlight w:val="none"/>
        </w:rPr>
      </w:pPr>
      <w:r>
        <w:rPr>
          <w:rFonts w:hint="eastAsia" w:ascii="宋体" w:hAnsi="宋体" w:eastAsia="宋体" w:cs="宋体"/>
          <w:color w:val="auto"/>
          <w:highlight w:val="none"/>
        </w:rPr>
        <w:t xml:space="preserve">按合同一般条款规定执行</w:t>
      </w:r>
      <w:r>
        <w:rPr>
          <w:rFonts w:hint="eastAsia" w:ascii="宋体" w:hAnsi="宋体" w:eastAsia="宋体" w:cs="宋体"/>
          <w:bCs/>
          <w:color w:val="auto"/>
          <w:highlight w:val="none"/>
        </w:rPr>
        <w:t xml:space="preserve">。</w:t>
      </w:r>
      <w:r/>
    </w:p>
    <w:p>
      <w:pPr>
        <w:ind w:firstLine="480"/>
        <w:jc w:val="both"/>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八、索赔</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1、甲方有权根据当地产品质量检验机构或其它有权部门出具的检验证书向乙方提出索赔。</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2、在本合同规定的检验期和质量保证期内，如果乙方对甲方提出的索赔或差异有责任，则乙方应按甲方同意的下列一种或多种方式解决索赔事宜：</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2.1乙方退货，并按合同规定的货币将货款退还给甲方，并承担由此发生的一切损失和费用，包括利息、银行手续费、运费、保险费、检验费、仓储费、装卸费以及为保护退回标的物所需的其他必要费用。</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2.2根据标的物的低劣程度、损坏程度以及甲方遭受损失的数额，经双方协商确定降低标的物的价格。</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0"/>
        <w:jc w:val="both"/>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九、争议的解决</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双方约定，在履行合同过程中产生争议时：</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（1）请双方在协商基础上进行调解。 </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（2）在协商基础上进行调解无效时，向甲方所在地人民法院提起诉讼。</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十、知识产权</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乙方应保护甲方在使用该货物或其任何一部分时不受第三方提出侵犯专利权、商标权或工业设计权等知识产权侵权的指控。如果任何第三方提出侵权指控，乙方须与第三方交涉并承担可能发生的一切法律责任和费用。如因此不可避免导致甲方承担相关责任或费用的，乙方负责赔偿甲方因此造成的损失，包括但不限于因此支付的诉讼费、律师费等。乙方对—切可能的侵权指控负责。</w:t>
      </w:r>
      <w:r/>
    </w:p>
    <w:p>
      <w:pPr>
        <w:ind w:firstLine="480"/>
        <w:jc w:val="both"/>
        <w:spacing w:line="360" w:lineRule="auto"/>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十一、合同生效</w:t>
      </w:r>
      <w:r>
        <w:rPr>
          <w:rFonts w:hint="eastAsia" w:ascii="宋体" w:hAnsi="宋体" w:eastAsia="宋体" w:cs="宋体"/>
          <w:color w:val="auto"/>
          <w:highlight w:val="none"/>
        </w:rPr>
        <w:t xml:space="preserve">及其</w:t>
      </w:r>
      <w:r>
        <w:rPr>
          <w:rFonts w:hint="eastAsia" w:ascii="宋体" w:hAnsi="宋体" w:eastAsia="宋体" w:cs="宋体"/>
          <w:bCs/>
          <w:color w:val="auto"/>
          <w:highlight w:val="none"/>
        </w:rPr>
        <w:t xml:space="preserve">它</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1、合同经招标代理机构加盖骑缝章，甲乙双方法定代表人或其委托代理人签字并加盖公章（或合同章）后生效，合同签订后2个工作日内需上传系统网上公示并系统备案。</w:t>
      </w:r>
      <w:r/>
    </w:p>
    <w:p>
      <w:pPr>
        <w:ind w:firstLine="480"/>
        <w:jc w:val="both"/>
        <w:spacing w:line="360" w:lineRule="auto"/>
        <w:widowControl w:val="off"/>
        <w:rPr>
          <w:rFonts w:hint="eastAsia" w:ascii="宋体" w:hAnsi="宋体" w:eastAsia="宋体" w:cs="宋体"/>
          <w:bCs/>
          <w:color w:val="auto"/>
          <w:highlight w:val="none"/>
        </w:rPr>
      </w:pPr>
      <w:r>
        <w:rPr>
          <w:rFonts w:hint="eastAsia" w:ascii="宋体" w:hAnsi="宋体" w:eastAsia="宋体" w:cs="宋体"/>
          <w:color w:val="auto"/>
          <w:highlight w:val="none"/>
        </w:rPr>
        <w:t xml:space="preserve">2、合同在执行过程中出现的未尽事宜，双方在不违背本合同和招标文件的原则下协商解决，协商结果以书面形式盖章记录在案，作为本合同的附件，与本合同具有同等</w:t>
      </w:r>
      <w:r>
        <w:rPr>
          <w:rFonts w:hint="eastAsia" w:ascii="宋体" w:hAnsi="宋体" w:eastAsia="宋体" w:cs="宋体"/>
          <w:bCs/>
          <w:color w:val="auto"/>
          <w:highlight w:val="none"/>
        </w:rPr>
        <w:t xml:space="preserve">效力，但需提交招标人一份备存。</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rPr>
        <w:t xml:space="preserve">3、</w:t>
      </w:r>
      <w:r>
        <w:rPr>
          <w:rFonts w:hint="eastAsia" w:ascii="宋体" w:hAnsi="宋体" w:eastAsia="宋体" w:cs="宋体"/>
          <w:color w:val="auto"/>
          <w:highlight w:val="none"/>
        </w:rPr>
        <w:t xml:space="preserve">有权解除合同的一方</w:t>
      </w:r>
      <w:r>
        <w:rPr>
          <w:rFonts w:hint="eastAsia" w:ascii="宋体" w:hAnsi="宋体" w:eastAsia="宋体" w:cs="宋体"/>
          <w:bCs/>
          <w:color w:val="auto"/>
          <w:highlight w:val="none"/>
        </w:rPr>
        <w:t xml:space="preserve">，应当在违约事实或不可抗力发生之后三十天内书面通知对方以主张解</w:t>
      </w:r>
      <w:r>
        <w:rPr>
          <w:rFonts w:hint="eastAsia" w:ascii="宋体" w:hAnsi="宋体" w:eastAsia="宋体" w:cs="宋体"/>
          <w:color w:val="auto"/>
          <w:highlight w:val="none"/>
        </w:rPr>
        <w:t xml:space="preserve">除合同，合同在书面通知到达对方时解除。</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4、合同履行过程中出现危害国家利益和社会公共利益问题的，采购人有权变更、中止或者终止、解除合同。</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6、本合同一式伍份，甲方贰份、乙方贰份及采购代理机构执壹份。</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附件：</w:t>
      </w:r>
      <w:r/>
    </w:p>
    <w:p>
      <w:pPr>
        <w:ind w:firstLine="482"/>
        <w:jc w:val="center"/>
        <w:spacing w:line="480" w:lineRule="auto"/>
        <w:rPr>
          <w:rFonts w:hint="eastAsia" w:ascii="宋体" w:hAnsi="宋体" w:eastAsia="宋体" w:cs="宋体"/>
          <w:b/>
          <w:bCs/>
          <w:color w:val="auto"/>
          <w:highlight w:val="none"/>
        </w:rPr>
      </w:pPr>
      <w:r/>
      <w:bookmarkStart w:id="135" w:name="OLE_LINK10"/>
      <w:r/>
      <w:bookmarkStart w:id="136" w:name="OLE_LINK25"/>
      <w:r/>
      <w:bookmarkStart w:id="137" w:name="OLE_LINK24"/>
      <w:r/>
      <w:bookmarkStart w:id="138" w:name="_Toc291668812"/>
      <w:r>
        <w:rPr>
          <w:rFonts w:hint="eastAsia" w:ascii="宋体" w:hAnsi="宋体" w:eastAsia="宋体" w:cs="宋体"/>
          <w:b/>
          <w:bCs/>
          <w:color w:val="auto"/>
          <w:sz w:val="32"/>
          <w:szCs w:val="32"/>
          <w:highlight w:val="none"/>
        </w:rPr>
        <w:t xml:space="preserve">表1：政府采购履约验收通知单</w:t>
      </w:r>
      <w:r/>
    </w:p>
    <w:tbl>
      <w:tblPr>
        <w:tblStyle w:val="908"/>
        <w:tblpPr w:horzAnchor="margin" w:tblpXSpec="left" w:vertAnchor="text" w:tblpY="187"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176"/>
        <w:gridCol w:w="2828"/>
        <w:gridCol w:w="1176"/>
        <w:gridCol w:w="3130"/>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履约验收方案及工作要求</w:t>
            </w:r>
            <w:r/>
          </w:p>
        </w:tc>
      </w:tr>
      <w:tr>
        <w:trPr>
          <w:trHeight w:val="4244"/>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336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单位公章</w:t>
            </w:r>
            <w:r/>
          </w:p>
          <w:p>
            <w:pPr>
              <w:ind w:firstLine="336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88"/>
              <w:ind w:firstLine="480"/>
              <w:jc w:val="center"/>
              <w:rPr>
                <w:rFonts w:hint="eastAsia" w:hAnsi="宋体" w:cs="宋体"/>
                <w:color w:val="auto"/>
                <w:sz w:val="24"/>
                <w:szCs w:val="24"/>
                <w:highlight w:val="none"/>
              </w:rPr>
            </w:pPr>
            <w:r>
              <w:rPr>
                <w:rFonts w:hint="eastAsia" w:hAnsi="宋体" w:cs="宋体"/>
                <w:color w:val="auto"/>
                <w:sz w:val="24"/>
                <w:szCs w:val="24"/>
                <w:highlight w:val="none"/>
              </w:rPr>
              <w:t xml:space="preserve">年 月 日</w:t>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883"/>
        <w:rPr>
          <w:rFonts w:hint="eastAsia" w:ascii="宋体" w:hAnsi="宋体" w:eastAsia="宋体" w:cs="宋体"/>
          <w:color w:val="auto"/>
          <w:highlight w:val="none"/>
          <w:lang w:val="zh-CN"/>
        </w:rPr>
      </w:pPr>
      <w:r>
        <w:rPr>
          <w:rFonts w:hint="eastAsia" w:ascii="宋体" w:hAnsi="宋体" w:eastAsia="宋体" w:cs="宋体"/>
          <w:b/>
          <w:bCs/>
          <w:color w:val="auto"/>
          <w:sz w:val="44"/>
          <w:szCs w:val="44"/>
          <w:highlight w:val="none"/>
        </w:rPr>
        <w:br w:type="page" w:clear="all"/>
      </w:r>
      <w:r/>
    </w:p>
    <w:tbl>
      <w:tblPr>
        <w:tblStyle w:val="908"/>
        <w:tblW w:w="5116" w:type="pct"/>
        <w:jc w:val="center"/>
        <w:tblLayout w:type="fixed"/>
        <w:tblCellMar>
          <w:left w:w="108" w:type="dxa"/>
          <w:top w:w="0" w:type="dxa"/>
          <w:right w:w="108" w:type="dxa"/>
          <w:bottom w:w="0" w:type="dxa"/>
        </w:tblCellMar>
        <w:tblLook w:val="04A0" w:firstRow="1" w:lastRow="0" w:firstColumn="1" w:lastColumn="0" w:noHBand="0" w:noVBand="1"/>
      </w:tblPr>
      <w:tblGrid>
        <w:gridCol w:w="1038"/>
        <w:gridCol w:w="1618"/>
        <w:gridCol w:w="1170"/>
        <w:gridCol w:w="1106"/>
        <w:gridCol w:w="1165"/>
        <w:gridCol w:w="1255"/>
        <w:gridCol w:w="1153"/>
      </w:tblGrid>
      <w:tr>
        <w:trPr>
          <w:jc w:val="center"/>
          <w:trHeight w:val="499"/>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表2：政府采购履约验收书（货物类）</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416"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（姓名+职务+单位）</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采购代理机构</w:t>
            </w:r>
            <w:r/>
          </w:p>
        </w:tc>
        <w:tc>
          <w:tcPr>
            <w:gridSpan w:val="3"/>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验收日期和地点</w:t>
            </w:r>
            <w:r/>
          </w:p>
        </w:tc>
        <w:tc>
          <w:tcPr>
            <w:gridSpan w:val="2"/>
            <w:tcBorders>
              <w:top w:val="single" w:color="000000" w:sz="4" w:space="0"/>
              <w:left w:val="single" w:color="000000" w:sz="4" w:space="0"/>
              <w:bottom w:val="single" w:color="000000" w:sz="4" w:space="0"/>
              <w:right w:val="single" w:color="000000" w:sz="4" w:space="0"/>
            </w:tcBorders>
            <w:tcW w:w="1416" w:type="pct"/>
            <w:vAlign w:val="center"/>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项目名称和编号</w:t>
            </w:r>
            <w:r/>
          </w:p>
        </w:tc>
        <w:tc>
          <w:tcPr>
            <w:gridSpan w:val="3"/>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416" w:type="pct"/>
            <w:vAlign w:val="center"/>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验收组织形式</w:t>
            </w:r>
            <w:r/>
          </w:p>
        </w:tc>
        <w:tc>
          <w:tcPr>
            <w:gridSpan w:val="6"/>
            <w:tcBorders>
              <w:top w:val="single" w:color="000000" w:sz="4" w:space="0"/>
              <w:left w:val="single" w:color="000000" w:sz="4" w:space="0"/>
              <w:bottom w:val="single" w:color="000000" w:sz="4" w:space="0"/>
              <w:right w:val="single" w:color="000000" w:sz="4" w:space="0"/>
            </w:tcBorders>
            <w:tcW w:w="4390" w:type="pct"/>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□采购人自行组织验收          □委托代理机构验收</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□是      □否</w:t>
            </w:r>
            <w:r/>
          </w:p>
        </w:tc>
        <w:tc>
          <w:tcPr>
            <w:tcBorders>
              <w:top w:val="single" w:color="000000" w:sz="4" w:space="0"/>
              <w:left w:val="single" w:color="000000" w:sz="4" w:space="0"/>
              <w:bottom w:val="none" w:color="000000" w:sz="4" w:space="0"/>
              <w:right w:val="single" w:color="000000" w:sz="4" w:space="0"/>
            </w:tcBorders>
            <w:tcW w:w="688"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日常检查/分段验收情况</w:t>
            </w:r>
            <w:r/>
          </w:p>
        </w:tc>
        <w:tc>
          <w:tcPr>
            <w:gridSpan w:val="4"/>
            <w:tcBorders>
              <w:top w:val="single" w:color="000000" w:sz="4" w:space="0"/>
              <w:left w:val="single" w:color="000000" w:sz="4" w:space="0"/>
              <w:bottom w:val="none" w:color="000000" w:sz="4" w:space="0"/>
              <w:right w:val="single" w:color="000000" w:sz="4" w:space="0"/>
            </w:tcBorders>
            <w:tcW w:w="2751" w:type="pct"/>
            <w:vAlign w:val="center"/>
            <w:textDirection w:val="lrTb"/>
            <w:noWrap/>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本项目验收共分        期，本次为第        期</w:t>
            </w:r>
            <w:r/>
          </w:p>
        </w:tc>
      </w:tr>
      <w:tr>
        <w:trPr>
          <w:jc w:val="center"/>
          <w:trHeight w:val="499"/>
        </w:trPr>
        <w:tc>
          <w:tcPr>
            <w:gridSpan w:val="3"/>
            <w:tcBorders>
              <w:top w:val="single" w:color="000000" w:sz="4" w:space="0"/>
              <w:left w:val="single" w:color="000000" w:sz="4" w:space="0"/>
              <w:bottom w:val="single" w:color="000000" w:sz="4" w:space="0"/>
              <w:right w:val="single" w:color="000000" w:sz="4" w:space="0"/>
            </w:tcBorders>
            <w:tcW w:w="2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验收人员</w:t>
            </w:r>
            <w:r/>
          </w:p>
        </w:tc>
        <w:tc>
          <w:tcPr>
            <w:gridSpan w:val="3"/>
            <w:tcBorders>
              <w:top w:val="single" w:color="000000" w:sz="4" w:space="0"/>
              <w:left w:val="single" w:color="000000" w:sz="4" w:space="0"/>
              <w:bottom w:val="single" w:color="000000" w:sz="4" w:space="0"/>
              <w:right w:val="single" w:color="000000" w:sz="4" w:space="0"/>
            </w:tcBorders>
            <w:tcW w:w="2073"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验收方式（结合验收方案多选）</w:t>
            </w:r>
            <w:r/>
          </w:p>
        </w:tc>
        <w:tc>
          <w:tcPr>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验收意见</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10" w:type="pct"/>
            <w:vAlign w:val="center"/>
            <w:vMerge w:val="restart"/>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验收小组成员（最终验收成员人数为3人以上单数，组成根据实际情况选择）</w:t>
            </w:r>
            <w:r/>
          </w:p>
        </w:tc>
        <w:tc>
          <w:tcPr>
            <w:gridSpan w:val="2"/>
            <w:tcBorders>
              <w:top w:val="single" w:color="000000" w:sz="4" w:space="0"/>
              <w:left w:val="single" w:color="000000" w:sz="4" w:space="0"/>
              <w:right w:val="single" w:color="000000" w:sz="4" w:space="0"/>
            </w:tcBorders>
            <w:tcW w:w="1639" w:type="pct"/>
            <w:vMerge w:val="restar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（姓名+所属部门）                        *最终验收时必有，若经办采购的人员与采购需求人员分属不同部门，二者应同时参与验收              </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□代建单位（如有）：</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（姓名+单位+所属部门） </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□采购人委托的代理机构（如有）：</w:t>
            </w:r>
            <w:r/>
          </w:p>
          <w:p>
            <w:pPr>
              <w:rPr>
                <w:rFonts w:hint="eastAsia" w:ascii="宋体" w:hAnsi="宋体" w:eastAsia="宋体" w:cs="宋体"/>
                <w:color w:val="auto"/>
                <w:sz w:val="22"/>
                <w:szCs w:val="22"/>
                <w:highlight w:val="none"/>
              </w:rPr>
            </w:pPr>
            <w:r>
              <w:rPr>
                <w:rFonts w:hint="eastAsia" w:ascii="宋体" w:hAnsi="宋体" w:eastAsia="宋体" w:cs="宋体"/>
                <w:color w:val="auto"/>
                <w:spacing w:val="8"/>
                <w:sz w:val="22"/>
                <w:szCs w:val="22"/>
                <w:highlight w:val="none"/>
              </w:rPr>
              <w:t xml:space="preserve"> </w:t>
            </w:r>
            <w:r>
              <w:rPr>
                <w:rFonts w:hint="eastAsia" w:ascii="宋体" w:hAnsi="宋体" w:eastAsia="宋体" w:cs="宋体"/>
                <w:color w:val="auto"/>
                <w:sz w:val="22"/>
                <w:szCs w:val="22"/>
                <w:highlight w:val="none"/>
              </w:rPr>
              <w:t xml:space="preserve">(姓名）                                 *</w:t>
            </w:r>
            <w:r>
              <w:rPr>
                <w:rFonts w:hint="eastAsia" w:ascii="宋体" w:hAnsi="宋体" w:eastAsia="宋体" w:cs="宋体"/>
                <w:color w:val="auto"/>
                <w:spacing w:val="11"/>
                <w:sz w:val="22"/>
                <w:szCs w:val="22"/>
                <w:highlight w:val="none"/>
              </w:rPr>
              <w:t xml:space="preserve">前</w:t>
            </w:r>
            <w:r>
              <w:rPr>
                <w:rFonts w:hint="eastAsia" w:ascii="宋体" w:hAnsi="宋体" w:eastAsia="宋体" w:cs="宋体"/>
                <w:color w:val="auto"/>
                <w:spacing w:val="10"/>
                <w:sz w:val="22"/>
                <w:szCs w:val="22"/>
                <w:highlight w:val="none"/>
              </w:rPr>
              <w:t xml:space="preserve">期参与采购活动的采购代理机构工作人员</w:t>
            </w:r>
            <w:r>
              <w:rPr>
                <w:rFonts w:hint="eastAsia" w:ascii="宋体" w:hAnsi="宋体" w:eastAsia="宋体" w:cs="宋体"/>
                <w:color w:val="auto"/>
                <w:spacing w:val="8"/>
                <w:sz w:val="22"/>
                <w:szCs w:val="22"/>
                <w:highlight w:val="none"/>
              </w:rPr>
              <w:t xml:space="preserve">不得参与验收</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□采购人委托的专家（如有）：            （姓名+单位）                             *</w:t>
            </w:r>
            <w:r>
              <w:rPr>
                <w:rFonts w:hint="eastAsia" w:ascii="宋体" w:hAnsi="宋体" w:eastAsia="宋体" w:cs="宋体"/>
                <w:color w:val="auto"/>
                <w:spacing w:val="11"/>
                <w:sz w:val="22"/>
                <w:szCs w:val="22"/>
                <w:highlight w:val="none"/>
              </w:rPr>
              <w:t xml:space="preserve">前</w:t>
            </w:r>
            <w:r>
              <w:rPr>
                <w:rFonts w:hint="eastAsia" w:ascii="宋体" w:hAnsi="宋体" w:eastAsia="宋体" w:cs="宋体"/>
                <w:color w:val="auto"/>
                <w:spacing w:val="10"/>
                <w:sz w:val="22"/>
                <w:szCs w:val="22"/>
                <w:highlight w:val="none"/>
              </w:rPr>
              <w:t xml:space="preserve">期参与采购活动的评审专家</w:t>
            </w:r>
            <w:r>
              <w:rPr>
                <w:rFonts w:hint="eastAsia" w:ascii="宋体" w:hAnsi="宋体" w:eastAsia="宋体" w:cs="宋体"/>
                <w:color w:val="auto"/>
                <w:spacing w:val="8"/>
                <w:sz w:val="22"/>
                <w:szCs w:val="22"/>
                <w:highlight w:val="none"/>
              </w:rPr>
              <w:t xml:space="preserve">不得参与验收</w:t>
            </w:r>
            <w:r/>
          </w:p>
        </w:tc>
        <w:tc>
          <w:tcPr>
            <w:gridSpan w:val="3"/>
            <w:tcBorders>
              <w:top w:val="single" w:color="000000" w:sz="4" w:space="0"/>
              <w:left w:val="single" w:color="000000" w:sz="4" w:space="0"/>
              <w:bottom w:val="single" w:color="auto" w:sz="4" w:space="0"/>
              <w:right w:val="single" w:color="000000" w:sz="4" w:space="0"/>
            </w:tcBorders>
            <w:tcW w:w="2073" w:type="pct"/>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□货物清单</w:t>
            </w:r>
            <w:r/>
          </w:p>
        </w:tc>
        <w:tc>
          <w:tcPr>
            <w:tcBorders>
              <w:top w:val="single" w:color="000000" w:sz="4" w:space="0"/>
              <w:left w:val="single" w:color="000000" w:sz="4" w:space="0"/>
              <w:bottom w:val="single" w:color="auto" w:sz="4" w:space="0"/>
              <w:right w:val="single" w:color="000000" w:sz="4" w:space="0"/>
            </w:tcBorders>
            <w:tcW w:w="67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right w:val="single" w:color="000000" w:sz="4" w:space="0"/>
            </w:tcBorders>
            <w:tcW w:w="610" w:type="pct"/>
            <w:vAlign w:val="center"/>
            <w:vMerge w:val="continue"/>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39" w:type="pct"/>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bottom w:val="single" w:color="auto" w:sz="4" w:space="0"/>
              <w:right w:val="single" w:color="000000" w:sz="4" w:space="0"/>
            </w:tcBorders>
            <w:tcW w:w="2073" w:type="pct"/>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□品牌、型号、规格、数量及外观质量</w:t>
            </w:r>
            <w:r/>
          </w:p>
        </w:tc>
        <w:tc>
          <w:tcPr>
            <w:tcBorders>
              <w:top w:val="single" w:color="auto" w:sz="4" w:space="0"/>
              <w:left w:val="single" w:color="000000" w:sz="4" w:space="0"/>
              <w:bottom w:val="single" w:color="auto" w:sz="4" w:space="0"/>
              <w:right w:val="single" w:color="000000" w:sz="4" w:space="0"/>
            </w:tcBorders>
            <w:tcW w:w="67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right w:val="single" w:color="000000" w:sz="4" w:space="0"/>
            </w:tcBorders>
            <w:tcW w:w="610" w:type="pct"/>
            <w:vAlign w:val="center"/>
            <w:vMerge w:val="continue"/>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39" w:type="pct"/>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right w:val="single" w:color="000000" w:sz="4" w:space="0"/>
            </w:tcBorders>
            <w:tcW w:w="2073" w:type="pct"/>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□标的物合格证、说明书等质量证明信息</w:t>
            </w:r>
            <w:r/>
          </w:p>
        </w:tc>
        <w:tc>
          <w:tcPr>
            <w:tcBorders>
              <w:top w:val="single" w:color="auto" w:sz="4" w:space="0"/>
              <w:left w:val="single" w:color="000000" w:sz="4" w:space="0"/>
              <w:right w:val="single" w:color="000000" w:sz="4" w:space="0"/>
            </w:tcBorders>
            <w:tcW w:w="67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10"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39" w:type="pct"/>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bottom w:val="single" w:color="auto" w:sz="4" w:space="0"/>
              <w:right w:val="single" w:color="000000" w:sz="4" w:space="0"/>
            </w:tcBorders>
            <w:tcW w:w="2073" w:type="pct"/>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□运行状况及安装调试</w:t>
            </w:r>
            <w:r/>
          </w:p>
        </w:tc>
        <w:tc>
          <w:tcPr>
            <w:tcBorders>
              <w:top w:val="single" w:color="auto" w:sz="4" w:space="0"/>
              <w:left w:val="single" w:color="000000" w:sz="4" w:space="0"/>
              <w:bottom w:val="single" w:color="auto" w:sz="4" w:space="0"/>
              <w:right w:val="single" w:color="000000" w:sz="4" w:space="0"/>
            </w:tcBorders>
            <w:tcW w:w="67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10"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39" w:type="pct"/>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right w:val="single" w:color="000000" w:sz="4" w:space="0"/>
            </w:tcBorders>
            <w:tcW w:w="2073" w:type="pct"/>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□供应商售后服务、安全标准等在响应文件中承诺的内容</w:t>
            </w:r>
            <w:r/>
          </w:p>
        </w:tc>
        <w:tc>
          <w:tcPr>
            <w:tcBorders>
              <w:top w:val="single" w:color="auto" w:sz="4" w:space="0"/>
              <w:left w:val="single" w:color="000000" w:sz="4" w:space="0"/>
              <w:right w:val="single" w:color="000000" w:sz="4" w:space="0"/>
            </w:tcBorders>
            <w:tcW w:w="67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10"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39" w:type="pct"/>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bottom w:val="single" w:color="auto" w:sz="4" w:space="0"/>
              <w:right w:val="single" w:color="000000" w:sz="4" w:space="0"/>
            </w:tcBorders>
            <w:tcW w:w="2073" w:type="pct"/>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□对照采购文件中检测机构、标准、内容对相应标的物进行抽查检验（采购文件中设置检测报告要求时必选）</w:t>
            </w:r>
            <w:r/>
          </w:p>
        </w:tc>
        <w:tc>
          <w:tcPr>
            <w:tcBorders>
              <w:top w:val="single" w:color="auto" w:sz="4" w:space="0"/>
              <w:left w:val="single" w:color="000000" w:sz="4" w:space="0"/>
              <w:bottom w:val="single" w:color="auto" w:sz="4" w:space="0"/>
              <w:right w:val="single" w:color="000000" w:sz="4" w:space="0"/>
            </w:tcBorders>
            <w:tcW w:w="67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10"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39" w:type="pct"/>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right w:val="single" w:color="000000" w:sz="4" w:space="0"/>
            </w:tcBorders>
            <w:tcW w:w="2073" w:type="pct"/>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□对照采购人需求，对标的物中涉及专业领域的部分进行复核</w:t>
            </w:r>
            <w:r/>
          </w:p>
        </w:tc>
        <w:tc>
          <w:tcPr>
            <w:tcBorders>
              <w:top w:val="single" w:color="auto" w:sz="4" w:space="0"/>
              <w:left w:val="single" w:color="000000" w:sz="4" w:space="0"/>
              <w:right w:val="single" w:color="000000" w:sz="4" w:space="0"/>
            </w:tcBorders>
            <w:tcW w:w="67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bottom w:val="single" w:color="000000" w:sz="4" w:space="0"/>
              <w:right w:val="single" w:color="000000" w:sz="4" w:space="0"/>
            </w:tcBorders>
            <w:tcW w:w="610"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right w:val="single" w:color="000000" w:sz="4" w:space="0"/>
            </w:tcBorders>
            <w:tcW w:w="1639" w:type="pct"/>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bottom w:val="single" w:color="auto" w:sz="4" w:space="0"/>
              <w:right w:val="single" w:color="000000" w:sz="4" w:space="0"/>
            </w:tcBorders>
            <w:tcW w:w="2073" w:type="pct"/>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□合同履约时间、地点、方式</w:t>
            </w:r>
            <w:r/>
          </w:p>
        </w:tc>
        <w:tc>
          <w:tcPr>
            <w:tcBorders>
              <w:top w:val="single" w:color="auto" w:sz="4" w:space="0"/>
              <w:left w:val="single" w:color="000000" w:sz="4" w:space="0"/>
              <w:bottom w:val="single" w:color="auto" w:sz="4" w:space="0"/>
              <w:right w:val="single" w:color="000000" w:sz="4" w:space="0"/>
            </w:tcBorders>
            <w:tcW w:w="67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bottom w:val="single" w:color="000000" w:sz="4" w:space="0"/>
              <w:right w:val="single" w:color="000000" w:sz="4" w:space="0"/>
            </w:tcBorders>
            <w:tcW w:w="610"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left w:val="single" w:color="000000" w:sz="4" w:space="0"/>
              <w:bottom w:val="single" w:color="000000" w:sz="4" w:space="0"/>
              <w:right w:val="single" w:color="000000" w:sz="4" w:space="0"/>
            </w:tcBorders>
            <w:tcW w:w="1639" w:type="pct"/>
            <w:vMerge w:val="continue"/>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3"/>
            <w:tcBorders>
              <w:top w:val="single" w:color="auto" w:sz="4" w:space="0"/>
              <w:left w:val="single" w:color="000000" w:sz="4" w:space="0"/>
              <w:bottom w:val="single" w:color="000000" w:sz="4" w:space="0"/>
              <w:right w:val="single" w:color="000000" w:sz="4" w:space="0"/>
            </w:tcBorders>
            <w:tcW w:w="2073" w:type="pct"/>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w:t>
            </w:r>
            <w:r/>
          </w:p>
        </w:tc>
        <w:tc>
          <w:tcPr>
            <w:tcBorders>
              <w:top w:val="single" w:color="auto" w:sz="4" w:space="0"/>
              <w:left w:val="single" w:color="000000" w:sz="4" w:space="0"/>
              <w:bottom w:val="single" w:color="auto" w:sz="4" w:space="0"/>
              <w:right w:val="single" w:color="000000" w:sz="4" w:space="0"/>
            </w:tcBorders>
            <w:tcW w:w="67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top w:val="single" w:color="000000" w:sz="4" w:space="0"/>
              <w:left w:val="single" w:color="000000" w:sz="4" w:space="0"/>
              <w:right w:val="single" w:color="000000" w:sz="4" w:space="0"/>
            </w:tcBorders>
            <w:tcW w:w="610" w:type="pct"/>
            <w:vAlign w:val="center"/>
            <w:vMerge w:val="restart"/>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验收参与人员 （如有）</w:t>
            </w:r>
            <w:r/>
          </w:p>
        </w:tc>
        <w:tc>
          <w:tcPr>
            <w:gridSpan w:val="2"/>
            <w:tcBorders>
              <w:top w:val="single" w:color="000000" w:sz="4" w:space="0"/>
              <w:left w:val="single" w:color="000000" w:sz="4" w:space="0"/>
              <w:bottom w:val="single" w:color="000000" w:sz="4" w:space="0"/>
              <w:right w:val="none" w:color="000000" w:sz="4" w:space="0"/>
            </w:tcBorders>
            <w:tcW w:w="1639" w:type="pc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□实际使用人：</w:t>
            </w:r>
            <w:r/>
          </w:p>
        </w:tc>
        <w:tc>
          <w:tcPr>
            <w:gridSpan w:val="3"/>
            <w:tcBorders>
              <w:top w:val="single" w:color="000000" w:sz="4" w:space="0"/>
              <w:left w:val="single" w:color="000000" w:sz="4" w:space="0"/>
              <w:bottom w:val="single" w:color="000000" w:sz="4" w:space="0"/>
              <w:right w:val="single" w:color="000000" w:sz="4" w:space="0"/>
            </w:tcBorders>
            <w:tcW w:w="2073" w:type="pct"/>
            <w:vAlign w:val="center"/>
            <w:textDirection w:val="lrTb"/>
            <w:noWrap w:val="false"/>
          </w:tcPr>
          <w:p>
            <w:pPr>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000000" w:sz="4" w:space="0"/>
              <w:bottom w:val="single" w:color="000000" w:sz="4" w:space="0"/>
              <w:right w:val="single" w:color="000000" w:sz="4" w:space="0"/>
            </w:tcBorders>
            <w:tcW w:w="678" w:type="pct"/>
            <w:vAlign w:val="center"/>
            <w:textDirection w:val="lrTb"/>
            <w:noWrap w:val="false"/>
          </w:tcPr>
          <w:p>
            <w:pPr>
              <w:jc w:val="center"/>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right w:val="single" w:color="000000" w:sz="4" w:space="0"/>
            </w:tcBorders>
            <w:tcW w:w="610"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top w:val="single" w:color="000000" w:sz="4" w:space="0"/>
              <w:left w:val="single" w:color="000000" w:sz="4" w:space="0"/>
              <w:bottom w:val="single" w:color="000000" w:sz="4" w:space="0"/>
              <w:right w:val="none" w:color="000000" w:sz="4" w:space="0"/>
            </w:tcBorders>
            <w:tcW w:w="1639" w:type="pc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□第三方专业机构：</w:t>
            </w:r>
            <w:r/>
          </w:p>
        </w:tc>
        <w:tc>
          <w:tcPr>
            <w:gridSpan w:val="3"/>
            <w:tcBorders>
              <w:top w:val="single" w:color="000000" w:sz="4" w:space="0"/>
              <w:left w:val="single" w:color="000000" w:sz="4" w:space="0"/>
              <w:bottom w:val="single" w:color="000000" w:sz="4" w:space="0"/>
              <w:right w:val="single" w:color="000000" w:sz="4" w:space="0"/>
            </w:tcBorders>
            <w:tcW w:w="2073" w:type="pct"/>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right w:val="single" w:color="000000" w:sz="4" w:space="0"/>
            </w:tcBorders>
            <w:tcW w:w="610"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top w:val="single" w:color="000000" w:sz="4" w:space="0"/>
              <w:left w:val="single" w:color="000000" w:sz="4" w:space="0"/>
              <w:bottom w:val="single" w:color="000000" w:sz="4" w:space="0"/>
              <w:right w:val="none" w:color="000000" w:sz="4" w:space="0"/>
            </w:tcBorders>
            <w:tcW w:w="1639" w:type="pc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□专家：</w:t>
            </w:r>
            <w:r/>
          </w:p>
        </w:tc>
        <w:tc>
          <w:tcPr>
            <w:gridSpan w:val="3"/>
            <w:tcBorders>
              <w:top w:val="single" w:color="000000" w:sz="4" w:space="0"/>
              <w:left w:val="single" w:color="000000" w:sz="4" w:space="0"/>
              <w:bottom w:val="single" w:color="000000" w:sz="4" w:space="0"/>
              <w:right w:val="single" w:color="000000" w:sz="4" w:space="0"/>
            </w:tcBorders>
            <w:tcW w:w="2073" w:type="pct"/>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出具书面意见</w:t>
            </w:r>
            <w:r/>
          </w:p>
        </w:tc>
        <w:tc>
          <w:tcPr>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rPr>
              <w:t xml:space="preserve">□合  格         □不合格</w:t>
            </w:r>
            <w:r/>
          </w:p>
        </w:tc>
      </w:tr>
      <w:tr>
        <w:trPr>
          <w:jc w:val="center"/>
          <w:trHeight w:val="499"/>
        </w:trPr>
        <w:tc>
          <w:tcPr>
            <w:tcBorders>
              <w:left w:val="single" w:color="000000" w:sz="4" w:space="0"/>
              <w:bottom w:val="none" w:color="000000" w:sz="4" w:space="0"/>
              <w:right w:val="single" w:color="000000" w:sz="4" w:space="0"/>
            </w:tcBorders>
            <w:tcW w:w="610" w:type="pct"/>
            <w:vAlign w:val="center"/>
            <w:vMerge w:val="continue"/>
            <w:textDirection w:val="lrTb"/>
            <w:noWrap/>
          </w:tcPr>
          <w:p>
            <w:pPr>
              <w:ind w:firstLine="44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gridSpan w:val="2"/>
            <w:tcBorders>
              <w:top w:val="single" w:color="000000" w:sz="4" w:space="0"/>
              <w:left w:val="single" w:color="000000" w:sz="4" w:space="0"/>
              <w:bottom w:val="single" w:color="000000" w:sz="4" w:space="0"/>
              <w:right w:val="none" w:color="000000" w:sz="4" w:space="0"/>
            </w:tcBorders>
            <w:tcW w:w="1639" w:type="pct"/>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□其他供应商：</w:t>
            </w:r>
            <w:r/>
          </w:p>
        </w:tc>
        <w:tc>
          <w:tcPr>
            <w:gridSpan w:val="3"/>
            <w:tcBorders>
              <w:top w:val="single" w:color="000000" w:sz="4" w:space="0"/>
              <w:left w:val="single" w:color="000000" w:sz="4" w:space="0"/>
              <w:bottom w:val="single" w:color="000000" w:sz="4" w:space="0"/>
              <w:right w:val="single" w:color="000000" w:sz="4" w:space="0"/>
            </w:tcBorders>
            <w:tcW w:w="2073" w:type="pct"/>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  格       □不合格</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验收意见</w:t>
            </w:r>
            <w:r/>
          </w:p>
        </w:tc>
        <w:tc>
          <w:tcPr>
            <w:gridSpan w:val="6"/>
            <w:tcBorders>
              <w:top w:val="single" w:color="000000" w:sz="4" w:space="0"/>
              <w:left w:val="single" w:color="000000" w:sz="4" w:space="0"/>
              <w:bottom w:val="single" w:color="000000" w:sz="4" w:space="0"/>
              <w:right w:val="single" w:color="000000" w:sz="4" w:space="0"/>
            </w:tcBorders>
            <w:tcW w:w="4390" w:type="pct"/>
            <w:vAlign w:val="bottom"/>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（如意见一致，请全体验收小组成员分别签名，如有异议，请分别签署意见并签名）</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全体验收小组成员签字：                                            </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异议复核</w:t>
            </w:r>
            <w:r/>
          </w:p>
        </w:tc>
        <w:tc>
          <w:tcPr>
            <w:gridSpan w:val="6"/>
            <w:tcBorders>
              <w:top w:val="single" w:color="000000" w:sz="4" w:space="0"/>
              <w:left w:val="single" w:color="000000" w:sz="4" w:space="0"/>
              <w:bottom w:val="single" w:color="000000" w:sz="4" w:space="0"/>
              <w:right w:val="single" w:color="000000" w:sz="4" w:space="0"/>
            </w:tcBorders>
            <w:tcW w:w="4390" w:type="pct"/>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异议事项：</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复核意见：</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签字：</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验收结论</w:t>
            </w:r>
            <w:r/>
          </w:p>
        </w:tc>
        <w:tc>
          <w:tcPr>
            <w:gridSpan w:val="6"/>
            <w:tcBorders>
              <w:top w:val="single" w:color="000000" w:sz="4" w:space="0"/>
              <w:left w:val="single" w:color="000000" w:sz="4" w:space="0"/>
              <w:bottom w:val="single" w:color="000000" w:sz="4" w:space="0"/>
              <w:right w:val="single" w:color="000000" w:sz="4" w:space="0"/>
            </w:tcBorders>
            <w:tcW w:w="4390" w:type="pct"/>
            <w:vAlign w:val="center"/>
            <w:textDirection w:val="lrTb"/>
            <w:noWrap/>
          </w:tcPr>
          <w:p>
            <w:pPr>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（采购人签署验收意见并盖章）</w:t>
            </w:r>
            <w:r/>
          </w:p>
        </w:tc>
      </w:tr>
      <w:tr>
        <w:trPr>
          <w:jc w:val="center"/>
          <w:trHeight w:val="1191"/>
        </w:trPr>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验收依据和过程（可附件）</w:t>
            </w:r>
            <w:r/>
          </w:p>
        </w:tc>
        <w:tc>
          <w:tcPr>
            <w:gridSpan w:val="6"/>
            <w:tcBorders>
              <w:top w:val="single" w:color="000000" w:sz="4" w:space="0"/>
              <w:left w:val="single" w:color="000000" w:sz="4" w:space="0"/>
              <w:bottom w:val="single" w:color="000000" w:sz="4" w:space="0"/>
              <w:right w:val="single" w:color="000000" w:sz="4" w:space="0"/>
            </w:tcBorders>
            <w:tcW w:w="4390" w:type="pct"/>
            <w:vAlign w:val="center"/>
            <w:textDirection w:val="lrTb"/>
            <w:noWrap/>
          </w:tcPr>
          <w:p>
            <w:pPr>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bookmarkEnd w:id="135"/>
            <w:r/>
            <w:bookmarkEnd w:id="136"/>
            <w:r/>
            <w:bookmarkEnd w:id="137"/>
            <w:r/>
            <w:r/>
          </w:p>
        </w:tc>
      </w:tr>
    </w:tbl>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color w:val="auto"/>
          <w:sz w:val="36"/>
          <w:szCs w:val="36"/>
          <w:highlight w:val="none"/>
        </w:rPr>
        <w:br w:type="page" w:clear="all"/>
      </w:r>
      <w:r/>
    </w:p>
    <w:p>
      <w:pPr>
        <w:pStyle w:val="898"/>
        <w:jc w:val="center"/>
        <w:spacing w:before="156" w:after="156" w:line="360" w:lineRule="auto"/>
        <w:rPr>
          <w:rFonts w:hint="eastAsia" w:ascii="宋体" w:hAnsi="宋体" w:eastAsia="宋体" w:cs="宋体"/>
          <w:color w:val="auto"/>
          <w:sz w:val="36"/>
          <w:szCs w:val="36"/>
          <w:highlight w:val="none"/>
        </w:rPr>
      </w:pPr>
      <w:r/>
      <w:bookmarkStart w:id="139" w:name="_Toc29372"/>
      <w:r>
        <w:rPr>
          <w:rFonts w:hint="eastAsia" w:ascii="宋体" w:hAnsi="宋体" w:eastAsia="宋体" w:cs="宋体"/>
          <w:color w:val="auto"/>
          <w:sz w:val="36"/>
          <w:szCs w:val="36"/>
          <w:highlight w:val="none"/>
        </w:rPr>
        <w:t xml:space="preserve">第六章 评审办法</w:t>
      </w:r>
      <w:bookmarkEnd w:id="138"/>
      <w:r/>
      <w:bookmarkEnd w:id="139"/>
      <w:r/>
      <w:r/>
    </w:p>
    <w:p>
      <w:pPr>
        <w:ind w:firstLine="482"/>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一、评定成交标准</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1、提供相同品牌产品的不同供应商参加同一合同项下谈判的，按一家供应商计算，</w:t>
      </w:r>
      <w:bookmarkStart w:id="140" w:name="_Hlk104384177"/>
      <w:r>
        <w:rPr>
          <w:rFonts w:hint="eastAsia" w:ascii="宋体" w:hAnsi="宋体" w:eastAsia="宋体" w:cs="宋体"/>
          <w:color w:val="auto"/>
          <w:highlight w:val="none"/>
        </w:rPr>
        <w:t xml:space="preserve">以其中满足谈判文件实质性响应要求且最后报价最低的供应商获得成交候选资格，如最后报价也相同，提供优先采购产品证书更多的供应商优先获得成交候选资格（如属优先采购产品），否则由采购人以抽签方式确定</w:t>
      </w:r>
      <w:bookmarkEnd w:id="140"/>
      <w:r>
        <w:rPr>
          <w:rFonts w:hint="eastAsia" w:ascii="宋体" w:hAnsi="宋体" w:eastAsia="宋体" w:cs="宋体"/>
          <w:color w:val="auto"/>
          <w:highlight w:val="none"/>
        </w:rPr>
        <w:t xml:space="preserve">。非单一产品采购项目，多家供应商提供的核心产品品牌相同的，按上述规定处理。</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谈判小组应当从质量和服务均能满足谈判文件实质性响应要求的供应商中，按照最后报价（即二次报价）由低到高的顺序提出3名成交候选人，并推荐确定最后报价最低的供应商为排名第一的成交候选供应商，如出现两个或两个以上最后报价相同的谈判供应商，提供优先采购产品证书更多的供应商优先成交（如属优先采购产品），否则由采购人以抽签方式确定人你成交候选供应商排序。满足谈判文件实质性响应要求是指未被认定为响应无效的情况，响应文件被认定无效的，谈判小组应写明无效原因并告知有关供应商。</w:t>
      </w:r>
      <w:r/>
    </w:p>
    <w:p>
      <w:pPr>
        <w:ind w:firstLine="482"/>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二、评审内容表</w:t>
      </w:r>
      <w:r/>
    </w:p>
    <w:tbl>
      <w:tblPr>
        <w:tblStyle w:val="908"/>
        <w:tblW w:w="84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79"/>
        <w:gridCol w:w="2268"/>
        <w:gridCol w:w="774"/>
      </w:tblGrid>
      <w:tr>
        <w:trPr>
          <w:jc w:val="center"/>
          <w:trHeight w:val="589"/>
        </w:trPr>
        <w:tc>
          <w:tcPr>
            <w:tcBorders>
              <w:top w:val="single" w:color="auto" w:sz="4" w:space="0"/>
              <w:left w:val="single" w:color="auto" w:sz="4" w:space="0"/>
              <w:bottom w:val="single" w:color="auto" w:sz="4" w:space="0"/>
              <w:right w:val="single" w:color="auto" w:sz="4" w:space="0"/>
            </w:tcBorders>
            <w:tcW w:w="537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评审内容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是否合格（是/否）</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jc w:val="center"/>
          <w:trHeight w:val="20"/>
        </w:trPr>
        <w:tc>
          <w:tcPr>
            <w:tcBorders>
              <w:top w:val="single" w:color="auto" w:sz="4" w:space="0"/>
              <w:left w:val="single" w:color="auto" w:sz="4" w:space="0"/>
              <w:bottom w:val="single" w:color="auto" w:sz="4" w:space="0"/>
              <w:right w:val="single" w:color="auto" w:sz="4" w:space="0"/>
            </w:tcBorders>
            <w:tcW w:w="5379"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1、是否符合谈判文件规定的资格要求，符合为合格，不符合为不合格</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774"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5379"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2、是否响应谈判文件第四章中的“四、采购清单”、“五、技术参数”的技术要求、规格及数量要求，响应为合格，不响应为不合格</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774"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84"/>
        </w:trPr>
        <w:tc>
          <w:tcPr>
            <w:tcBorders>
              <w:top w:val="single" w:color="auto" w:sz="4" w:space="0"/>
              <w:left w:val="single" w:color="auto" w:sz="4" w:space="0"/>
              <w:bottom w:val="single" w:color="auto" w:sz="4" w:space="0"/>
              <w:right w:val="single" w:color="auto" w:sz="4" w:space="0"/>
            </w:tcBorders>
            <w:tcW w:w="5379"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3、是否提供谈判文件第四章“五、技术参数”中要求的</w:t>
            </w:r>
            <w:r>
              <w:rPr>
                <w:rFonts w:hint="eastAsia" w:ascii="宋体" w:hAnsi="宋体" w:eastAsia="宋体"/>
                <w:color w:val="auto"/>
                <w:highlight w:val="none"/>
              </w:rPr>
              <w:t xml:space="preserve">证明材料</w:t>
            </w:r>
            <w:r>
              <w:rPr>
                <w:rFonts w:hint="eastAsia" w:ascii="宋体" w:hAnsi="宋体" w:eastAsia="宋体" w:cs="宋体"/>
                <w:color w:val="auto"/>
                <w:highlight w:val="none"/>
              </w:rPr>
              <w:t xml:space="preserve">，提供为合格，未提供为不合格</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774"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84"/>
        </w:trPr>
        <w:tc>
          <w:tcPr>
            <w:tcBorders>
              <w:top w:val="single" w:color="auto" w:sz="4" w:space="0"/>
              <w:left w:val="single" w:color="auto" w:sz="4" w:space="0"/>
              <w:bottom w:val="single" w:color="auto" w:sz="4" w:space="0"/>
              <w:right w:val="single" w:color="auto" w:sz="4" w:space="0"/>
            </w:tcBorders>
            <w:tcW w:w="5379"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4、是否满足谈判文件第四章“八、服务人员要求”中的</w:t>
            </w:r>
            <w:r>
              <w:rPr>
                <w:rFonts w:hint="eastAsia" w:ascii="宋体" w:hAnsi="宋体" w:eastAsia="宋体"/>
                <w:color w:val="auto"/>
                <w:highlight w:val="none"/>
              </w:rPr>
              <w:t xml:space="preserve">数量要求</w:t>
            </w:r>
            <w:r>
              <w:rPr>
                <w:rFonts w:hint="eastAsia" w:ascii="宋体" w:hAnsi="宋体" w:eastAsia="宋体" w:cs="宋体"/>
                <w:color w:val="auto"/>
                <w:highlight w:val="none"/>
              </w:rPr>
              <w:t xml:space="preserve">，满足为合格，不满足为不合格</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774"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5379"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5、是否存在谈判文件规定的其它响应无效的情况，不存在为合格，存在为不合格</w:t>
            </w:r>
            <w:r/>
          </w:p>
        </w:tc>
        <w:tc>
          <w:tcPr>
            <w:tcBorders>
              <w:top w:val="single" w:color="auto" w:sz="4" w:space="0"/>
              <w:left w:val="single" w:color="auto" w:sz="4" w:space="0"/>
              <w:bottom w:val="single" w:color="auto" w:sz="4" w:space="0"/>
              <w:right w:val="single" w:color="auto" w:sz="4" w:space="0"/>
            </w:tcBorders>
            <w:tcW w:w="2268"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774"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说明：上述某一项内容评审不合格，评审专家须注明评审不合格原因（至少包括不合格的具体事项、判定不合格依据的具体条款等）。任一项不合格其响应文件按无效处理。</w:t>
      </w:r>
      <w:bookmarkStart w:id="141" w:name="_GoBack"/>
      <w:r/>
      <w:bookmarkEnd w:id="141"/>
      <w:r/>
      <w:r/>
    </w:p>
    <w:p>
      <w:pPr>
        <w:ind w:firstLine="482"/>
        <w:jc w:val="both"/>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lang w:val="zh-CN"/>
        </w:rPr>
        <w:t xml:space="preserve">注：</w:t>
      </w:r>
      <w:r/>
    </w:p>
    <w:p>
      <w:pPr>
        <w:ind w:firstLine="482"/>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1、报价超过采购预算的将不进入综合评审程序，也不得标。</w:t>
      </w:r>
      <w:r/>
    </w:p>
    <w:p>
      <w:pPr>
        <w:ind w:firstLine="482"/>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2、付款方式、合同履行期限如有负偏离的不得成交。</w:t>
      </w:r>
      <w:r/>
    </w:p>
    <w:p>
      <w:pPr>
        <w:ind w:firstLine="482"/>
        <w:jc w:val="both"/>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三、政府采购政策：</w:t>
      </w:r>
      <w:r/>
    </w:p>
    <w:p>
      <w:pPr>
        <w:ind w:firstLine="482"/>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（一）针对小微企业、监狱企业及残疾人企业的评审：</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属于非预留份额专门面向中小企业采购。如供应商所提供的全部货物的制造商为小微企业、监狱企业、残疾人福利性单位，对其报价给予20%的扣除，用扣除后的价格参与评审。如扣除后的价格为最低价的，则作为评标基准价，成交金额则以实际响应报价为准。</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（2）本项目采购标的对应的中小企业划分标准所属行业为工业。</w:t>
      </w:r>
      <w:r>
        <w:rPr>
          <w:rFonts w:hint="eastAsia" w:ascii="宋体" w:hAnsi="宋体" w:eastAsia="宋体" w:cs="宋体"/>
          <w:color w:val="auto"/>
          <w:highlight w:val="none"/>
          <w:lang w:val="zh-CN"/>
        </w:rPr>
        <w:t xml:space="preserve">中小微企业划型标准根据《</w:t>
      </w:r>
      <w:r>
        <w:rPr>
          <w:rFonts w:hint="eastAsia" w:ascii="宋体" w:hAnsi="宋体" w:eastAsia="宋体" w:cs="宋体"/>
          <w:color w:val="auto"/>
          <w:highlight w:val="none"/>
        </w:rPr>
        <w:t xml:space="preserve">中小企业划型标准规定</w:t>
      </w:r>
      <w:r>
        <w:rPr>
          <w:rFonts w:hint="eastAsia" w:ascii="宋体" w:hAnsi="宋体" w:eastAsia="宋体" w:cs="宋体"/>
          <w:color w:val="auto"/>
          <w:highlight w:val="none"/>
          <w:lang w:val="zh-CN"/>
        </w:rPr>
        <w:t xml:space="preserve">》（工信部联企业【2011】300号）</w:t>
      </w:r>
      <w:r>
        <w:rPr>
          <w:rFonts w:hint="eastAsia" w:ascii="宋体" w:hAnsi="宋体" w:eastAsia="宋体" w:cs="宋体"/>
          <w:color w:val="auto"/>
          <w:highlight w:val="none"/>
        </w:rPr>
        <w:t xml:space="preserve">。</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（4）中小企业参加政府采购活动，应当出具《政府采购促进中小企业发展管理办法》附件规定《中小企业声明函》，否则不得享受相关中小企业扶持政策。</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（5）本次货物采购项目中，货物由小微企业制造，即货物由小微企业生产且使用该小微企业商号或者注册商标的，可享受小微企业扶持政策。</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供应商提供的货物既有小微企业制造货物，也有大中型企业制造货物的，不享受中小企业扶持政策。</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（6）若供应商提供的《中小企业声明函》为虚假声明则视同提供虚假材料，按政府采购相关规定处理并报请政府监管部门给予行政处罚。</w:t>
      </w:r>
      <w:r/>
    </w:p>
    <w:p>
      <w:pPr>
        <w:ind w:firstLine="482"/>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2、残疾人福利性单位</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hint="eastAsia" w:ascii="宋体" w:hAnsi="宋体" w:eastAsia="宋体" w:cs="宋体"/>
          <w:b/>
          <w:bCs/>
          <w:color w:val="auto"/>
          <w:highlight w:val="none"/>
        </w:rPr>
        <w:t xml:space="preserve">未提供视为非残疾人福利性单位，不视同小微企业，不享受残疾人福利性单位政策。</w:t>
      </w:r>
      <w:r/>
    </w:p>
    <w:p>
      <w:pPr>
        <w:ind w:firstLine="482"/>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3、监狱企业</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hint="eastAsia" w:ascii="宋体" w:hAnsi="宋体" w:eastAsia="宋体" w:cs="宋体"/>
          <w:b/>
          <w:bCs/>
          <w:color w:val="auto"/>
          <w:highlight w:val="none"/>
        </w:rPr>
        <w:t xml:space="preserve">未提供视为非监狱企业，不视同小微企业，不享受监狱企业政策。</w:t>
      </w:r>
      <w:r/>
    </w:p>
    <w:p>
      <w:pPr>
        <w:ind w:firstLine="482"/>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（二）绿色采购</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1、本次采购的产品不属于《节能产品政府采购品目清单》范围内强制或优先采购的产品。本次采购的产品不属于《环境标志产品政府采购品目清单》范围内优先采购的产品。</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（三）实施本国产品标准及相关政策</w:t>
      </w:r>
      <w:r/>
    </w:p>
    <w:p>
      <w:pPr>
        <w:ind w:firstLine="482"/>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1、根据《国务院办公厅关于在政府采购中实施本国产品标准及相关政策的通知》（国办发（2025）34号）的规定，本项目对采购本国产品给予政策支持。</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4、本项目政府采购活动中既有本国产品又有非本国产品参与竞争的，依法对本国产品给予价格评审优惠，对本国产品的报价给予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的价格扣除，用扣除后的价格参与评审。</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响应文件格式”的“报价明细表”中填写比例数值），依法对该供应商提供的全部产品给予价格评审优惠，即对该供应商提供的全部产品的总报价给予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的价格扣除，用扣除后的价格参与评审。</w:t>
      </w:r>
      <w:r>
        <w:rPr>
          <w:rFonts w:hint="eastAsia" w:ascii="宋体" w:hAnsi="宋体" w:eastAsia="宋体" w:cs="宋体"/>
          <w:b/>
          <w:bCs/>
          <w:color w:val="auto"/>
          <w:highlight w:val="none"/>
        </w:rPr>
        <w:t xml:space="preserve">供应商未填写比例数值，或比例数值未达到</w:t>
      </w:r>
      <w:r>
        <w:rPr>
          <w:rFonts w:hint="eastAsia" w:ascii="宋体" w:hAnsi="宋体" w:eastAsia="宋体" w:cs="宋体"/>
          <w:b/>
          <w:bCs/>
          <w:color w:val="auto"/>
          <w:highlight w:val="none"/>
          <w:u w:val="single"/>
        </w:rPr>
        <w:t xml:space="preserve">80%</w:t>
      </w:r>
      <w:r>
        <w:rPr>
          <w:rFonts w:hint="eastAsia" w:ascii="宋体" w:hAnsi="宋体" w:eastAsia="宋体" w:cs="宋体"/>
          <w:b/>
          <w:bCs/>
          <w:color w:val="auto"/>
          <w:highlight w:val="none"/>
        </w:rPr>
        <w:t xml:space="preserve">的，</w:t>
      </w:r>
      <w:r>
        <w:rPr>
          <w:rFonts w:hint="eastAsia" w:ascii="宋体" w:hAnsi="宋体" w:eastAsia="宋体" w:cs="宋体"/>
          <w:b/>
          <w:color w:val="auto"/>
          <w:highlight w:val="none"/>
        </w:rPr>
        <w:t xml:space="preserve">将不享受本国产品价格评审优惠。</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5、供应商需按照招标文件的要求提供《关于符合本国产品标准的声明函》（以下简称《声明函》）或财政部会同有关部门规定的有关证明文件的，</w:t>
      </w:r>
      <w:r>
        <w:rPr>
          <w:rFonts w:hint="eastAsia" w:ascii="宋体" w:hAnsi="宋体" w:eastAsia="宋体" w:cs="宋体"/>
          <w:b/>
          <w:color w:val="auto"/>
          <w:highlight w:val="none"/>
        </w:rPr>
        <w:t xml:space="preserve">如不提供或提供不符要求的将不享受本国产品价格评审优惠。</w:t>
      </w:r>
      <w:r/>
    </w:p>
    <w:p>
      <w:pPr>
        <w:ind w:firstLine="48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6、供应商需在《声明函》中逐一单列、准确填写产品名称、厂名、生产厂址三项信息（《声明函》中用斜线划除的地方无需填写），</w:t>
      </w:r>
      <w:r>
        <w:rPr>
          <w:rFonts w:hint="eastAsia" w:ascii="宋体" w:hAnsi="宋体" w:eastAsia="宋体" w:cs="宋体"/>
          <w:b/>
          <w:color w:val="auto"/>
          <w:highlight w:val="none"/>
        </w:rPr>
        <w:t xml:space="preserve">三项信息中任意一项未填写的视为该项产品不符合本国产品标准，不享受本国产品价格评审优惠。</w:t>
      </w:r>
      <w:r/>
    </w:p>
    <w:p>
      <w:pPr>
        <w:ind w:firstLine="480"/>
        <w:jc w:val="both"/>
        <w:spacing w:line="360" w:lineRule="auto"/>
        <w:widowControl w:val="off"/>
        <w:rPr>
          <w:rFonts w:hint="eastAsia" w:ascii="宋体" w:hAnsi="宋体" w:eastAsia="宋体" w:cs="宋体"/>
          <w:b/>
          <w:color w:val="auto"/>
          <w:highlight w:val="none"/>
        </w:rPr>
      </w:pPr>
      <w:r>
        <w:rPr>
          <w:rFonts w:hint="eastAsia" w:ascii="宋体" w:hAnsi="宋体" w:eastAsia="宋体" w:cs="宋体"/>
          <w:color w:val="auto"/>
          <w:highlight w:val="none"/>
        </w:rPr>
        <w:t xml:space="preserve">7、评审过程中，如发现供应商在《声明函》内容含义不明确、同类事项与投标（响应）文件表述不一致或者有明显文字错误等情况的，谈判小组应当以书面形式要求供应商作出必要的澄清、说明或者补正。经澄清、说明或者补正的《声明函》仍然不符合《国务院办公厅关于在政府采购中实施本国产品标准及相关政策的通知》（国办发〔2025〕34号）和采购文件规定的，</w:t>
      </w:r>
      <w:r>
        <w:rPr>
          <w:rFonts w:hint="eastAsia" w:ascii="宋体" w:hAnsi="宋体" w:eastAsia="宋体" w:cs="宋体"/>
          <w:b/>
          <w:color w:val="auto"/>
          <w:highlight w:val="none"/>
        </w:rPr>
        <w:t xml:space="preserve">供应商提供的相关产品视为不符合本国产品标准。</w:t>
      </w:r>
      <w:r/>
    </w:p>
    <w:p>
      <w:pPr>
        <w:ind w:right="9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90"/>
        <w:jc w:val="right"/>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（全文完）</w:t>
      </w:r>
      <w:r/>
    </w:p>
    <w:sectPr>
      <w:footerReference w:type="default" r:id="rId13"/>
      <w:footerReference w:type="first" r:id="rId14"/>
      <w:footnotePr/>
      <w:endnotePr/>
      <w:type w:val="nextPage"/>
      <w:pgSz w:w="11906" w:h="16838" w:orient="portrait"/>
      <w:pgMar w:top="1440" w:right="1797" w:bottom="1440" w:left="179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ans-serif">
    <w:panose1 w:val="020B0503020202020204"/>
  </w:font>
  <w:font w:name="宋体糭.飬..">
    <w:panose1 w:val="02010600030101010101"/>
  </w:font>
  <w:font w:name="微软雅黑">
    <w:panose1 w:val="020B0503020204020204"/>
  </w:font>
  <w:font w:name="Calibri">
    <w:panose1 w:val="020F0502020204030204"/>
  </w:font>
  <w:font w:name="ヒラギノ角ゴ Pro W3">
    <w:panose1 w:val="020B0503020202020204"/>
  </w:font>
  <w:font w:name="仿宋_GB2312">
    <w:panose1 w:val="02010609060101010101"/>
  </w:font>
  <w:font w:name="黑体">
    <w:panose1 w:val="02010609060101010101"/>
  </w:font>
  <w:font w:name="Adobe 宋体 Std L">
    <w:panose1 w:val="020B0503020202020204"/>
  </w:font>
  <w:font w:name="Courier New">
    <w:panose1 w:val="02070309020205020404"/>
  </w:font>
  <w:font w:name="楷体_GB2312">
    <w:panose1 w:val="02010609060101010101"/>
  </w:font>
  <w:font w:name="SimSun">
    <w:panose1 w:val="02010600030101010101"/>
  </w:font>
  <w:font w:name="宋体">
    <w:panose1 w:val="02010600030101010101"/>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rPr>
        <w:rFonts w:hint="eastAsia"/>
      </w:rPr>
    </w:pPr>
    <w:r>
      <w:fldChar w:fldCharType="begin"/>
    </w:r>
    <w:r>
      <w:instrText xml:space="preserve">PAGE   \* MERGEFORMAT</w:instrText>
    </w:r>
    <w:r>
      <w:fldChar w:fldCharType="separate"/>
    </w:r>
    <w:r>
      <w:rPr>
        <w:lang w:val="zh-CN"/>
      </w:rPr>
      <w:t xml:space="preserve">1</w:t>
    </w:r>
    <w:r>
      <w:fldChar w:fldCharType="end"/>
    </w:r>
    <w:r/>
  </w:p>
  <w:p>
    <w:pPr>
      <w:pStyle w:val="923"/>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jc w:val="center"/>
                          </w:pPr>
                          <w:r>
                            <w:fldChar w:fldCharType="begin"/>
                          </w:r>
                          <w:r>
                            <w:instrText xml:space="preserve">PAGE   \* MERGEFORMAT</w:instrText>
                          </w:r>
                          <w:r>
                            <w:fldChar w:fldCharType="separate"/>
                          </w:r>
                          <w:r>
                            <w:rPr>
                              <w:lang w:val="zh-CN"/>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jc w:val="center"/>
                    </w:pPr>
                    <w:r>
                      <w:fldChar w:fldCharType="begin"/>
                    </w:r>
                    <w:r>
                      <w:instrText xml:space="preserve">PAGE   \* MERGEFORMAT</w:instrText>
                    </w:r>
                    <w:r>
                      <w:fldChar w:fldCharType="separate"/>
                    </w:r>
                    <w:r>
                      <w:rPr>
                        <w:lang w:val="zh-CN"/>
                      </w:rPr>
                      <w:t xml:space="preserve">1</w:t>
                    </w:r>
                    <w:r>
                      <w:fldChar w:fldCharType="end"/>
                    </w:r>
                    <w:r/>
                  </w:p>
                </w:txbxContent>
              </v:textbox>
            </v:shape>
          </w:pict>
        </mc:Fallback>
      </mc:AlternateContent>
    </w:r>
    <w:r/>
  </w:p>
  <w:p>
    <w:pPr>
      <w:pStyle w:val="923"/>
      <w:ind w:right="360"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cs="Times New Roman" w:asciiTheme="minorHAnsi" w:hAnsiTheme="minorHAnsi"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1">
    <w:name w:val="Heading 1 Char"/>
    <w:basedOn w:val="907"/>
    <w:link w:val="898"/>
    <w:uiPriority w:val="9"/>
    <w:rPr>
      <w:rFonts w:ascii="Arial" w:hAnsi="Arial" w:eastAsia="Arial" w:cs="Arial"/>
      <w:sz w:val="40"/>
      <w:szCs w:val="40"/>
    </w:rPr>
  </w:style>
  <w:style w:type="character" w:styleId="742">
    <w:name w:val="Heading 2 Char"/>
    <w:basedOn w:val="907"/>
    <w:link w:val="899"/>
    <w:uiPriority w:val="9"/>
    <w:rPr>
      <w:rFonts w:ascii="Arial" w:hAnsi="Arial" w:eastAsia="Arial" w:cs="Arial"/>
      <w:sz w:val="34"/>
    </w:rPr>
  </w:style>
  <w:style w:type="character" w:styleId="743">
    <w:name w:val="Heading 3 Char"/>
    <w:basedOn w:val="907"/>
    <w:link w:val="900"/>
    <w:uiPriority w:val="9"/>
    <w:rPr>
      <w:rFonts w:ascii="Arial" w:hAnsi="Arial" w:eastAsia="Arial" w:cs="Arial"/>
      <w:sz w:val="30"/>
      <w:szCs w:val="30"/>
    </w:rPr>
  </w:style>
  <w:style w:type="character" w:styleId="744">
    <w:name w:val="Heading 4 Char"/>
    <w:basedOn w:val="907"/>
    <w:link w:val="901"/>
    <w:uiPriority w:val="9"/>
    <w:rPr>
      <w:rFonts w:ascii="Arial" w:hAnsi="Arial" w:eastAsia="Arial" w:cs="Arial"/>
      <w:b/>
      <w:bCs/>
      <w:sz w:val="26"/>
      <w:szCs w:val="26"/>
    </w:rPr>
  </w:style>
  <w:style w:type="character" w:styleId="745">
    <w:name w:val="Heading 5 Char"/>
    <w:basedOn w:val="907"/>
    <w:link w:val="902"/>
    <w:uiPriority w:val="9"/>
    <w:rPr>
      <w:rFonts w:ascii="Arial" w:hAnsi="Arial" w:eastAsia="Arial" w:cs="Arial"/>
      <w:b/>
      <w:bCs/>
      <w:sz w:val="24"/>
      <w:szCs w:val="24"/>
    </w:rPr>
  </w:style>
  <w:style w:type="character" w:styleId="746">
    <w:name w:val="Heading 6 Char"/>
    <w:basedOn w:val="907"/>
    <w:link w:val="903"/>
    <w:uiPriority w:val="9"/>
    <w:rPr>
      <w:rFonts w:ascii="Arial" w:hAnsi="Arial" w:eastAsia="Arial" w:cs="Arial"/>
      <w:b/>
      <w:bCs/>
      <w:sz w:val="22"/>
      <w:szCs w:val="22"/>
    </w:rPr>
  </w:style>
  <w:style w:type="character" w:styleId="747">
    <w:name w:val="Heading 7 Char"/>
    <w:basedOn w:val="907"/>
    <w:link w:val="904"/>
    <w:uiPriority w:val="9"/>
    <w:rPr>
      <w:rFonts w:ascii="Arial" w:hAnsi="Arial" w:eastAsia="Arial" w:cs="Arial"/>
      <w:b/>
      <w:bCs/>
      <w:i/>
      <w:iCs/>
      <w:sz w:val="22"/>
      <w:szCs w:val="22"/>
    </w:rPr>
  </w:style>
  <w:style w:type="character" w:styleId="748">
    <w:name w:val="Heading 8 Char"/>
    <w:basedOn w:val="907"/>
    <w:link w:val="905"/>
    <w:uiPriority w:val="9"/>
    <w:rPr>
      <w:rFonts w:ascii="Arial" w:hAnsi="Arial" w:eastAsia="Arial" w:cs="Arial"/>
      <w:i/>
      <w:iCs/>
      <w:sz w:val="22"/>
      <w:szCs w:val="22"/>
    </w:rPr>
  </w:style>
  <w:style w:type="character" w:styleId="749">
    <w:name w:val="Heading 9 Char"/>
    <w:basedOn w:val="907"/>
    <w:link w:val="906"/>
    <w:uiPriority w:val="9"/>
    <w:rPr>
      <w:rFonts w:ascii="Arial" w:hAnsi="Arial" w:eastAsia="Arial" w:cs="Arial"/>
      <w:i/>
      <w:iCs/>
      <w:sz w:val="21"/>
      <w:szCs w:val="21"/>
    </w:rPr>
  </w:style>
  <w:style w:type="character" w:styleId="750">
    <w:name w:val="Title Char"/>
    <w:basedOn w:val="907"/>
    <w:link w:val="932"/>
    <w:uiPriority w:val="10"/>
    <w:rPr>
      <w:sz w:val="48"/>
      <w:szCs w:val="48"/>
    </w:rPr>
  </w:style>
  <w:style w:type="character" w:styleId="751">
    <w:name w:val="Subtitle Char"/>
    <w:basedOn w:val="907"/>
    <w:link w:val="927"/>
    <w:uiPriority w:val="11"/>
    <w:rPr>
      <w:sz w:val="24"/>
      <w:szCs w:val="24"/>
    </w:rPr>
  </w:style>
  <w:style w:type="character" w:styleId="752">
    <w:name w:val="Quote Char"/>
    <w:link w:val="1042"/>
    <w:uiPriority w:val="29"/>
    <w:rPr>
      <w:i/>
    </w:rPr>
  </w:style>
  <w:style w:type="character" w:styleId="753">
    <w:name w:val="Intense Quote Char"/>
    <w:link w:val="1044"/>
    <w:uiPriority w:val="30"/>
    <w:rPr>
      <w:i/>
    </w:rPr>
  </w:style>
  <w:style w:type="character" w:styleId="754">
    <w:name w:val="Header Char"/>
    <w:basedOn w:val="907"/>
    <w:link w:val="925"/>
    <w:uiPriority w:val="99"/>
  </w:style>
  <w:style w:type="character" w:styleId="755">
    <w:name w:val="Footer Char"/>
    <w:basedOn w:val="907"/>
    <w:link w:val="923"/>
    <w:uiPriority w:val="99"/>
  </w:style>
  <w:style w:type="paragraph" w:styleId="756">
    <w:name w:val="Caption"/>
    <w:basedOn w:val="897"/>
    <w:next w:val="897"/>
    <w:uiPriority w:val="35"/>
    <w:semiHidden/>
    <w:unhideWhenUsed/>
    <w:qFormat/>
    <w:pPr>
      <w:spacing w:line="276" w:lineRule="auto"/>
    </w:pPr>
    <w:rPr>
      <w:b/>
      <w:bCs/>
      <w:color w:val="4f81bd" w:themeColor="accent1"/>
      <w:sz w:val="18"/>
      <w:szCs w:val="18"/>
    </w:rPr>
  </w:style>
  <w:style w:type="character" w:styleId="757">
    <w:name w:val="Caption Char"/>
    <w:basedOn w:val="756"/>
    <w:link w:val="923"/>
    <w:uiPriority w:val="99"/>
  </w:style>
  <w:style w:type="table" w:styleId="758">
    <w:name w:val="Table Grid Light"/>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basedOn w:val="9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basedOn w:val="9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basedOn w:val="9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basedOn w:val="9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basedOn w:val="9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basedOn w:val="9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basedOn w:val="9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basedOn w:val="9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basedOn w:val="9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basedOn w:val="9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basedOn w:val="9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basedOn w:val="9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basedOn w:val="9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basedOn w:val="9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basedOn w:val="9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basedOn w:val="9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basedOn w:val="9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basedOn w:val="9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basedOn w:val="9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basedOn w:val="9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basedOn w:val="9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basedOn w:val="9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basedOn w:val="9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basedOn w:val="9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basedOn w:val="9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basedOn w:val="9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basedOn w:val="9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basedOn w:val="9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basedOn w:val="9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basedOn w:val="9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basedOn w:val="9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basedOn w:val="9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basedOn w:val="9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basedOn w:val="9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basedOn w:val="9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basedOn w:val="9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basedOn w:val="9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basedOn w:val="9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basedOn w:val="9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basedOn w:val="9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basedOn w:val="9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basedOn w:val="9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basedOn w:val="9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basedOn w:val="9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basedOn w:val="9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basedOn w:val="9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basedOn w:val="9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basedOn w:val="9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basedOn w:val="9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basedOn w:val="9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basedOn w:val="9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basedOn w:val="9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basedOn w:val="9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basedOn w:val="9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basedOn w:val="9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basedOn w:val="9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basedOn w:val="9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basedOn w:val="9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basedOn w:val="9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basedOn w:val="9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basedOn w:val="9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basedOn w:val="9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basedOn w:val="9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basedOn w:val="9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basedOn w:val="9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basedOn w:val="9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basedOn w:val="9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basedOn w:val="9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basedOn w:val="9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basedOn w:val="9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basedOn w:val="9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basedOn w:val="9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3">
    <w:name w:val="footnote text"/>
    <w:basedOn w:val="897"/>
    <w:link w:val="884"/>
    <w:uiPriority w:val="99"/>
    <w:semiHidden/>
    <w:unhideWhenUsed/>
    <w:pPr>
      <w:spacing w:after="40" w:line="240" w:lineRule="auto"/>
    </w:pPr>
    <w:rPr>
      <w:sz w:val="18"/>
    </w:rPr>
  </w:style>
  <w:style w:type="character" w:styleId="884">
    <w:name w:val="Footnote Text Char"/>
    <w:link w:val="883"/>
    <w:uiPriority w:val="99"/>
    <w:rPr>
      <w:sz w:val="18"/>
    </w:rPr>
  </w:style>
  <w:style w:type="character" w:styleId="885">
    <w:name w:val="footnote reference"/>
    <w:basedOn w:val="907"/>
    <w:uiPriority w:val="99"/>
    <w:unhideWhenUsed/>
    <w:rPr>
      <w:vertAlign w:val="superscript"/>
    </w:rPr>
  </w:style>
  <w:style w:type="paragraph" w:styleId="886">
    <w:name w:val="endnote text"/>
    <w:basedOn w:val="897"/>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basedOn w:val="907"/>
    <w:uiPriority w:val="99"/>
    <w:semiHidden/>
    <w:unhideWhenUsed/>
    <w:rPr>
      <w:vertAlign w:val="superscript"/>
    </w:rPr>
  </w:style>
  <w:style w:type="paragraph" w:styleId="889">
    <w:name w:val="toc 3"/>
    <w:basedOn w:val="897"/>
    <w:next w:val="897"/>
    <w:uiPriority w:val="39"/>
    <w:unhideWhenUsed/>
    <w:pPr>
      <w:ind w:left="567" w:right="0" w:firstLine="0"/>
      <w:spacing w:after="57"/>
    </w:pPr>
  </w:style>
  <w:style w:type="paragraph" w:styleId="890">
    <w:name w:val="toc 4"/>
    <w:basedOn w:val="897"/>
    <w:next w:val="897"/>
    <w:uiPriority w:val="39"/>
    <w:unhideWhenUsed/>
    <w:pPr>
      <w:ind w:left="850" w:right="0" w:firstLine="0"/>
      <w:spacing w:after="57"/>
    </w:pPr>
  </w:style>
  <w:style w:type="paragraph" w:styleId="891">
    <w:name w:val="toc 5"/>
    <w:basedOn w:val="897"/>
    <w:next w:val="897"/>
    <w:uiPriority w:val="39"/>
    <w:unhideWhenUsed/>
    <w:pPr>
      <w:ind w:left="1134" w:right="0" w:firstLine="0"/>
      <w:spacing w:after="57"/>
    </w:pPr>
  </w:style>
  <w:style w:type="paragraph" w:styleId="892">
    <w:name w:val="toc 6"/>
    <w:basedOn w:val="897"/>
    <w:next w:val="897"/>
    <w:uiPriority w:val="39"/>
    <w:unhideWhenUsed/>
    <w:pPr>
      <w:ind w:left="1417" w:right="0" w:firstLine="0"/>
      <w:spacing w:after="57"/>
    </w:pPr>
  </w:style>
  <w:style w:type="paragraph" w:styleId="893">
    <w:name w:val="toc 7"/>
    <w:basedOn w:val="897"/>
    <w:next w:val="897"/>
    <w:uiPriority w:val="39"/>
    <w:unhideWhenUsed/>
    <w:pPr>
      <w:ind w:left="1701" w:right="0" w:firstLine="0"/>
      <w:spacing w:after="57"/>
    </w:pPr>
  </w:style>
  <w:style w:type="paragraph" w:styleId="894">
    <w:name w:val="toc 8"/>
    <w:basedOn w:val="897"/>
    <w:next w:val="897"/>
    <w:uiPriority w:val="39"/>
    <w:unhideWhenUsed/>
    <w:pPr>
      <w:ind w:left="1984" w:right="0" w:firstLine="0"/>
      <w:spacing w:after="57"/>
    </w:pPr>
  </w:style>
  <w:style w:type="paragraph" w:styleId="895">
    <w:name w:val="toc 9"/>
    <w:basedOn w:val="897"/>
    <w:next w:val="897"/>
    <w:uiPriority w:val="39"/>
    <w:unhideWhenUsed/>
    <w:pPr>
      <w:ind w:left="2268" w:right="0" w:firstLine="0"/>
      <w:spacing w:after="57"/>
    </w:pPr>
  </w:style>
  <w:style w:type="paragraph" w:styleId="896">
    <w:name w:val="table of figures"/>
    <w:basedOn w:val="897"/>
    <w:next w:val="897"/>
    <w:uiPriority w:val="99"/>
    <w:unhideWhenUsed/>
    <w:pPr>
      <w:spacing w:after="0" w:afterAutospacing="0"/>
    </w:pPr>
  </w:style>
  <w:style w:type="paragraph" w:styleId="897" w:default="1">
    <w:name w:val="Normal"/>
    <w:uiPriority w:val="0"/>
    <w:qFormat/>
    <w:rPr>
      <w:rFonts w:cs="Times New Roman" w:asciiTheme="minorHAnsi" w:hAnsiTheme="minorHAnsi" w:eastAsiaTheme="minorEastAsia"/>
      <w:sz w:val="24"/>
      <w:szCs w:val="24"/>
      <w:lang w:val="en-US" w:eastAsia="zh-CN" w:bidi="ar-SA"/>
    </w:rPr>
  </w:style>
  <w:style w:type="paragraph" w:styleId="898">
    <w:name w:val="Heading 1"/>
    <w:basedOn w:val="897"/>
    <w:next w:val="897"/>
    <w:link w:val="1011"/>
    <w:uiPriority w:val="9"/>
    <w:qFormat/>
    <w:pPr>
      <w:keepNext/>
      <w:spacing w:before="240" w:after="60"/>
      <w:outlineLvl w:val="0"/>
    </w:pPr>
    <w:rPr>
      <w:rFonts w:asciiTheme="majorHAnsi" w:hAnsiTheme="majorHAnsi" w:eastAsiaTheme="majorEastAsia"/>
      <w:b/>
      <w:bCs/>
      <w:sz w:val="32"/>
      <w:szCs w:val="32"/>
    </w:rPr>
  </w:style>
  <w:style w:type="paragraph" w:styleId="899">
    <w:name w:val="Heading 2"/>
    <w:basedOn w:val="897"/>
    <w:next w:val="897"/>
    <w:link w:val="1017"/>
    <w:uiPriority w:val="9"/>
    <w:unhideWhenUsed/>
    <w:qFormat/>
    <w:pPr>
      <w:keepNext/>
      <w:spacing w:before="240" w:after="60"/>
      <w:outlineLvl w:val="1"/>
    </w:pPr>
    <w:rPr>
      <w:rFonts w:asciiTheme="majorHAnsi" w:hAnsiTheme="majorHAnsi" w:eastAsiaTheme="majorEastAsia"/>
      <w:b/>
      <w:bCs/>
      <w:i/>
      <w:iCs/>
      <w:sz w:val="28"/>
      <w:szCs w:val="28"/>
    </w:rPr>
  </w:style>
  <w:style w:type="paragraph" w:styleId="900">
    <w:name w:val="Heading 3"/>
    <w:basedOn w:val="897"/>
    <w:next w:val="897"/>
    <w:link w:val="947"/>
    <w:uiPriority w:val="9"/>
    <w:unhideWhenUsed/>
    <w:qFormat/>
    <w:pPr>
      <w:keepNext/>
      <w:spacing w:before="240" w:after="60"/>
      <w:outlineLvl w:val="2"/>
    </w:pPr>
    <w:rPr>
      <w:rFonts w:asciiTheme="majorHAnsi" w:hAnsiTheme="majorHAnsi" w:eastAsiaTheme="majorEastAsia"/>
      <w:b/>
      <w:bCs/>
      <w:sz w:val="26"/>
      <w:szCs w:val="26"/>
    </w:rPr>
  </w:style>
  <w:style w:type="paragraph" w:styleId="901">
    <w:name w:val="Heading 4"/>
    <w:basedOn w:val="897"/>
    <w:next w:val="897"/>
    <w:link w:val="1008"/>
    <w:uiPriority w:val="9"/>
    <w:unhideWhenUsed/>
    <w:qFormat/>
    <w:pPr>
      <w:keepNext/>
      <w:spacing w:before="240" w:after="60"/>
      <w:outlineLvl w:val="3"/>
    </w:pPr>
    <w:rPr>
      <w:b/>
      <w:bCs/>
      <w:sz w:val="28"/>
      <w:szCs w:val="28"/>
    </w:rPr>
  </w:style>
  <w:style w:type="paragraph" w:styleId="902">
    <w:name w:val="Heading 5"/>
    <w:basedOn w:val="897"/>
    <w:next w:val="897"/>
    <w:link w:val="1037"/>
    <w:uiPriority w:val="9"/>
    <w:semiHidden/>
    <w:unhideWhenUsed/>
    <w:qFormat/>
    <w:pPr>
      <w:spacing w:before="240" w:after="60"/>
      <w:outlineLvl w:val="4"/>
    </w:pPr>
    <w:rPr>
      <w:b/>
      <w:bCs/>
      <w:i/>
      <w:iCs/>
      <w:sz w:val="26"/>
      <w:szCs w:val="26"/>
    </w:rPr>
  </w:style>
  <w:style w:type="paragraph" w:styleId="903">
    <w:name w:val="Heading 6"/>
    <w:basedOn w:val="897"/>
    <w:next w:val="897"/>
    <w:link w:val="1038"/>
    <w:uiPriority w:val="9"/>
    <w:semiHidden/>
    <w:unhideWhenUsed/>
    <w:qFormat/>
    <w:pPr>
      <w:spacing w:before="240" w:after="60"/>
      <w:outlineLvl w:val="5"/>
    </w:pPr>
    <w:rPr>
      <w:b/>
      <w:bCs/>
      <w:sz w:val="22"/>
      <w:szCs w:val="22"/>
    </w:rPr>
  </w:style>
  <w:style w:type="paragraph" w:styleId="904">
    <w:name w:val="Heading 7"/>
    <w:basedOn w:val="897"/>
    <w:next w:val="897"/>
    <w:link w:val="1039"/>
    <w:uiPriority w:val="9"/>
    <w:semiHidden/>
    <w:unhideWhenUsed/>
    <w:qFormat/>
    <w:pPr>
      <w:spacing w:before="240" w:after="60"/>
      <w:outlineLvl w:val="6"/>
    </w:pPr>
  </w:style>
  <w:style w:type="paragraph" w:styleId="905">
    <w:name w:val="Heading 8"/>
    <w:basedOn w:val="897"/>
    <w:next w:val="897"/>
    <w:link w:val="1040"/>
    <w:uiPriority w:val="9"/>
    <w:semiHidden/>
    <w:unhideWhenUsed/>
    <w:qFormat/>
    <w:pPr>
      <w:spacing w:before="240" w:after="60"/>
      <w:outlineLvl w:val="7"/>
    </w:pPr>
    <w:rPr>
      <w:i/>
      <w:iCs/>
    </w:rPr>
  </w:style>
  <w:style w:type="paragraph" w:styleId="906">
    <w:name w:val="Heading 9"/>
    <w:basedOn w:val="897"/>
    <w:next w:val="897"/>
    <w:link w:val="1041"/>
    <w:uiPriority w:val="9"/>
    <w:semiHidden/>
    <w:unhideWhenUsed/>
    <w:qFormat/>
    <w:pPr>
      <w:spacing w:before="240" w:after="60"/>
      <w:outlineLvl w:val="8"/>
    </w:pPr>
    <w:rPr>
      <w:rFonts w:asciiTheme="majorHAnsi" w:hAnsiTheme="majorHAnsi" w:eastAsiaTheme="majorEastAsia"/>
      <w:sz w:val="22"/>
      <w:szCs w:val="22"/>
    </w:rPr>
  </w:style>
  <w:style w:type="character" w:styleId="907" w:default="1">
    <w:name w:val="Default Paragraph Font"/>
    <w:uiPriority w:val="1"/>
    <w:semiHidden/>
    <w:unhideWhenUsed/>
    <w:qFormat/>
  </w:style>
  <w:style w:type="table" w:styleId="908" w:default="1">
    <w:name w:val="Normal Table"/>
    <w:uiPriority w:val="99"/>
    <w:semiHidden/>
    <w:unhideWhenUsed/>
    <w:qFormat/>
    <w:tblPr>
      <w:tblCellMar>
        <w:left w:w="108" w:type="dxa"/>
        <w:top w:w="0" w:type="dxa"/>
        <w:right w:w="108" w:type="dxa"/>
        <w:bottom w:w="0" w:type="dxa"/>
      </w:tblCellMar>
    </w:tblPr>
  </w:style>
  <w:style w:type="paragraph" w:styleId="909">
    <w:name w:val="List Number"/>
    <w:basedOn w:val="897"/>
    <w:uiPriority w:val="0"/>
    <w:qFormat/>
    <w:pPr>
      <w:ind w:left="1125" w:hanging="555"/>
      <w:tabs>
        <w:tab w:val="left" w:pos="1125" w:leader="none"/>
      </w:tabs>
    </w:pPr>
    <w:rPr>
      <w:rFonts w:eastAsia="宋体"/>
      <w:sz w:val="21"/>
    </w:rPr>
  </w:style>
  <w:style w:type="paragraph" w:styleId="910">
    <w:name w:val="Normal Indent"/>
    <w:basedOn w:val="897"/>
    <w:link w:val="949"/>
    <w:uiPriority w:val="99"/>
    <w:qFormat/>
    <w:pPr>
      <w:ind w:firstLine="420"/>
    </w:pPr>
  </w:style>
  <w:style w:type="paragraph" w:styleId="911">
    <w:name w:val="annotation text"/>
    <w:basedOn w:val="897"/>
    <w:link w:val="962"/>
    <w:uiPriority w:val="99"/>
    <w:semiHidden/>
    <w:qFormat/>
  </w:style>
  <w:style w:type="paragraph" w:styleId="912">
    <w:name w:val="Body Text 3"/>
    <w:basedOn w:val="897"/>
    <w:link w:val="1012"/>
    <w:uiPriority w:val="99"/>
    <w:semiHidden/>
    <w:unhideWhenUsed/>
    <w:qFormat/>
    <w:rPr>
      <w:rFonts w:hint="eastAsia" w:ascii="宋体" w:eastAsia="宋体"/>
    </w:rPr>
  </w:style>
  <w:style w:type="paragraph" w:styleId="913">
    <w:name w:val="Body Text"/>
    <w:basedOn w:val="897"/>
    <w:next w:val="914"/>
    <w:link w:val="1016"/>
    <w:uiPriority w:val="0"/>
    <w:qFormat/>
    <w:pPr>
      <w:spacing w:line="400" w:lineRule="exact"/>
    </w:pPr>
    <w:rPr>
      <w:rFonts w:ascii="楷体_GB2312"/>
      <w:sz w:val="28"/>
    </w:rPr>
  </w:style>
  <w:style w:type="paragraph" w:styleId="914">
    <w:name w:val="Body Text First Indent"/>
    <w:basedOn w:val="913"/>
    <w:next w:val="915"/>
    <w:uiPriority w:val="99"/>
    <w:semiHidden/>
    <w:unhideWhenUsed/>
    <w:pPr>
      <w:ind w:firstLine="420"/>
      <w:spacing w:after="120" w:line="240" w:lineRule="auto"/>
    </w:pPr>
    <w:rPr>
      <w:rFonts w:hint="eastAsia" w:ascii="宋体" w:eastAsia="宋体"/>
      <w:sz w:val="21"/>
    </w:rPr>
  </w:style>
  <w:style w:type="paragraph" w:styleId="915">
    <w:name w:val="Body Text First Indent 2"/>
    <w:basedOn w:val="916"/>
    <w:link w:val="976"/>
    <w:uiPriority w:val="0"/>
    <w:qFormat/>
    <w:pPr>
      <w:ind w:firstLine="420"/>
    </w:pPr>
    <w:rPr>
      <w:rFonts w:eastAsia="宋体"/>
      <w:sz w:val="21"/>
    </w:rPr>
  </w:style>
  <w:style w:type="paragraph" w:styleId="916">
    <w:name w:val="Body Text Indent"/>
    <w:basedOn w:val="897"/>
    <w:next w:val="897"/>
    <w:link w:val="965"/>
    <w:uiPriority w:val="0"/>
    <w:qFormat/>
    <w:pPr>
      <w:ind w:left="420"/>
      <w:spacing w:after="120"/>
    </w:pPr>
  </w:style>
  <w:style w:type="paragraph" w:styleId="917">
    <w:name w:val="Block Text"/>
    <w:basedOn w:val="897"/>
    <w:uiPriority w:val="0"/>
    <w:qFormat/>
    <w:pPr>
      <w:ind w:left="147" w:right="246" w:firstLine="480"/>
      <w:spacing w:line="360" w:lineRule="auto"/>
    </w:pPr>
    <w:rPr>
      <w:rFonts w:ascii="宋体" w:hAnsi="宋体" w:eastAsia="宋体"/>
    </w:rPr>
  </w:style>
  <w:style w:type="paragraph" w:styleId="918">
    <w:name w:val="index 4"/>
    <w:basedOn w:val="897"/>
    <w:next w:val="897"/>
    <w:uiPriority w:val="99"/>
    <w:semiHidden/>
    <w:unhideWhenUsed/>
    <w:qFormat/>
    <w:pPr>
      <w:ind w:left="600"/>
    </w:pPr>
  </w:style>
  <w:style w:type="paragraph" w:styleId="919">
    <w:name w:val="Plain Text"/>
    <w:basedOn w:val="897"/>
    <w:link w:val="952"/>
    <w:uiPriority w:val="0"/>
    <w:rPr>
      <w:rFonts w:ascii="宋体" w:hAnsi="Courier New"/>
    </w:rPr>
  </w:style>
  <w:style w:type="paragraph" w:styleId="920">
    <w:name w:val="Date"/>
    <w:basedOn w:val="897"/>
    <w:next w:val="897"/>
    <w:link w:val="953"/>
    <w:uiPriority w:val="0"/>
    <w:qFormat/>
    <w:rPr>
      <w:rFonts w:ascii="宋体" w:hAnsi="宋体"/>
    </w:rPr>
  </w:style>
  <w:style w:type="paragraph" w:styleId="921">
    <w:name w:val="Body Text Indent 2"/>
    <w:basedOn w:val="897"/>
    <w:link w:val="955"/>
    <w:uiPriority w:val="0"/>
    <w:qFormat/>
    <w:pPr>
      <w:ind w:firstLine="502"/>
      <w:spacing w:line="360" w:lineRule="auto"/>
      <w:tabs>
        <w:tab w:val="left" w:pos="0" w:leader="none"/>
      </w:tabs>
    </w:pPr>
    <w:rPr>
      <w:rFonts w:ascii="宋体" w:eastAsia="宋体"/>
      <w:b/>
      <w:bCs/>
    </w:rPr>
  </w:style>
  <w:style w:type="paragraph" w:styleId="922">
    <w:name w:val="Balloon Text"/>
    <w:basedOn w:val="897"/>
    <w:link w:val="956"/>
    <w:uiPriority w:val="0"/>
    <w:semiHidden/>
    <w:qFormat/>
    <w:rPr>
      <w:sz w:val="18"/>
      <w:szCs w:val="18"/>
    </w:rPr>
  </w:style>
  <w:style w:type="paragraph" w:styleId="923">
    <w:name w:val="Footer"/>
    <w:basedOn w:val="897"/>
    <w:link w:val="1020"/>
    <w:uiPriority w:val="99"/>
    <w:unhideWhenUsed/>
    <w:qFormat/>
    <w:pPr>
      <w:tabs>
        <w:tab w:val="center" w:pos="4153" w:leader="none"/>
        <w:tab w:val="right" w:pos="8306" w:leader="none"/>
      </w:tabs>
    </w:pPr>
    <w:rPr>
      <w:sz w:val="18"/>
      <w:szCs w:val="18"/>
    </w:rPr>
  </w:style>
  <w:style w:type="paragraph" w:styleId="924">
    <w:name w:val="envelope return"/>
    <w:basedOn w:val="897"/>
    <w:uiPriority w:val="0"/>
    <w:qFormat/>
    <w:rPr>
      <w:rFonts w:ascii="Arial" w:hAnsi="Arial"/>
    </w:rPr>
  </w:style>
  <w:style w:type="paragraph" w:styleId="925">
    <w:name w:val="Header"/>
    <w:basedOn w:val="897"/>
    <w:link w:val="102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26">
    <w:name w:val="toc 1"/>
    <w:basedOn w:val="897"/>
    <w:next w:val="897"/>
    <w:uiPriority w:val="39"/>
    <w:qFormat/>
  </w:style>
  <w:style w:type="paragraph" w:styleId="927">
    <w:name w:val="Subtitle"/>
    <w:basedOn w:val="897"/>
    <w:next w:val="897"/>
    <w:link w:val="980"/>
    <w:uiPriority w:val="11"/>
    <w:qFormat/>
    <w:pPr>
      <w:jc w:val="center"/>
      <w:spacing w:after="60"/>
      <w:outlineLvl w:val="1"/>
    </w:pPr>
    <w:rPr>
      <w:rFonts w:asciiTheme="majorHAnsi" w:hAnsiTheme="majorHAnsi" w:eastAsiaTheme="majorEastAsia"/>
    </w:rPr>
  </w:style>
  <w:style w:type="paragraph" w:styleId="928">
    <w:name w:val="Body Text Indent 3"/>
    <w:basedOn w:val="897"/>
    <w:link w:val="957"/>
    <w:uiPriority w:val="0"/>
    <w:qFormat/>
    <w:pPr>
      <w:ind w:left="420"/>
      <w:spacing w:after="120"/>
    </w:pPr>
    <w:rPr>
      <w:sz w:val="16"/>
      <w:szCs w:val="16"/>
    </w:rPr>
  </w:style>
  <w:style w:type="paragraph" w:styleId="929">
    <w:name w:val="toc 2"/>
    <w:basedOn w:val="897"/>
    <w:next w:val="897"/>
    <w:uiPriority w:val="39"/>
    <w:unhideWhenUsed/>
    <w:qFormat/>
    <w:pPr>
      <w:ind w:left="420"/>
    </w:pPr>
  </w:style>
  <w:style w:type="paragraph" w:styleId="930">
    <w:name w:val="Normal (Web)"/>
    <w:basedOn w:val="897"/>
    <w:link w:val="1010"/>
    <w:uiPriority w:val="99"/>
    <w:qFormat/>
    <w:pPr>
      <w:spacing w:before="100" w:beforeAutospacing="1" w:after="100" w:afterAutospacing="1"/>
    </w:pPr>
    <w:rPr>
      <w:rFonts w:ascii="宋体" w:hAnsi="宋体" w:eastAsia="宋体" w:cs="宋体"/>
    </w:rPr>
  </w:style>
  <w:style w:type="paragraph" w:styleId="931">
    <w:name w:val="index 1"/>
    <w:basedOn w:val="897"/>
    <w:next w:val="897"/>
    <w:uiPriority w:val="0"/>
    <w:semiHidden/>
    <w:qFormat/>
  </w:style>
  <w:style w:type="paragraph" w:styleId="932">
    <w:name w:val="Title"/>
    <w:basedOn w:val="897"/>
    <w:next w:val="897"/>
    <w:link w:val="1024"/>
    <w:uiPriority w:val="10"/>
    <w:qFormat/>
    <w:pPr>
      <w:jc w:val="center"/>
      <w:spacing w:before="240" w:after="60"/>
      <w:outlineLvl w:val="0"/>
    </w:pPr>
    <w:rPr>
      <w:rFonts w:asciiTheme="majorHAnsi" w:hAnsiTheme="majorHAnsi" w:eastAsiaTheme="majorEastAsia"/>
      <w:b/>
      <w:bCs/>
      <w:sz w:val="32"/>
      <w:szCs w:val="32"/>
    </w:rPr>
  </w:style>
  <w:style w:type="paragraph" w:styleId="933">
    <w:name w:val="annotation subject"/>
    <w:basedOn w:val="911"/>
    <w:next w:val="911"/>
    <w:link w:val="963"/>
    <w:uiPriority w:val="0"/>
    <w:semiHidden/>
    <w:rPr>
      <w:b/>
      <w:bCs/>
    </w:rPr>
  </w:style>
  <w:style w:type="table" w:styleId="934">
    <w:name w:val="Table Grid"/>
    <w:basedOn w:val="90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5">
    <w:name w:val="Strong"/>
    <w:basedOn w:val="907"/>
    <w:uiPriority w:val="22"/>
    <w:qFormat/>
    <w:rPr>
      <w:b/>
      <w:bCs/>
    </w:rPr>
  </w:style>
  <w:style w:type="character" w:styleId="936">
    <w:name w:val="page number"/>
    <w:basedOn w:val="907"/>
    <w:uiPriority w:val="0"/>
    <w:qFormat/>
  </w:style>
  <w:style w:type="character" w:styleId="937">
    <w:name w:val="FollowedHyperlink"/>
    <w:basedOn w:val="907"/>
    <w:uiPriority w:val="99"/>
    <w:semiHidden/>
    <w:unhideWhenUsed/>
    <w:qFormat/>
    <w:rPr>
      <w:color w:val="954f72"/>
      <w:u w:val="single"/>
    </w:rPr>
  </w:style>
  <w:style w:type="character" w:styleId="938">
    <w:name w:val="Emphasis"/>
    <w:basedOn w:val="907"/>
    <w:uiPriority w:val="20"/>
    <w:qFormat/>
    <w:rPr>
      <w:rFonts w:asciiTheme="minorHAnsi" w:hAnsiTheme="minorHAnsi"/>
      <w:b/>
      <w:i/>
      <w:iCs/>
    </w:rPr>
  </w:style>
  <w:style w:type="character" w:styleId="939">
    <w:name w:val="Hyperlink"/>
    <w:uiPriority w:val="99"/>
    <w:qFormat/>
    <w:rPr>
      <w:color w:val="0000ff"/>
      <w:u w:val="single"/>
    </w:rPr>
  </w:style>
  <w:style w:type="character" w:styleId="940">
    <w:name w:val="annotation reference"/>
    <w:uiPriority w:val="0"/>
    <w:qFormat/>
    <w:rPr>
      <w:sz w:val="21"/>
      <w:szCs w:val="21"/>
    </w:rPr>
  </w:style>
  <w:style w:type="paragraph" w:styleId="941" w:customStyle="1">
    <w:name w:val="正文文本缩进1"/>
    <w:basedOn w:val="897"/>
    <w:next w:val="897"/>
    <w:uiPriority w:val="99"/>
    <w:unhideWhenUsed/>
    <w:qFormat/>
    <w:pPr>
      <w:ind w:firstLine="425"/>
      <w:spacing w:line="360" w:lineRule="auto"/>
    </w:pPr>
    <w:rPr>
      <w:sz w:val="20"/>
    </w:rPr>
  </w:style>
  <w:style w:type="paragraph" w:styleId="942" w:customStyle="1">
    <w:name w:val="文档结构图1"/>
    <w:basedOn w:val="897"/>
    <w:uiPriority w:val="99"/>
    <w:qFormat/>
    <w:pPr>
      <w:shd w:val="clear" w:color="auto" w:fill="000080"/>
    </w:pPr>
  </w:style>
  <w:style w:type="character" w:styleId="943" w:customStyle="1">
    <w:name w:val="页眉 Char"/>
    <w:basedOn w:val="907"/>
    <w:uiPriority w:val="0"/>
    <w:qFormat/>
    <w:rPr>
      <w:sz w:val="18"/>
      <w:szCs w:val="18"/>
    </w:rPr>
  </w:style>
  <w:style w:type="character" w:styleId="944" w:customStyle="1">
    <w:name w:val="页脚 Char"/>
    <w:basedOn w:val="907"/>
    <w:uiPriority w:val="99"/>
    <w:qFormat/>
    <w:rPr>
      <w:sz w:val="18"/>
      <w:szCs w:val="18"/>
    </w:rPr>
  </w:style>
  <w:style w:type="character" w:styleId="945" w:customStyle="1">
    <w:name w:val="标题 1 Char"/>
    <w:basedOn w:val="907"/>
    <w:uiPriority w:val="0"/>
    <w:qFormat/>
    <w:rPr>
      <w:rFonts w:ascii="Times New Roman" w:hAnsi="Times New Roman" w:eastAsia="楷体_GB2312" w:cs="Times New Roman"/>
      <w:b/>
      <w:sz w:val="44"/>
      <w:szCs w:val="20"/>
    </w:rPr>
  </w:style>
  <w:style w:type="character" w:styleId="946" w:customStyle="1">
    <w:name w:val="标题 2 Char"/>
    <w:basedOn w:val="907"/>
    <w:uiPriority w:val="0"/>
    <w:qFormat/>
    <w:rPr>
      <w:rFonts w:ascii="Arial" w:hAnsi="Arial" w:eastAsia="黑体" w:cs="Times New Roman"/>
      <w:b/>
      <w:bCs/>
      <w:sz w:val="32"/>
      <w:szCs w:val="32"/>
    </w:rPr>
  </w:style>
  <w:style w:type="character" w:styleId="947" w:customStyle="1">
    <w:name w:val="标题 3 字符"/>
    <w:basedOn w:val="907"/>
    <w:link w:val="900"/>
    <w:uiPriority w:val="9"/>
    <w:qFormat/>
    <w:rPr>
      <w:rFonts w:asciiTheme="majorHAnsi" w:hAnsiTheme="majorHAnsi" w:eastAsiaTheme="majorEastAsia"/>
      <w:b/>
      <w:bCs/>
      <w:sz w:val="26"/>
      <w:szCs w:val="26"/>
    </w:rPr>
  </w:style>
  <w:style w:type="character" w:styleId="948" w:customStyle="1">
    <w:name w:val="标题 4 Char"/>
    <w:basedOn w:val="907"/>
    <w:uiPriority w:val="0"/>
    <w:qFormat/>
    <w:rPr>
      <w:rFonts w:ascii="Arial" w:hAnsi="Arial" w:eastAsia="黑体" w:cs="Times New Roman"/>
      <w:b/>
      <w:bCs/>
      <w:sz w:val="28"/>
      <w:szCs w:val="28"/>
    </w:rPr>
  </w:style>
  <w:style w:type="character" w:styleId="949" w:customStyle="1">
    <w:name w:val="正文缩进 字符"/>
    <w:link w:val="910"/>
    <w:uiPriority w:val="0"/>
    <w:qFormat/>
    <w:rPr>
      <w:rFonts w:ascii="Times New Roman" w:hAnsi="Times New Roman" w:eastAsia="楷体_GB2312" w:cs="Times New Roman"/>
      <w:sz w:val="24"/>
      <w:szCs w:val="20"/>
    </w:rPr>
  </w:style>
  <w:style w:type="paragraph" w:styleId="950" w:customStyle="1">
    <w:name w:val="纯文本1"/>
    <w:basedOn w:val="897"/>
    <w:link w:val="951"/>
    <w:uiPriority w:val="0"/>
    <w:qFormat/>
    <w:rPr>
      <w:rFonts w:ascii="宋体" w:hAnsi="Courier New"/>
    </w:rPr>
  </w:style>
  <w:style w:type="character" w:styleId="951" w:customStyle="1">
    <w:name w:val="Plain Text Char Char"/>
    <w:link w:val="950"/>
    <w:uiPriority w:val="0"/>
    <w:qFormat/>
    <w:rPr>
      <w:rFonts w:ascii="宋体" w:hAnsi="Courier New" w:eastAsia="楷体_GB2312" w:cs="Times New Roman"/>
      <w:sz w:val="26"/>
      <w:szCs w:val="20"/>
    </w:rPr>
  </w:style>
  <w:style w:type="character" w:styleId="952" w:customStyle="1">
    <w:name w:val="纯文本 字符"/>
    <w:basedOn w:val="907"/>
    <w:link w:val="919"/>
    <w:uiPriority w:val="0"/>
    <w:qFormat/>
    <w:rPr>
      <w:rFonts w:ascii="宋体" w:hAnsi="Courier New" w:eastAsia="楷体_GB2312" w:cs="Times New Roman"/>
      <w:sz w:val="26"/>
      <w:szCs w:val="20"/>
    </w:rPr>
  </w:style>
  <w:style w:type="character" w:styleId="953" w:customStyle="1">
    <w:name w:val="日期 字符"/>
    <w:basedOn w:val="907"/>
    <w:link w:val="920"/>
    <w:uiPriority w:val="0"/>
    <w:qFormat/>
    <w:rPr>
      <w:rFonts w:ascii="宋体" w:hAnsi="宋体" w:eastAsia="楷体_GB2312" w:cs="Times New Roman"/>
      <w:sz w:val="24"/>
      <w:szCs w:val="20"/>
    </w:rPr>
  </w:style>
  <w:style w:type="character" w:styleId="954" w:customStyle="1">
    <w:name w:val="正文文本 Char"/>
    <w:basedOn w:val="907"/>
    <w:uiPriority w:val="0"/>
    <w:qFormat/>
    <w:rPr>
      <w:rFonts w:ascii="楷体_GB2312" w:hAnsi="Times New Roman" w:eastAsia="楷体_GB2312" w:cs="Times New Roman"/>
      <w:sz w:val="28"/>
      <w:szCs w:val="20"/>
    </w:rPr>
  </w:style>
  <w:style w:type="character" w:styleId="955" w:customStyle="1">
    <w:name w:val="正文文本缩进 2 字符"/>
    <w:basedOn w:val="907"/>
    <w:link w:val="921"/>
    <w:uiPriority w:val="0"/>
    <w:qFormat/>
    <w:rPr>
      <w:rFonts w:ascii="宋体" w:hAnsi="Times New Roman" w:eastAsia="宋体" w:cs="Times New Roman"/>
      <w:b/>
      <w:bCs/>
      <w:sz w:val="24"/>
      <w:szCs w:val="20"/>
    </w:rPr>
  </w:style>
  <w:style w:type="character" w:styleId="956" w:customStyle="1">
    <w:name w:val="批注框文本 字符"/>
    <w:basedOn w:val="907"/>
    <w:link w:val="922"/>
    <w:uiPriority w:val="0"/>
    <w:semiHidden/>
    <w:qFormat/>
    <w:rPr>
      <w:rFonts w:ascii="Times New Roman" w:hAnsi="Times New Roman" w:eastAsia="楷体_GB2312" w:cs="Times New Roman"/>
      <w:sz w:val="18"/>
      <w:szCs w:val="18"/>
    </w:rPr>
  </w:style>
  <w:style w:type="character" w:styleId="957" w:customStyle="1">
    <w:name w:val="正文文本缩进 3 字符"/>
    <w:basedOn w:val="907"/>
    <w:link w:val="928"/>
    <w:uiPriority w:val="0"/>
    <w:qFormat/>
    <w:rPr>
      <w:rFonts w:ascii="Times New Roman" w:hAnsi="Times New Roman" w:eastAsia="楷体_GB2312" w:cs="Times New Roman"/>
      <w:sz w:val="16"/>
      <w:szCs w:val="16"/>
    </w:rPr>
  </w:style>
  <w:style w:type="character" w:styleId="958" w:customStyle="1">
    <w:name w:val="正文首行缩进 Char Char"/>
    <w:link w:val="959"/>
    <w:uiPriority w:val="0"/>
    <w:qFormat/>
    <w:rPr>
      <w:szCs w:val="24"/>
    </w:rPr>
  </w:style>
  <w:style w:type="paragraph" w:styleId="959" w:customStyle="1">
    <w:name w:val="正文首行缩进1"/>
    <w:basedOn w:val="913"/>
    <w:link w:val="958"/>
    <w:uiPriority w:val="0"/>
    <w:qFormat/>
    <w:pPr>
      <w:ind w:firstLine="420"/>
      <w:spacing w:after="120" w:line="240" w:lineRule="auto"/>
    </w:pPr>
    <w:rPr>
      <w:rFonts w:asciiTheme="minorHAnsi" w:cstheme="minorBidi"/>
      <w:sz w:val="21"/>
    </w:rPr>
  </w:style>
  <w:style w:type="paragraph" w:styleId="960" w:customStyle="1">
    <w:name w:val="_Style 24"/>
    <w:basedOn w:val="897"/>
    <w:uiPriority w:val="0"/>
    <w:qFormat/>
    <w:rPr>
      <w:rFonts w:eastAsia="宋体"/>
      <w:sz w:val="21"/>
    </w:rPr>
  </w:style>
  <w:style w:type="character" w:styleId="961" w:customStyle="1">
    <w:name w:val="Char Char1"/>
    <w:uiPriority w:val="0"/>
    <w:qFormat/>
    <w:rPr>
      <w:rFonts w:ascii="宋体" w:hAnsi="Courier New" w:eastAsia="楷体_GB2312"/>
      <w:sz w:val="26"/>
      <w:lang w:val="en-US" w:eastAsia="zh-CN" w:bidi="ar-SA"/>
    </w:rPr>
  </w:style>
  <w:style w:type="character" w:styleId="962" w:customStyle="1">
    <w:name w:val="批注文字 字符"/>
    <w:basedOn w:val="907"/>
    <w:link w:val="911"/>
    <w:uiPriority w:val="99"/>
    <w:semiHidden/>
    <w:qFormat/>
    <w:rPr>
      <w:rFonts w:ascii="Times New Roman" w:hAnsi="Times New Roman" w:eastAsia="楷体_GB2312" w:cs="Times New Roman"/>
      <w:sz w:val="26"/>
      <w:szCs w:val="20"/>
    </w:rPr>
  </w:style>
  <w:style w:type="character" w:styleId="963" w:customStyle="1">
    <w:name w:val="批注主题 字符"/>
    <w:basedOn w:val="962"/>
    <w:link w:val="933"/>
    <w:uiPriority w:val="0"/>
    <w:semiHidden/>
    <w:qFormat/>
    <w:rPr>
      <w:rFonts w:ascii="Times New Roman" w:hAnsi="Times New Roman" w:eastAsia="楷体_GB2312" w:cs="Times New Roman"/>
      <w:b/>
      <w:bCs/>
      <w:sz w:val="26"/>
      <w:szCs w:val="20"/>
    </w:rPr>
  </w:style>
  <w:style w:type="paragraph" w:styleId="964" w:customStyle="1">
    <w:name w:val="纯文本111"/>
    <w:basedOn w:val="897"/>
    <w:uiPriority w:val="0"/>
    <w:qFormat/>
    <w:rPr>
      <w:rFonts w:ascii="宋体" w:hAnsi="Courier New"/>
      <w:sz w:val="28"/>
    </w:rPr>
  </w:style>
  <w:style w:type="character" w:styleId="965" w:customStyle="1">
    <w:name w:val="正文文本缩进 字符"/>
    <w:basedOn w:val="907"/>
    <w:link w:val="916"/>
    <w:uiPriority w:val="0"/>
    <w:qFormat/>
    <w:rPr>
      <w:rFonts w:ascii="Times New Roman" w:hAnsi="Times New Roman" w:eastAsia="楷体_GB2312" w:cs="Times New Roman"/>
      <w:sz w:val="26"/>
      <w:szCs w:val="20"/>
    </w:rPr>
  </w:style>
  <w:style w:type="character" w:styleId="966" w:customStyle="1">
    <w:name w:val="ca-221"/>
    <w:uiPriority w:val="0"/>
    <w:qFormat/>
    <w:rPr>
      <w:rFonts w:hint="eastAsia" w:ascii="宋体" w:hAnsi="宋体" w:eastAsia="宋体"/>
      <w:color w:val="ff0000"/>
      <w:sz w:val="24"/>
      <w:szCs w:val="24"/>
    </w:rPr>
  </w:style>
  <w:style w:type="paragraph" w:styleId="967" w:customStyle="1">
    <w:name w:val="p0"/>
    <w:basedOn w:val="897"/>
    <w:uiPriority w:val="0"/>
    <w:qFormat/>
    <w:pPr>
      <w:spacing w:before="100" w:beforeAutospacing="1" w:after="100" w:afterAutospacing="1"/>
    </w:pPr>
    <w:rPr>
      <w:rFonts w:ascii="宋体" w:hAnsi="宋体" w:eastAsia="宋体" w:cs="宋体"/>
    </w:rPr>
  </w:style>
  <w:style w:type="paragraph" w:styleId="968" w:customStyle="1">
    <w:name w:val="正文 Char Char"/>
    <w:uiPriority w:val="0"/>
    <w:qFormat/>
    <w:pPr>
      <w:jc w:val="both"/>
      <w:widowControl w:val="off"/>
    </w:pPr>
    <w:rPr>
      <w:rFonts w:eastAsia="ヒラギノ角ゴ Pro W3" w:cs="Times New Roman" w:asciiTheme="minorHAnsi" w:hAnsiTheme="minorHAnsi"/>
      <w:color w:val="000000"/>
      <w:sz w:val="26"/>
      <w:szCs w:val="22"/>
      <w:lang w:val="en-US" w:eastAsia="en-US" w:bidi="ar-SA"/>
    </w:rPr>
  </w:style>
  <w:style w:type="paragraph" w:styleId="969" w:customStyle="1">
    <w:name w:val="文字"/>
    <w:basedOn w:val="897"/>
    <w:uiPriority w:val="0"/>
    <w:qFormat/>
    <w:pPr>
      <w:ind w:firstLine="420"/>
      <w:spacing w:line="360" w:lineRule="auto"/>
    </w:pPr>
    <w:rPr>
      <w:rFonts w:eastAsia="宋体"/>
    </w:rPr>
  </w:style>
  <w:style w:type="character" w:styleId="970" w:customStyle="1">
    <w:name w:val="正文缩进 Char"/>
    <w:uiPriority w:val="0"/>
    <w:qFormat/>
    <w:rPr>
      <w:rFonts w:eastAsia="楷体_GB2312"/>
      <w:sz w:val="24"/>
      <w:lang w:val="en-US" w:eastAsia="zh-CN" w:bidi="ar-SA"/>
    </w:rPr>
  </w:style>
  <w:style w:type="paragraph" w:styleId="971" w:customStyle="1">
    <w:name w:val="Default"/>
    <w:uiPriority w:val="0"/>
    <w:qFormat/>
    <w:pPr>
      <w:widowControl w:val="off"/>
    </w:pPr>
    <w:rPr>
      <w:rFonts w:ascii="宋体糭.飬.." w:eastAsia="宋体糭.飬.." w:cs="宋体糭.飬.." w:hAnsiTheme="minorHAnsi"/>
      <w:color w:val="000000"/>
      <w:sz w:val="24"/>
      <w:szCs w:val="24"/>
      <w:lang w:val="en-US" w:eastAsia="zh-CN" w:bidi="ar-SA"/>
    </w:rPr>
  </w:style>
  <w:style w:type="paragraph" w:styleId="972">
    <w:name w:val="List Paragraph"/>
    <w:basedOn w:val="897"/>
    <w:uiPriority w:val="34"/>
    <w:qFormat/>
    <w:pPr>
      <w:contextualSpacing/>
      <w:ind w:left="720"/>
    </w:pPr>
  </w:style>
  <w:style w:type="paragraph" w:styleId="973" w:customStyle="1">
    <w:name w:val="正文_0_0"/>
    <w:uiPriority w:val="0"/>
    <w:qFormat/>
    <w:pPr>
      <w:jc w:val="both"/>
      <w:widowControl w:val="off"/>
    </w:pPr>
    <w:rPr>
      <w:rFonts w:ascii="Calibri" w:hAnsi="Calibri" w:cs="Times New Roman" w:eastAsiaTheme="minorEastAsia"/>
      <w:sz w:val="22"/>
      <w:szCs w:val="22"/>
      <w:lang w:val="en-US" w:eastAsia="zh-CN" w:bidi="ar-SA"/>
    </w:rPr>
  </w:style>
  <w:style w:type="paragraph" w:styleId="974" w:customStyle="1">
    <w:name w:val="正文1"/>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975" w:customStyle="1">
    <w:name w:val="修订1"/>
    <w:hidden/>
    <w:uiPriority w:val="99"/>
    <w:semiHidden/>
    <w:qFormat/>
    <w:rPr>
      <w:rFonts w:eastAsia="楷体_GB2312" w:cs="Times New Roman" w:asciiTheme="minorHAnsi" w:hAnsiTheme="minorHAnsi"/>
      <w:sz w:val="26"/>
      <w:szCs w:val="22"/>
      <w:lang w:val="en-US" w:eastAsia="zh-CN" w:bidi="ar-SA"/>
    </w:rPr>
  </w:style>
  <w:style w:type="character" w:styleId="976" w:customStyle="1">
    <w:name w:val="正文文本首行缩进 2 字符"/>
    <w:basedOn w:val="965"/>
    <w:link w:val="915"/>
    <w:uiPriority w:val="0"/>
    <w:qFormat/>
    <w:rPr>
      <w:rFonts w:ascii="Times New Roman" w:hAnsi="Times New Roman" w:eastAsia="宋体" w:cs="Times New Roman"/>
      <w:sz w:val="26"/>
      <w:szCs w:val="24"/>
    </w:rPr>
  </w:style>
  <w:style w:type="paragraph" w:styleId="977" w:customStyle="1">
    <w:name w:val="b4一级标题"/>
    <w:basedOn w:val="897"/>
    <w:uiPriority w:val="0"/>
    <w:qFormat/>
    <w:pPr>
      <w:jc w:val="center"/>
      <w:spacing w:line="360" w:lineRule="auto"/>
      <w:outlineLvl w:val="0"/>
    </w:pPr>
    <w:rPr>
      <w:rFonts w:ascii="宋体" w:hAnsi="宋体" w:eastAsia="宋体"/>
      <w:b/>
      <w:sz w:val="36"/>
      <w:szCs w:val="36"/>
    </w:rPr>
  </w:style>
  <w:style w:type="paragraph" w:styleId="978" w:customStyle="1">
    <w:name w:val="标题3"/>
    <w:basedOn w:val="900"/>
    <w:uiPriority w:val="0"/>
    <w:qFormat/>
    <w:pPr>
      <w:contextualSpacing/>
      <w:jc w:val="center"/>
    </w:pPr>
    <w:rPr>
      <w:rFonts w:eastAsia="黑体" w:cs="宋体"/>
      <w:sz w:val="28"/>
      <w:szCs w:val="20"/>
    </w:rPr>
  </w:style>
  <w:style w:type="paragraph" w:styleId="979" w:customStyle="1">
    <w:name w:val="No Spacing1"/>
    <w:uiPriority w:val="0"/>
    <w:qFormat/>
    <w:pPr>
      <w:jc w:val="both"/>
      <w:widowControl w:val="off"/>
    </w:pPr>
    <w:rPr>
      <w:rFonts w:ascii="Calibri" w:hAnsi="Calibri" w:cs="Times New Roman" w:eastAsiaTheme="minorEastAsia"/>
      <w:sz w:val="21"/>
      <w:szCs w:val="22"/>
      <w:lang w:val="en-US" w:eastAsia="zh-CN" w:bidi="ar-SA"/>
    </w:rPr>
  </w:style>
  <w:style w:type="character" w:styleId="980" w:customStyle="1">
    <w:name w:val="副标题 字符"/>
    <w:basedOn w:val="907"/>
    <w:link w:val="927"/>
    <w:uiPriority w:val="11"/>
    <w:qFormat/>
    <w:rPr>
      <w:rFonts w:asciiTheme="majorHAnsi" w:hAnsiTheme="majorHAnsi" w:eastAsiaTheme="majorEastAsia"/>
      <w:sz w:val="24"/>
      <w:szCs w:val="24"/>
    </w:rPr>
  </w:style>
  <w:style w:type="paragraph" w:styleId="981">
    <w:name w:val="No Spacing"/>
    <w:basedOn w:val="897"/>
    <w:link w:val="982"/>
    <w:uiPriority w:val="1"/>
    <w:qFormat/>
    <w:rPr>
      <w:rFonts w:cstheme="minorBidi"/>
      <w:szCs w:val="32"/>
    </w:rPr>
  </w:style>
  <w:style w:type="character" w:styleId="982" w:customStyle="1">
    <w:name w:val="无间隔 字符"/>
    <w:basedOn w:val="907"/>
    <w:link w:val="981"/>
    <w:uiPriority w:val="1"/>
    <w:qFormat/>
    <w:rPr>
      <w:rFonts w:cstheme="minorBidi"/>
      <w:sz w:val="24"/>
      <w:szCs w:val="32"/>
    </w:rPr>
  </w:style>
  <w:style w:type="character" w:styleId="983" w:customStyle="1">
    <w:name w:val="ask-title"/>
    <w:basedOn w:val="907"/>
    <w:uiPriority w:val="0"/>
    <w:qFormat/>
  </w:style>
  <w:style w:type="paragraph" w:styleId="984" w:customStyle="1">
    <w:name w:val="hidinshow"/>
    <w:basedOn w:val="897"/>
    <w:uiPriority w:val="0"/>
    <w:qFormat/>
    <w:pPr>
      <w:spacing w:before="100" w:beforeAutospacing="1" w:after="100" w:afterAutospacing="1"/>
    </w:pPr>
    <w:rPr>
      <w:rFonts w:ascii="宋体" w:hAnsi="宋体" w:eastAsia="宋体" w:cs="宋体"/>
    </w:rPr>
  </w:style>
  <w:style w:type="paragraph" w:styleId="985" w:customStyle="1">
    <w:name w:val="纯文本2"/>
    <w:basedOn w:val="897"/>
    <w:uiPriority w:val="0"/>
    <w:qFormat/>
    <w:rPr>
      <w:rFonts w:ascii="宋体" w:hAnsi="Courier New"/>
    </w:rPr>
  </w:style>
  <w:style w:type="paragraph" w:styleId="986" w:customStyle="1">
    <w:name w:val="Plain Text1"/>
    <w:basedOn w:val="897"/>
    <w:uiPriority w:val="0"/>
    <w:qFormat/>
    <w:rPr>
      <w:rFonts w:hint="eastAsia" w:ascii="宋体" w:hAnsi="Courier New"/>
      <w:sz w:val="28"/>
    </w:rPr>
  </w:style>
  <w:style w:type="table" w:styleId="987" w:customStyle="1">
    <w:name w:val="网格型1"/>
    <w:basedOn w:val="908"/>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88" w:customStyle="1">
    <w:name w:val="段"/>
    <w:next w:val="897"/>
    <w:uiPriority w:val="0"/>
    <w:qFormat/>
    <w:pPr>
      <w:ind w:firstLine="200"/>
      <w:jc w:val="both"/>
    </w:pPr>
    <w:rPr>
      <w:rFonts w:ascii="宋体" w:cs="Times New Roman" w:hAnsiTheme="minorHAnsi" w:eastAsiaTheme="minorEastAsia"/>
      <w:sz w:val="21"/>
      <w:szCs w:val="22"/>
      <w:lang w:val="en-US" w:eastAsia="zh-CN" w:bidi="ar-SA"/>
    </w:rPr>
  </w:style>
  <w:style w:type="paragraph" w:styleId="989" w:customStyle="1">
    <w:name w:val="*正文"/>
    <w:basedOn w:val="897"/>
    <w:uiPriority w:val="0"/>
    <w:qFormat/>
    <w:pPr>
      <w:ind w:firstLine="200"/>
      <w:spacing w:line="360" w:lineRule="auto"/>
    </w:pPr>
    <w:rPr>
      <w:rFonts w:ascii="仿宋_GB2312" w:hAnsi="Calibri" w:eastAsia="仿宋_GB2312"/>
      <w:szCs w:val="28"/>
    </w:rPr>
  </w:style>
  <w:style w:type="paragraph" w:styleId="990" w:customStyle="1">
    <w:name w:val="p25"/>
    <w:basedOn w:val="897"/>
    <w:uiPriority w:val="0"/>
    <w:qFormat/>
    <w:rPr>
      <w:rFonts w:ascii="黑体" w:hAnsi="黑体" w:eastAsia="宋体" w:cs="黑体"/>
      <w:sz w:val="21"/>
      <w:szCs w:val="26"/>
    </w:rPr>
  </w:style>
  <w:style w:type="paragraph" w:styleId="991" w:customStyle="1">
    <w:name w:val="纯文本11"/>
    <w:basedOn w:val="897"/>
    <w:uiPriority w:val="0"/>
    <w:qFormat/>
    <w:rPr>
      <w:rFonts w:ascii="宋体" w:hAnsi="Courier New"/>
      <w:sz w:val="28"/>
    </w:rPr>
  </w:style>
  <w:style w:type="paragraph" w:styleId="992" w:customStyle="1">
    <w:name w:val="修订11"/>
    <w:hidden/>
    <w:uiPriority w:val="99"/>
    <w:semiHidden/>
    <w:qFormat/>
    <w:rPr>
      <w:rFonts w:eastAsia="楷体_GB2312" w:cs="Times New Roman" w:asciiTheme="minorHAnsi" w:hAnsiTheme="minorHAnsi"/>
      <w:sz w:val="26"/>
      <w:szCs w:val="22"/>
      <w:lang w:val="en-US" w:eastAsia="zh-CN" w:bidi="ar-SA"/>
    </w:rPr>
  </w:style>
  <w:style w:type="paragraph" w:styleId="993" w:customStyle="1">
    <w:name w:val="正文_0"/>
    <w:uiPriority w:val="0"/>
    <w:qFormat/>
    <w:pPr>
      <w:jc w:val="both"/>
      <w:widowControl w:val="off"/>
    </w:pPr>
    <w:rPr>
      <w:rFonts w:cs="Times New Roman" w:asciiTheme="minorHAnsi" w:hAnsiTheme="minorHAnsi" w:eastAsiaTheme="minorEastAsia"/>
      <w:sz w:val="21"/>
      <w:szCs w:val="24"/>
      <w:lang w:val="en-US" w:eastAsia="zh-CN" w:bidi="ar-SA"/>
    </w:rPr>
  </w:style>
  <w:style w:type="paragraph" w:styleId="994" w:customStyle="1">
    <w:name w:val="格式３"/>
    <w:basedOn w:val="897"/>
    <w:uiPriority w:val="0"/>
    <w:qFormat/>
    <w:pPr>
      <w:ind w:left="600" w:hanging="600"/>
      <w:spacing w:line="420" w:lineRule="exact"/>
    </w:pPr>
    <w:rPr>
      <w:rFonts w:ascii="宋体" w:hAnsi="宋体" w:eastAsia="宋体"/>
      <w:color w:val="000000"/>
    </w:rPr>
  </w:style>
  <w:style w:type="character" w:styleId="995" w:customStyle="1">
    <w:name w:val="font71"/>
    <w:basedOn w:val="907"/>
    <w:uiPriority w:val="0"/>
    <w:qFormat/>
    <w:rPr>
      <w:rFonts w:hint="eastAsia" w:ascii="宋体" w:hAnsi="宋体" w:eastAsia="宋体" w:cs="宋体"/>
      <w:color w:val="000000"/>
      <w:sz w:val="21"/>
      <w:szCs w:val="21"/>
      <w:u w:val="none"/>
    </w:rPr>
  </w:style>
  <w:style w:type="character" w:styleId="996" w:customStyle="1">
    <w:name w:val="font61"/>
    <w:basedOn w:val="907"/>
    <w:uiPriority w:val="0"/>
    <w:qFormat/>
    <w:rPr>
      <w:rFonts w:hint="eastAsia" w:ascii="宋体" w:hAnsi="宋体" w:eastAsia="宋体" w:cs="宋体"/>
      <w:color w:val="ff0000"/>
      <w:sz w:val="21"/>
      <w:szCs w:val="21"/>
      <w:u w:val="none"/>
    </w:rPr>
  </w:style>
  <w:style w:type="character" w:styleId="997" w:customStyle="1">
    <w:name w:val="font41"/>
    <w:basedOn w:val="907"/>
    <w:uiPriority w:val="0"/>
    <w:qFormat/>
    <w:rPr>
      <w:rFonts w:hint="eastAsia" w:ascii="宋体" w:hAnsi="宋体" w:eastAsia="宋体" w:cs="宋体"/>
      <w:color w:val="000000"/>
      <w:sz w:val="21"/>
      <w:szCs w:val="21"/>
      <w:u w:val="none"/>
    </w:rPr>
  </w:style>
  <w:style w:type="character" w:styleId="998" w:customStyle="1">
    <w:name w:val="font101"/>
    <w:basedOn w:val="907"/>
    <w:uiPriority w:val="0"/>
    <w:qFormat/>
    <w:rPr>
      <w:rFonts w:ascii="微软雅黑" w:hAnsi="微软雅黑" w:eastAsia="微软雅黑" w:cs="微软雅黑"/>
      <w:color w:val="000000"/>
      <w:sz w:val="22"/>
      <w:szCs w:val="22"/>
      <w:u w:val="none"/>
    </w:rPr>
  </w:style>
  <w:style w:type="character" w:styleId="999" w:customStyle="1">
    <w:name w:val="font81"/>
    <w:basedOn w:val="907"/>
    <w:uiPriority w:val="0"/>
    <w:qFormat/>
    <w:rPr>
      <w:rFonts w:hint="eastAsia" w:ascii="宋体" w:hAnsi="宋体" w:eastAsia="宋体" w:cs="宋体"/>
      <w:color w:val="ff0000"/>
      <w:sz w:val="21"/>
      <w:szCs w:val="21"/>
      <w:u w:val="none"/>
    </w:rPr>
  </w:style>
  <w:style w:type="character" w:styleId="1000" w:customStyle="1">
    <w:name w:val="font111"/>
    <w:basedOn w:val="907"/>
    <w:uiPriority w:val="0"/>
    <w:qFormat/>
    <w:rPr>
      <w:rFonts w:hint="eastAsia" w:ascii="微软雅黑" w:hAnsi="微软雅黑" w:eastAsia="微软雅黑" w:cs="微软雅黑"/>
      <w:color w:val="ff0000"/>
      <w:sz w:val="22"/>
      <w:szCs w:val="22"/>
      <w:u w:val="none"/>
    </w:rPr>
  </w:style>
  <w:style w:type="character" w:styleId="1001" w:customStyle="1">
    <w:name w:val="font122"/>
    <w:basedOn w:val="907"/>
    <w:uiPriority w:val="0"/>
    <w:qFormat/>
    <w:rPr>
      <w:rFonts w:hint="eastAsia" w:ascii="宋体" w:hAnsi="宋体" w:eastAsia="宋体" w:cs="宋体"/>
      <w:color w:val="000000"/>
      <w:sz w:val="18"/>
      <w:szCs w:val="18"/>
      <w:u w:val="none"/>
    </w:rPr>
  </w:style>
  <w:style w:type="paragraph" w:styleId="1002" w:customStyle="1">
    <w:name w:val="[基本段落]"/>
    <w:basedOn w:val="897"/>
    <w:uiPriority w:val="99"/>
    <w:qFormat/>
    <w:pPr>
      <w:spacing w:line="288" w:lineRule="auto"/>
    </w:pPr>
    <w:rPr>
      <w:rFonts w:ascii="Adobe 宋体 Std L" w:eastAsia="Adobe 宋体 Std L" w:cs="Adobe 宋体 Std L"/>
      <w:color w:val="000000"/>
      <w:lang w:val="zh-CN"/>
    </w:rPr>
  </w:style>
  <w:style w:type="paragraph" w:styleId="1003" w:customStyle="1">
    <w:name w:val="正文缩进1"/>
    <w:basedOn w:val="897"/>
    <w:uiPriority w:val="0"/>
    <w:qFormat/>
    <w:pPr>
      <w:ind w:firstLine="420"/>
    </w:pPr>
    <w:rPr>
      <w:rFonts w:cstheme="minorBidi"/>
    </w:rPr>
  </w:style>
  <w:style w:type="paragraph" w:styleId="1004" w:customStyle="1">
    <w:name w:val="正文首行缩进 21"/>
    <w:uiPriority w:val="0"/>
    <w:qFormat/>
    <w:pPr>
      <w:ind w:left="420" w:firstLine="420"/>
      <w:jc w:val="both"/>
      <w:spacing w:after="120"/>
      <w:widowControl w:val="off"/>
    </w:pPr>
    <w:rPr>
      <w:rFonts w:ascii="Calibri" w:hAnsi="Calibri" w:cs="Times New Roman" w:eastAsiaTheme="minorEastAsia"/>
      <w:sz w:val="21"/>
      <w:szCs w:val="22"/>
      <w:lang w:val="en-US" w:eastAsia="zh-CN" w:bidi="ar-SA"/>
    </w:rPr>
  </w:style>
  <w:style w:type="paragraph" w:styleId="1005" w:customStyle="1">
    <w:name w:val="正文_6"/>
    <w:uiPriority w:val="0"/>
    <w:qFormat/>
    <w:pPr>
      <w:jc w:val="both"/>
      <w:widowControl w:val="off"/>
    </w:pPr>
    <w:rPr>
      <w:rFonts w:ascii="Calibri" w:hAnsi="Calibri" w:cs="Times New Roman" w:eastAsiaTheme="minorEastAsia"/>
      <w:sz w:val="22"/>
      <w:szCs w:val="22"/>
      <w:lang w:val="en-US" w:eastAsia="zh-CN" w:bidi="ar-SA"/>
    </w:rPr>
  </w:style>
  <w:style w:type="paragraph" w:styleId="1006" w:customStyle="1">
    <w:name w:val="Normal_14"/>
    <w:uiPriority w:val="0"/>
    <w:qFormat/>
    <w:pPr>
      <w:jc w:val="both"/>
      <w:widowControl w:val="off"/>
    </w:pPr>
    <w:rPr>
      <w:rFonts w:eastAsia="Times New Roman" w:cs="Times New Roman" w:asciiTheme="minorHAnsi" w:hAnsiTheme="minorHAnsi"/>
      <w:sz w:val="22"/>
      <w:szCs w:val="22"/>
      <w:lang w:val="en-US" w:eastAsia="zh-CN" w:bidi="ar-SA"/>
    </w:rPr>
  </w:style>
  <w:style w:type="character" w:styleId="1007" w:customStyle="1">
    <w:name w:val="页脚 字符"/>
    <w:basedOn w:val="907"/>
    <w:uiPriority w:val="99"/>
    <w:qFormat/>
    <w:rPr>
      <w:rFonts w:hint="eastAsia" w:ascii="宋体" w:hAnsi="宋体" w:eastAsia="宋体" w:cs="宋体"/>
      <w:sz w:val="18"/>
      <w:szCs w:val="18"/>
    </w:rPr>
  </w:style>
  <w:style w:type="character" w:styleId="1008" w:customStyle="1">
    <w:name w:val="标题 4 字符"/>
    <w:basedOn w:val="907"/>
    <w:link w:val="901"/>
    <w:uiPriority w:val="9"/>
    <w:qFormat/>
    <w:rPr>
      <w:b/>
      <w:bCs/>
      <w:sz w:val="28"/>
      <w:szCs w:val="28"/>
    </w:rPr>
  </w:style>
  <w:style w:type="character" w:styleId="1009" w:customStyle="1">
    <w:name w:val="标题 4 字符1"/>
    <w:basedOn w:val="907"/>
    <w:uiPriority w:val="0"/>
    <w:qFormat/>
    <w:rPr>
      <w:rFonts w:hint="default" w:ascii="Arial" w:hAnsi="Arial" w:eastAsia="黑体" w:cs="Arial"/>
      <w:b/>
      <w:bCs/>
      <w:sz w:val="28"/>
      <w:szCs w:val="28"/>
    </w:rPr>
  </w:style>
  <w:style w:type="character" w:styleId="1010" w:customStyle="1">
    <w:name w:val="普通(网站) 字符"/>
    <w:basedOn w:val="907"/>
    <w:link w:val="930"/>
    <w:uiPriority w:val="0"/>
    <w:qFormat/>
    <w:rPr>
      <w:rFonts w:hint="eastAsia" w:ascii="宋体" w:hAnsi="宋体" w:eastAsia="宋体" w:cs="宋体"/>
      <w:color w:val="000000"/>
      <w:sz w:val="19"/>
      <w:szCs w:val="19"/>
    </w:rPr>
  </w:style>
  <w:style w:type="character" w:styleId="1011" w:customStyle="1">
    <w:name w:val="标题 1 字符"/>
    <w:basedOn w:val="907"/>
    <w:link w:val="898"/>
    <w:uiPriority w:val="9"/>
    <w:qFormat/>
    <w:rPr>
      <w:rFonts w:asciiTheme="majorHAnsi" w:hAnsiTheme="majorHAnsi" w:eastAsiaTheme="majorEastAsia"/>
      <w:b/>
      <w:bCs/>
      <w:sz w:val="32"/>
      <w:szCs w:val="32"/>
    </w:rPr>
  </w:style>
  <w:style w:type="character" w:styleId="1012" w:customStyle="1">
    <w:name w:val="正文文本 3 字符1"/>
    <w:basedOn w:val="907"/>
    <w:link w:val="912"/>
    <w:uiPriority w:val="0"/>
    <w:qFormat/>
    <w:rPr>
      <w:rFonts w:hint="eastAsia" w:ascii="宋体" w:hAnsi="宋体" w:eastAsia="宋体" w:cs="宋体"/>
      <w:sz w:val="24"/>
    </w:rPr>
  </w:style>
  <w:style w:type="character" w:styleId="1013" w:customStyle="1">
    <w:name w:val="页眉 字符"/>
    <w:basedOn w:val="907"/>
    <w:uiPriority w:val="0"/>
    <w:qFormat/>
    <w:rPr>
      <w:rFonts w:hint="eastAsia" w:ascii="宋体" w:hAnsi="宋体" w:eastAsia="宋体" w:cs="宋体"/>
      <w:sz w:val="18"/>
      <w:szCs w:val="18"/>
    </w:rPr>
  </w:style>
  <w:style w:type="character" w:styleId="1014" w:customStyle="1">
    <w:name w:val="正文文本 3 字符"/>
    <w:basedOn w:val="907"/>
    <w:uiPriority w:val="0"/>
    <w:qFormat/>
    <w:rPr>
      <w:rFonts w:hint="eastAsia" w:ascii="宋体" w:hAnsi="宋体" w:eastAsia="宋体" w:cs="宋体"/>
      <w:sz w:val="16"/>
      <w:szCs w:val="16"/>
    </w:rPr>
  </w:style>
  <w:style w:type="paragraph" w:styleId="1015" w:customStyle="1">
    <w:name w:val="msolistparagraph"/>
    <w:basedOn w:val="897"/>
    <w:uiPriority w:val="0"/>
    <w:qFormat/>
    <w:pPr>
      <w:ind w:firstLine="420"/>
    </w:pPr>
    <w:rPr>
      <w:rFonts w:hint="eastAsia" w:ascii="宋体" w:eastAsia="宋体"/>
      <w:sz w:val="21"/>
    </w:rPr>
  </w:style>
  <w:style w:type="character" w:styleId="1016" w:customStyle="1">
    <w:name w:val="正文文本 字符"/>
    <w:basedOn w:val="907"/>
    <w:link w:val="913"/>
    <w:uiPriority w:val="0"/>
    <w:qFormat/>
    <w:rPr>
      <w:rFonts w:hint="eastAsia" w:ascii="宋体" w:hAnsi="宋体" w:eastAsia="宋体" w:cs="宋体"/>
      <w:sz w:val="21"/>
      <w:szCs w:val="24"/>
    </w:rPr>
  </w:style>
  <w:style w:type="character" w:styleId="1017" w:customStyle="1">
    <w:name w:val="标题 2 字符"/>
    <w:basedOn w:val="907"/>
    <w:link w:val="899"/>
    <w:uiPriority w:val="9"/>
    <w:qFormat/>
    <w:rPr>
      <w:rFonts w:asciiTheme="majorHAnsi" w:hAnsiTheme="majorHAnsi" w:eastAsiaTheme="majorEastAsia"/>
      <w:b/>
      <w:bCs/>
      <w:i/>
      <w:iCs/>
      <w:sz w:val="28"/>
      <w:szCs w:val="28"/>
    </w:rPr>
  </w:style>
  <w:style w:type="character" w:styleId="1018" w:customStyle="1">
    <w:name w:val="标题 1 字符1"/>
    <w:basedOn w:val="907"/>
    <w:uiPriority w:val="0"/>
    <w:qFormat/>
    <w:rPr>
      <w:rFonts w:hint="eastAsia" w:ascii="黑体" w:hAnsi="宋体" w:eastAsia="黑体" w:cs="Arial"/>
      <w:b/>
      <w:bCs/>
      <w:sz w:val="32"/>
      <w:szCs w:val="24"/>
    </w:rPr>
  </w:style>
  <w:style w:type="character" w:styleId="1019" w:customStyle="1">
    <w:name w:val="标题 2 字符1"/>
    <w:basedOn w:val="907"/>
    <w:uiPriority w:val="0"/>
    <w:qFormat/>
    <w:rPr>
      <w:rFonts w:hint="eastAsia" w:ascii="黑体" w:hAnsi="宋体" w:eastAsia="黑体" w:cs="Arial"/>
      <w:b/>
      <w:bCs/>
      <w:sz w:val="30"/>
      <w:szCs w:val="30"/>
    </w:rPr>
  </w:style>
  <w:style w:type="character" w:styleId="1020" w:customStyle="1">
    <w:name w:val="页脚 字符1"/>
    <w:basedOn w:val="907"/>
    <w:link w:val="923"/>
    <w:uiPriority w:val="0"/>
    <w:qFormat/>
    <w:rPr>
      <w:sz w:val="18"/>
      <w:szCs w:val="18"/>
    </w:rPr>
  </w:style>
  <w:style w:type="character" w:styleId="1021" w:customStyle="1">
    <w:name w:val="页眉 字符1"/>
    <w:basedOn w:val="907"/>
    <w:link w:val="925"/>
    <w:uiPriority w:val="0"/>
    <w:qFormat/>
    <w:rPr>
      <w:sz w:val="18"/>
      <w:szCs w:val="18"/>
    </w:rPr>
  </w:style>
  <w:style w:type="character" w:styleId="1022" w:customStyle="1">
    <w:name w:val="正文文本首行缩进 字符"/>
    <w:basedOn w:val="1016"/>
    <w:uiPriority w:val="0"/>
    <w:qFormat/>
    <w:rPr>
      <w:rFonts w:hint="eastAsia" w:ascii="宋体" w:hAnsi="宋体" w:eastAsia="宋体" w:cs="宋体"/>
      <w:sz w:val="21"/>
      <w:szCs w:val="24"/>
    </w:rPr>
  </w:style>
  <w:style w:type="character" w:styleId="1023" w:customStyle="1">
    <w:name w:val="正文文本首行缩进 字符1"/>
    <w:basedOn w:val="907"/>
    <w:uiPriority w:val="0"/>
    <w:qFormat/>
    <w:rPr>
      <w:rFonts w:hint="eastAsia" w:ascii="宋体" w:hAnsi="宋体" w:eastAsia="宋体" w:cs="宋体"/>
      <w:sz w:val="21"/>
      <w:szCs w:val="24"/>
    </w:rPr>
  </w:style>
  <w:style w:type="character" w:styleId="1024" w:customStyle="1">
    <w:name w:val="标题 字符"/>
    <w:basedOn w:val="907"/>
    <w:link w:val="932"/>
    <w:uiPriority w:val="10"/>
    <w:qFormat/>
    <w:rPr>
      <w:rFonts w:asciiTheme="majorHAnsi" w:hAnsiTheme="majorHAnsi" w:eastAsiaTheme="majorEastAsia"/>
      <w:b/>
      <w:bCs/>
      <w:sz w:val="32"/>
      <w:szCs w:val="32"/>
    </w:rPr>
  </w:style>
  <w:style w:type="character" w:styleId="1025" w:customStyle="1">
    <w:name w:val="列表段落 字符1"/>
    <w:basedOn w:val="907"/>
    <w:uiPriority w:val="0"/>
    <w:qFormat/>
    <w:rPr>
      <w:rFonts w:hint="eastAsia" w:ascii="宋体" w:hAnsi="宋体" w:eastAsia="宋体" w:cs="宋体"/>
      <w:sz w:val="21"/>
      <w:szCs w:val="24"/>
    </w:rPr>
  </w:style>
  <w:style w:type="character" w:styleId="1026" w:customStyle="1">
    <w:name w:val="列表段落 字符"/>
    <w:basedOn w:val="907"/>
    <w:uiPriority w:val="0"/>
    <w:qFormat/>
    <w:rPr>
      <w:rFonts w:hint="eastAsia" w:ascii="宋体" w:hAnsi="宋体" w:eastAsia="宋体" w:cs="宋体"/>
      <w:sz w:val="24"/>
      <w:szCs w:val="24"/>
    </w:rPr>
  </w:style>
  <w:style w:type="paragraph" w:styleId="1027" w:customStyle="1">
    <w:name w:val="列出段落2"/>
    <w:basedOn w:val="897"/>
    <w:uiPriority w:val="0"/>
    <w:qFormat/>
    <w:pPr>
      <w:ind w:firstLine="420"/>
    </w:pPr>
    <w:rPr>
      <w:rFonts w:hint="eastAsia" w:ascii="宋体" w:hAnsi="宋体" w:eastAsia="宋体"/>
    </w:rPr>
  </w:style>
  <w:style w:type="paragraph" w:styleId="1028" w:customStyle="1">
    <w:name w:val="修订2"/>
    <w:hidden/>
    <w:uiPriority w:val="99"/>
    <w:semiHidden/>
    <w:qFormat/>
    <w:rPr>
      <w:rFonts w:eastAsia="楷体_GB2312" w:cs="Times New Roman" w:asciiTheme="minorHAnsi" w:hAnsiTheme="minorHAnsi"/>
      <w:sz w:val="26"/>
      <w:szCs w:val="22"/>
      <w:lang w:val="en-US" w:eastAsia="zh-CN" w:bidi="ar-SA"/>
    </w:rPr>
  </w:style>
  <w:style w:type="character" w:styleId="1029" w:customStyle="1">
    <w:name w:val="段 Char"/>
    <w:basedOn w:val="907"/>
    <w:uiPriority w:val="0"/>
    <w:qFormat/>
    <w:rPr>
      <w:rFonts w:hint="eastAsia" w:ascii="宋体" w:hAnsi="宋体" w:eastAsia="宋体" w:cs="宋体"/>
      <w:sz w:val="21"/>
    </w:rPr>
  </w:style>
  <w:style w:type="character" w:styleId="1030" w:customStyle="1">
    <w:name w:val="font51"/>
    <w:basedOn w:val="907"/>
    <w:uiPriority w:val="0"/>
    <w:qFormat/>
    <w:rPr>
      <w:rFonts w:hint="eastAsia" w:ascii="宋体" w:hAnsi="宋体" w:eastAsia="宋体" w:cs="宋体"/>
      <w:color w:val="auto"/>
      <w:sz w:val="21"/>
      <w:szCs w:val="21"/>
      <w:u w:val="none"/>
    </w:rPr>
  </w:style>
  <w:style w:type="paragraph" w:styleId="1031" w:customStyle="1">
    <w:name w:val="_Style 91"/>
    <w:uiPriority w:val="99"/>
    <w:qFormat/>
    <w:pPr>
      <w:ind w:firstLine="420"/>
      <w:jc w:val="both"/>
      <w:widowControl w:val="off"/>
    </w:pPr>
    <w:rPr>
      <w:rFonts w:ascii="Calibri" w:hAnsi="Calibri" w:cs="Times New Roman" w:eastAsiaTheme="minorEastAsia"/>
      <w:sz w:val="21"/>
      <w:szCs w:val="22"/>
      <w:lang w:val="en-US" w:eastAsia="zh-CN" w:bidi="ar-SA"/>
    </w:rPr>
  </w:style>
  <w:style w:type="paragraph" w:styleId="1032" w:customStyle="1">
    <w:name w:val="修订3"/>
    <w:hidden/>
    <w:uiPriority w:val="99"/>
    <w:unhideWhenUsed/>
    <w:qFormat/>
    <w:rPr>
      <w:rFonts w:eastAsia="楷体_GB2312" w:cs="Times New Roman" w:asciiTheme="minorHAnsi" w:hAnsiTheme="minorHAnsi"/>
      <w:sz w:val="26"/>
      <w:szCs w:val="22"/>
      <w:lang w:val="en-US" w:eastAsia="zh-CN" w:bidi="ar-SA"/>
    </w:rPr>
  </w:style>
  <w:style w:type="character" w:styleId="1033" w:customStyle="1">
    <w:name w:val="font31"/>
    <w:basedOn w:val="907"/>
    <w:uiPriority w:val="0"/>
    <w:qFormat/>
    <w:rPr>
      <w:rFonts w:hint="eastAsia" w:ascii="宋体" w:hAnsi="宋体" w:eastAsia="宋体" w:cs="宋体"/>
      <w:color w:val="000000"/>
      <w:sz w:val="18"/>
      <w:szCs w:val="18"/>
      <w:u w:val="none"/>
    </w:rPr>
  </w:style>
  <w:style w:type="paragraph" w:styleId="1034" w:customStyle="1">
    <w:name w:val="正文（深信服科技）"/>
    <w:uiPriority w:val="0"/>
    <w:qFormat/>
    <w:pPr>
      <w:ind w:firstLine="480"/>
      <w:jc w:val="both"/>
      <w:spacing w:line="360" w:lineRule="auto"/>
    </w:pPr>
    <w:rPr>
      <w:rFonts w:cs="Times New Roman" w:asciiTheme="minorHAnsi" w:hAnsiTheme="minorHAnsi" w:eastAsiaTheme="minorEastAsia"/>
      <w:sz w:val="24"/>
      <w:szCs w:val="21"/>
      <w:lang w:val="en-US" w:eastAsia="zh-CN" w:bidi="ar-SA"/>
    </w:rPr>
  </w:style>
  <w:style w:type="paragraph" w:styleId="1035" w:customStyle="1">
    <w:name w:val="首行缩进"/>
    <w:basedOn w:val="897"/>
    <w:uiPriority w:val="0"/>
    <w:qFormat/>
    <w:pPr>
      <w:ind w:firstLine="480"/>
    </w:pPr>
    <w:rPr>
      <w:lang w:val="zh-CN"/>
    </w:rPr>
  </w:style>
  <w:style w:type="paragraph" w:styleId="1036" w:customStyle="1">
    <w:name w:val="Revision"/>
    <w:hidden/>
    <w:uiPriority w:val="99"/>
    <w:unhideWhenUsed/>
    <w:qFormat/>
    <w:rPr>
      <w:rFonts w:eastAsia="楷体_GB2312" w:cs="Times New Roman" w:asciiTheme="minorHAnsi" w:hAnsiTheme="minorHAnsi"/>
      <w:sz w:val="26"/>
      <w:szCs w:val="22"/>
      <w:lang w:val="en-US" w:eastAsia="zh-CN" w:bidi="ar-SA"/>
    </w:rPr>
  </w:style>
  <w:style w:type="character" w:styleId="1037" w:customStyle="1">
    <w:name w:val="标题 5 字符"/>
    <w:basedOn w:val="907"/>
    <w:link w:val="902"/>
    <w:uiPriority w:val="9"/>
    <w:semiHidden/>
    <w:qFormat/>
    <w:rPr>
      <w:b/>
      <w:bCs/>
      <w:i/>
      <w:iCs/>
      <w:sz w:val="26"/>
      <w:szCs w:val="26"/>
    </w:rPr>
  </w:style>
  <w:style w:type="character" w:styleId="1038" w:customStyle="1">
    <w:name w:val="标题 6 字符"/>
    <w:basedOn w:val="907"/>
    <w:link w:val="903"/>
    <w:uiPriority w:val="9"/>
    <w:semiHidden/>
    <w:qFormat/>
    <w:rPr>
      <w:b/>
      <w:bCs/>
    </w:rPr>
  </w:style>
  <w:style w:type="character" w:styleId="1039" w:customStyle="1">
    <w:name w:val="标题 7 字符"/>
    <w:basedOn w:val="907"/>
    <w:link w:val="904"/>
    <w:uiPriority w:val="9"/>
    <w:semiHidden/>
    <w:qFormat/>
    <w:rPr>
      <w:sz w:val="24"/>
      <w:szCs w:val="24"/>
    </w:rPr>
  </w:style>
  <w:style w:type="character" w:styleId="1040" w:customStyle="1">
    <w:name w:val="标题 8 字符"/>
    <w:basedOn w:val="907"/>
    <w:link w:val="905"/>
    <w:uiPriority w:val="9"/>
    <w:semiHidden/>
    <w:qFormat/>
    <w:rPr>
      <w:i/>
      <w:iCs/>
      <w:sz w:val="24"/>
      <w:szCs w:val="24"/>
    </w:rPr>
  </w:style>
  <w:style w:type="character" w:styleId="1041" w:customStyle="1">
    <w:name w:val="标题 9 字符"/>
    <w:basedOn w:val="907"/>
    <w:link w:val="906"/>
    <w:uiPriority w:val="9"/>
    <w:semiHidden/>
    <w:qFormat/>
    <w:rPr>
      <w:rFonts w:asciiTheme="majorHAnsi" w:hAnsiTheme="majorHAnsi" w:eastAsiaTheme="majorEastAsia"/>
    </w:rPr>
  </w:style>
  <w:style w:type="paragraph" w:styleId="1042">
    <w:name w:val="Quote"/>
    <w:basedOn w:val="897"/>
    <w:next w:val="897"/>
    <w:link w:val="1043"/>
    <w:uiPriority w:val="29"/>
    <w:qFormat/>
    <w:rPr>
      <w:i/>
    </w:rPr>
  </w:style>
  <w:style w:type="character" w:styleId="1043" w:customStyle="1">
    <w:name w:val="引用 字符"/>
    <w:basedOn w:val="907"/>
    <w:link w:val="1042"/>
    <w:uiPriority w:val="29"/>
    <w:qFormat/>
    <w:rPr>
      <w:i/>
      <w:sz w:val="24"/>
      <w:szCs w:val="24"/>
    </w:rPr>
  </w:style>
  <w:style w:type="paragraph" w:styleId="1044">
    <w:name w:val="Intense Quote"/>
    <w:basedOn w:val="897"/>
    <w:next w:val="897"/>
    <w:link w:val="1045"/>
    <w:uiPriority w:val="30"/>
    <w:qFormat/>
    <w:pPr>
      <w:ind w:left="720" w:right="720"/>
    </w:pPr>
    <w:rPr>
      <w:b/>
      <w:i/>
      <w:szCs w:val="22"/>
    </w:rPr>
  </w:style>
  <w:style w:type="character" w:styleId="1045" w:customStyle="1">
    <w:name w:val="明显引用 字符"/>
    <w:basedOn w:val="907"/>
    <w:link w:val="1044"/>
    <w:uiPriority w:val="30"/>
    <w:qFormat/>
    <w:rPr>
      <w:b/>
      <w:i/>
      <w:sz w:val="24"/>
    </w:rPr>
  </w:style>
  <w:style w:type="character" w:styleId="1046" w:customStyle="1">
    <w:name w:val="Subtle Emphasis"/>
    <w:uiPriority w:val="19"/>
    <w:qFormat/>
    <w:rPr>
      <w:i/>
      <w:color w:val="595959" w:themeColor="text1" w:themeTint="A6"/>
      <w14:textFill>
        <w14:solidFill>
          <w14:schemeClr w14:val="tx1">
            <w14:lumMod w14:val="65000"/>
            <w14:lumOff w14:val="35000"/>
          </w14:schemeClr>
        </w14:solidFill>
      </w14:textFill>
    </w:rPr>
  </w:style>
  <w:style w:type="character" w:styleId="1047" w:customStyle="1">
    <w:name w:val="Intense Emphasis"/>
    <w:basedOn w:val="907"/>
    <w:uiPriority w:val="21"/>
    <w:qFormat/>
    <w:rPr>
      <w:b/>
      <w:i/>
      <w:sz w:val="24"/>
      <w:szCs w:val="24"/>
      <w:u w:val="single"/>
    </w:rPr>
  </w:style>
  <w:style w:type="character" w:styleId="1048" w:customStyle="1">
    <w:name w:val="Subtle Reference"/>
    <w:basedOn w:val="907"/>
    <w:uiPriority w:val="31"/>
    <w:qFormat/>
    <w:rPr>
      <w:sz w:val="24"/>
      <w:szCs w:val="24"/>
      <w:u w:val="single"/>
    </w:rPr>
  </w:style>
  <w:style w:type="character" w:styleId="1049" w:customStyle="1">
    <w:name w:val="Intense Reference"/>
    <w:basedOn w:val="907"/>
    <w:uiPriority w:val="32"/>
    <w:qFormat/>
    <w:rPr>
      <w:b/>
      <w:sz w:val="24"/>
      <w:u w:val="single"/>
    </w:rPr>
  </w:style>
  <w:style w:type="character" w:styleId="1050" w:customStyle="1">
    <w:name w:val="Book Title"/>
    <w:basedOn w:val="907"/>
    <w:uiPriority w:val="33"/>
    <w:qFormat/>
    <w:rPr>
      <w:rFonts w:asciiTheme="majorHAnsi" w:hAnsiTheme="majorHAnsi" w:eastAsiaTheme="majorEastAsia"/>
      <w:b/>
      <w:i/>
      <w:sz w:val="24"/>
      <w:szCs w:val="24"/>
    </w:rPr>
  </w:style>
  <w:style w:type="paragraph" w:styleId="1051" w:customStyle="1">
    <w:name w:val="TOC Heading"/>
    <w:basedOn w:val="898"/>
    <w:next w:val="897"/>
    <w:uiPriority w:val="39"/>
    <w:semiHidden/>
    <w:unhideWhenUsed/>
    <w:qFormat/>
    <w:pPr>
      <w:outlineLvl w:val="9"/>
    </w:p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212F9C7-19FC-4A58-A8FF-62DBDA18BD0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苏州华星周燕萍</cp:lastModifiedBy>
  <cp:revision>3</cp:revision>
  <dcterms:created xsi:type="dcterms:W3CDTF">2026-08-23T04:29:00Z</dcterms:created>
  <dcterms:modified xsi:type="dcterms:W3CDTF">2026-09-20T03:05:32Z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eyJoZGlkIjoiNTU0ZmIwYTQ3NzlmZGUxZmU3Zjk0M2IyZTNmM2IxNjAiLCJ1c2VySWQiOiI4Njg3ODU1MjkifQ==</vt:lpwstr>
  </property>
  <property fmtid="{D5CDD505-2E9C-101B-9397-08002B2CF9AE}" pid="3" name="KSOProductBuildVer">
    <vt:lpwstr>2052-12.1.0.28505</vt:lpwstr>
  </property>
  <property fmtid="{D5CDD505-2E9C-101B-9397-08002B2CF9AE}" pid="4" name="ICV">
    <vt:lpwstr>88434D3C8C744E18B2DC3D81D43A24B1_12</vt:lpwstr>
  </property>
</Properties>
</file>