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D0356">
      <w:pPr>
        <w:pStyle w:val="7"/>
        <w:rPr>
          <w:highlight w:val="none"/>
        </w:rPr>
      </w:pPr>
      <w:r>
        <w:rPr>
          <w:rFonts w:hint="eastAsia"/>
          <w:highlight w:val="none"/>
        </w:rPr>
        <w:t>1、陆家镇环境卫生作业考评管理办法</w:t>
      </w:r>
    </w:p>
    <w:p w14:paraId="2F4799CE">
      <w:pPr>
        <w:spacing w:line="360" w:lineRule="auto"/>
        <w:ind w:firstLine="422" w:firstLineChars="200"/>
        <w:rPr>
          <w:rFonts w:ascii="宋体" w:hAnsi="宋体" w:cs="宋体"/>
          <w:b/>
          <w:bCs/>
          <w:szCs w:val="21"/>
          <w:highlight w:val="none"/>
        </w:rPr>
      </w:pPr>
      <w:r>
        <w:rPr>
          <w:rFonts w:hint="eastAsia" w:ascii="宋体" w:hAnsi="宋体" w:cs="宋体"/>
          <w:b/>
          <w:bCs/>
          <w:szCs w:val="21"/>
          <w:highlight w:val="none"/>
        </w:rPr>
        <w:t xml:space="preserve">1、考评方式 </w:t>
      </w:r>
    </w:p>
    <w:p w14:paraId="107DB749">
      <w:pPr>
        <w:spacing w:line="360" w:lineRule="auto"/>
        <w:ind w:firstLine="420" w:firstLineChars="200"/>
        <w:rPr>
          <w:rFonts w:ascii="宋体" w:hAnsi="宋体" w:cs="宋体"/>
          <w:szCs w:val="21"/>
          <w:highlight w:val="none"/>
        </w:rPr>
      </w:pPr>
      <w:r>
        <w:rPr>
          <w:rFonts w:hint="eastAsia" w:ascii="宋体" w:hAnsi="宋体" w:cs="宋体"/>
          <w:szCs w:val="21"/>
          <w:highlight w:val="none"/>
        </w:rPr>
        <w:t>按照公开、公平、公正的原则，注重实绩，体现规范性、合理性和导向性。</w:t>
      </w:r>
    </w:p>
    <w:p w14:paraId="44F5C6BD">
      <w:pPr>
        <w:spacing w:line="360" w:lineRule="auto"/>
        <w:ind w:firstLine="420" w:firstLineChars="200"/>
        <w:rPr>
          <w:rFonts w:ascii="宋体" w:hAnsi="宋体" w:cs="宋体"/>
          <w:szCs w:val="21"/>
          <w:highlight w:val="none"/>
        </w:rPr>
      </w:pPr>
      <w:r>
        <w:rPr>
          <w:rFonts w:hint="eastAsia" w:ascii="宋体" w:hAnsi="宋体" w:cs="宋体"/>
          <w:szCs w:val="21"/>
          <w:highlight w:val="none"/>
        </w:rPr>
        <w:t>考核实行四级联考制度，由苏州级考核、昆山级考核、本级考核及社会监督考核组成。</w:t>
      </w:r>
    </w:p>
    <w:p w14:paraId="27A9A968">
      <w:pPr>
        <w:spacing w:line="360" w:lineRule="auto"/>
        <w:ind w:firstLine="420" w:firstLineChars="200"/>
        <w:rPr>
          <w:rFonts w:ascii="宋体" w:hAnsi="宋体" w:cs="宋体"/>
          <w:szCs w:val="21"/>
          <w:highlight w:val="none"/>
        </w:rPr>
      </w:pPr>
      <w:r>
        <w:rPr>
          <w:rFonts w:hint="eastAsia" w:ascii="宋体" w:hAnsi="宋体" w:cs="宋体"/>
          <w:szCs w:val="21"/>
          <w:highlight w:val="none"/>
        </w:rPr>
        <w:t>苏州级考核:根据市级部门或领导反映核实后列入考核。</w:t>
      </w:r>
    </w:p>
    <w:p w14:paraId="381A0FD2">
      <w:pPr>
        <w:spacing w:line="360" w:lineRule="auto"/>
        <w:ind w:firstLine="420" w:firstLineChars="200"/>
        <w:rPr>
          <w:rFonts w:ascii="宋体" w:hAnsi="宋体" w:cs="宋体"/>
          <w:szCs w:val="21"/>
          <w:highlight w:val="none"/>
        </w:rPr>
      </w:pPr>
      <w:r>
        <w:rPr>
          <w:rFonts w:hint="eastAsia" w:ascii="宋体" w:hAnsi="宋体" w:cs="宋体"/>
          <w:szCs w:val="21"/>
          <w:highlight w:val="none"/>
        </w:rPr>
        <w:t>昆山级考核：根据上级部门或领导反映核实后列入考核。</w:t>
      </w:r>
    </w:p>
    <w:p w14:paraId="1DE7961A">
      <w:pPr>
        <w:spacing w:line="360" w:lineRule="auto"/>
        <w:ind w:firstLine="420" w:firstLineChars="200"/>
        <w:rPr>
          <w:rFonts w:ascii="宋体" w:hAnsi="宋体" w:cs="宋体"/>
          <w:szCs w:val="21"/>
          <w:highlight w:val="none"/>
        </w:rPr>
      </w:pPr>
      <w:r>
        <w:rPr>
          <w:rFonts w:hint="eastAsia" w:ascii="宋体" w:hAnsi="宋体" w:cs="宋体"/>
          <w:szCs w:val="21"/>
          <w:highlight w:val="none"/>
        </w:rPr>
        <w:t>本级考核:环卫口按照考核计划实施，主要是环卫作业质效、视频监控、城管环卫联动，主要实行随机抽查考核方式，但每一轮次抽查必须公平、公正原则，其余部分的考评根据每月上报的台账记录以及任务交办完成情况进行考评，评分根据考评管理办法执行。</w:t>
      </w:r>
    </w:p>
    <w:p w14:paraId="7DAA9B83">
      <w:pPr>
        <w:spacing w:line="360" w:lineRule="auto"/>
        <w:ind w:firstLine="420" w:firstLineChars="200"/>
        <w:rPr>
          <w:rFonts w:ascii="宋体" w:hAnsi="宋体" w:cs="宋体"/>
          <w:szCs w:val="21"/>
          <w:highlight w:val="none"/>
        </w:rPr>
      </w:pPr>
      <w:r>
        <w:rPr>
          <w:rFonts w:hint="eastAsia" w:ascii="宋体" w:hAnsi="宋体" w:cs="宋体"/>
          <w:szCs w:val="21"/>
          <w:highlight w:val="none"/>
        </w:rPr>
        <w:t>社会监督考核:根据来电、来信、来访、便民服务平台进行考核。</w:t>
      </w:r>
    </w:p>
    <w:p w14:paraId="213D11FB">
      <w:pPr>
        <w:spacing w:line="360" w:lineRule="auto"/>
        <w:ind w:firstLine="422" w:firstLineChars="200"/>
        <w:rPr>
          <w:rFonts w:ascii="宋体" w:hAnsi="宋体" w:cs="宋体"/>
          <w:b/>
          <w:bCs/>
          <w:szCs w:val="21"/>
          <w:highlight w:val="none"/>
        </w:rPr>
      </w:pPr>
      <w:r>
        <w:rPr>
          <w:rFonts w:hint="eastAsia" w:ascii="宋体" w:hAnsi="宋体" w:cs="宋体"/>
          <w:b/>
          <w:bCs/>
          <w:szCs w:val="21"/>
          <w:highlight w:val="none"/>
        </w:rPr>
        <w:t xml:space="preserve">2、评分办法 </w:t>
      </w:r>
      <w:bookmarkStart w:id="5" w:name="_GoBack"/>
      <w:bookmarkEnd w:id="5"/>
    </w:p>
    <w:p w14:paraId="5CAA4E56">
      <w:pPr>
        <w:spacing w:line="360" w:lineRule="auto"/>
        <w:ind w:firstLine="420" w:firstLineChars="200"/>
        <w:rPr>
          <w:rFonts w:ascii="宋体" w:hAnsi="宋体" w:cs="宋体"/>
          <w:szCs w:val="21"/>
          <w:highlight w:val="none"/>
        </w:rPr>
      </w:pPr>
      <w:r>
        <w:rPr>
          <w:rFonts w:hint="eastAsia" w:ascii="宋体" w:hAnsi="宋体" w:cs="宋体"/>
          <w:szCs w:val="21"/>
          <w:highlight w:val="none"/>
        </w:rPr>
        <w:t>(1)根据考评情况汇总扣分情况。</w:t>
      </w:r>
    </w:p>
    <w:p w14:paraId="4759CB08">
      <w:pPr>
        <w:spacing w:line="360" w:lineRule="auto"/>
        <w:ind w:firstLine="420" w:firstLineChars="200"/>
        <w:rPr>
          <w:rFonts w:ascii="宋体" w:hAnsi="宋体" w:cs="宋体"/>
          <w:szCs w:val="21"/>
          <w:highlight w:val="none"/>
        </w:rPr>
      </w:pPr>
      <w:r>
        <w:rPr>
          <w:rFonts w:hint="eastAsia" w:ascii="宋体" w:hAnsi="宋体" w:cs="宋体"/>
          <w:szCs w:val="21"/>
          <w:highlight w:val="none"/>
        </w:rPr>
        <w:t>(2)因不可抗力等非保洁公司原因导致的考核目标、工作要求无法完成的,经甲方最终确认，不计入考核范围。</w:t>
      </w:r>
    </w:p>
    <w:p w14:paraId="6BACFDEC">
      <w:pPr>
        <w:spacing w:line="360" w:lineRule="auto"/>
        <w:ind w:firstLine="420" w:firstLineChars="200"/>
        <w:rPr>
          <w:rFonts w:ascii="宋体" w:hAnsi="宋体" w:cs="宋体"/>
          <w:szCs w:val="21"/>
          <w:highlight w:val="none"/>
        </w:rPr>
      </w:pPr>
      <w:r>
        <w:rPr>
          <w:rFonts w:hint="eastAsia" w:ascii="宋体" w:hAnsi="宋体" w:cs="宋体"/>
          <w:szCs w:val="21"/>
          <w:highlight w:val="none"/>
        </w:rPr>
        <w:t>(3)标段对考核结果如有异议，须在考核结果公布3日内以书面或电子邮件形式向甲方提出申述，甲方应在3日内作出答复。</w:t>
      </w:r>
    </w:p>
    <w:p w14:paraId="5E6FC072">
      <w:pPr>
        <w:pStyle w:val="3"/>
        <w:overflowPunct w:val="0"/>
        <w:spacing w:line="360" w:lineRule="auto"/>
        <w:ind w:firstLine="422" w:firstLineChars="200"/>
        <w:rPr>
          <w:rFonts w:ascii="宋体" w:hAnsi="宋体" w:eastAsia="宋体" w:cs="宋体"/>
          <w:b/>
          <w:bCs/>
          <w:sz w:val="21"/>
          <w:szCs w:val="21"/>
          <w:highlight w:val="none"/>
        </w:rPr>
      </w:pPr>
      <w:r>
        <w:rPr>
          <w:rFonts w:hint="eastAsia" w:ascii="宋体" w:hAnsi="宋体" w:eastAsia="宋体" w:cs="宋体"/>
          <w:b/>
          <w:bCs/>
          <w:sz w:val="21"/>
          <w:szCs w:val="21"/>
          <w:highlight w:val="none"/>
        </w:rPr>
        <w:t>(4</w:t>
      </w:r>
      <w:r>
        <w:rPr>
          <w:rFonts w:hint="eastAsia" w:ascii="宋体" w:hAnsi="宋体" w:eastAsia="宋体" w:cs="宋体"/>
          <w:b/>
          <w:bCs/>
          <w:kern w:val="0"/>
          <w:sz w:val="21"/>
          <w:szCs w:val="21"/>
          <w:highlight w:val="none"/>
        </w:rPr>
        <w:t>)关于项目考核制度，甲方有权在项目实施过程中根据项目实际需要调整或者制定新的考核办法，项目实施中若遇政府等相关部门颁布新的标准（要求）乙方应按最新标准和要求执行，以上内容中标人需无条件接受。考评项目以及内容根据日常工作重点适时调整，于调整前一个月内通知</w:t>
      </w:r>
      <w:r>
        <w:rPr>
          <w:rFonts w:hint="eastAsia" w:ascii="宋体" w:hAnsi="宋体" w:eastAsia="宋体" w:cs="宋体"/>
          <w:b/>
          <w:bCs/>
          <w:kern w:val="0"/>
          <w:sz w:val="21"/>
          <w:szCs w:val="21"/>
          <w:highlight w:val="none"/>
        </w:rPr>
        <w:t>乙方。</w:t>
      </w:r>
    </w:p>
    <w:p w14:paraId="33B7EEE2">
      <w:pPr>
        <w:spacing w:line="360" w:lineRule="auto"/>
        <w:ind w:firstLine="420" w:firstLineChars="200"/>
        <w:rPr>
          <w:rFonts w:ascii="宋体" w:hAnsi="宋体" w:cs="宋体"/>
          <w:szCs w:val="21"/>
          <w:highlight w:val="none"/>
        </w:rPr>
      </w:pPr>
      <w:r>
        <w:rPr>
          <w:rFonts w:hint="eastAsia" w:ascii="宋体" w:hAnsi="宋体" w:cs="宋体"/>
          <w:szCs w:val="21"/>
          <w:highlight w:val="none"/>
        </w:rPr>
        <w:t>3、结果运用</w:t>
      </w:r>
    </w:p>
    <w:p w14:paraId="2BBCA253">
      <w:pPr>
        <w:spacing w:line="360" w:lineRule="auto"/>
        <w:ind w:firstLine="420" w:firstLineChars="200"/>
        <w:rPr>
          <w:rFonts w:ascii="宋体" w:hAnsi="宋体" w:cs="宋体"/>
          <w:szCs w:val="21"/>
          <w:highlight w:val="none"/>
        </w:rPr>
      </w:pPr>
      <w:r>
        <w:rPr>
          <w:rFonts w:hint="eastAsia" w:ascii="宋体" w:hAnsi="宋体" w:cs="宋体"/>
          <w:szCs w:val="21"/>
          <w:highlight w:val="none"/>
        </w:rPr>
        <w:t xml:space="preserve">考核结果将纳入环卫作业企业信用管理体系内，在建立健全信用管理制度的基础上，进一步规范环卫作业企业行为，并根据招标文件中对于考核结果运用的相关条款，落实到企业的服务费用、各项评比中。     </w:t>
      </w:r>
    </w:p>
    <w:p w14:paraId="2C18EEE3">
      <w:pPr>
        <w:spacing w:line="360" w:lineRule="auto"/>
        <w:ind w:firstLine="420" w:firstLineChars="200"/>
        <w:rPr>
          <w:rFonts w:ascii="宋体" w:hAnsi="宋体" w:cs="宋体"/>
          <w:szCs w:val="21"/>
          <w:highlight w:val="none"/>
        </w:rPr>
      </w:pPr>
      <w:r>
        <w:rPr>
          <w:rFonts w:hint="eastAsia" w:ascii="宋体" w:hAnsi="宋体" w:cs="宋体"/>
          <w:szCs w:val="21"/>
          <w:highlight w:val="none"/>
        </w:rPr>
        <w:t>附件：1. 陆家镇环境卫生作业考评细则</w:t>
      </w:r>
    </w:p>
    <w:p w14:paraId="5BBD02AE">
      <w:pPr>
        <w:spacing w:line="360" w:lineRule="auto"/>
        <w:ind w:firstLine="420" w:firstLineChars="200"/>
        <w:rPr>
          <w:rFonts w:ascii="宋体" w:hAnsi="宋体" w:cs="宋体"/>
          <w:szCs w:val="21"/>
          <w:highlight w:val="none"/>
        </w:rPr>
      </w:pPr>
      <w:r>
        <w:rPr>
          <w:rFonts w:hint="eastAsia" w:ascii="宋体" w:hAnsi="宋体" w:cs="宋体"/>
          <w:szCs w:val="21"/>
          <w:highlight w:val="none"/>
        </w:rPr>
        <w:t>2. 各级考核考评标准</w:t>
      </w:r>
    </w:p>
    <w:p w14:paraId="777DB25F">
      <w:pPr>
        <w:rPr>
          <w:rFonts w:ascii="黑体" w:hAnsi="宋体" w:eastAsia="黑体" w:cs="黑体"/>
          <w:kern w:val="0"/>
          <w:sz w:val="31"/>
          <w:szCs w:val="31"/>
          <w:highlight w:val="none"/>
          <w:lang w:bidi="ar"/>
        </w:rPr>
      </w:pPr>
      <w:r>
        <w:rPr>
          <w:rFonts w:ascii="黑体" w:hAnsi="宋体" w:eastAsia="黑体" w:cs="黑体"/>
          <w:kern w:val="0"/>
          <w:sz w:val="31"/>
          <w:szCs w:val="31"/>
          <w:highlight w:val="none"/>
          <w:lang w:bidi="ar"/>
        </w:rPr>
        <w:br w:type="page"/>
      </w:r>
    </w:p>
    <w:p w14:paraId="17DB1089">
      <w:pPr>
        <w:spacing w:line="360" w:lineRule="auto"/>
        <w:rPr>
          <w:rFonts w:ascii="宋体" w:hAnsi="宋体" w:cs="宋体"/>
          <w:b/>
          <w:bCs/>
          <w:kern w:val="0"/>
          <w:szCs w:val="21"/>
          <w:highlight w:val="none"/>
        </w:rPr>
      </w:pPr>
      <w:r>
        <w:rPr>
          <w:rFonts w:hint="eastAsia" w:ascii="宋体" w:hAnsi="宋体" w:cs="宋体"/>
          <w:b/>
          <w:bCs/>
          <w:kern w:val="0"/>
          <w:szCs w:val="21"/>
          <w:highlight w:val="none"/>
        </w:rPr>
        <w:t>附件 1：陆家镇环境卫生作业考评细则</w:t>
      </w:r>
    </w:p>
    <w:tbl>
      <w:tblPr>
        <w:tblStyle w:val="9"/>
        <w:tblW w:w="9712" w:type="dxa"/>
        <w:tblInd w:w="0" w:type="dxa"/>
        <w:tblLayout w:type="autofit"/>
        <w:tblCellMar>
          <w:top w:w="0" w:type="dxa"/>
          <w:left w:w="108" w:type="dxa"/>
          <w:bottom w:w="0" w:type="dxa"/>
          <w:right w:w="108" w:type="dxa"/>
        </w:tblCellMar>
      </w:tblPr>
      <w:tblGrid>
        <w:gridCol w:w="936"/>
        <w:gridCol w:w="816"/>
        <w:gridCol w:w="3315"/>
        <w:gridCol w:w="4645"/>
      </w:tblGrid>
      <w:tr w14:paraId="6B25535E">
        <w:tblPrEx>
          <w:tblCellMar>
            <w:top w:w="0" w:type="dxa"/>
            <w:left w:w="108" w:type="dxa"/>
            <w:bottom w:w="0" w:type="dxa"/>
            <w:right w:w="108" w:type="dxa"/>
          </w:tblCellMar>
        </w:tblPrEx>
        <w:trPr>
          <w:trHeight w:val="645" w:hRule="atLeast"/>
        </w:trPr>
        <w:tc>
          <w:tcPr>
            <w:tcW w:w="1752" w:type="dxa"/>
            <w:gridSpan w:val="2"/>
            <w:tcBorders>
              <w:top w:val="single" w:color="auto" w:sz="4" w:space="0"/>
              <w:left w:val="single" w:color="auto" w:sz="4" w:space="0"/>
              <w:bottom w:val="single" w:color="auto" w:sz="4" w:space="0"/>
              <w:right w:val="single" w:color="auto" w:sz="4" w:space="0"/>
            </w:tcBorders>
            <w:vAlign w:val="center"/>
          </w:tcPr>
          <w:p w14:paraId="2F62AC57">
            <w:pPr>
              <w:widowControl/>
              <w:snapToGrid w:val="0"/>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项目</w:t>
            </w:r>
          </w:p>
        </w:tc>
        <w:tc>
          <w:tcPr>
            <w:tcW w:w="3315" w:type="dxa"/>
            <w:tcBorders>
              <w:top w:val="single" w:color="auto" w:sz="4" w:space="0"/>
              <w:left w:val="single" w:color="auto" w:sz="4" w:space="0"/>
              <w:bottom w:val="single" w:color="auto" w:sz="4" w:space="0"/>
              <w:right w:val="single" w:color="auto" w:sz="4" w:space="0"/>
            </w:tcBorders>
            <w:vAlign w:val="center"/>
          </w:tcPr>
          <w:p w14:paraId="0E737704">
            <w:pPr>
              <w:widowControl/>
              <w:snapToGrid w:val="0"/>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考核内容及标准</w:t>
            </w:r>
          </w:p>
        </w:tc>
        <w:tc>
          <w:tcPr>
            <w:tcW w:w="4645" w:type="dxa"/>
            <w:tcBorders>
              <w:top w:val="single" w:color="auto" w:sz="4" w:space="0"/>
              <w:left w:val="single" w:color="auto" w:sz="4" w:space="0"/>
              <w:bottom w:val="single" w:color="auto" w:sz="4" w:space="0"/>
              <w:right w:val="single" w:color="auto" w:sz="4" w:space="0"/>
            </w:tcBorders>
            <w:vAlign w:val="center"/>
          </w:tcPr>
          <w:p w14:paraId="388CFBFD">
            <w:pPr>
              <w:widowControl/>
              <w:snapToGrid w:val="0"/>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扣分细则</w:t>
            </w:r>
          </w:p>
        </w:tc>
      </w:tr>
      <w:tr w14:paraId="252A5C3E">
        <w:tblPrEx>
          <w:tblCellMar>
            <w:top w:w="0" w:type="dxa"/>
            <w:left w:w="108" w:type="dxa"/>
            <w:bottom w:w="0" w:type="dxa"/>
            <w:right w:w="108" w:type="dxa"/>
          </w:tblCellMar>
        </w:tblPrEx>
        <w:trPr>
          <w:trHeight w:val="600" w:hRule="atLeast"/>
        </w:trPr>
        <w:tc>
          <w:tcPr>
            <w:tcW w:w="1752" w:type="dxa"/>
            <w:gridSpan w:val="2"/>
            <w:vMerge w:val="restart"/>
            <w:tcBorders>
              <w:top w:val="single" w:color="auto" w:sz="4" w:space="0"/>
              <w:left w:val="single" w:color="auto" w:sz="4" w:space="0"/>
              <w:bottom w:val="nil"/>
              <w:right w:val="single" w:color="000000" w:sz="4" w:space="0"/>
            </w:tcBorders>
            <w:vAlign w:val="center"/>
          </w:tcPr>
          <w:p w14:paraId="0135734B">
            <w:pPr>
              <w:widowControl/>
              <w:snapToGrid w:val="0"/>
              <w:spacing w:line="360" w:lineRule="auto"/>
              <w:jc w:val="center"/>
              <w:rPr>
                <w:rFonts w:ascii="宋体" w:hAnsi="宋体" w:cs="宋体"/>
                <w:kern w:val="0"/>
                <w:szCs w:val="21"/>
                <w:highlight w:val="none"/>
              </w:rPr>
            </w:pPr>
            <w:r>
              <w:rPr>
                <w:rFonts w:hint="eastAsia" w:ascii="宋体" w:hAnsi="宋体" w:cs="宋体"/>
                <w:kern w:val="0"/>
                <w:szCs w:val="21"/>
                <w:highlight w:val="none"/>
              </w:rPr>
              <w:t>（一）               管                                    理                             指</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标                               </w:t>
            </w:r>
          </w:p>
        </w:tc>
        <w:tc>
          <w:tcPr>
            <w:tcW w:w="3315" w:type="dxa"/>
            <w:tcBorders>
              <w:top w:val="single" w:color="auto" w:sz="4" w:space="0"/>
              <w:left w:val="nil"/>
              <w:bottom w:val="single" w:color="auto" w:sz="4" w:space="0"/>
              <w:right w:val="single" w:color="auto" w:sz="4" w:space="0"/>
            </w:tcBorders>
            <w:vAlign w:val="center"/>
          </w:tcPr>
          <w:p w14:paraId="0F94EA3E">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（1）按照招标文件要求的时间进行清扫和保洁，第一次普扫在7:30之前完成；清扫与保洁需无缝对接。</w:t>
            </w:r>
          </w:p>
        </w:tc>
        <w:tc>
          <w:tcPr>
            <w:tcW w:w="4645" w:type="dxa"/>
            <w:tcBorders>
              <w:top w:val="single" w:color="auto" w:sz="4" w:space="0"/>
              <w:left w:val="nil"/>
              <w:bottom w:val="single" w:color="auto" w:sz="4" w:space="0"/>
              <w:right w:val="single" w:color="auto" w:sz="4" w:space="0"/>
            </w:tcBorders>
            <w:vAlign w:val="center"/>
          </w:tcPr>
          <w:p w14:paraId="17D3AB5F">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保洁时间不达标或未在规定时间内完成普扫的，每个路段扣10分。</w:t>
            </w:r>
          </w:p>
        </w:tc>
      </w:tr>
      <w:tr w14:paraId="0539E93B">
        <w:tblPrEx>
          <w:tblCellMar>
            <w:top w:w="0" w:type="dxa"/>
            <w:left w:w="108" w:type="dxa"/>
            <w:bottom w:w="0" w:type="dxa"/>
            <w:right w:w="108" w:type="dxa"/>
          </w:tblCellMar>
        </w:tblPrEx>
        <w:trPr>
          <w:trHeight w:val="1099" w:hRule="atLeast"/>
        </w:trPr>
        <w:tc>
          <w:tcPr>
            <w:tcW w:w="1752" w:type="dxa"/>
            <w:gridSpan w:val="2"/>
            <w:vMerge w:val="continue"/>
            <w:tcBorders>
              <w:top w:val="single" w:color="auto" w:sz="4" w:space="0"/>
              <w:left w:val="single" w:color="auto" w:sz="4" w:space="0"/>
              <w:bottom w:val="nil"/>
              <w:right w:val="single" w:color="000000" w:sz="4" w:space="0"/>
            </w:tcBorders>
            <w:vAlign w:val="center"/>
          </w:tcPr>
          <w:p w14:paraId="235CFD22">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6626C951">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（2）按作业定额（招标文件）配备人员；不定期对配备人员进行核查，乙方必须确保人员配置到位；</w:t>
            </w:r>
          </w:p>
        </w:tc>
        <w:tc>
          <w:tcPr>
            <w:tcW w:w="4645" w:type="dxa"/>
            <w:tcBorders>
              <w:top w:val="nil"/>
              <w:left w:val="nil"/>
              <w:bottom w:val="single" w:color="auto" w:sz="4" w:space="0"/>
              <w:right w:val="single" w:color="auto" w:sz="4" w:space="0"/>
            </w:tcBorders>
            <w:vAlign w:val="center"/>
          </w:tcPr>
          <w:p w14:paraId="3B8A8048">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按作业定额（招标文件）配足保洁人员，每缺1人扣5000元；未在指定路段作业，每人次扣2分。人员未配备到位的，向环卫部门报备的按每天一分扣除实际缺人天数的人头经费，严重弄虚作假的每人次扣50分，并列入不诚信名单；人员不是专职的扣3分/人.天。</w:t>
            </w:r>
          </w:p>
        </w:tc>
      </w:tr>
      <w:tr w14:paraId="2075DCC5">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vAlign w:val="center"/>
          </w:tcPr>
          <w:p w14:paraId="2818E32D">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55482290">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（3）作业人员不得进入机动车专用立交桥、封闭的机动车专用道和城市快速路；</w:t>
            </w:r>
          </w:p>
        </w:tc>
        <w:tc>
          <w:tcPr>
            <w:tcW w:w="4645" w:type="dxa"/>
            <w:tcBorders>
              <w:top w:val="nil"/>
              <w:left w:val="nil"/>
              <w:bottom w:val="single" w:color="auto" w:sz="4" w:space="0"/>
              <w:right w:val="single" w:color="auto" w:sz="4" w:space="0"/>
            </w:tcBorders>
            <w:vAlign w:val="center"/>
          </w:tcPr>
          <w:p w14:paraId="05917AFE">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发现违规每人次扣5分。</w:t>
            </w:r>
          </w:p>
        </w:tc>
      </w:tr>
      <w:tr w14:paraId="3E4A1005">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vAlign w:val="center"/>
          </w:tcPr>
          <w:p w14:paraId="439248A8">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075BF8E3">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（4）作业人员禁止在交通高峰时段到快车道中央区域作业；</w:t>
            </w:r>
          </w:p>
        </w:tc>
        <w:tc>
          <w:tcPr>
            <w:tcW w:w="4645" w:type="dxa"/>
            <w:tcBorders>
              <w:top w:val="nil"/>
              <w:left w:val="nil"/>
              <w:bottom w:val="single" w:color="auto" w:sz="4" w:space="0"/>
              <w:right w:val="single" w:color="auto" w:sz="4" w:space="0"/>
            </w:tcBorders>
            <w:vAlign w:val="center"/>
          </w:tcPr>
          <w:p w14:paraId="7BFD3CC6">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发现违规每人次扣5分。</w:t>
            </w:r>
          </w:p>
        </w:tc>
      </w:tr>
      <w:tr w14:paraId="741C6607">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vAlign w:val="center"/>
          </w:tcPr>
          <w:p w14:paraId="47E6247F">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6DED948F">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（5）上门收集垃圾路段一天不少于两次；</w:t>
            </w:r>
          </w:p>
        </w:tc>
        <w:tc>
          <w:tcPr>
            <w:tcW w:w="4645" w:type="dxa"/>
            <w:tcBorders>
              <w:top w:val="nil"/>
              <w:left w:val="nil"/>
              <w:bottom w:val="single" w:color="auto" w:sz="4" w:space="0"/>
              <w:right w:val="single" w:color="auto" w:sz="4" w:space="0"/>
            </w:tcBorders>
            <w:vAlign w:val="center"/>
          </w:tcPr>
          <w:p w14:paraId="2E0D3ACE">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上门收集垃圾路段少于一天两次收集的，每路段扣2分。</w:t>
            </w:r>
          </w:p>
        </w:tc>
      </w:tr>
      <w:tr w14:paraId="6879A3A6">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vAlign w:val="center"/>
          </w:tcPr>
          <w:p w14:paraId="7CDA9F9C">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0DFCD3C7">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（6）便民点、夜排档等疏导点周边设施配套、环境整洁、管理规范；</w:t>
            </w:r>
          </w:p>
        </w:tc>
        <w:tc>
          <w:tcPr>
            <w:tcW w:w="4645" w:type="dxa"/>
            <w:tcBorders>
              <w:top w:val="nil"/>
              <w:left w:val="nil"/>
              <w:bottom w:val="single" w:color="auto" w:sz="4" w:space="0"/>
              <w:right w:val="single" w:color="auto" w:sz="4" w:space="0"/>
            </w:tcBorders>
            <w:vAlign w:val="center"/>
          </w:tcPr>
          <w:p w14:paraId="23922BBD">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便民点、夜排档等疏导点周边环境不整洁未及时清理的，每项扣2～5分。</w:t>
            </w:r>
          </w:p>
        </w:tc>
      </w:tr>
      <w:tr w14:paraId="7D6CA42F">
        <w:tblPrEx>
          <w:tblCellMar>
            <w:top w:w="0" w:type="dxa"/>
            <w:left w:w="108" w:type="dxa"/>
            <w:bottom w:w="0" w:type="dxa"/>
            <w:right w:w="108" w:type="dxa"/>
          </w:tblCellMar>
        </w:tblPrEx>
        <w:trPr>
          <w:trHeight w:val="1200" w:hRule="atLeast"/>
        </w:trPr>
        <w:tc>
          <w:tcPr>
            <w:tcW w:w="1752" w:type="dxa"/>
            <w:gridSpan w:val="2"/>
            <w:vMerge w:val="continue"/>
            <w:tcBorders>
              <w:top w:val="single" w:color="auto" w:sz="4" w:space="0"/>
              <w:left w:val="single" w:color="auto" w:sz="4" w:space="0"/>
              <w:bottom w:val="nil"/>
              <w:right w:val="single" w:color="000000" w:sz="4" w:space="0"/>
            </w:tcBorders>
            <w:vAlign w:val="center"/>
          </w:tcPr>
          <w:p w14:paraId="6787DD27">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53F0770B">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(7)各类机械化作业车辆、电瓶车辆、垃圾收集车辆等配备满足作业任务量清单中的最低数量，采用符合采购人要求的环卫专业车辆。作业单位必须具有1000㎡以上的专用停车场，车辆必须停放在专用的停车场地；</w:t>
            </w:r>
          </w:p>
        </w:tc>
        <w:tc>
          <w:tcPr>
            <w:tcW w:w="4645" w:type="dxa"/>
            <w:tcBorders>
              <w:top w:val="nil"/>
              <w:left w:val="nil"/>
              <w:bottom w:val="single" w:color="auto" w:sz="4" w:space="0"/>
              <w:right w:val="single" w:color="auto" w:sz="4" w:space="0"/>
            </w:tcBorders>
            <w:vAlign w:val="center"/>
          </w:tcPr>
          <w:p w14:paraId="51D69EBD">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机械化作业车辆未达到投标文件承诺配置要求的，按照50分/天</w:t>
            </w:r>
            <w:r>
              <w:rPr>
                <w:rFonts w:hint="eastAsia" w:ascii="宋体" w:hAnsi="宋体" w:cs="宋体"/>
                <w:kern w:val="0"/>
                <w:szCs w:val="21"/>
                <w:highlight w:val="none"/>
              </w:rPr>
              <w:t>/</w:t>
            </w:r>
            <w:r>
              <w:rPr>
                <w:rFonts w:hint="eastAsia" w:ascii="宋体" w:hAnsi="宋体" w:cs="宋体"/>
                <w:kern w:val="0"/>
                <w:szCs w:val="21"/>
                <w:highlight w:val="none"/>
              </w:rPr>
              <w:t>辆进行处罚；电动车辆或垃圾收集车辆未达到投标文件承诺配置要求的，按照20分/天</w:t>
            </w:r>
            <w:r>
              <w:rPr>
                <w:rFonts w:hint="eastAsia" w:ascii="宋体" w:hAnsi="宋体" w:cs="宋体"/>
                <w:kern w:val="0"/>
                <w:szCs w:val="21"/>
                <w:highlight w:val="none"/>
              </w:rPr>
              <w:t>/</w:t>
            </w:r>
            <w:r>
              <w:rPr>
                <w:rFonts w:hint="eastAsia" w:ascii="宋体" w:hAnsi="宋体" w:cs="宋体"/>
                <w:kern w:val="0"/>
                <w:szCs w:val="21"/>
                <w:highlight w:val="none"/>
              </w:rPr>
              <w:t>辆进行处罚；未按规定停放于专用停车场的，每次扣10分/辆;专用停车场不符合规定要求的扣50分/天。</w:t>
            </w:r>
          </w:p>
        </w:tc>
      </w:tr>
      <w:tr w14:paraId="30C75A7D">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vAlign w:val="center"/>
          </w:tcPr>
          <w:p w14:paraId="7E572DF3">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2245F506">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（8）作业文明，采取措施减少扬尘、噪音、污水、臭味、苍蝇、占道等作业扰民问题。不发生与人争吵、辱骂、斗殴、窃取他人财物等情况；</w:t>
            </w:r>
          </w:p>
        </w:tc>
        <w:tc>
          <w:tcPr>
            <w:tcW w:w="4645" w:type="dxa"/>
            <w:tcBorders>
              <w:top w:val="nil"/>
              <w:left w:val="nil"/>
              <w:bottom w:val="single" w:color="auto" w:sz="4" w:space="0"/>
              <w:right w:val="single" w:color="auto" w:sz="4" w:space="0"/>
            </w:tcBorders>
            <w:vAlign w:val="center"/>
          </w:tcPr>
          <w:p w14:paraId="3EDE4EF9">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发现未采取措施，具有明显扰民现象，扣5分/起;发生与他人争吵情况扣10分/起；发生辱骂他人情况扣20分/起。</w:t>
            </w:r>
          </w:p>
        </w:tc>
      </w:tr>
      <w:tr w14:paraId="00204052">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vAlign w:val="center"/>
          </w:tcPr>
          <w:p w14:paraId="0A169985">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7A752F0B">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（9）环卫工单严格按《环卫工单处置规范》办结；</w:t>
            </w:r>
          </w:p>
        </w:tc>
        <w:tc>
          <w:tcPr>
            <w:tcW w:w="4645" w:type="dxa"/>
            <w:tcBorders>
              <w:top w:val="nil"/>
              <w:left w:val="nil"/>
              <w:bottom w:val="single" w:color="auto" w:sz="4" w:space="0"/>
              <w:right w:val="single" w:color="auto" w:sz="4" w:space="0"/>
            </w:tcBorders>
            <w:vAlign w:val="center"/>
          </w:tcPr>
          <w:p w14:paraId="686A9AF5">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环卫工单处置、回复不及时的，扣5分/次;对于同一区域同类问题发生二次以上的按考评细则加倍扣分；无正当理由拒不办理的，扣10分/次。</w:t>
            </w:r>
          </w:p>
        </w:tc>
      </w:tr>
      <w:tr w14:paraId="79C904BC">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vAlign w:val="center"/>
          </w:tcPr>
          <w:p w14:paraId="267FD75B">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58ECC6E8">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(10)必须遵守劳动法，依法规范用工，全员签订劳动</w:t>
            </w:r>
            <w:bookmarkStart w:id="0" w:name="OLE_LINK1"/>
            <w:r>
              <w:rPr>
                <w:rFonts w:hint="eastAsia" w:ascii="宋体" w:hAnsi="宋体" w:cs="宋体"/>
                <w:kern w:val="0"/>
                <w:szCs w:val="21"/>
                <w:highlight w:val="none"/>
              </w:rPr>
              <w:t>（劳务）</w:t>
            </w:r>
            <w:bookmarkEnd w:id="0"/>
            <w:r>
              <w:rPr>
                <w:rFonts w:hint="eastAsia" w:ascii="宋体" w:hAnsi="宋体" w:cs="宋体"/>
                <w:kern w:val="0"/>
                <w:szCs w:val="21"/>
                <w:highlight w:val="none"/>
              </w:rPr>
              <w:t>合同、</w:t>
            </w:r>
            <w:r>
              <w:rPr>
                <w:rFonts w:hint="eastAsia" w:ascii="宋体" w:hAnsi="宋体" w:cs="宋体"/>
                <w:kern w:val="0"/>
                <w:szCs w:val="21"/>
                <w:highlight w:val="none"/>
              </w:rPr>
              <w:t>缴纳工伤保险</w:t>
            </w:r>
            <w:r>
              <w:rPr>
                <w:rFonts w:hint="eastAsia" w:ascii="宋体" w:hAnsi="宋体" w:cs="宋体"/>
                <w:kern w:val="0"/>
                <w:szCs w:val="21"/>
                <w:highlight w:val="none"/>
              </w:rPr>
              <w:t>，</w:t>
            </w:r>
            <w:r>
              <w:rPr>
                <w:rFonts w:hint="eastAsia" w:ascii="宋体" w:hAnsi="宋体" w:cs="宋体"/>
                <w:kern w:val="0"/>
                <w:szCs w:val="21"/>
                <w:highlight w:val="none"/>
              </w:rPr>
              <w:t>未超龄人员</w:t>
            </w:r>
            <w:r>
              <w:rPr>
                <w:rFonts w:hint="eastAsia" w:ascii="宋体" w:hAnsi="宋体" w:cs="宋体"/>
                <w:kern w:val="0"/>
                <w:szCs w:val="21"/>
                <w:highlight w:val="none"/>
              </w:rPr>
              <w:t>按照要求缴纳</w:t>
            </w:r>
            <w:r>
              <w:rPr>
                <w:rFonts w:hint="eastAsia" w:ascii="宋体" w:hAnsi="宋体" w:cs="宋体"/>
                <w:kern w:val="0"/>
                <w:szCs w:val="21"/>
                <w:highlight w:val="none"/>
              </w:rPr>
              <w:t>“五险一金”</w:t>
            </w:r>
            <w:r>
              <w:rPr>
                <w:rFonts w:hint="eastAsia" w:ascii="宋体" w:hAnsi="宋体" w:cs="宋体"/>
                <w:kern w:val="0"/>
                <w:szCs w:val="21"/>
                <w:highlight w:val="none"/>
              </w:rPr>
              <w:t>；全员购买意外伤害保险，按照要求服务期内为员工每年体检一次；</w:t>
            </w:r>
          </w:p>
        </w:tc>
        <w:tc>
          <w:tcPr>
            <w:tcW w:w="4645" w:type="dxa"/>
            <w:tcBorders>
              <w:top w:val="nil"/>
              <w:left w:val="nil"/>
              <w:bottom w:val="single" w:color="auto" w:sz="4" w:space="0"/>
              <w:right w:val="single" w:color="auto" w:sz="4" w:space="0"/>
            </w:tcBorders>
            <w:vAlign w:val="center"/>
          </w:tcPr>
          <w:p w14:paraId="1C278280">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未签订劳动</w:t>
            </w:r>
            <w:r>
              <w:rPr>
                <w:rFonts w:hint="eastAsia" w:ascii="宋体" w:hAnsi="宋体" w:cs="宋体"/>
                <w:kern w:val="0"/>
                <w:szCs w:val="21"/>
                <w:highlight w:val="none"/>
              </w:rPr>
              <w:t>（劳务）</w:t>
            </w:r>
            <w:r>
              <w:rPr>
                <w:rFonts w:hint="eastAsia" w:ascii="宋体" w:hAnsi="宋体" w:cs="宋体"/>
                <w:kern w:val="0"/>
                <w:szCs w:val="21"/>
                <w:highlight w:val="none"/>
              </w:rPr>
              <w:t>合同、</w:t>
            </w:r>
            <w:r>
              <w:rPr>
                <w:rFonts w:hint="eastAsia" w:ascii="宋体" w:hAnsi="宋体" w:cs="宋体"/>
                <w:kern w:val="0"/>
                <w:szCs w:val="21"/>
                <w:highlight w:val="none"/>
              </w:rPr>
              <w:t>未缴纳工伤保险</w:t>
            </w:r>
            <w:r>
              <w:rPr>
                <w:rFonts w:hint="eastAsia" w:ascii="宋体" w:hAnsi="宋体" w:cs="宋体"/>
                <w:kern w:val="0"/>
                <w:szCs w:val="21"/>
                <w:highlight w:val="none"/>
              </w:rPr>
              <w:t>的扣50分/人</w:t>
            </w:r>
            <w:r>
              <w:rPr>
                <w:rFonts w:hint="eastAsia" w:ascii="宋体" w:hAnsi="宋体" w:cs="宋体"/>
                <w:kern w:val="0"/>
                <w:szCs w:val="21"/>
                <w:highlight w:val="none"/>
              </w:rPr>
              <w:t>/</w:t>
            </w:r>
            <w:r>
              <w:rPr>
                <w:rFonts w:hint="eastAsia" w:ascii="宋体" w:hAnsi="宋体" w:cs="宋体"/>
                <w:kern w:val="0"/>
                <w:szCs w:val="21"/>
                <w:highlight w:val="none"/>
              </w:rPr>
              <w:t>次;</w:t>
            </w:r>
            <w:r>
              <w:rPr>
                <w:rFonts w:hint="eastAsia" w:ascii="宋体" w:hAnsi="宋体" w:cs="宋体"/>
                <w:kern w:val="0"/>
                <w:szCs w:val="21"/>
                <w:highlight w:val="none"/>
              </w:rPr>
              <w:t>“五险一金”</w:t>
            </w:r>
            <w:r>
              <w:rPr>
                <w:rFonts w:hint="eastAsia" w:ascii="宋体" w:hAnsi="宋体" w:cs="宋体"/>
                <w:kern w:val="0"/>
                <w:szCs w:val="21"/>
                <w:highlight w:val="none"/>
              </w:rPr>
              <w:t>缴纳比例每低于1%扣10分，未购买全部人员保险的或保额未买足80万的扣50分/人;未安排体检的扣5分/人。</w:t>
            </w:r>
          </w:p>
        </w:tc>
      </w:tr>
      <w:tr w14:paraId="5E34BB46">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vAlign w:val="center"/>
          </w:tcPr>
          <w:p w14:paraId="1B1D9FB2">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46D6F37D">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（11）建立日常巡查机制，如遇上级检查、庆典等重大活动或节假日期间，及时加强保障措施，确保作业质量；</w:t>
            </w:r>
          </w:p>
        </w:tc>
        <w:tc>
          <w:tcPr>
            <w:tcW w:w="4645" w:type="dxa"/>
            <w:tcBorders>
              <w:top w:val="nil"/>
              <w:left w:val="nil"/>
              <w:bottom w:val="single" w:color="auto" w:sz="4" w:space="0"/>
              <w:right w:val="single" w:color="auto" w:sz="4" w:space="0"/>
            </w:tcBorders>
            <w:vAlign w:val="center"/>
          </w:tcPr>
          <w:p w14:paraId="54C62F92">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未落实巡查机制的扣10分/次，保障措施不到位扣20分/次；未采取有效措施扣30分/次。</w:t>
            </w:r>
          </w:p>
        </w:tc>
      </w:tr>
      <w:tr w14:paraId="289A2ADB">
        <w:tblPrEx>
          <w:tblCellMar>
            <w:top w:w="0" w:type="dxa"/>
            <w:left w:w="108" w:type="dxa"/>
            <w:bottom w:w="0" w:type="dxa"/>
            <w:right w:w="108" w:type="dxa"/>
          </w:tblCellMar>
        </w:tblPrEx>
        <w:trPr>
          <w:trHeight w:val="720" w:hRule="atLeast"/>
        </w:trPr>
        <w:tc>
          <w:tcPr>
            <w:tcW w:w="936" w:type="dxa"/>
            <w:vMerge w:val="restart"/>
            <w:tcBorders>
              <w:top w:val="single" w:color="auto" w:sz="4" w:space="0"/>
              <w:left w:val="single" w:color="auto" w:sz="4" w:space="0"/>
              <w:bottom w:val="nil"/>
              <w:right w:val="nil"/>
            </w:tcBorders>
            <w:vAlign w:val="center"/>
          </w:tcPr>
          <w:p w14:paraId="1EAF2E63">
            <w:pPr>
              <w:widowControl/>
              <w:snapToGrid w:val="0"/>
              <w:spacing w:line="360" w:lineRule="auto"/>
              <w:jc w:val="center"/>
              <w:rPr>
                <w:rFonts w:ascii="宋体" w:hAnsi="宋体" w:cs="宋体"/>
                <w:kern w:val="0"/>
                <w:szCs w:val="21"/>
                <w:highlight w:val="none"/>
              </w:rPr>
            </w:pPr>
            <w:r>
              <w:rPr>
                <w:rFonts w:hint="eastAsia" w:ascii="宋体" w:hAnsi="宋体" w:cs="宋体"/>
                <w:kern w:val="0"/>
                <w:szCs w:val="21"/>
                <w:highlight w:val="none"/>
              </w:rPr>
              <w:t xml:space="preserve">（二）作           </w:t>
            </w:r>
            <w:r>
              <w:rPr>
                <w:rFonts w:hint="eastAsia" w:ascii="宋体" w:hAnsi="宋体" w:cs="宋体"/>
                <w:kern w:val="0"/>
                <w:szCs w:val="21"/>
                <w:highlight w:val="none"/>
              </w:rPr>
              <w:br w:type="textWrapping"/>
            </w:r>
            <w:r>
              <w:rPr>
                <w:rFonts w:hint="eastAsia" w:ascii="宋体" w:hAnsi="宋体" w:cs="宋体"/>
                <w:kern w:val="0"/>
                <w:szCs w:val="21"/>
                <w:highlight w:val="none"/>
              </w:rPr>
              <w:t>业</w:t>
            </w:r>
            <w:r>
              <w:rPr>
                <w:rFonts w:hint="eastAsia" w:ascii="宋体" w:hAnsi="宋体" w:cs="宋体"/>
                <w:kern w:val="0"/>
                <w:szCs w:val="21"/>
                <w:highlight w:val="none"/>
              </w:rPr>
              <w:br w:type="textWrapping"/>
            </w:r>
            <w:r>
              <w:rPr>
                <w:rFonts w:hint="eastAsia" w:ascii="宋体" w:hAnsi="宋体" w:cs="宋体"/>
                <w:kern w:val="0"/>
                <w:szCs w:val="21"/>
                <w:highlight w:val="none"/>
              </w:rPr>
              <w:t>规</w:t>
            </w:r>
            <w:r>
              <w:rPr>
                <w:rFonts w:hint="eastAsia" w:ascii="宋体" w:hAnsi="宋体" w:cs="宋体"/>
                <w:kern w:val="0"/>
                <w:szCs w:val="21"/>
                <w:highlight w:val="none"/>
              </w:rPr>
              <w:br w:type="textWrapping"/>
            </w:r>
            <w:r>
              <w:rPr>
                <w:rFonts w:hint="eastAsia" w:ascii="宋体" w:hAnsi="宋体" w:cs="宋体"/>
                <w:kern w:val="0"/>
                <w:szCs w:val="21"/>
                <w:highlight w:val="none"/>
              </w:rPr>
              <w:t>范</w:t>
            </w:r>
            <w:r>
              <w:rPr>
                <w:rFonts w:hint="eastAsia" w:ascii="宋体" w:hAnsi="宋体" w:cs="宋体"/>
                <w:kern w:val="0"/>
                <w:szCs w:val="21"/>
                <w:highlight w:val="none"/>
              </w:rPr>
              <w:br w:type="textWrapping"/>
            </w:r>
            <w:r>
              <w:rPr>
                <w:rFonts w:hint="eastAsia" w:ascii="宋体" w:hAnsi="宋体" w:cs="宋体"/>
                <w:kern w:val="0"/>
                <w:szCs w:val="21"/>
                <w:highlight w:val="none"/>
              </w:rPr>
              <w:t>指</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标                               </w:t>
            </w:r>
          </w:p>
        </w:tc>
        <w:tc>
          <w:tcPr>
            <w:tcW w:w="816" w:type="dxa"/>
            <w:vMerge w:val="restart"/>
            <w:tcBorders>
              <w:top w:val="single" w:color="auto" w:sz="4" w:space="0"/>
              <w:left w:val="single" w:color="auto" w:sz="4" w:space="0"/>
              <w:bottom w:val="single" w:color="000000" w:sz="4" w:space="0"/>
              <w:right w:val="single" w:color="auto" w:sz="4" w:space="0"/>
            </w:tcBorders>
            <w:vAlign w:val="center"/>
          </w:tcPr>
          <w:p w14:paraId="2E7A7BCD">
            <w:pPr>
              <w:widowControl/>
              <w:snapToGrid w:val="0"/>
              <w:spacing w:line="360" w:lineRule="auto"/>
              <w:jc w:val="center"/>
              <w:rPr>
                <w:rFonts w:ascii="宋体" w:hAnsi="宋体" w:cs="宋体"/>
                <w:kern w:val="0"/>
                <w:szCs w:val="21"/>
                <w:highlight w:val="none"/>
              </w:rPr>
            </w:pPr>
            <w:r>
              <w:rPr>
                <w:rFonts w:hint="eastAsia" w:ascii="宋体" w:hAnsi="宋体" w:cs="宋体"/>
                <w:kern w:val="0"/>
                <w:szCs w:val="21"/>
                <w:highlight w:val="none"/>
              </w:rPr>
              <w:t>（A）                                                  保                     洁</w:t>
            </w:r>
            <w:r>
              <w:rPr>
                <w:rFonts w:hint="eastAsia" w:ascii="宋体" w:hAnsi="宋体" w:cs="宋体"/>
                <w:kern w:val="0"/>
                <w:szCs w:val="21"/>
                <w:highlight w:val="none"/>
              </w:rPr>
              <w:br w:type="textWrapping"/>
            </w:r>
            <w:r>
              <w:rPr>
                <w:rFonts w:hint="eastAsia" w:ascii="宋体" w:hAnsi="宋体" w:cs="宋体"/>
                <w:kern w:val="0"/>
                <w:szCs w:val="21"/>
                <w:highlight w:val="none"/>
              </w:rPr>
              <w:t>指</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标  </w:t>
            </w:r>
          </w:p>
        </w:tc>
        <w:tc>
          <w:tcPr>
            <w:tcW w:w="3315" w:type="dxa"/>
            <w:vMerge w:val="restart"/>
            <w:tcBorders>
              <w:top w:val="nil"/>
              <w:left w:val="single" w:color="auto" w:sz="4" w:space="0"/>
              <w:bottom w:val="single" w:color="000000" w:sz="4" w:space="0"/>
              <w:right w:val="single" w:color="auto" w:sz="4" w:space="0"/>
            </w:tcBorders>
            <w:vAlign w:val="center"/>
          </w:tcPr>
          <w:p w14:paraId="05FD5BAD">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（1）实行道路从墙根到墙根的保洁，快慢车道、人行道（含匝道、天桥、地下通道、便道台阶、绿化带、交通隔离栏等）、广场无垃圾、无油污迹、无积泥积水、路面无杂草，窨井沟眼畅通；</w:t>
            </w:r>
          </w:p>
        </w:tc>
        <w:tc>
          <w:tcPr>
            <w:tcW w:w="4645" w:type="dxa"/>
            <w:tcBorders>
              <w:top w:val="nil"/>
              <w:left w:val="nil"/>
              <w:bottom w:val="single" w:color="auto" w:sz="4" w:space="0"/>
              <w:right w:val="single" w:color="auto" w:sz="4" w:space="0"/>
            </w:tcBorders>
            <w:vAlign w:val="center"/>
          </w:tcPr>
          <w:p w14:paraId="7EFA25F0">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点状垃圾纸张、烟蒂、饮料瓶、塑料袋、动物排泄物、砖头、果皮、乱涂乱贴、窨井沟眼不畅通等)每处扣0.5分。</w:t>
            </w:r>
          </w:p>
        </w:tc>
      </w:tr>
      <w:tr w14:paraId="4CC5C5F7">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79D3A1C1">
            <w:pPr>
              <w:widowControl/>
              <w:snapToGrid w:val="0"/>
              <w:spacing w:line="360" w:lineRule="auto"/>
              <w:jc w:val="left"/>
              <w:rPr>
                <w:rFonts w:ascii="宋体" w:hAnsi="宋体" w:cs="宋体"/>
                <w:kern w:val="0"/>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14:paraId="598C8137">
            <w:pPr>
              <w:widowControl/>
              <w:snapToGrid w:val="0"/>
              <w:spacing w:line="360" w:lineRule="auto"/>
              <w:jc w:val="left"/>
              <w:rPr>
                <w:rFonts w:ascii="宋体" w:hAnsi="宋体" w:cs="宋体"/>
                <w:kern w:val="0"/>
                <w:szCs w:val="21"/>
                <w:highlight w:val="none"/>
              </w:rPr>
            </w:pPr>
          </w:p>
        </w:tc>
        <w:tc>
          <w:tcPr>
            <w:tcW w:w="3315" w:type="dxa"/>
            <w:vMerge w:val="continue"/>
            <w:tcBorders>
              <w:top w:val="nil"/>
              <w:left w:val="single" w:color="auto" w:sz="4" w:space="0"/>
              <w:bottom w:val="single" w:color="000000" w:sz="4" w:space="0"/>
              <w:right w:val="single" w:color="auto" w:sz="4" w:space="0"/>
            </w:tcBorders>
            <w:vAlign w:val="center"/>
          </w:tcPr>
          <w:p w14:paraId="47EEA91E">
            <w:pPr>
              <w:widowControl/>
              <w:snapToGrid w:val="0"/>
              <w:spacing w:line="360" w:lineRule="auto"/>
              <w:jc w:val="left"/>
              <w:rPr>
                <w:rFonts w:ascii="宋体" w:hAnsi="宋体" w:cs="宋体"/>
                <w:kern w:val="0"/>
                <w:szCs w:val="21"/>
                <w:highlight w:val="none"/>
              </w:rPr>
            </w:pPr>
          </w:p>
        </w:tc>
        <w:tc>
          <w:tcPr>
            <w:tcW w:w="4645" w:type="dxa"/>
            <w:tcBorders>
              <w:top w:val="nil"/>
              <w:left w:val="nil"/>
              <w:bottom w:val="single" w:color="auto" w:sz="4" w:space="0"/>
              <w:right w:val="single" w:color="auto" w:sz="4" w:space="0"/>
            </w:tcBorders>
            <w:vAlign w:val="center"/>
          </w:tcPr>
          <w:p w14:paraId="63AC2E07">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积存点状垃圾翻倍扣分，扣1分。</w:t>
            </w:r>
          </w:p>
        </w:tc>
      </w:tr>
      <w:tr w14:paraId="75551E1B">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4CEC5F22">
            <w:pPr>
              <w:widowControl/>
              <w:snapToGrid w:val="0"/>
              <w:spacing w:line="360" w:lineRule="auto"/>
              <w:jc w:val="left"/>
              <w:rPr>
                <w:rFonts w:ascii="宋体" w:hAnsi="宋体" w:cs="宋体"/>
                <w:kern w:val="0"/>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14:paraId="0CEB3419">
            <w:pPr>
              <w:widowControl/>
              <w:snapToGrid w:val="0"/>
              <w:spacing w:line="360" w:lineRule="auto"/>
              <w:jc w:val="left"/>
              <w:rPr>
                <w:rFonts w:ascii="宋体" w:hAnsi="宋体" w:cs="宋体"/>
                <w:kern w:val="0"/>
                <w:szCs w:val="21"/>
                <w:highlight w:val="none"/>
              </w:rPr>
            </w:pPr>
          </w:p>
        </w:tc>
        <w:tc>
          <w:tcPr>
            <w:tcW w:w="3315" w:type="dxa"/>
            <w:vMerge w:val="continue"/>
            <w:tcBorders>
              <w:top w:val="nil"/>
              <w:left w:val="single" w:color="auto" w:sz="4" w:space="0"/>
              <w:bottom w:val="single" w:color="000000" w:sz="4" w:space="0"/>
              <w:right w:val="single" w:color="auto" w:sz="4" w:space="0"/>
            </w:tcBorders>
            <w:vAlign w:val="center"/>
          </w:tcPr>
          <w:p w14:paraId="1A81CB83">
            <w:pPr>
              <w:widowControl/>
              <w:snapToGrid w:val="0"/>
              <w:spacing w:line="360" w:lineRule="auto"/>
              <w:jc w:val="left"/>
              <w:rPr>
                <w:rFonts w:ascii="宋体" w:hAnsi="宋体" w:cs="宋体"/>
                <w:kern w:val="0"/>
                <w:szCs w:val="21"/>
                <w:highlight w:val="none"/>
              </w:rPr>
            </w:pPr>
          </w:p>
        </w:tc>
        <w:tc>
          <w:tcPr>
            <w:tcW w:w="4645" w:type="dxa"/>
            <w:tcBorders>
              <w:top w:val="nil"/>
              <w:left w:val="nil"/>
              <w:bottom w:val="single" w:color="auto" w:sz="4" w:space="0"/>
              <w:right w:val="single" w:color="auto" w:sz="4" w:space="0"/>
            </w:tcBorders>
            <w:vAlign w:val="center"/>
          </w:tcPr>
          <w:p w14:paraId="508FDB06">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袋装垃圾每处扣1分；堆状垃圾每处扣2～5分。</w:t>
            </w:r>
          </w:p>
        </w:tc>
      </w:tr>
      <w:tr w14:paraId="7C6E7001">
        <w:tblPrEx>
          <w:tblCellMar>
            <w:top w:w="0" w:type="dxa"/>
            <w:left w:w="108" w:type="dxa"/>
            <w:bottom w:w="0" w:type="dxa"/>
            <w:right w:w="108" w:type="dxa"/>
          </w:tblCellMar>
        </w:tblPrEx>
        <w:trPr>
          <w:trHeight w:val="900" w:hRule="atLeast"/>
        </w:trPr>
        <w:tc>
          <w:tcPr>
            <w:tcW w:w="936" w:type="dxa"/>
            <w:vMerge w:val="continue"/>
            <w:tcBorders>
              <w:top w:val="single" w:color="auto" w:sz="4" w:space="0"/>
              <w:left w:val="single" w:color="auto" w:sz="4" w:space="0"/>
              <w:bottom w:val="nil"/>
              <w:right w:val="nil"/>
            </w:tcBorders>
            <w:vAlign w:val="center"/>
          </w:tcPr>
          <w:p w14:paraId="0FB5F636">
            <w:pPr>
              <w:widowControl/>
              <w:snapToGrid w:val="0"/>
              <w:spacing w:line="360" w:lineRule="auto"/>
              <w:jc w:val="left"/>
              <w:rPr>
                <w:rFonts w:ascii="宋体" w:hAnsi="宋体" w:cs="宋体"/>
                <w:kern w:val="0"/>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14:paraId="582C8B0C">
            <w:pPr>
              <w:widowControl/>
              <w:snapToGrid w:val="0"/>
              <w:spacing w:line="360" w:lineRule="auto"/>
              <w:jc w:val="left"/>
              <w:rPr>
                <w:rFonts w:ascii="宋体" w:hAnsi="宋体" w:cs="宋体"/>
                <w:kern w:val="0"/>
                <w:szCs w:val="21"/>
                <w:highlight w:val="none"/>
              </w:rPr>
            </w:pPr>
          </w:p>
        </w:tc>
        <w:tc>
          <w:tcPr>
            <w:tcW w:w="3315" w:type="dxa"/>
            <w:vMerge w:val="continue"/>
            <w:tcBorders>
              <w:top w:val="nil"/>
              <w:left w:val="single" w:color="auto" w:sz="4" w:space="0"/>
              <w:bottom w:val="single" w:color="000000" w:sz="4" w:space="0"/>
              <w:right w:val="single" w:color="auto" w:sz="4" w:space="0"/>
            </w:tcBorders>
            <w:vAlign w:val="center"/>
          </w:tcPr>
          <w:p w14:paraId="25C4C29E">
            <w:pPr>
              <w:widowControl/>
              <w:snapToGrid w:val="0"/>
              <w:spacing w:line="360" w:lineRule="auto"/>
              <w:jc w:val="left"/>
              <w:rPr>
                <w:rFonts w:ascii="宋体" w:hAnsi="宋体" w:cs="宋体"/>
                <w:kern w:val="0"/>
                <w:szCs w:val="21"/>
                <w:highlight w:val="none"/>
              </w:rPr>
            </w:pPr>
          </w:p>
        </w:tc>
        <w:tc>
          <w:tcPr>
            <w:tcW w:w="4645" w:type="dxa"/>
            <w:tcBorders>
              <w:top w:val="nil"/>
              <w:left w:val="nil"/>
              <w:bottom w:val="single" w:color="auto" w:sz="4" w:space="0"/>
              <w:right w:val="single" w:color="auto" w:sz="4" w:space="0"/>
            </w:tcBorders>
            <w:vAlign w:val="center"/>
          </w:tcPr>
          <w:p w14:paraId="39A20856">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面状垃圾（三个及以上点状垃圾组成的、积泥、积沙、积水、油污、杂草等）1平方米以内每处扣1分；1～3平方米的每处扣2分；3平方米以上的每处扣5分。</w:t>
            </w:r>
          </w:p>
        </w:tc>
      </w:tr>
      <w:tr w14:paraId="75DDB557">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72180682">
            <w:pPr>
              <w:widowControl/>
              <w:snapToGrid w:val="0"/>
              <w:spacing w:line="360" w:lineRule="auto"/>
              <w:jc w:val="left"/>
              <w:rPr>
                <w:rFonts w:ascii="宋体" w:hAnsi="宋体" w:cs="宋体"/>
                <w:kern w:val="0"/>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14:paraId="22300D88">
            <w:pPr>
              <w:widowControl/>
              <w:snapToGrid w:val="0"/>
              <w:spacing w:line="360" w:lineRule="auto"/>
              <w:jc w:val="left"/>
              <w:rPr>
                <w:rFonts w:ascii="宋体" w:hAnsi="宋体" w:cs="宋体"/>
                <w:kern w:val="0"/>
                <w:szCs w:val="21"/>
                <w:highlight w:val="none"/>
              </w:rPr>
            </w:pPr>
          </w:p>
        </w:tc>
        <w:tc>
          <w:tcPr>
            <w:tcW w:w="3315" w:type="dxa"/>
            <w:vMerge w:val="continue"/>
            <w:tcBorders>
              <w:top w:val="nil"/>
              <w:left w:val="single" w:color="auto" w:sz="4" w:space="0"/>
              <w:bottom w:val="single" w:color="000000" w:sz="4" w:space="0"/>
              <w:right w:val="single" w:color="auto" w:sz="4" w:space="0"/>
            </w:tcBorders>
            <w:vAlign w:val="center"/>
          </w:tcPr>
          <w:p w14:paraId="4E61C5EA">
            <w:pPr>
              <w:widowControl/>
              <w:snapToGrid w:val="0"/>
              <w:spacing w:line="360" w:lineRule="auto"/>
              <w:jc w:val="left"/>
              <w:rPr>
                <w:rFonts w:ascii="宋体" w:hAnsi="宋体" w:cs="宋体"/>
                <w:kern w:val="0"/>
                <w:szCs w:val="21"/>
                <w:highlight w:val="none"/>
              </w:rPr>
            </w:pPr>
          </w:p>
        </w:tc>
        <w:tc>
          <w:tcPr>
            <w:tcW w:w="4645" w:type="dxa"/>
            <w:tcBorders>
              <w:top w:val="nil"/>
              <w:left w:val="nil"/>
              <w:bottom w:val="single" w:color="auto" w:sz="4" w:space="0"/>
              <w:right w:val="single" w:color="auto" w:sz="4" w:space="0"/>
            </w:tcBorders>
            <w:vAlign w:val="center"/>
          </w:tcPr>
          <w:p w14:paraId="419A9E68">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交通隔离栏有明显灰尘或污迹、每条段（每10米）扣2分。</w:t>
            </w:r>
          </w:p>
        </w:tc>
      </w:tr>
      <w:tr w14:paraId="6AC46A69">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6B7B1651">
            <w:pPr>
              <w:widowControl/>
              <w:snapToGrid w:val="0"/>
              <w:spacing w:line="360" w:lineRule="auto"/>
              <w:jc w:val="left"/>
              <w:rPr>
                <w:rFonts w:ascii="宋体" w:hAnsi="宋体" w:cs="宋体"/>
                <w:kern w:val="0"/>
                <w:szCs w:val="21"/>
                <w:highlight w:val="none"/>
              </w:rPr>
            </w:pPr>
          </w:p>
        </w:tc>
        <w:tc>
          <w:tcPr>
            <w:tcW w:w="816" w:type="dxa"/>
            <w:vMerge w:val="restart"/>
            <w:tcBorders>
              <w:top w:val="nil"/>
              <w:left w:val="single" w:color="auto" w:sz="4" w:space="0"/>
              <w:bottom w:val="single" w:color="000000" w:sz="4" w:space="0"/>
              <w:right w:val="single" w:color="auto" w:sz="4" w:space="0"/>
            </w:tcBorders>
            <w:vAlign w:val="center"/>
          </w:tcPr>
          <w:p w14:paraId="3C23E788">
            <w:pPr>
              <w:widowControl/>
              <w:snapToGrid w:val="0"/>
              <w:spacing w:line="360" w:lineRule="auto"/>
              <w:jc w:val="center"/>
              <w:rPr>
                <w:rFonts w:ascii="宋体" w:hAnsi="宋体" w:cs="宋体"/>
                <w:kern w:val="0"/>
                <w:szCs w:val="21"/>
                <w:highlight w:val="none"/>
              </w:rPr>
            </w:pPr>
            <w:r>
              <w:rPr>
                <w:rFonts w:hint="eastAsia" w:ascii="宋体" w:hAnsi="宋体" w:cs="宋体"/>
                <w:kern w:val="0"/>
                <w:szCs w:val="21"/>
                <w:highlight w:val="none"/>
              </w:rPr>
              <w:t>(B)</w:t>
            </w:r>
            <w:r>
              <w:rPr>
                <w:rFonts w:hint="eastAsia" w:ascii="宋体" w:hAnsi="宋体" w:cs="宋体"/>
                <w:kern w:val="0"/>
                <w:szCs w:val="21"/>
                <w:highlight w:val="none"/>
              </w:rPr>
              <w:br w:type="textWrapping"/>
            </w:r>
            <w:r>
              <w:rPr>
                <w:rFonts w:hint="eastAsia" w:ascii="宋体" w:hAnsi="宋体" w:cs="宋体"/>
                <w:kern w:val="0"/>
                <w:szCs w:val="21"/>
                <w:highlight w:val="none"/>
              </w:rPr>
              <w:br w:type="textWrapping"/>
            </w:r>
            <w:r>
              <w:rPr>
                <w:rFonts w:hint="eastAsia" w:ascii="宋体" w:hAnsi="宋体" w:cs="宋体"/>
                <w:kern w:val="0"/>
                <w:szCs w:val="21"/>
                <w:highlight w:val="none"/>
              </w:rPr>
              <w:br w:type="textWrapping"/>
            </w:r>
            <w:r>
              <w:rPr>
                <w:rFonts w:hint="eastAsia" w:ascii="宋体" w:hAnsi="宋体" w:cs="宋体"/>
                <w:kern w:val="0"/>
                <w:szCs w:val="21"/>
                <w:highlight w:val="none"/>
              </w:rPr>
              <w:t>规</w:t>
            </w:r>
            <w:r>
              <w:rPr>
                <w:rFonts w:hint="eastAsia" w:ascii="宋体" w:hAnsi="宋体" w:cs="宋体"/>
                <w:kern w:val="0"/>
                <w:szCs w:val="21"/>
                <w:highlight w:val="none"/>
              </w:rPr>
              <w:br w:type="textWrapping"/>
            </w:r>
            <w:r>
              <w:rPr>
                <w:rFonts w:hint="eastAsia" w:ascii="宋体" w:hAnsi="宋体" w:cs="宋体"/>
                <w:kern w:val="0"/>
                <w:szCs w:val="21"/>
                <w:highlight w:val="none"/>
              </w:rPr>
              <w:t>范</w:t>
            </w:r>
            <w:r>
              <w:rPr>
                <w:rFonts w:hint="eastAsia" w:ascii="宋体" w:hAnsi="宋体" w:cs="宋体"/>
                <w:kern w:val="0"/>
                <w:szCs w:val="21"/>
                <w:highlight w:val="none"/>
              </w:rPr>
              <w:br w:type="textWrapping"/>
            </w:r>
            <w:r>
              <w:rPr>
                <w:rFonts w:hint="eastAsia" w:ascii="宋体" w:hAnsi="宋体" w:cs="宋体"/>
                <w:kern w:val="0"/>
                <w:szCs w:val="21"/>
                <w:highlight w:val="none"/>
              </w:rPr>
              <w:t>指</w:t>
            </w:r>
            <w:r>
              <w:rPr>
                <w:rFonts w:hint="eastAsia" w:ascii="宋体" w:hAnsi="宋体" w:cs="宋体"/>
                <w:kern w:val="0"/>
                <w:szCs w:val="21"/>
                <w:highlight w:val="none"/>
              </w:rPr>
              <w:br w:type="textWrapping"/>
            </w:r>
            <w:r>
              <w:rPr>
                <w:rFonts w:hint="eastAsia" w:ascii="宋体" w:hAnsi="宋体" w:cs="宋体"/>
                <w:kern w:val="0"/>
                <w:szCs w:val="21"/>
                <w:highlight w:val="none"/>
              </w:rPr>
              <w:t>标</w:t>
            </w:r>
          </w:p>
        </w:tc>
        <w:tc>
          <w:tcPr>
            <w:tcW w:w="3315" w:type="dxa"/>
            <w:vMerge w:val="restart"/>
            <w:tcBorders>
              <w:top w:val="nil"/>
              <w:left w:val="single" w:color="auto" w:sz="4" w:space="0"/>
              <w:bottom w:val="single" w:color="000000" w:sz="4" w:space="0"/>
              <w:right w:val="single" w:color="auto" w:sz="4" w:space="0"/>
            </w:tcBorders>
            <w:vAlign w:val="center"/>
          </w:tcPr>
          <w:p w14:paraId="24F2DC78">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（2）文明作业，遵章守纪，作业时穿着统一工作服并保持衣着整洁，佩戴环卫人员信息卡（手环），道路保洁使用的各类环卫作业工具有序放置，保持整洁；</w:t>
            </w:r>
          </w:p>
        </w:tc>
        <w:tc>
          <w:tcPr>
            <w:tcW w:w="4645" w:type="dxa"/>
            <w:tcBorders>
              <w:top w:val="nil"/>
              <w:left w:val="nil"/>
              <w:bottom w:val="single" w:color="auto" w:sz="4" w:space="0"/>
              <w:right w:val="single" w:color="auto" w:sz="4" w:space="0"/>
            </w:tcBorders>
            <w:vAlign w:val="center"/>
          </w:tcPr>
          <w:p w14:paraId="703A6CFD">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未按规定穿着统一工作服，穿着不规范不整洁（未全套穿着），未佩戴环卫人员信息卡（手环）等，每项每人次扣2分。</w:t>
            </w:r>
          </w:p>
        </w:tc>
      </w:tr>
      <w:tr w14:paraId="35C30C85">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4EF80DD7">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000000" w:sz="4" w:space="0"/>
              <w:right w:val="single" w:color="auto" w:sz="4" w:space="0"/>
            </w:tcBorders>
            <w:vAlign w:val="center"/>
          </w:tcPr>
          <w:p w14:paraId="0FD0E22B">
            <w:pPr>
              <w:widowControl/>
              <w:snapToGrid w:val="0"/>
              <w:spacing w:line="360" w:lineRule="auto"/>
              <w:jc w:val="left"/>
              <w:rPr>
                <w:rFonts w:ascii="宋体" w:hAnsi="宋体" w:cs="宋体"/>
                <w:kern w:val="0"/>
                <w:szCs w:val="21"/>
                <w:highlight w:val="none"/>
              </w:rPr>
            </w:pPr>
          </w:p>
        </w:tc>
        <w:tc>
          <w:tcPr>
            <w:tcW w:w="3315" w:type="dxa"/>
            <w:vMerge w:val="continue"/>
            <w:tcBorders>
              <w:top w:val="nil"/>
              <w:left w:val="single" w:color="auto" w:sz="4" w:space="0"/>
              <w:bottom w:val="single" w:color="000000" w:sz="4" w:space="0"/>
              <w:right w:val="single" w:color="auto" w:sz="4" w:space="0"/>
            </w:tcBorders>
            <w:vAlign w:val="center"/>
          </w:tcPr>
          <w:p w14:paraId="57D26C6A">
            <w:pPr>
              <w:widowControl/>
              <w:snapToGrid w:val="0"/>
              <w:spacing w:line="360" w:lineRule="auto"/>
              <w:jc w:val="left"/>
              <w:rPr>
                <w:rFonts w:ascii="宋体" w:hAnsi="宋体" w:cs="宋体"/>
                <w:kern w:val="0"/>
                <w:szCs w:val="21"/>
                <w:highlight w:val="none"/>
              </w:rPr>
            </w:pPr>
          </w:p>
        </w:tc>
        <w:tc>
          <w:tcPr>
            <w:tcW w:w="4645" w:type="dxa"/>
            <w:tcBorders>
              <w:top w:val="nil"/>
              <w:left w:val="nil"/>
              <w:bottom w:val="single" w:color="auto" w:sz="4" w:space="0"/>
              <w:right w:val="single" w:color="auto" w:sz="4" w:space="0"/>
            </w:tcBorders>
            <w:vAlign w:val="center"/>
          </w:tcPr>
          <w:p w14:paraId="281E59C5">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工作时间内聚堆闲聊、瞌睡、言语举止不文明、拾捡废品等与作业无关的事项，每起扣2分。</w:t>
            </w:r>
          </w:p>
        </w:tc>
      </w:tr>
      <w:tr w14:paraId="6D4E3344">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1FB28F7C">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000000" w:sz="4" w:space="0"/>
              <w:right w:val="single" w:color="auto" w:sz="4" w:space="0"/>
            </w:tcBorders>
            <w:vAlign w:val="center"/>
          </w:tcPr>
          <w:p w14:paraId="45C909A9">
            <w:pPr>
              <w:widowControl/>
              <w:snapToGrid w:val="0"/>
              <w:spacing w:line="360" w:lineRule="auto"/>
              <w:jc w:val="left"/>
              <w:rPr>
                <w:rFonts w:ascii="宋体" w:hAnsi="宋体" w:cs="宋体"/>
                <w:kern w:val="0"/>
                <w:szCs w:val="21"/>
                <w:highlight w:val="none"/>
              </w:rPr>
            </w:pPr>
          </w:p>
        </w:tc>
        <w:tc>
          <w:tcPr>
            <w:tcW w:w="3315" w:type="dxa"/>
            <w:vMerge w:val="continue"/>
            <w:tcBorders>
              <w:top w:val="nil"/>
              <w:left w:val="single" w:color="auto" w:sz="4" w:space="0"/>
              <w:bottom w:val="single" w:color="000000" w:sz="4" w:space="0"/>
              <w:right w:val="single" w:color="auto" w:sz="4" w:space="0"/>
            </w:tcBorders>
            <w:vAlign w:val="center"/>
          </w:tcPr>
          <w:p w14:paraId="0557FAB4">
            <w:pPr>
              <w:widowControl/>
              <w:snapToGrid w:val="0"/>
              <w:spacing w:line="360" w:lineRule="auto"/>
              <w:jc w:val="left"/>
              <w:rPr>
                <w:rFonts w:ascii="宋体" w:hAnsi="宋体" w:cs="宋体"/>
                <w:kern w:val="0"/>
                <w:szCs w:val="21"/>
                <w:highlight w:val="none"/>
              </w:rPr>
            </w:pPr>
          </w:p>
        </w:tc>
        <w:tc>
          <w:tcPr>
            <w:tcW w:w="4645" w:type="dxa"/>
            <w:tcBorders>
              <w:top w:val="nil"/>
              <w:left w:val="nil"/>
              <w:bottom w:val="single" w:color="auto" w:sz="4" w:space="0"/>
              <w:right w:val="single" w:color="auto" w:sz="4" w:space="0"/>
            </w:tcBorders>
            <w:vAlign w:val="center"/>
          </w:tcPr>
          <w:p w14:paraId="4AFB8F37">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作业人员将垃圾扫入或倒入绿化带、污（雨）水井、河道、空（田、林）地或企事业单位、生活小区围墙内，每次扣5分。</w:t>
            </w:r>
          </w:p>
        </w:tc>
      </w:tr>
      <w:tr w14:paraId="4E0244B3">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764CA241">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000000" w:sz="4" w:space="0"/>
              <w:right w:val="single" w:color="auto" w:sz="4" w:space="0"/>
            </w:tcBorders>
            <w:vAlign w:val="center"/>
          </w:tcPr>
          <w:p w14:paraId="337DB397">
            <w:pPr>
              <w:widowControl/>
              <w:snapToGrid w:val="0"/>
              <w:spacing w:line="360" w:lineRule="auto"/>
              <w:jc w:val="left"/>
              <w:rPr>
                <w:rFonts w:ascii="宋体" w:hAnsi="宋体" w:cs="宋体"/>
                <w:kern w:val="0"/>
                <w:szCs w:val="21"/>
                <w:highlight w:val="none"/>
              </w:rPr>
            </w:pPr>
          </w:p>
        </w:tc>
        <w:tc>
          <w:tcPr>
            <w:tcW w:w="3315" w:type="dxa"/>
            <w:vMerge w:val="continue"/>
            <w:tcBorders>
              <w:top w:val="nil"/>
              <w:left w:val="single" w:color="auto" w:sz="4" w:space="0"/>
              <w:bottom w:val="single" w:color="000000" w:sz="4" w:space="0"/>
              <w:right w:val="single" w:color="auto" w:sz="4" w:space="0"/>
            </w:tcBorders>
            <w:vAlign w:val="center"/>
          </w:tcPr>
          <w:p w14:paraId="78CBCAB9">
            <w:pPr>
              <w:widowControl/>
              <w:snapToGrid w:val="0"/>
              <w:spacing w:line="360" w:lineRule="auto"/>
              <w:jc w:val="left"/>
              <w:rPr>
                <w:rFonts w:ascii="宋体" w:hAnsi="宋体" w:cs="宋体"/>
                <w:kern w:val="0"/>
                <w:szCs w:val="21"/>
                <w:highlight w:val="none"/>
              </w:rPr>
            </w:pPr>
          </w:p>
        </w:tc>
        <w:tc>
          <w:tcPr>
            <w:tcW w:w="4645" w:type="dxa"/>
            <w:tcBorders>
              <w:top w:val="nil"/>
              <w:left w:val="nil"/>
              <w:bottom w:val="single" w:color="auto" w:sz="4" w:space="0"/>
              <w:right w:val="single" w:color="auto" w:sz="4" w:space="0"/>
            </w:tcBorders>
            <w:vAlign w:val="center"/>
          </w:tcPr>
          <w:p w14:paraId="30071D2B">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作业人员有焚烧垃圾、树叶等杂物的行为，每起扣10分。</w:t>
            </w:r>
          </w:p>
        </w:tc>
      </w:tr>
      <w:tr w14:paraId="6A69A276">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79B76BBE">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000000" w:sz="4" w:space="0"/>
              <w:right w:val="single" w:color="auto" w:sz="4" w:space="0"/>
            </w:tcBorders>
            <w:vAlign w:val="center"/>
          </w:tcPr>
          <w:p w14:paraId="35F934FB">
            <w:pPr>
              <w:widowControl/>
              <w:snapToGrid w:val="0"/>
              <w:spacing w:line="360" w:lineRule="auto"/>
              <w:jc w:val="left"/>
              <w:rPr>
                <w:rFonts w:ascii="宋体" w:hAnsi="宋体" w:cs="宋体"/>
                <w:kern w:val="0"/>
                <w:szCs w:val="21"/>
                <w:highlight w:val="none"/>
              </w:rPr>
            </w:pPr>
          </w:p>
        </w:tc>
        <w:tc>
          <w:tcPr>
            <w:tcW w:w="3315" w:type="dxa"/>
            <w:vMerge w:val="continue"/>
            <w:tcBorders>
              <w:top w:val="nil"/>
              <w:left w:val="single" w:color="auto" w:sz="4" w:space="0"/>
              <w:bottom w:val="single" w:color="000000" w:sz="4" w:space="0"/>
              <w:right w:val="single" w:color="auto" w:sz="4" w:space="0"/>
            </w:tcBorders>
            <w:vAlign w:val="center"/>
          </w:tcPr>
          <w:p w14:paraId="57228B6D">
            <w:pPr>
              <w:widowControl/>
              <w:snapToGrid w:val="0"/>
              <w:spacing w:line="360" w:lineRule="auto"/>
              <w:jc w:val="left"/>
              <w:rPr>
                <w:rFonts w:ascii="宋体" w:hAnsi="宋体" w:cs="宋体"/>
                <w:kern w:val="0"/>
                <w:szCs w:val="21"/>
                <w:highlight w:val="none"/>
              </w:rPr>
            </w:pPr>
          </w:p>
        </w:tc>
        <w:tc>
          <w:tcPr>
            <w:tcW w:w="4645" w:type="dxa"/>
            <w:tcBorders>
              <w:top w:val="nil"/>
              <w:left w:val="nil"/>
              <w:bottom w:val="single" w:color="auto" w:sz="4" w:space="0"/>
              <w:right w:val="single" w:color="auto" w:sz="4" w:space="0"/>
            </w:tcBorders>
            <w:vAlign w:val="center"/>
          </w:tcPr>
          <w:p w14:paraId="15C7471E">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作业人员收集垃圾等作业不规范行为造成二次污染的，每起扣5分。</w:t>
            </w:r>
          </w:p>
        </w:tc>
      </w:tr>
      <w:tr w14:paraId="377AE385">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41B55120">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000000" w:sz="4" w:space="0"/>
              <w:right w:val="single" w:color="auto" w:sz="4" w:space="0"/>
            </w:tcBorders>
            <w:vAlign w:val="center"/>
          </w:tcPr>
          <w:p w14:paraId="4F712047">
            <w:pPr>
              <w:widowControl/>
              <w:snapToGrid w:val="0"/>
              <w:spacing w:line="360" w:lineRule="auto"/>
              <w:jc w:val="left"/>
              <w:rPr>
                <w:rFonts w:ascii="宋体" w:hAnsi="宋体" w:cs="宋体"/>
                <w:kern w:val="0"/>
                <w:szCs w:val="21"/>
                <w:highlight w:val="none"/>
              </w:rPr>
            </w:pPr>
          </w:p>
        </w:tc>
        <w:tc>
          <w:tcPr>
            <w:tcW w:w="3315" w:type="dxa"/>
            <w:vMerge w:val="continue"/>
            <w:tcBorders>
              <w:top w:val="nil"/>
              <w:left w:val="single" w:color="auto" w:sz="4" w:space="0"/>
              <w:bottom w:val="single" w:color="000000" w:sz="4" w:space="0"/>
              <w:right w:val="single" w:color="auto" w:sz="4" w:space="0"/>
            </w:tcBorders>
            <w:vAlign w:val="center"/>
          </w:tcPr>
          <w:p w14:paraId="046BCED0">
            <w:pPr>
              <w:widowControl/>
              <w:snapToGrid w:val="0"/>
              <w:spacing w:line="360" w:lineRule="auto"/>
              <w:jc w:val="left"/>
              <w:rPr>
                <w:rFonts w:ascii="宋体" w:hAnsi="宋体" w:cs="宋体"/>
                <w:kern w:val="0"/>
                <w:szCs w:val="21"/>
                <w:highlight w:val="none"/>
              </w:rPr>
            </w:pPr>
          </w:p>
        </w:tc>
        <w:tc>
          <w:tcPr>
            <w:tcW w:w="4645" w:type="dxa"/>
            <w:tcBorders>
              <w:top w:val="nil"/>
              <w:left w:val="nil"/>
              <w:bottom w:val="single" w:color="auto" w:sz="4" w:space="0"/>
              <w:right w:val="single" w:color="auto" w:sz="4" w:space="0"/>
            </w:tcBorders>
            <w:vAlign w:val="center"/>
          </w:tcPr>
          <w:p w14:paraId="25E7068D">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作业工具、作业车辆随意摆放，每处扣2分。</w:t>
            </w:r>
          </w:p>
        </w:tc>
      </w:tr>
      <w:tr w14:paraId="5BD309A3">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63C2F749">
            <w:pPr>
              <w:widowControl/>
              <w:snapToGrid w:val="0"/>
              <w:spacing w:line="360" w:lineRule="auto"/>
              <w:jc w:val="left"/>
              <w:rPr>
                <w:rFonts w:ascii="宋体" w:hAnsi="宋体" w:cs="宋体"/>
                <w:kern w:val="0"/>
                <w:szCs w:val="21"/>
                <w:highlight w:val="none"/>
              </w:rPr>
            </w:pPr>
          </w:p>
        </w:tc>
        <w:tc>
          <w:tcPr>
            <w:tcW w:w="816" w:type="dxa"/>
            <w:vMerge w:val="restart"/>
            <w:tcBorders>
              <w:top w:val="nil"/>
              <w:left w:val="single" w:color="auto" w:sz="4" w:space="0"/>
              <w:bottom w:val="single" w:color="auto" w:sz="4" w:space="0"/>
              <w:right w:val="single" w:color="auto" w:sz="4" w:space="0"/>
            </w:tcBorders>
            <w:vAlign w:val="center"/>
          </w:tcPr>
          <w:p w14:paraId="5C7FDE27">
            <w:pPr>
              <w:widowControl/>
              <w:snapToGrid w:val="0"/>
              <w:spacing w:line="360" w:lineRule="auto"/>
              <w:jc w:val="center"/>
              <w:rPr>
                <w:rFonts w:ascii="宋体" w:hAnsi="宋体" w:cs="宋体"/>
                <w:kern w:val="0"/>
                <w:szCs w:val="21"/>
                <w:highlight w:val="none"/>
              </w:rPr>
            </w:pPr>
            <w:r>
              <w:rPr>
                <w:rFonts w:hint="eastAsia" w:ascii="宋体" w:hAnsi="宋体" w:cs="宋体"/>
                <w:kern w:val="0"/>
                <w:szCs w:val="21"/>
                <w:highlight w:val="none"/>
              </w:rPr>
              <w:t>（C） 作</w:t>
            </w:r>
            <w:r>
              <w:rPr>
                <w:rFonts w:hint="eastAsia" w:ascii="宋体" w:hAnsi="宋体" w:cs="宋体"/>
                <w:kern w:val="0"/>
                <w:szCs w:val="21"/>
                <w:highlight w:val="none"/>
              </w:rPr>
              <w:br w:type="textWrapping"/>
            </w:r>
            <w:r>
              <w:rPr>
                <w:rFonts w:hint="eastAsia" w:ascii="宋体" w:hAnsi="宋体" w:cs="宋体"/>
                <w:kern w:val="0"/>
                <w:szCs w:val="21"/>
                <w:highlight w:val="none"/>
              </w:rPr>
              <w:t>业</w:t>
            </w:r>
            <w:r>
              <w:rPr>
                <w:rFonts w:hint="eastAsia" w:ascii="宋体" w:hAnsi="宋体" w:cs="宋体"/>
                <w:kern w:val="0"/>
                <w:szCs w:val="21"/>
                <w:highlight w:val="none"/>
              </w:rPr>
              <w:br w:type="textWrapping"/>
            </w:r>
            <w:r>
              <w:rPr>
                <w:rFonts w:hint="eastAsia" w:ascii="宋体" w:hAnsi="宋体" w:cs="宋体"/>
                <w:kern w:val="0"/>
                <w:szCs w:val="21"/>
                <w:highlight w:val="none"/>
              </w:rPr>
              <w:t>车</w:t>
            </w:r>
            <w:r>
              <w:rPr>
                <w:rFonts w:hint="eastAsia" w:ascii="宋体" w:hAnsi="宋体" w:cs="宋体"/>
                <w:kern w:val="0"/>
                <w:szCs w:val="21"/>
                <w:highlight w:val="none"/>
              </w:rPr>
              <w:br w:type="textWrapping"/>
            </w:r>
            <w:r>
              <w:rPr>
                <w:rFonts w:hint="eastAsia" w:ascii="宋体" w:hAnsi="宋体" w:cs="宋体"/>
                <w:kern w:val="0"/>
                <w:szCs w:val="21"/>
                <w:highlight w:val="none"/>
              </w:rPr>
              <w:t>辆</w:t>
            </w:r>
            <w:r>
              <w:rPr>
                <w:rFonts w:hint="eastAsia" w:ascii="宋体" w:hAnsi="宋体" w:cs="宋体"/>
                <w:kern w:val="0"/>
                <w:szCs w:val="21"/>
                <w:highlight w:val="none"/>
              </w:rPr>
              <w:br w:type="textWrapping"/>
            </w:r>
            <w:r>
              <w:rPr>
                <w:rFonts w:hint="eastAsia" w:ascii="宋体" w:hAnsi="宋体" w:cs="宋体"/>
                <w:kern w:val="0"/>
                <w:szCs w:val="21"/>
                <w:highlight w:val="none"/>
              </w:rPr>
              <w:t>作</w:t>
            </w:r>
            <w:r>
              <w:rPr>
                <w:rFonts w:hint="eastAsia" w:ascii="宋体" w:hAnsi="宋体" w:cs="宋体"/>
                <w:kern w:val="0"/>
                <w:szCs w:val="21"/>
                <w:highlight w:val="none"/>
              </w:rPr>
              <w:br w:type="textWrapping"/>
            </w:r>
            <w:r>
              <w:rPr>
                <w:rFonts w:hint="eastAsia" w:ascii="宋体" w:hAnsi="宋体" w:cs="宋体"/>
                <w:kern w:val="0"/>
                <w:szCs w:val="21"/>
                <w:highlight w:val="none"/>
              </w:rPr>
              <w:t>业</w:t>
            </w:r>
            <w:r>
              <w:rPr>
                <w:rFonts w:hint="eastAsia" w:ascii="宋体" w:hAnsi="宋体" w:cs="宋体"/>
                <w:kern w:val="0"/>
                <w:szCs w:val="21"/>
                <w:highlight w:val="none"/>
              </w:rPr>
              <w:br w:type="textWrapping"/>
            </w:r>
            <w:r>
              <w:rPr>
                <w:rFonts w:hint="eastAsia" w:ascii="宋体" w:hAnsi="宋体" w:cs="宋体"/>
                <w:kern w:val="0"/>
                <w:szCs w:val="21"/>
                <w:highlight w:val="none"/>
              </w:rPr>
              <w:t>管</w:t>
            </w:r>
            <w:r>
              <w:rPr>
                <w:rFonts w:hint="eastAsia" w:ascii="宋体" w:hAnsi="宋体" w:cs="宋体"/>
                <w:kern w:val="0"/>
                <w:szCs w:val="21"/>
                <w:highlight w:val="none"/>
              </w:rPr>
              <w:br w:type="textWrapping"/>
            </w:r>
            <w:r>
              <w:rPr>
                <w:rFonts w:hint="eastAsia" w:ascii="宋体" w:hAnsi="宋体" w:cs="宋体"/>
                <w:kern w:val="0"/>
                <w:szCs w:val="21"/>
                <w:highlight w:val="none"/>
              </w:rPr>
              <w:t>理</w:t>
            </w:r>
            <w:r>
              <w:rPr>
                <w:rFonts w:hint="eastAsia" w:ascii="宋体" w:hAnsi="宋体" w:cs="宋体"/>
                <w:kern w:val="0"/>
                <w:szCs w:val="21"/>
                <w:highlight w:val="none"/>
              </w:rPr>
              <w:br w:type="textWrapping"/>
            </w:r>
            <w:r>
              <w:rPr>
                <w:rFonts w:hint="eastAsia" w:ascii="宋体" w:hAnsi="宋体" w:cs="宋体"/>
                <w:kern w:val="0"/>
                <w:szCs w:val="21"/>
                <w:highlight w:val="none"/>
              </w:rPr>
              <w:t>指</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标        </w:t>
            </w:r>
            <w:r>
              <w:rPr>
                <w:rFonts w:hint="eastAsia" w:ascii="宋体" w:hAnsi="宋体" w:cs="宋体"/>
                <w:kern w:val="0"/>
                <w:szCs w:val="21"/>
                <w:highlight w:val="none"/>
              </w:rPr>
              <w:br w:type="textWrapping"/>
            </w:r>
            <w:r>
              <w:rPr>
                <w:rFonts w:hint="eastAsia" w:ascii="宋体" w:hAnsi="宋体" w:cs="宋体"/>
                <w:kern w:val="0"/>
                <w:szCs w:val="21"/>
                <w:highlight w:val="none"/>
              </w:rPr>
              <w:br w:type="textWrapping"/>
            </w:r>
          </w:p>
        </w:tc>
        <w:tc>
          <w:tcPr>
            <w:tcW w:w="3315" w:type="dxa"/>
            <w:tcBorders>
              <w:top w:val="nil"/>
              <w:left w:val="nil"/>
              <w:bottom w:val="single" w:color="auto" w:sz="4" w:space="0"/>
              <w:right w:val="single" w:color="auto" w:sz="4" w:space="0"/>
            </w:tcBorders>
            <w:vAlign w:val="center"/>
          </w:tcPr>
          <w:p w14:paraId="6F461814">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⑴作业人员作业时应穿戴统一、整洁、有警示标识的工作服；</w:t>
            </w:r>
          </w:p>
        </w:tc>
        <w:tc>
          <w:tcPr>
            <w:tcW w:w="4645" w:type="dxa"/>
            <w:tcBorders>
              <w:top w:val="nil"/>
              <w:left w:val="nil"/>
              <w:bottom w:val="single" w:color="auto" w:sz="4" w:space="0"/>
              <w:right w:val="single" w:color="auto" w:sz="4" w:space="0"/>
            </w:tcBorders>
            <w:vAlign w:val="center"/>
          </w:tcPr>
          <w:p w14:paraId="63F5458D">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作业时未穿戴统一、整洁、有警示标识的工作服，每人次扣2分。</w:t>
            </w:r>
          </w:p>
        </w:tc>
      </w:tr>
      <w:tr w14:paraId="5F2EBA1F">
        <w:tblPrEx>
          <w:tblCellMar>
            <w:top w:w="0" w:type="dxa"/>
            <w:left w:w="108" w:type="dxa"/>
            <w:bottom w:w="0" w:type="dxa"/>
            <w:right w:w="108" w:type="dxa"/>
          </w:tblCellMar>
        </w:tblPrEx>
        <w:trPr>
          <w:trHeight w:val="919" w:hRule="atLeast"/>
        </w:trPr>
        <w:tc>
          <w:tcPr>
            <w:tcW w:w="936" w:type="dxa"/>
            <w:vMerge w:val="continue"/>
            <w:tcBorders>
              <w:top w:val="single" w:color="auto" w:sz="4" w:space="0"/>
              <w:left w:val="single" w:color="auto" w:sz="4" w:space="0"/>
              <w:bottom w:val="nil"/>
              <w:right w:val="nil"/>
            </w:tcBorders>
            <w:vAlign w:val="center"/>
          </w:tcPr>
          <w:p w14:paraId="2DBFC362">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auto" w:sz="4" w:space="0"/>
              <w:right w:val="single" w:color="auto" w:sz="4" w:space="0"/>
            </w:tcBorders>
            <w:vAlign w:val="center"/>
          </w:tcPr>
          <w:p w14:paraId="7840F38B">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5C2DA156">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(2)机械化作业车辆需按照规定的时间、线路、频次和作业模式进行作业,作业里程数需符合要求；</w:t>
            </w:r>
          </w:p>
        </w:tc>
        <w:tc>
          <w:tcPr>
            <w:tcW w:w="4645" w:type="dxa"/>
            <w:tcBorders>
              <w:top w:val="nil"/>
              <w:left w:val="nil"/>
              <w:bottom w:val="single" w:color="auto" w:sz="4" w:space="0"/>
              <w:right w:val="single" w:color="auto" w:sz="4" w:space="0"/>
            </w:tcBorders>
            <w:vAlign w:val="center"/>
          </w:tcPr>
          <w:p w14:paraId="4C245685">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不按照规定的时间、线路、频次作业的扣5分/辆</w:t>
            </w:r>
            <w:r>
              <w:rPr>
                <w:rFonts w:hint="eastAsia" w:ascii="宋体" w:hAnsi="宋体" w:cs="宋体"/>
                <w:kern w:val="0"/>
                <w:szCs w:val="21"/>
                <w:highlight w:val="none"/>
              </w:rPr>
              <w:t>/</w:t>
            </w:r>
            <w:r>
              <w:rPr>
                <w:rFonts w:hint="eastAsia" w:ascii="宋体" w:hAnsi="宋体" w:cs="宋体"/>
                <w:kern w:val="0"/>
                <w:szCs w:val="21"/>
                <w:highlight w:val="none"/>
              </w:rPr>
              <w:t>次、机械化作业量少于核定数的，扣0.5分/公里。</w:t>
            </w:r>
          </w:p>
        </w:tc>
      </w:tr>
      <w:tr w14:paraId="0887B09B">
        <w:tblPrEx>
          <w:tblCellMar>
            <w:top w:w="0" w:type="dxa"/>
            <w:left w:w="108" w:type="dxa"/>
            <w:bottom w:w="0" w:type="dxa"/>
            <w:right w:w="108" w:type="dxa"/>
          </w:tblCellMar>
        </w:tblPrEx>
        <w:trPr>
          <w:trHeight w:val="960" w:hRule="atLeast"/>
        </w:trPr>
        <w:tc>
          <w:tcPr>
            <w:tcW w:w="936" w:type="dxa"/>
            <w:vMerge w:val="continue"/>
            <w:tcBorders>
              <w:top w:val="single" w:color="auto" w:sz="4" w:space="0"/>
              <w:left w:val="single" w:color="auto" w:sz="4" w:space="0"/>
              <w:bottom w:val="nil"/>
              <w:right w:val="nil"/>
            </w:tcBorders>
            <w:vAlign w:val="center"/>
          </w:tcPr>
          <w:p w14:paraId="0A380F1C">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auto" w:sz="4" w:space="0"/>
              <w:right w:val="single" w:color="auto" w:sz="4" w:space="0"/>
            </w:tcBorders>
            <w:vAlign w:val="center"/>
          </w:tcPr>
          <w:p w14:paraId="5714BCBA">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5614DB25">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（3）环卫机械化作业应使用</w:t>
            </w:r>
            <w:r>
              <w:rPr>
                <w:rFonts w:hint="eastAsia" w:ascii="宋体" w:hAnsi="宋体" w:cs="宋体"/>
                <w:kern w:val="0"/>
                <w:szCs w:val="21"/>
                <w:highlight w:val="none"/>
              </w:rPr>
              <w:t>车辆定位系统、</w:t>
            </w:r>
            <w:r>
              <w:rPr>
                <w:rFonts w:hint="eastAsia" w:ascii="宋体" w:hAnsi="宋体" w:cs="宋体"/>
                <w:kern w:val="0"/>
                <w:szCs w:val="21"/>
                <w:highlight w:val="none"/>
              </w:rPr>
              <w:t>行车记录仪等系统信息化手段进行监管，信号输出必须与智慧环卫系统联网；</w:t>
            </w:r>
          </w:p>
        </w:tc>
        <w:tc>
          <w:tcPr>
            <w:tcW w:w="4645" w:type="dxa"/>
            <w:tcBorders>
              <w:top w:val="nil"/>
              <w:left w:val="nil"/>
              <w:bottom w:val="single" w:color="auto" w:sz="4" w:space="0"/>
              <w:right w:val="single" w:color="auto" w:sz="4" w:space="0"/>
            </w:tcBorders>
            <w:vAlign w:val="center"/>
          </w:tcPr>
          <w:p w14:paraId="71B80161">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未配备或故意损坏的扣20分/辆、人为导致信号未正常输出的车辆扣10分/辆</w:t>
            </w:r>
            <w:r>
              <w:rPr>
                <w:rFonts w:hint="eastAsia" w:ascii="宋体" w:hAnsi="宋体" w:cs="宋体"/>
                <w:kern w:val="0"/>
                <w:szCs w:val="21"/>
                <w:highlight w:val="none"/>
              </w:rPr>
              <w:t>/</w:t>
            </w:r>
            <w:r>
              <w:rPr>
                <w:rFonts w:hint="eastAsia" w:ascii="宋体" w:hAnsi="宋体" w:cs="宋体"/>
                <w:kern w:val="0"/>
                <w:szCs w:val="21"/>
                <w:highlight w:val="none"/>
              </w:rPr>
              <w:t>次、未安装</w:t>
            </w:r>
            <w:r>
              <w:rPr>
                <w:rFonts w:hint="eastAsia" w:ascii="宋体" w:hAnsi="宋体" w:cs="宋体"/>
                <w:kern w:val="0"/>
                <w:szCs w:val="21"/>
                <w:highlight w:val="none"/>
              </w:rPr>
              <w:t>定位</w:t>
            </w:r>
            <w:r>
              <w:rPr>
                <w:rFonts w:hint="eastAsia" w:ascii="宋体" w:hAnsi="宋体" w:cs="宋体"/>
                <w:kern w:val="0"/>
                <w:szCs w:val="21"/>
                <w:highlight w:val="none"/>
              </w:rPr>
              <w:t>及行车记录仪或故意损坏扣20分/辆</w:t>
            </w:r>
            <w:r>
              <w:rPr>
                <w:rFonts w:hint="eastAsia" w:ascii="宋体" w:hAnsi="宋体" w:cs="宋体"/>
                <w:kern w:val="0"/>
                <w:szCs w:val="21"/>
                <w:highlight w:val="none"/>
              </w:rPr>
              <w:t>/</w:t>
            </w:r>
            <w:r>
              <w:rPr>
                <w:rFonts w:hint="eastAsia" w:ascii="宋体" w:hAnsi="宋体" w:cs="宋体"/>
                <w:kern w:val="0"/>
                <w:szCs w:val="21"/>
                <w:highlight w:val="none"/>
              </w:rPr>
              <w:t>次。</w:t>
            </w:r>
          </w:p>
        </w:tc>
      </w:tr>
      <w:tr w14:paraId="034D93BD">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16520B34">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auto" w:sz="4" w:space="0"/>
              <w:right w:val="single" w:color="auto" w:sz="4" w:space="0"/>
            </w:tcBorders>
            <w:vAlign w:val="center"/>
          </w:tcPr>
          <w:p w14:paraId="194FE3F7">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31B793CF">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（4）由于天气原因需调整作业时，应及时向环卫部门汇报后由环卫部门批准以临时调整作业；</w:t>
            </w:r>
          </w:p>
        </w:tc>
        <w:tc>
          <w:tcPr>
            <w:tcW w:w="4645" w:type="dxa"/>
            <w:tcBorders>
              <w:top w:val="nil"/>
              <w:left w:val="nil"/>
              <w:bottom w:val="single" w:color="auto" w:sz="4" w:space="0"/>
              <w:right w:val="single" w:color="auto" w:sz="4" w:space="0"/>
            </w:tcBorders>
            <w:vAlign w:val="center"/>
          </w:tcPr>
          <w:p w14:paraId="024D6909">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未向环卫部门汇报的扣5分/次。</w:t>
            </w:r>
          </w:p>
        </w:tc>
      </w:tr>
      <w:tr w14:paraId="34E32593">
        <w:tblPrEx>
          <w:tblCellMar>
            <w:top w:w="0" w:type="dxa"/>
            <w:left w:w="108" w:type="dxa"/>
            <w:bottom w:w="0" w:type="dxa"/>
            <w:right w:w="108" w:type="dxa"/>
          </w:tblCellMar>
        </w:tblPrEx>
        <w:trPr>
          <w:trHeight w:val="735" w:hRule="atLeast"/>
        </w:trPr>
        <w:tc>
          <w:tcPr>
            <w:tcW w:w="936" w:type="dxa"/>
            <w:vMerge w:val="continue"/>
            <w:tcBorders>
              <w:top w:val="single" w:color="auto" w:sz="4" w:space="0"/>
              <w:left w:val="single" w:color="auto" w:sz="4" w:space="0"/>
              <w:bottom w:val="nil"/>
              <w:right w:val="nil"/>
            </w:tcBorders>
            <w:vAlign w:val="center"/>
          </w:tcPr>
          <w:p w14:paraId="6DC52855">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auto" w:sz="4" w:space="0"/>
              <w:right w:val="single" w:color="auto" w:sz="4" w:space="0"/>
            </w:tcBorders>
            <w:vAlign w:val="center"/>
          </w:tcPr>
          <w:p w14:paraId="5002912B">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4556BDC3">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（5）洗扫车在非特殊气候情况下必须采取湿扫，当气温≤5℃时，应暂停桥面、坡道、高架的冲洗及清洗作业，当气温≤2℃时，所有路面及附属设施冲洗及清洗作业应停止，道路作业采用不喷水作业方式。</w:t>
            </w:r>
          </w:p>
        </w:tc>
        <w:tc>
          <w:tcPr>
            <w:tcW w:w="4645" w:type="dxa"/>
            <w:tcBorders>
              <w:top w:val="nil"/>
              <w:left w:val="nil"/>
              <w:bottom w:val="single" w:color="auto" w:sz="4" w:space="0"/>
              <w:right w:val="single" w:color="auto" w:sz="4" w:space="0"/>
            </w:tcBorders>
            <w:vAlign w:val="center"/>
          </w:tcPr>
          <w:p w14:paraId="4831858D">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未按要求进行作业的扣10分/次。</w:t>
            </w:r>
          </w:p>
        </w:tc>
      </w:tr>
      <w:tr w14:paraId="549587AC">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675863E2">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auto" w:sz="4" w:space="0"/>
              <w:right w:val="single" w:color="auto" w:sz="4" w:space="0"/>
            </w:tcBorders>
            <w:vAlign w:val="center"/>
          </w:tcPr>
          <w:p w14:paraId="6D3029CA">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0CAF5D5A">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（6）作业车辆由于故障或发生事故，其它不可抗拒原因不能正常作业，应与环卫部门及时联系或租用其它车辆代班；</w:t>
            </w:r>
          </w:p>
        </w:tc>
        <w:tc>
          <w:tcPr>
            <w:tcW w:w="4645" w:type="dxa"/>
            <w:tcBorders>
              <w:top w:val="nil"/>
              <w:left w:val="nil"/>
              <w:bottom w:val="single" w:color="auto" w:sz="4" w:space="0"/>
              <w:right w:val="single" w:color="auto" w:sz="4" w:space="0"/>
            </w:tcBorders>
            <w:vAlign w:val="center"/>
          </w:tcPr>
          <w:p w14:paraId="3BDF6C1E">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未及时处理的扣10分/次。</w:t>
            </w:r>
          </w:p>
        </w:tc>
      </w:tr>
      <w:tr w14:paraId="5A64F668">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65B603E3">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auto" w:sz="4" w:space="0"/>
              <w:right w:val="single" w:color="auto" w:sz="4" w:space="0"/>
            </w:tcBorders>
            <w:vAlign w:val="center"/>
          </w:tcPr>
          <w:p w14:paraId="2F69041E">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24C672A9">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(7)建立健全车辆维修、保养和例行检查制度，必须确保出车车况良好；</w:t>
            </w:r>
          </w:p>
        </w:tc>
        <w:tc>
          <w:tcPr>
            <w:tcW w:w="4645" w:type="dxa"/>
            <w:tcBorders>
              <w:top w:val="nil"/>
              <w:left w:val="nil"/>
              <w:bottom w:val="single" w:color="auto" w:sz="4" w:space="0"/>
              <w:right w:val="single" w:color="auto" w:sz="4" w:space="0"/>
            </w:tcBorders>
            <w:vAlign w:val="center"/>
          </w:tcPr>
          <w:p w14:paraId="3DC275E5">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未建立车辆管理制度的扣20分/次。</w:t>
            </w:r>
          </w:p>
        </w:tc>
      </w:tr>
      <w:tr w14:paraId="77F17DEA">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686F2FB4">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auto" w:sz="4" w:space="0"/>
              <w:right w:val="single" w:color="auto" w:sz="4" w:space="0"/>
            </w:tcBorders>
            <w:vAlign w:val="center"/>
          </w:tcPr>
          <w:p w14:paraId="5609C5DA">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31E1A1DC">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(8)车辆统一喷涂，保持标识清晰、齐全、车体无破损、无锈蚀、无污物、无灰垢；</w:t>
            </w:r>
          </w:p>
        </w:tc>
        <w:tc>
          <w:tcPr>
            <w:tcW w:w="4645" w:type="dxa"/>
            <w:tcBorders>
              <w:top w:val="nil"/>
              <w:left w:val="nil"/>
              <w:bottom w:val="single" w:color="auto" w:sz="4" w:space="0"/>
              <w:right w:val="single" w:color="auto" w:sz="4" w:space="0"/>
            </w:tcBorders>
            <w:vAlign w:val="center"/>
          </w:tcPr>
          <w:p w14:paraId="2D3BDF40">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标识不清或车辆车容不洁的扣5分/辆。</w:t>
            </w:r>
          </w:p>
        </w:tc>
      </w:tr>
      <w:tr w14:paraId="63A23A13">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2C8E3945">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auto" w:sz="4" w:space="0"/>
              <w:right w:val="single" w:color="auto" w:sz="4" w:space="0"/>
            </w:tcBorders>
            <w:vAlign w:val="center"/>
          </w:tcPr>
          <w:p w14:paraId="7400AF2F">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5ED59101">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（9）所有车辆必须有专人负责，确保24小时调度；</w:t>
            </w:r>
          </w:p>
        </w:tc>
        <w:tc>
          <w:tcPr>
            <w:tcW w:w="4645" w:type="dxa"/>
            <w:tcBorders>
              <w:top w:val="nil"/>
              <w:left w:val="nil"/>
              <w:bottom w:val="single" w:color="auto" w:sz="4" w:space="0"/>
              <w:right w:val="single" w:color="auto" w:sz="4" w:space="0"/>
            </w:tcBorders>
            <w:vAlign w:val="center"/>
          </w:tcPr>
          <w:p w14:paraId="0EA4E850">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调度不力或不及时的扣5分/辆。</w:t>
            </w:r>
          </w:p>
        </w:tc>
      </w:tr>
      <w:tr w14:paraId="4289D647">
        <w:tblPrEx>
          <w:tblCellMar>
            <w:top w:w="0" w:type="dxa"/>
            <w:left w:w="108" w:type="dxa"/>
            <w:bottom w:w="0" w:type="dxa"/>
            <w:right w:w="108" w:type="dxa"/>
          </w:tblCellMar>
        </w:tblPrEx>
        <w:trPr>
          <w:trHeight w:val="799" w:hRule="atLeast"/>
        </w:trPr>
        <w:tc>
          <w:tcPr>
            <w:tcW w:w="936" w:type="dxa"/>
            <w:vMerge w:val="continue"/>
            <w:tcBorders>
              <w:top w:val="single" w:color="auto" w:sz="4" w:space="0"/>
              <w:left w:val="single" w:color="auto" w:sz="4" w:space="0"/>
              <w:bottom w:val="nil"/>
              <w:right w:val="nil"/>
            </w:tcBorders>
            <w:vAlign w:val="center"/>
          </w:tcPr>
          <w:p w14:paraId="76F7C94C">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auto" w:sz="4" w:space="0"/>
              <w:right w:val="single" w:color="auto" w:sz="4" w:space="0"/>
            </w:tcBorders>
            <w:vAlign w:val="center"/>
          </w:tcPr>
          <w:p w14:paraId="38DC5662">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6BBD7695">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(10)施工车辆抛洒导致的路面污染，应及时清除，需进行道路冲洗的应及时联系相关部门，做到路面见本色。</w:t>
            </w:r>
          </w:p>
        </w:tc>
        <w:tc>
          <w:tcPr>
            <w:tcW w:w="4645" w:type="dxa"/>
            <w:tcBorders>
              <w:top w:val="nil"/>
              <w:left w:val="nil"/>
              <w:bottom w:val="single" w:color="auto" w:sz="4" w:space="0"/>
              <w:right w:val="single" w:color="auto" w:sz="4" w:space="0"/>
            </w:tcBorders>
            <w:vAlign w:val="center"/>
          </w:tcPr>
          <w:p w14:paraId="5CA4D58F">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不联系相关部门的扣5分/次，清除不及时的扣10分/处。</w:t>
            </w:r>
          </w:p>
        </w:tc>
      </w:tr>
      <w:tr w14:paraId="0D52C9C0">
        <w:tblPrEx>
          <w:tblCellMar>
            <w:top w:w="0" w:type="dxa"/>
            <w:left w:w="108" w:type="dxa"/>
            <w:bottom w:w="0" w:type="dxa"/>
            <w:right w:w="108" w:type="dxa"/>
          </w:tblCellMar>
        </w:tblPrEx>
        <w:trPr>
          <w:trHeight w:val="799" w:hRule="atLeast"/>
        </w:trPr>
        <w:tc>
          <w:tcPr>
            <w:tcW w:w="936" w:type="dxa"/>
            <w:vMerge w:val="continue"/>
            <w:tcBorders>
              <w:top w:val="single" w:color="auto" w:sz="4" w:space="0"/>
              <w:left w:val="single" w:color="auto" w:sz="4" w:space="0"/>
              <w:bottom w:val="nil"/>
              <w:right w:val="nil"/>
            </w:tcBorders>
            <w:vAlign w:val="center"/>
          </w:tcPr>
          <w:p w14:paraId="56964EA3">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auto" w:sz="4" w:space="0"/>
              <w:right w:val="single" w:color="auto" w:sz="4" w:space="0"/>
            </w:tcBorders>
            <w:vAlign w:val="center"/>
          </w:tcPr>
          <w:p w14:paraId="6A510F2B">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5230A867">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(11)环卫作业车辆应干净整洁、车辆零部件损坏及时修理，车身编号（字迹）、车牌清楚，不得使用报废车辆或其他非专用车辆；</w:t>
            </w:r>
          </w:p>
        </w:tc>
        <w:tc>
          <w:tcPr>
            <w:tcW w:w="4645" w:type="dxa"/>
            <w:tcBorders>
              <w:top w:val="nil"/>
              <w:left w:val="nil"/>
              <w:bottom w:val="single" w:color="auto" w:sz="4" w:space="0"/>
              <w:right w:val="single" w:color="auto" w:sz="4" w:space="0"/>
            </w:tcBorders>
            <w:vAlign w:val="center"/>
          </w:tcPr>
          <w:p w14:paraId="66AEBAB6">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作业车辆脏、车身编号（字迹）不清、故意不清洗车牌的，每车次扣2分；车身破旧、车辆部件损坏未及时修复的，每车次扣2～5分；使用报废车辆或其他非专用车辆的，每车次扣5分。</w:t>
            </w:r>
          </w:p>
        </w:tc>
      </w:tr>
      <w:tr w14:paraId="27743943">
        <w:tblPrEx>
          <w:tblCellMar>
            <w:top w:w="0" w:type="dxa"/>
            <w:left w:w="108" w:type="dxa"/>
            <w:bottom w:w="0" w:type="dxa"/>
            <w:right w:w="108" w:type="dxa"/>
          </w:tblCellMar>
        </w:tblPrEx>
        <w:trPr>
          <w:trHeight w:val="799" w:hRule="atLeast"/>
        </w:trPr>
        <w:tc>
          <w:tcPr>
            <w:tcW w:w="936" w:type="dxa"/>
            <w:vMerge w:val="continue"/>
            <w:tcBorders>
              <w:top w:val="single" w:color="auto" w:sz="4" w:space="0"/>
              <w:left w:val="single" w:color="auto" w:sz="4" w:space="0"/>
              <w:bottom w:val="nil"/>
              <w:right w:val="nil"/>
            </w:tcBorders>
            <w:vAlign w:val="center"/>
          </w:tcPr>
          <w:p w14:paraId="082172B4">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auto" w:sz="4" w:space="0"/>
              <w:right w:val="single" w:color="auto" w:sz="4" w:space="0"/>
            </w:tcBorders>
            <w:vAlign w:val="center"/>
          </w:tcPr>
          <w:p w14:paraId="6EB93DDD">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633C48C8">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(12)机械化作业时应避开高峰时段,作业过程中应开启警示灯作业，遵守交通法规行驶；按照交通信号灯通行，服从交通警察及交通协管员指挥，不得逆向行驶，不得驶入高架道路；</w:t>
            </w:r>
          </w:p>
        </w:tc>
        <w:tc>
          <w:tcPr>
            <w:tcW w:w="4645" w:type="dxa"/>
            <w:tcBorders>
              <w:top w:val="nil"/>
              <w:left w:val="nil"/>
              <w:bottom w:val="single" w:color="auto" w:sz="4" w:space="0"/>
              <w:right w:val="single" w:color="auto" w:sz="4" w:space="0"/>
            </w:tcBorders>
            <w:vAlign w:val="center"/>
          </w:tcPr>
          <w:p w14:paraId="11FED76B">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作业过程中未开启警示灯作业的、未遵守交通法规行驶的，每项每次扣2分；不按照交通信号灯行驶、不服从交通警察及交通协管员指挥、逆向行驶、驶入高架道路的，发现违规每车次扣5分。</w:t>
            </w:r>
          </w:p>
        </w:tc>
      </w:tr>
      <w:tr w14:paraId="31631052">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35203FE6">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auto" w:sz="4" w:space="0"/>
              <w:right w:val="single" w:color="auto" w:sz="4" w:space="0"/>
            </w:tcBorders>
            <w:vAlign w:val="center"/>
          </w:tcPr>
          <w:p w14:paraId="69D6EA0D">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61A6C6AC">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(13)车辆停靠路边（加水、排水）时，按要求放置警示桶（其他警示标志），并确保周边环境整洁；</w:t>
            </w:r>
          </w:p>
        </w:tc>
        <w:tc>
          <w:tcPr>
            <w:tcW w:w="4645" w:type="dxa"/>
            <w:tcBorders>
              <w:top w:val="nil"/>
              <w:left w:val="nil"/>
              <w:bottom w:val="single" w:color="auto" w:sz="4" w:space="0"/>
              <w:right w:val="single" w:color="auto" w:sz="4" w:space="0"/>
            </w:tcBorders>
            <w:vAlign w:val="center"/>
          </w:tcPr>
          <w:p w14:paraId="6CBD8E4F">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未按要求放置警示桶及其他警示标志的，发现每车次扣2分；周边环境不洁的扣2分/次。</w:t>
            </w:r>
          </w:p>
        </w:tc>
      </w:tr>
      <w:tr w14:paraId="29E0697E">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17AD8E9B">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auto" w:sz="4" w:space="0"/>
              <w:right w:val="single" w:color="auto" w:sz="4" w:space="0"/>
            </w:tcBorders>
            <w:vAlign w:val="center"/>
          </w:tcPr>
          <w:p w14:paraId="567B90E4">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02C83B55">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(14)作业车辆作业时禁止有吊挂杂物、抛洒，滴漏等现象发生；</w:t>
            </w:r>
          </w:p>
        </w:tc>
        <w:tc>
          <w:tcPr>
            <w:tcW w:w="4645" w:type="dxa"/>
            <w:tcBorders>
              <w:top w:val="nil"/>
              <w:left w:val="nil"/>
              <w:bottom w:val="single" w:color="auto" w:sz="4" w:space="0"/>
              <w:right w:val="single" w:color="auto" w:sz="4" w:space="0"/>
            </w:tcBorders>
            <w:vAlign w:val="center"/>
          </w:tcPr>
          <w:p w14:paraId="0B8594B0">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发现每项每次扣2分。</w:t>
            </w:r>
          </w:p>
        </w:tc>
      </w:tr>
      <w:tr w14:paraId="21EDFB7C">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6E605C43">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auto" w:sz="4" w:space="0"/>
              <w:right w:val="single" w:color="auto" w:sz="4" w:space="0"/>
            </w:tcBorders>
            <w:vAlign w:val="center"/>
          </w:tcPr>
          <w:p w14:paraId="47FF675C">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249B396C">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(15)扫刷未按规定要求（长度不得低于10公分）要及时更换；</w:t>
            </w:r>
          </w:p>
        </w:tc>
        <w:tc>
          <w:tcPr>
            <w:tcW w:w="4645" w:type="dxa"/>
            <w:tcBorders>
              <w:top w:val="nil"/>
              <w:left w:val="nil"/>
              <w:bottom w:val="single" w:color="auto" w:sz="4" w:space="0"/>
              <w:right w:val="single" w:color="auto" w:sz="4" w:space="0"/>
            </w:tcBorders>
            <w:vAlign w:val="center"/>
          </w:tcPr>
          <w:p w14:paraId="167CDD12">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未按要求及时更换每车次扣2分；作业时，作业车辆如出现扫刷、吸嘴不落地等现象的，每项每次扣2分。</w:t>
            </w:r>
          </w:p>
        </w:tc>
      </w:tr>
      <w:tr w14:paraId="373C3268">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2B878C34">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auto" w:sz="4" w:space="0"/>
              <w:right w:val="single" w:color="auto" w:sz="4" w:space="0"/>
            </w:tcBorders>
            <w:vAlign w:val="center"/>
          </w:tcPr>
          <w:p w14:paraId="3165739C">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57F594E1">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(16)非特殊气候情况下（日均温度高于6摄氏度），不得出现“干扫”现象；</w:t>
            </w:r>
          </w:p>
        </w:tc>
        <w:tc>
          <w:tcPr>
            <w:tcW w:w="4645" w:type="dxa"/>
            <w:tcBorders>
              <w:top w:val="nil"/>
              <w:left w:val="nil"/>
              <w:bottom w:val="single" w:color="auto" w:sz="4" w:space="0"/>
              <w:right w:val="single" w:color="auto" w:sz="4" w:space="0"/>
            </w:tcBorders>
            <w:vAlign w:val="center"/>
          </w:tcPr>
          <w:p w14:paraId="03F5804E">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非特殊气候情况下，出现“干扫”现象的，每项每次扣2分。</w:t>
            </w:r>
          </w:p>
        </w:tc>
      </w:tr>
      <w:tr w14:paraId="1DE740EF">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1C45CB44">
            <w:pPr>
              <w:widowControl/>
              <w:snapToGrid w:val="0"/>
              <w:spacing w:line="360" w:lineRule="auto"/>
              <w:jc w:val="left"/>
              <w:rPr>
                <w:rFonts w:ascii="宋体" w:hAnsi="宋体" w:cs="宋体"/>
                <w:kern w:val="0"/>
                <w:szCs w:val="21"/>
                <w:highlight w:val="none"/>
              </w:rPr>
            </w:pPr>
          </w:p>
        </w:tc>
        <w:tc>
          <w:tcPr>
            <w:tcW w:w="816" w:type="dxa"/>
            <w:vMerge w:val="restart"/>
            <w:tcBorders>
              <w:top w:val="nil"/>
              <w:left w:val="single" w:color="auto" w:sz="4" w:space="0"/>
              <w:bottom w:val="nil"/>
              <w:right w:val="single" w:color="auto" w:sz="4" w:space="0"/>
            </w:tcBorders>
            <w:vAlign w:val="center"/>
          </w:tcPr>
          <w:p w14:paraId="12664B20">
            <w:pPr>
              <w:widowControl/>
              <w:snapToGrid w:val="0"/>
              <w:spacing w:line="360" w:lineRule="auto"/>
              <w:jc w:val="center"/>
              <w:rPr>
                <w:rFonts w:ascii="宋体" w:hAnsi="宋体" w:cs="宋体"/>
                <w:kern w:val="0"/>
                <w:szCs w:val="21"/>
                <w:highlight w:val="none"/>
              </w:rPr>
            </w:pPr>
            <w:r>
              <w:rPr>
                <w:rFonts w:hint="eastAsia" w:ascii="宋体" w:hAnsi="宋体" w:cs="宋体"/>
                <w:kern w:val="0"/>
                <w:szCs w:val="21"/>
                <w:highlight w:val="none"/>
              </w:rPr>
              <w:t>(D)</w:t>
            </w:r>
            <w:r>
              <w:rPr>
                <w:rFonts w:hint="eastAsia" w:ascii="宋体" w:hAnsi="宋体" w:cs="宋体"/>
                <w:kern w:val="0"/>
                <w:szCs w:val="21"/>
                <w:highlight w:val="none"/>
              </w:rPr>
              <w:br w:type="textWrapping"/>
            </w:r>
            <w:r>
              <w:rPr>
                <w:rFonts w:hint="eastAsia" w:ascii="宋体" w:hAnsi="宋体" w:cs="宋体"/>
                <w:kern w:val="0"/>
                <w:szCs w:val="21"/>
                <w:highlight w:val="none"/>
              </w:rPr>
              <w:t>果</w:t>
            </w:r>
            <w:r>
              <w:rPr>
                <w:rFonts w:hint="eastAsia" w:ascii="宋体" w:hAnsi="宋体" w:cs="宋体"/>
                <w:kern w:val="0"/>
                <w:szCs w:val="21"/>
                <w:highlight w:val="none"/>
              </w:rPr>
              <w:br w:type="textWrapping"/>
            </w:r>
            <w:r>
              <w:rPr>
                <w:rFonts w:hint="eastAsia" w:ascii="宋体" w:hAnsi="宋体" w:cs="宋体"/>
                <w:kern w:val="0"/>
                <w:szCs w:val="21"/>
                <w:highlight w:val="none"/>
              </w:rPr>
              <w:t>壳</w:t>
            </w:r>
            <w:r>
              <w:rPr>
                <w:rFonts w:hint="eastAsia" w:ascii="宋体" w:hAnsi="宋体" w:cs="宋体"/>
                <w:kern w:val="0"/>
                <w:szCs w:val="21"/>
                <w:highlight w:val="none"/>
              </w:rPr>
              <w:br w:type="textWrapping"/>
            </w:r>
            <w:r>
              <w:rPr>
                <w:rFonts w:hint="eastAsia" w:ascii="宋体" w:hAnsi="宋体" w:cs="宋体"/>
                <w:kern w:val="0"/>
                <w:szCs w:val="21"/>
                <w:highlight w:val="none"/>
              </w:rPr>
              <w:t>箱</w:t>
            </w:r>
            <w:r>
              <w:rPr>
                <w:rFonts w:hint="eastAsia" w:ascii="宋体" w:hAnsi="宋体" w:cs="宋体"/>
                <w:kern w:val="0"/>
                <w:szCs w:val="21"/>
                <w:highlight w:val="none"/>
              </w:rPr>
              <w:br w:type="textWrapping"/>
            </w:r>
            <w:r>
              <w:rPr>
                <w:rFonts w:hint="eastAsia" w:ascii="宋体" w:hAnsi="宋体" w:cs="宋体"/>
                <w:kern w:val="0"/>
                <w:szCs w:val="21"/>
                <w:highlight w:val="none"/>
              </w:rPr>
              <w:t>、</w:t>
            </w:r>
            <w:r>
              <w:rPr>
                <w:rFonts w:hint="eastAsia" w:ascii="宋体" w:hAnsi="宋体" w:cs="宋体"/>
                <w:kern w:val="0"/>
                <w:szCs w:val="21"/>
                <w:highlight w:val="none"/>
              </w:rPr>
              <w:br w:type="textWrapping"/>
            </w:r>
            <w:r>
              <w:rPr>
                <w:rFonts w:hint="eastAsia" w:ascii="宋体" w:hAnsi="宋体" w:cs="宋体"/>
                <w:kern w:val="0"/>
                <w:szCs w:val="21"/>
                <w:highlight w:val="none"/>
              </w:rPr>
              <w:t>垃</w:t>
            </w:r>
            <w:r>
              <w:rPr>
                <w:rFonts w:hint="eastAsia" w:ascii="宋体" w:hAnsi="宋体" w:cs="宋体"/>
                <w:kern w:val="0"/>
                <w:szCs w:val="21"/>
                <w:highlight w:val="none"/>
              </w:rPr>
              <w:br w:type="textWrapping"/>
            </w:r>
            <w:r>
              <w:rPr>
                <w:rFonts w:hint="eastAsia" w:ascii="宋体" w:hAnsi="宋体" w:cs="宋体"/>
                <w:kern w:val="0"/>
                <w:szCs w:val="21"/>
                <w:highlight w:val="none"/>
              </w:rPr>
              <w:t>圾</w:t>
            </w:r>
            <w:r>
              <w:rPr>
                <w:rFonts w:hint="eastAsia" w:ascii="宋体" w:hAnsi="宋体" w:cs="宋体"/>
                <w:kern w:val="0"/>
                <w:szCs w:val="21"/>
                <w:highlight w:val="none"/>
              </w:rPr>
              <w:br w:type="textWrapping"/>
            </w:r>
            <w:r>
              <w:rPr>
                <w:rFonts w:hint="eastAsia" w:ascii="宋体" w:hAnsi="宋体" w:cs="宋体"/>
                <w:kern w:val="0"/>
                <w:szCs w:val="21"/>
                <w:highlight w:val="none"/>
              </w:rPr>
              <w:t>桶</w:t>
            </w:r>
            <w:r>
              <w:rPr>
                <w:rFonts w:hint="eastAsia" w:ascii="宋体" w:hAnsi="宋体" w:cs="宋体"/>
                <w:kern w:val="0"/>
                <w:szCs w:val="21"/>
                <w:highlight w:val="none"/>
              </w:rPr>
              <w:br w:type="textWrapping"/>
            </w:r>
            <w:r>
              <w:rPr>
                <w:rFonts w:hint="eastAsia" w:ascii="宋体" w:hAnsi="宋体" w:cs="宋体"/>
                <w:kern w:val="0"/>
                <w:szCs w:val="21"/>
                <w:highlight w:val="none"/>
              </w:rPr>
              <w:t>保</w:t>
            </w:r>
            <w:r>
              <w:rPr>
                <w:rFonts w:hint="eastAsia" w:ascii="宋体" w:hAnsi="宋体" w:cs="宋体"/>
                <w:kern w:val="0"/>
                <w:szCs w:val="21"/>
                <w:highlight w:val="none"/>
              </w:rPr>
              <w:br w:type="textWrapping"/>
            </w:r>
            <w:r>
              <w:rPr>
                <w:rFonts w:hint="eastAsia" w:ascii="宋体" w:hAnsi="宋体" w:cs="宋体"/>
                <w:kern w:val="0"/>
                <w:szCs w:val="21"/>
                <w:highlight w:val="none"/>
              </w:rPr>
              <w:t>洁</w:t>
            </w:r>
            <w:r>
              <w:rPr>
                <w:rFonts w:hint="eastAsia" w:ascii="宋体" w:hAnsi="宋体" w:cs="宋体"/>
                <w:kern w:val="0"/>
                <w:szCs w:val="21"/>
                <w:highlight w:val="none"/>
              </w:rPr>
              <w:br w:type="textWrapping"/>
            </w:r>
            <w:r>
              <w:rPr>
                <w:rFonts w:hint="eastAsia" w:ascii="宋体" w:hAnsi="宋体" w:cs="宋体"/>
                <w:kern w:val="0"/>
                <w:szCs w:val="21"/>
                <w:highlight w:val="none"/>
              </w:rPr>
              <w:t>管</w:t>
            </w:r>
            <w:r>
              <w:rPr>
                <w:rFonts w:hint="eastAsia" w:ascii="宋体" w:hAnsi="宋体" w:cs="宋体"/>
                <w:kern w:val="0"/>
                <w:szCs w:val="21"/>
                <w:highlight w:val="none"/>
              </w:rPr>
              <w:br w:type="textWrapping"/>
            </w:r>
            <w:r>
              <w:rPr>
                <w:rFonts w:hint="eastAsia" w:ascii="宋体" w:hAnsi="宋体" w:cs="宋体"/>
                <w:kern w:val="0"/>
                <w:szCs w:val="21"/>
                <w:highlight w:val="none"/>
              </w:rPr>
              <w:t>理</w:t>
            </w:r>
            <w:r>
              <w:rPr>
                <w:rFonts w:hint="eastAsia" w:ascii="宋体" w:hAnsi="宋体" w:cs="宋体"/>
                <w:kern w:val="0"/>
                <w:szCs w:val="21"/>
                <w:highlight w:val="none"/>
              </w:rPr>
              <w:br w:type="textWrapping"/>
            </w:r>
            <w:r>
              <w:rPr>
                <w:rFonts w:hint="eastAsia" w:ascii="宋体" w:hAnsi="宋体" w:cs="宋体"/>
                <w:kern w:val="0"/>
                <w:szCs w:val="21"/>
                <w:highlight w:val="none"/>
              </w:rPr>
              <w:t>指</w:t>
            </w:r>
            <w:r>
              <w:rPr>
                <w:rFonts w:hint="eastAsia" w:ascii="宋体" w:hAnsi="宋体" w:cs="宋体"/>
                <w:kern w:val="0"/>
                <w:szCs w:val="21"/>
                <w:highlight w:val="none"/>
              </w:rPr>
              <w:br w:type="textWrapping"/>
            </w:r>
            <w:r>
              <w:rPr>
                <w:rFonts w:hint="eastAsia" w:ascii="宋体" w:hAnsi="宋体" w:cs="宋体"/>
                <w:kern w:val="0"/>
                <w:szCs w:val="21"/>
                <w:highlight w:val="none"/>
              </w:rPr>
              <w:t>标</w:t>
            </w:r>
          </w:p>
        </w:tc>
        <w:tc>
          <w:tcPr>
            <w:tcW w:w="3315" w:type="dxa"/>
            <w:tcBorders>
              <w:top w:val="nil"/>
              <w:left w:val="nil"/>
              <w:bottom w:val="single" w:color="auto" w:sz="4" w:space="0"/>
              <w:right w:val="single" w:color="auto" w:sz="4" w:space="0"/>
            </w:tcBorders>
            <w:vAlign w:val="center"/>
          </w:tcPr>
          <w:p w14:paraId="549D1B2B">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（1）果壳箱、垃圾桶（房）实行一日至少两清，无溢满现象；</w:t>
            </w:r>
          </w:p>
        </w:tc>
        <w:tc>
          <w:tcPr>
            <w:tcW w:w="4645" w:type="dxa"/>
            <w:tcBorders>
              <w:top w:val="nil"/>
              <w:left w:val="nil"/>
              <w:bottom w:val="single" w:color="auto" w:sz="4" w:space="0"/>
              <w:right w:val="single" w:color="auto" w:sz="4" w:space="0"/>
            </w:tcBorders>
            <w:vAlign w:val="center"/>
          </w:tcPr>
          <w:p w14:paraId="7F846415">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未一日两清，有溢满现象，每个扣2分。</w:t>
            </w:r>
          </w:p>
        </w:tc>
      </w:tr>
      <w:tr w14:paraId="36EDB872">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7972A256">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nil"/>
              <w:right w:val="single" w:color="auto" w:sz="4" w:space="0"/>
            </w:tcBorders>
            <w:vAlign w:val="center"/>
          </w:tcPr>
          <w:p w14:paraId="7C7488B5">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60E5055C">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（2）果壳箱、垃圾桶（房）周边无污水、污迹、无散落零散、袋装垃圾；</w:t>
            </w:r>
          </w:p>
        </w:tc>
        <w:tc>
          <w:tcPr>
            <w:tcW w:w="4645" w:type="dxa"/>
            <w:tcBorders>
              <w:top w:val="nil"/>
              <w:left w:val="nil"/>
              <w:bottom w:val="single" w:color="auto" w:sz="4" w:space="0"/>
              <w:right w:val="single" w:color="auto" w:sz="4" w:space="0"/>
            </w:tcBorders>
            <w:vAlign w:val="center"/>
          </w:tcPr>
          <w:p w14:paraId="72D3B81D">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发现每个扣1分。</w:t>
            </w:r>
          </w:p>
        </w:tc>
      </w:tr>
      <w:tr w14:paraId="55116026">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5C9786E9">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nil"/>
              <w:right w:val="single" w:color="auto" w:sz="4" w:space="0"/>
            </w:tcBorders>
            <w:vAlign w:val="center"/>
          </w:tcPr>
          <w:p w14:paraId="6CAA5ADC">
            <w:pPr>
              <w:widowControl/>
              <w:snapToGrid w:val="0"/>
              <w:spacing w:line="360" w:lineRule="auto"/>
              <w:jc w:val="left"/>
              <w:rPr>
                <w:rFonts w:ascii="宋体" w:hAnsi="宋体" w:cs="宋体"/>
                <w:kern w:val="0"/>
                <w:szCs w:val="21"/>
                <w:highlight w:val="none"/>
              </w:rPr>
            </w:pPr>
          </w:p>
        </w:tc>
        <w:tc>
          <w:tcPr>
            <w:tcW w:w="3315" w:type="dxa"/>
            <w:tcBorders>
              <w:top w:val="nil"/>
              <w:left w:val="nil"/>
              <w:bottom w:val="nil"/>
              <w:right w:val="nil"/>
            </w:tcBorders>
            <w:noWrap/>
            <w:vAlign w:val="center"/>
          </w:tcPr>
          <w:p w14:paraId="3140F95E">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（3）果壳箱、垃圾桶（房）周边无堆状或面状垃圾；</w:t>
            </w:r>
          </w:p>
        </w:tc>
        <w:tc>
          <w:tcPr>
            <w:tcW w:w="4645" w:type="dxa"/>
            <w:tcBorders>
              <w:top w:val="nil"/>
              <w:left w:val="single" w:color="auto" w:sz="4" w:space="0"/>
              <w:bottom w:val="single" w:color="auto" w:sz="4" w:space="0"/>
              <w:right w:val="single" w:color="auto" w:sz="4" w:space="0"/>
            </w:tcBorders>
            <w:vAlign w:val="center"/>
          </w:tcPr>
          <w:p w14:paraId="320683DA">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发现每个扣2～5分。</w:t>
            </w:r>
          </w:p>
        </w:tc>
      </w:tr>
      <w:tr w14:paraId="5354C27B">
        <w:tblPrEx>
          <w:tblCellMar>
            <w:top w:w="0" w:type="dxa"/>
            <w:left w:w="108" w:type="dxa"/>
            <w:bottom w:w="0" w:type="dxa"/>
            <w:right w:w="108" w:type="dxa"/>
          </w:tblCellMar>
        </w:tblPrEx>
        <w:trPr>
          <w:trHeight w:val="660" w:hRule="atLeast"/>
        </w:trPr>
        <w:tc>
          <w:tcPr>
            <w:tcW w:w="936" w:type="dxa"/>
            <w:vMerge w:val="continue"/>
            <w:tcBorders>
              <w:top w:val="single" w:color="auto" w:sz="4" w:space="0"/>
              <w:left w:val="single" w:color="auto" w:sz="4" w:space="0"/>
              <w:bottom w:val="nil"/>
              <w:right w:val="nil"/>
            </w:tcBorders>
            <w:vAlign w:val="center"/>
          </w:tcPr>
          <w:p w14:paraId="1C05C2F7">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nil"/>
              <w:right w:val="single" w:color="auto" w:sz="4" w:space="0"/>
            </w:tcBorders>
            <w:vAlign w:val="center"/>
          </w:tcPr>
          <w:p w14:paraId="39F47813">
            <w:pPr>
              <w:widowControl/>
              <w:snapToGrid w:val="0"/>
              <w:spacing w:line="360" w:lineRule="auto"/>
              <w:jc w:val="left"/>
              <w:rPr>
                <w:rFonts w:ascii="宋体" w:hAnsi="宋体" w:cs="宋体"/>
                <w:kern w:val="0"/>
                <w:szCs w:val="21"/>
                <w:highlight w:val="none"/>
              </w:rPr>
            </w:pPr>
          </w:p>
        </w:tc>
        <w:tc>
          <w:tcPr>
            <w:tcW w:w="3315" w:type="dxa"/>
            <w:tcBorders>
              <w:top w:val="single" w:color="auto" w:sz="4" w:space="0"/>
              <w:left w:val="nil"/>
              <w:bottom w:val="single" w:color="auto" w:sz="4" w:space="0"/>
              <w:right w:val="single" w:color="auto" w:sz="4" w:space="0"/>
            </w:tcBorders>
            <w:vAlign w:val="center"/>
          </w:tcPr>
          <w:p w14:paraId="27CE3845">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（4）果壳箱、垃圾桶（房）需每日擦洗，体表无积灰、无污迹（含涂贴），垃圾桶桶盖无缺失；</w:t>
            </w:r>
          </w:p>
        </w:tc>
        <w:tc>
          <w:tcPr>
            <w:tcW w:w="4645" w:type="dxa"/>
            <w:tcBorders>
              <w:top w:val="nil"/>
              <w:left w:val="nil"/>
              <w:bottom w:val="single" w:color="auto" w:sz="4" w:space="0"/>
              <w:right w:val="single" w:color="auto" w:sz="4" w:space="0"/>
            </w:tcBorders>
            <w:vAlign w:val="center"/>
          </w:tcPr>
          <w:p w14:paraId="73C8ED06">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有明显积灰、污迹（含涂贴）的每个扣1分；垃圾桶桶盖缺失，每个扣1分。</w:t>
            </w:r>
          </w:p>
        </w:tc>
      </w:tr>
      <w:tr w14:paraId="444343DE">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070C6F2F">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nil"/>
              <w:right w:val="single" w:color="auto" w:sz="4" w:space="0"/>
            </w:tcBorders>
            <w:vAlign w:val="center"/>
          </w:tcPr>
          <w:p w14:paraId="2AE8C5A5">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5BB20B8B">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（5）果壳箱、垃圾桶（房）摆放整齐、规范；</w:t>
            </w:r>
          </w:p>
        </w:tc>
        <w:tc>
          <w:tcPr>
            <w:tcW w:w="4645" w:type="dxa"/>
            <w:tcBorders>
              <w:top w:val="nil"/>
              <w:left w:val="nil"/>
              <w:bottom w:val="single" w:color="auto" w:sz="4" w:space="0"/>
              <w:right w:val="single" w:color="auto" w:sz="4" w:space="0"/>
            </w:tcBorders>
            <w:vAlign w:val="center"/>
          </w:tcPr>
          <w:p w14:paraId="0609D8A6">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摆放不整齐、不规范，每组扣2分。</w:t>
            </w:r>
          </w:p>
        </w:tc>
      </w:tr>
      <w:tr w14:paraId="1ABD9AB4">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10C83FD8">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nil"/>
              <w:right w:val="single" w:color="auto" w:sz="4" w:space="0"/>
            </w:tcBorders>
            <w:vAlign w:val="center"/>
          </w:tcPr>
          <w:p w14:paraId="722F1D99">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1D091D42">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（6）果壳箱、垃圾桶（房）消杀要到位、无明显异味；</w:t>
            </w:r>
          </w:p>
        </w:tc>
        <w:tc>
          <w:tcPr>
            <w:tcW w:w="4645" w:type="dxa"/>
            <w:tcBorders>
              <w:top w:val="nil"/>
              <w:left w:val="nil"/>
              <w:bottom w:val="single" w:color="auto" w:sz="4" w:space="0"/>
              <w:right w:val="single" w:color="auto" w:sz="4" w:space="0"/>
            </w:tcBorders>
            <w:vAlign w:val="center"/>
          </w:tcPr>
          <w:p w14:paraId="1C815B59">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消杀不到位，苍蝇数量超过三只（可见范围）、有明显异味，每处扣1分。</w:t>
            </w:r>
          </w:p>
        </w:tc>
      </w:tr>
      <w:tr w14:paraId="5DBA4006">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62DF1C19">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nil"/>
              <w:right w:val="single" w:color="auto" w:sz="4" w:space="0"/>
            </w:tcBorders>
            <w:vAlign w:val="center"/>
          </w:tcPr>
          <w:p w14:paraId="2D524539">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0E405D82">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（7）果壳箱、垃圾桶（房）底部积存垃圾应及时清理；</w:t>
            </w:r>
          </w:p>
        </w:tc>
        <w:tc>
          <w:tcPr>
            <w:tcW w:w="4645" w:type="dxa"/>
            <w:tcBorders>
              <w:top w:val="nil"/>
              <w:left w:val="nil"/>
              <w:bottom w:val="single" w:color="auto" w:sz="4" w:space="0"/>
              <w:right w:val="single" w:color="auto" w:sz="4" w:space="0"/>
            </w:tcBorders>
            <w:noWrap/>
            <w:vAlign w:val="center"/>
          </w:tcPr>
          <w:p w14:paraId="3D1876AC">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未清理，每个扣2分。</w:t>
            </w:r>
          </w:p>
        </w:tc>
      </w:tr>
      <w:tr w14:paraId="21CA72DC">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5352FBDA">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nil"/>
              <w:right w:val="single" w:color="auto" w:sz="4" w:space="0"/>
            </w:tcBorders>
            <w:vAlign w:val="center"/>
          </w:tcPr>
          <w:p w14:paraId="6FD0BE4A">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746F5A06">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（8）果壳箱按标准配备；未经允许，不得擅自封闭或随意移动果壳箱的位置;</w:t>
            </w:r>
          </w:p>
        </w:tc>
        <w:tc>
          <w:tcPr>
            <w:tcW w:w="4645" w:type="dxa"/>
            <w:tcBorders>
              <w:top w:val="nil"/>
              <w:left w:val="nil"/>
              <w:bottom w:val="single" w:color="auto" w:sz="4" w:space="0"/>
              <w:right w:val="single" w:color="auto" w:sz="4" w:space="0"/>
            </w:tcBorders>
            <w:vAlign w:val="center"/>
          </w:tcPr>
          <w:p w14:paraId="0E14178A">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未按标准配备，每个扣1分；擅自移动果壳箱的一经发现扣3分/次。</w:t>
            </w:r>
          </w:p>
        </w:tc>
      </w:tr>
      <w:tr w14:paraId="5CD6C9A8">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3300F539">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nil"/>
              <w:right w:val="single" w:color="auto" w:sz="4" w:space="0"/>
            </w:tcBorders>
            <w:vAlign w:val="center"/>
          </w:tcPr>
          <w:p w14:paraId="167D4544">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30824409">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（9）设置分类收集桶（果壳箱）的，要按垃圾分类收集要求进行收集；</w:t>
            </w:r>
          </w:p>
        </w:tc>
        <w:tc>
          <w:tcPr>
            <w:tcW w:w="4645" w:type="dxa"/>
            <w:tcBorders>
              <w:top w:val="nil"/>
              <w:left w:val="nil"/>
              <w:bottom w:val="single" w:color="auto" w:sz="4" w:space="0"/>
              <w:right w:val="single" w:color="auto" w:sz="4" w:space="0"/>
            </w:tcBorders>
            <w:vAlign w:val="center"/>
          </w:tcPr>
          <w:p w14:paraId="16CCB471">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未按垃圾分类收集要求收集的，扣2分。</w:t>
            </w:r>
          </w:p>
        </w:tc>
      </w:tr>
      <w:tr w14:paraId="4475F799">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6B8B61A9">
            <w:pPr>
              <w:widowControl/>
              <w:snapToGrid w:val="0"/>
              <w:spacing w:line="360" w:lineRule="auto"/>
              <w:jc w:val="left"/>
              <w:rPr>
                <w:rFonts w:ascii="宋体" w:hAnsi="宋体" w:cs="宋体"/>
                <w:kern w:val="0"/>
                <w:szCs w:val="21"/>
                <w:highlight w:val="none"/>
              </w:rPr>
            </w:pPr>
          </w:p>
        </w:tc>
        <w:tc>
          <w:tcPr>
            <w:tcW w:w="816" w:type="dxa"/>
            <w:vMerge w:val="restart"/>
            <w:tcBorders>
              <w:top w:val="single" w:color="auto" w:sz="4" w:space="0"/>
              <w:left w:val="single" w:color="auto" w:sz="4" w:space="0"/>
              <w:bottom w:val="single" w:color="000000" w:sz="4" w:space="0"/>
              <w:right w:val="single" w:color="auto" w:sz="4" w:space="0"/>
            </w:tcBorders>
            <w:vAlign w:val="center"/>
          </w:tcPr>
          <w:p w14:paraId="7E25D3FE">
            <w:pPr>
              <w:widowControl/>
              <w:snapToGrid w:val="0"/>
              <w:spacing w:line="360" w:lineRule="auto"/>
              <w:jc w:val="center"/>
              <w:rPr>
                <w:rFonts w:ascii="宋体" w:hAnsi="宋体" w:cs="宋体"/>
                <w:kern w:val="0"/>
                <w:szCs w:val="21"/>
                <w:highlight w:val="none"/>
              </w:rPr>
            </w:pPr>
            <w:r>
              <w:rPr>
                <w:rFonts w:hint="eastAsia" w:ascii="宋体" w:hAnsi="宋体" w:cs="宋体"/>
                <w:kern w:val="0"/>
                <w:szCs w:val="21"/>
                <w:highlight w:val="none"/>
              </w:rPr>
              <w:t>(E)</w:t>
            </w:r>
            <w:r>
              <w:rPr>
                <w:rFonts w:hint="eastAsia" w:ascii="宋体" w:hAnsi="宋体" w:cs="宋体"/>
                <w:kern w:val="0"/>
                <w:szCs w:val="21"/>
                <w:highlight w:val="none"/>
              </w:rPr>
              <w:br w:type="textWrapping"/>
            </w:r>
            <w:r>
              <w:rPr>
                <w:rFonts w:hint="eastAsia" w:ascii="宋体" w:hAnsi="宋体" w:cs="宋体"/>
                <w:kern w:val="0"/>
                <w:szCs w:val="21"/>
                <w:highlight w:val="none"/>
              </w:rPr>
              <w:t>垃</w:t>
            </w:r>
            <w:r>
              <w:rPr>
                <w:rFonts w:hint="eastAsia" w:ascii="宋体" w:hAnsi="宋体" w:cs="宋体"/>
                <w:kern w:val="0"/>
                <w:szCs w:val="21"/>
                <w:highlight w:val="none"/>
              </w:rPr>
              <w:br w:type="textWrapping"/>
            </w:r>
            <w:r>
              <w:rPr>
                <w:rFonts w:hint="eastAsia" w:ascii="宋体" w:hAnsi="宋体" w:cs="宋体"/>
                <w:kern w:val="0"/>
                <w:szCs w:val="21"/>
                <w:highlight w:val="none"/>
              </w:rPr>
              <w:t>圾</w:t>
            </w:r>
            <w:r>
              <w:rPr>
                <w:rFonts w:hint="eastAsia" w:ascii="宋体" w:hAnsi="宋体" w:cs="宋体"/>
                <w:kern w:val="0"/>
                <w:szCs w:val="21"/>
                <w:highlight w:val="none"/>
              </w:rPr>
              <w:br w:type="textWrapping"/>
            </w:r>
            <w:r>
              <w:rPr>
                <w:rFonts w:hint="eastAsia" w:ascii="宋体" w:hAnsi="宋体" w:cs="宋体"/>
                <w:kern w:val="0"/>
                <w:szCs w:val="21"/>
                <w:highlight w:val="none"/>
              </w:rPr>
              <w:t>分</w:t>
            </w:r>
            <w:r>
              <w:rPr>
                <w:rFonts w:hint="eastAsia" w:ascii="宋体" w:hAnsi="宋体" w:cs="宋体"/>
                <w:kern w:val="0"/>
                <w:szCs w:val="21"/>
                <w:highlight w:val="none"/>
              </w:rPr>
              <w:br w:type="textWrapping"/>
            </w:r>
            <w:r>
              <w:rPr>
                <w:rFonts w:hint="eastAsia" w:ascii="宋体" w:hAnsi="宋体" w:cs="宋体"/>
                <w:kern w:val="0"/>
                <w:szCs w:val="21"/>
                <w:highlight w:val="none"/>
              </w:rPr>
              <w:t>类</w:t>
            </w:r>
            <w:r>
              <w:rPr>
                <w:rFonts w:hint="eastAsia" w:ascii="宋体" w:hAnsi="宋体" w:cs="宋体"/>
                <w:kern w:val="0"/>
                <w:szCs w:val="21"/>
                <w:highlight w:val="none"/>
              </w:rPr>
              <w:br w:type="textWrapping"/>
            </w:r>
            <w:r>
              <w:rPr>
                <w:rFonts w:hint="eastAsia" w:ascii="宋体" w:hAnsi="宋体" w:cs="宋体"/>
                <w:kern w:val="0"/>
                <w:szCs w:val="21"/>
                <w:highlight w:val="none"/>
              </w:rPr>
              <w:t>收</w:t>
            </w:r>
            <w:r>
              <w:rPr>
                <w:rFonts w:hint="eastAsia" w:ascii="宋体" w:hAnsi="宋体" w:cs="宋体"/>
                <w:kern w:val="0"/>
                <w:szCs w:val="21"/>
                <w:highlight w:val="none"/>
              </w:rPr>
              <w:br w:type="textWrapping"/>
            </w:r>
            <w:r>
              <w:rPr>
                <w:rFonts w:hint="eastAsia" w:ascii="宋体" w:hAnsi="宋体" w:cs="宋体"/>
                <w:kern w:val="0"/>
                <w:szCs w:val="21"/>
                <w:highlight w:val="none"/>
              </w:rPr>
              <w:t>集</w:t>
            </w:r>
            <w:r>
              <w:rPr>
                <w:rFonts w:hint="eastAsia" w:ascii="宋体" w:hAnsi="宋体" w:cs="宋体"/>
                <w:kern w:val="0"/>
                <w:szCs w:val="21"/>
                <w:highlight w:val="none"/>
              </w:rPr>
              <w:br w:type="textWrapping"/>
            </w:r>
            <w:r>
              <w:rPr>
                <w:rFonts w:hint="eastAsia" w:ascii="宋体" w:hAnsi="宋体" w:cs="宋体"/>
                <w:kern w:val="0"/>
                <w:szCs w:val="21"/>
                <w:highlight w:val="none"/>
              </w:rPr>
              <w:t>清</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运                                                                              </w:t>
            </w:r>
          </w:p>
        </w:tc>
        <w:tc>
          <w:tcPr>
            <w:tcW w:w="3315" w:type="dxa"/>
            <w:tcBorders>
              <w:top w:val="nil"/>
              <w:left w:val="nil"/>
              <w:bottom w:val="single" w:color="auto" w:sz="4" w:space="0"/>
              <w:right w:val="single" w:color="auto" w:sz="4" w:space="0"/>
            </w:tcBorders>
            <w:vAlign w:val="center"/>
          </w:tcPr>
          <w:p w14:paraId="0A2BCCA4">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(1)各型垃圾运输车辆应车容整洁，分类标识清晰，保持车况良好；</w:t>
            </w:r>
          </w:p>
        </w:tc>
        <w:tc>
          <w:tcPr>
            <w:tcW w:w="4645" w:type="dxa"/>
            <w:tcBorders>
              <w:top w:val="nil"/>
              <w:left w:val="nil"/>
              <w:bottom w:val="single" w:color="auto" w:sz="4" w:space="0"/>
              <w:right w:val="single" w:color="auto" w:sz="4" w:space="0"/>
            </w:tcBorders>
            <w:vAlign w:val="center"/>
          </w:tcPr>
          <w:p w14:paraId="282F2638">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发现不符合要求的扣5分/辆。</w:t>
            </w:r>
          </w:p>
        </w:tc>
      </w:tr>
      <w:tr w14:paraId="5613D29C">
        <w:tblPrEx>
          <w:tblCellMar>
            <w:top w:w="0" w:type="dxa"/>
            <w:left w:w="108" w:type="dxa"/>
            <w:bottom w:w="0" w:type="dxa"/>
            <w:right w:w="108" w:type="dxa"/>
          </w:tblCellMar>
        </w:tblPrEx>
        <w:trPr>
          <w:trHeight w:val="799" w:hRule="atLeast"/>
        </w:trPr>
        <w:tc>
          <w:tcPr>
            <w:tcW w:w="936" w:type="dxa"/>
            <w:vMerge w:val="continue"/>
            <w:tcBorders>
              <w:top w:val="single" w:color="auto" w:sz="4" w:space="0"/>
              <w:left w:val="single" w:color="auto" w:sz="4" w:space="0"/>
              <w:bottom w:val="nil"/>
              <w:right w:val="nil"/>
            </w:tcBorders>
            <w:vAlign w:val="center"/>
          </w:tcPr>
          <w:p w14:paraId="4232B5BF">
            <w:pPr>
              <w:widowControl/>
              <w:snapToGrid w:val="0"/>
              <w:spacing w:line="360" w:lineRule="auto"/>
              <w:jc w:val="left"/>
              <w:rPr>
                <w:rFonts w:ascii="宋体" w:hAnsi="宋体" w:cs="宋体"/>
                <w:kern w:val="0"/>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14:paraId="20F53703">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36F1A7EC">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(2)生活垃圾收集做到日产日清。道路、广场、公园每日不少于二次收集，第一次收集必须在上午7点前完成、第二遍收集在下午16点前完成（可根据季节等原因进行调整）。所有路段需确保垃圾及时收集，确保垃圾容器不满溢；</w:t>
            </w:r>
          </w:p>
        </w:tc>
        <w:tc>
          <w:tcPr>
            <w:tcW w:w="4645" w:type="dxa"/>
            <w:tcBorders>
              <w:top w:val="nil"/>
              <w:left w:val="nil"/>
              <w:bottom w:val="single" w:color="auto" w:sz="4" w:space="0"/>
              <w:right w:val="single" w:color="auto" w:sz="4" w:space="0"/>
            </w:tcBorders>
            <w:vAlign w:val="center"/>
          </w:tcPr>
          <w:p w14:paraId="1E7D71B2">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垃圾漏清扣1分/处、延时完成扣1分/处、垃圾满溢扣1分/处。</w:t>
            </w:r>
          </w:p>
        </w:tc>
      </w:tr>
      <w:tr w14:paraId="22E7C511">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55C023AE">
            <w:pPr>
              <w:widowControl/>
              <w:snapToGrid w:val="0"/>
              <w:spacing w:line="360" w:lineRule="auto"/>
              <w:jc w:val="left"/>
              <w:rPr>
                <w:rFonts w:ascii="宋体" w:hAnsi="宋体" w:cs="宋体"/>
                <w:kern w:val="0"/>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14:paraId="7226D418">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33A814C2">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(3)收集结束后垃圾容器及时复位、摆放整齐。垃圾桶（箱或房），门盖及时关闭；</w:t>
            </w:r>
          </w:p>
        </w:tc>
        <w:tc>
          <w:tcPr>
            <w:tcW w:w="4645" w:type="dxa"/>
            <w:tcBorders>
              <w:top w:val="nil"/>
              <w:left w:val="nil"/>
              <w:bottom w:val="single" w:color="auto" w:sz="4" w:space="0"/>
              <w:right w:val="single" w:color="auto" w:sz="4" w:space="0"/>
            </w:tcBorders>
            <w:vAlign w:val="center"/>
          </w:tcPr>
          <w:p w14:paraId="7138510B">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垃圾桶（箱）未及时复位扣1分/处，摆放不整齐、门（盖）未关扣1分/处。</w:t>
            </w:r>
          </w:p>
        </w:tc>
      </w:tr>
      <w:tr w14:paraId="1844761D">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6455C8CE">
            <w:pPr>
              <w:widowControl/>
              <w:snapToGrid w:val="0"/>
              <w:spacing w:line="360" w:lineRule="auto"/>
              <w:jc w:val="left"/>
              <w:rPr>
                <w:rFonts w:ascii="宋体" w:hAnsi="宋体" w:cs="宋体"/>
                <w:kern w:val="0"/>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14:paraId="38742402">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6C402864">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(4)垃圾运输车辆在运输途中应做到密闭运输，杜绝吊挂，或有污水抛洒滴漏；</w:t>
            </w:r>
          </w:p>
        </w:tc>
        <w:tc>
          <w:tcPr>
            <w:tcW w:w="4645" w:type="dxa"/>
            <w:tcBorders>
              <w:top w:val="nil"/>
              <w:left w:val="nil"/>
              <w:bottom w:val="single" w:color="auto" w:sz="4" w:space="0"/>
              <w:right w:val="single" w:color="auto" w:sz="4" w:space="0"/>
            </w:tcBorders>
            <w:vAlign w:val="center"/>
          </w:tcPr>
          <w:p w14:paraId="6B14A775">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未密闭运输、吊挂或沿途有抛洒滴漏的扣1分/次、情节严重的扣2分/次。</w:t>
            </w:r>
          </w:p>
        </w:tc>
      </w:tr>
      <w:tr w14:paraId="3D9AA15D">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3FB8A2B1">
            <w:pPr>
              <w:widowControl/>
              <w:snapToGrid w:val="0"/>
              <w:spacing w:line="360" w:lineRule="auto"/>
              <w:jc w:val="left"/>
              <w:rPr>
                <w:rFonts w:ascii="宋体" w:hAnsi="宋体" w:cs="宋体"/>
                <w:kern w:val="0"/>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14:paraId="2B6F8938">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3D9B0618">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(5)垃圾装运量应以车辆的额定荷载和有效容积为限，不得超重、超高运输；</w:t>
            </w:r>
          </w:p>
        </w:tc>
        <w:tc>
          <w:tcPr>
            <w:tcW w:w="4645" w:type="dxa"/>
            <w:tcBorders>
              <w:top w:val="nil"/>
              <w:left w:val="nil"/>
              <w:bottom w:val="single" w:color="auto" w:sz="4" w:space="0"/>
              <w:right w:val="single" w:color="auto" w:sz="4" w:space="0"/>
            </w:tcBorders>
            <w:vAlign w:val="center"/>
          </w:tcPr>
          <w:p w14:paraId="52C6ADEF">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发现与上述情况不符的扣1分/辆。</w:t>
            </w:r>
          </w:p>
        </w:tc>
      </w:tr>
      <w:tr w14:paraId="36D48472">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52E61EB9">
            <w:pPr>
              <w:widowControl/>
              <w:snapToGrid w:val="0"/>
              <w:spacing w:line="360" w:lineRule="auto"/>
              <w:jc w:val="left"/>
              <w:rPr>
                <w:rFonts w:ascii="宋体" w:hAnsi="宋体" w:cs="宋体"/>
                <w:kern w:val="0"/>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14:paraId="3B0F07A5">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6F3C3F87">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(6)装卸垃圾应符合作业要求，不得乱倒、乱卸、乱抛垃圾,作业结束应将车辆冲洗干净停于指定停车场；</w:t>
            </w:r>
          </w:p>
        </w:tc>
        <w:tc>
          <w:tcPr>
            <w:tcW w:w="4645" w:type="dxa"/>
            <w:tcBorders>
              <w:top w:val="nil"/>
              <w:left w:val="nil"/>
              <w:bottom w:val="single" w:color="auto" w:sz="4" w:space="0"/>
              <w:right w:val="single" w:color="auto" w:sz="4" w:space="0"/>
            </w:tcBorders>
            <w:vAlign w:val="center"/>
          </w:tcPr>
          <w:p w14:paraId="58407BED">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不按要求作业或未按规定要求停放的扣1分/辆。</w:t>
            </w:r>
          </w:p>
        </w:tc>
      </w:tr>
      <w:tr w14:paraId="207CEFED">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14A4E1E6">
            <w:pPr>
              <w:widowControl/>
              <w:snapToGrid w:val="0"/>
              <w:spacing w:line="360" w:lineRule="auto"/>
              <w:jc w:val="left"/>
              <w:rPr>
                <w:rFonts w:ascii="宋体" w:hAnsi="宋体" w:cs="宋体"/>
                <w:kern w:val="0"/>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14:paraId="6BE5A60F">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6113ADCF">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(7)生活垃圾需运至指定中转站点，在进入中转站点后的排水、卸料等作业应严格遵守相关管理规定，并服从相关人员指挥；</w:t>
            </w:r>
          </w:p>
        </w:tc>
        <w:tc>
          <w:tcPr>
            <w:tcW w:w="4645" w:type="dxa"/>
            <w:tcBorders>
              <w:top w:val="nil"/>
              <w:left w:val="nil"/>
              <w:bottom w:val="single" w:color="auto" w:sz="4" w:space="0"/>
              <w:right w:val="single" w:color="auto" w:sz="4" w:space="0"/>
            </w:tcBorders>
            <w:vAlign w:val="center"/>
          </w:tcPr>
          <w:p w14:paraId="08223AF0">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垃圾未经同意运至非指定中转站点的，扣2分/次；不遵守中转站点管理规定的，扣1分/次。</w:t>
            </w:r>
          </w:p>
        </w:tc>
      </w:tr>
      <w:tr w14:paraId="0649D3E4">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3F98EA6D">
            <w:pPr>
              <w:widowControl/>
              <w:snapToGrid w:val="0"/>
              <w:spacing w:line="360" w:lineRule="auto"/>
              <w:jc w:val="left"/>
              <w:rPr>
                <w:rFonts w:ascii="宋体" w:hAnsi="宋体" w:cs="宋体"/>
                <w:kern w:val="0"/>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14:paraId="15AE8D87">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0299FE9B">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(8)建筑装潢垃圾及时分类清理，统一按照要求清运至建筑装潢垃圾处理场；</w:t>
            </w:r>
          </w:p>
        </w:tc>
        <w:tc>
          <w:tcPr>
            <w:tcW w:w="4645" w:type="dxa"/>
            <w:tcBorders>
              <w:top w:val="nil"/>
              <w:left w:val="nil"/>
              <w:bottom w:val="single" w:color="auto" w:sz="4" w:space="0"/>
              <w:right w:val="single" w:color="auto" w:sz="4" w:space="0"/>
            </w:tcBorders>
            <w:vAlign w:val="center"/>
          </w:tcPr>
          <w:p w14:paraId="09D06B54">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清理不及时的扣2分/次，形成脏点死角的扣1分/处,建筑垃圾与生活垃圾混装的扣5分/次。</w:t>
            </w:r>
          </w:p>
        </w:tc>
      </w:tr>
      <w:tr w14:paraId="714E205C">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4612A004">
            <w:pPr>
              <w:widowControl/>
              <w:snapToGrid w:val="0"/>
              <w:spacing w:line="360" w:lineRule="auto"/>
              <w:jc w:val="left"/>
              <w:rPr>
                <w:rFonts w:ascii="宋体" w:hAnsi="宋体" w:cs="宋体"/>
                <w:kern w:val="0"/>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14:paraId="092A08E9">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418D881E">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(9)蚊蝇孽生季节及时消杀（消杀时间为：6月-10月），做到基本无蝇；</w:t>
            </w:r>
          </w:p>
        </w:tc>
        <w:tc>
          <w:tcPr>
            <w:tcW w:w="4645" w:type="dxa"/>
            <w:tcBorders>
              <w:top w:val="nil"/>
              <w:left w:val="nil"/>
              <w:bottom w:val="single" w:color="auto" w:sz="4" w:space="0"/>
              <w:right w:val="single" w:color="auto" w:sz="4" w:space="0"/>
            </w:tcBorders>
            <w:vAlign w:val="center"/>
          </w:tcPr>
          <w:p w14:paraId="00991A3F">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消杀不到位的，视情况扣1分/处；规定时间未消杀的，扣2分/日。</w:t>
            </w:r>
          </w:p>
        </w:tc>
      </w:tr>
      <w:tr w14:paraId="0793BED3">
        <w:tblPrEx>
          <w:tblCellMar>
            <w:top w:w="0" w:type="dxa"/>
            <w:left w:w="108" w:type="dxa"/>
            <w:bottom w:w="0" w:type="dxa"/>
            <w:right w:w="108" w:type="dxa"/>
          </w:tblCellMar>
        </w:tblPrEx>
        <w:trPr>
          <w:trHeight w:val="799" w:hRule="atLeast"/>
        </w:trPr>
        <w:tc>
          <w:tcPr>
            <w:tcW w:w="936" w:type="dxa"/>
            <w:vMerge w:val="continue"/>
            <w:tcBorders>
              <w:top w:val="single" w:color="auto" w:sz="4" w:space="0"/>
              <w:left w:val="single" w:color="auto" w:sz="4" w:space="0"/>
              <w:bottom w:val="nil"/>
              <w:right w:val="nil"/>
            </w:tcBorders>
            <w:vAlign w:val="center"/>
          </w:tcPr>
          <w:p w14:paraId="2139C29F">
            <w:pPr>
              <w:widowControl/>
              <w:snapToGrid w:val="0"/>
              <w:spacing w:line="360" w:lineRule="auto"/>
              <w:jc w:val="left"/>
              <w:rPr>
                <w:rFonts w:ascii="宋体" w:hAnsi="宋体" w:cs="宋体"/>
                <w:kern w:val="0"/>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14:paraId="2625B0F3">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204CC57B">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(10)企事业单位和商铺的厨余垃圾分类收集清运车辆需符合要求，企事业单位每日不少于一次收集，商铺每日不少于二次收集。在规定的时间内上门收集清运，按照要求到指定地点卸载作业，不得乱倒乱排放；</w:t>
            </w:r>
          </w:p>
        </w:tc>
        <w:tc>
          <w:tcPr>
            <w:tcW w:w="4645" w:type="dxa"/>
            <w:tcBorders>
              <w:top w:val="nil"/>
              <w:left w:val="nil"/>
              <w:bottom w:val="single" w:color="auto" w:sz="4" w:space="0"/>
              <w:right w:val="single" w:color="auto" w:sz="4" w:space="0"/>
            </w:tcBorders>
            <w:vAlign w:val="center"/>
          </w:tcPr>
          <w:p w14:paraId="46567A08">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垃圾分类车辆不符合要求的，未按规定要求作业的，根据实际情况扣1~3分/次。</w:t>
            </w:r>
          </w:p>
        </w:tc>
      </w:tr>
      <w:tr w14:paraId="3AD03873">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403EE07A">
            <w:pPr>
              <w:widowControl/>
              <w:snapToGrid w:val="0"/>
              <w:spacing w:line="360" w:lineRule="auto"/>
              <w:jc w:val="left"/>
              <w:rPr>
                <w:rFonts w:ascii="宋体" w:hAnsi="宋体" w:cs="宋体"/>
                <w:kern w:val="0"/>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14:paraId="5CE8B6F3">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2EFA84C4">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(11)环卫垃圾运输车辆的渗滤液须按照规定收集，不得乱排乱放；</w:t>
            </w:r>
          </w:p>
        </w:tc>
        <w:tc>
          <w:tcPr>
            <w:tcW w:w="4645" w:type="dxa"/>
            <w:tcBorders>
              <w:top w:val="nil"/>
              <w:left w:val="nil"/>
              <w:bottom w:val="single" w:color="auto" w:sz="4" w:space="0"/>
              <w:right w:val="single" w:color="auto" w:sz="4" w:space="0"/>
            </w:tcBorders>
            <w:vAlign w:val="center"/>
          </w:tcPr>
          <w:p w14:paraId="1B24607E">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未按要求的，存在乱排放的一经查实，扣30分/辆</w:t>
            </w:r>
            <w:r>
              <w:rPr>
                <w:rFonts w:hint="eastAsia" w:ascii="宋体" w:hAnsi="宋体" w:cs="宋体"/>
                <w:kern w:val="0"/>
                <w:szCs w:val="21"/>
                <w:highlight w:val="none"/>
              </w:rPr>
              <w:t>/</w:t>
            </w:r>
            <w:r>
              <w:rPr>
                <w:rFonts w:hint="eastAsia" w:ascii="宋体" w:hAnsi="宋体" w:cs="宋体"/>
                <w:kern w:val="0"/>
                <w:szCs w:val="21"/>
                <w:highlight w:val="none"/>
              </w:rPr>
              <w:t>次。</w:t>
            </w:r>
          </w:p>
        </w:tc>
      </w:tr>
      <w:tr w14:paraId="6F721893">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00136D8C">
            <w:pPr>
              <w:widowControl/>
              <w:snapToGrid w:val="0"/>
              <w:spacing w:line="360" w:lineRule="auto"/>
              <w:jc w:val="left"/>
              <w:rPr>
                <w:rFonts w:ascii="宋体" w:hAnsi="宋体" w:cs="宋体"/>
                <w:kern w:val="0"/>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14:paraId="7648112F">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0E8BD90E">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(12)私自承接其他垃圾清运工作并倒入甲方垃圾中转站的；或非标段清运车辆进入甲方垃圾中转站的；</w:t>
            </w:r>
          </w:p>
        </w:tc>
        <w:tc>
          <w:tcPr>
            <w:tcW w:w="4645" w:type="dxa"/>
            <w:tcBorders>
              <w:top w:val="nil"/>
              <w:left w:val="nil"/>
              <w:bottom w:val="single" w:color="auto" w:sz="4" w:space="0"/>
              <w:right w:val="single" w:color="auto" w:sz="4" w:space="0"/>
            </w:tcBorders>
            <w:vAlign w:val="center"/>
          </w:tcPr>
          <w:p w14:paraId="4B369E31">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发现一次扣10分/次；第二次发现移交执法部门立案处理。</w:t>
            </w:r>
          </w:p>
        </w:tc>
      </w:tr>
      <w:tr w14:paraId="12A0E7F0">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7411BB8A">
            <w:pPr>
              <w:widowControl/>
              <w:snapToGrid w:val="0"/>
              <w:spacing w:line="360" w:lineRule="auto"/>
              <w:jc w:val="left"/>
              <w:rPr>
                <w:rFonts w:ascii="宋体" w:hAnsi="宋体" w:cs="宋体"/>
                <w:kern w:val="0"/>
                <w:szCs w:val="21"/>
                <w:highlight w:val="none"/>
              </w:rPr>
            </w:pPr>
          </w:p>
        </w:tc>
        <w:tc>
          <w:tcPr>
            <w:tcW w:w="816" w:type="dxa"/>
            <w:vMerge w:val="restart"/>
            <w:tcBorders>
              <w:top w:val="nil"/>
              <w:left w:val="single" w:color="auto" w:sz="4" w:space="0"/>
              <w:bottom w:val="single" w:color="000000" w:sz="4" w:space="0"/>
              <w:right w:val="single" w:color="auto" w:sz="4" w:space="0"/>
            </w:tcBorders>
            <w:vAlign w:val="center"/>
          </w:tcPr>
          <w:p w14:paraId="6AE85DCB">
            <w:pPr>
              <w:widowControl/>
              <w:snapToGrid w:val="0"/>
              <w:spacing w:line="360" w:lineRule="auto"/>
              <w:jc w:val="center"/>
              <w:rPr>
                <w:rFonts w:ascii="宋体" w:hAnsi="宋体" w:cs="宋体"/>
                <w:kern w:val="0"/>
                <w:szCs w:val="21"/>
                <w:highlight w:val="none"/>
              </w:rPr>
            </w:pPr>
            <w:r>
              <w:rPr>
                <w:rFonts w:hint="eastAsia" w:ascii="宋体" w:hAnsi="宋体" w:cs="宋体"/>
                <w:kern w:val="0"/>
                <w:szCs w:val="21"/>
                <w:highlight w:val="none"/>
              </w:rPr>
              <w:t>（F)</w:t>
            </w:r>
            <w:r>
              <w:rPr>
                <w:rFonts w:hint="eastAsia" w:ascii="宋体" w:hAnsi="宋体" w:cs="宋体"/>
                <w:kern w:val="0"/>
                <w:szCs w:val="21"/>
                <w:highlight w:val="none"/>
              </w:rPr>
              <w:br w:type="textWrapping"/>
            </w:r>
            <w:r>
              <w:rPr>
                <w:rFonts w:hint="eastAsia" w:ascii="宋体" w:hAnsi="宋体" w:cs="宋体"/>
                <w:kern w:val="0"/>
                <w:szCs w:val="21"/>
                <w:highlight w:val="none"/>
              </w:rPr>
              <w:t>粪</w:t>
            </w:r>
            <w:r>
              <w:rPr>
                <w:rFonts w:hint="eastAsia" w:ascii="宋体" w:hAnsi="宋体" w:cs="宋体"/>
                <w:kern w:val="0"/>
                <w:szCs w:val="21"/>
                <w:highlight w:val="none"/>
              </w:rPr>
              <w:br w:type="textWrapping"/>
            </w:r>
            <w:r>
              <w:rPr>
                <w:rFonts w:hint="eastAsia" w:ascii="宋体" w:hAnsi="宋体" w:cs="宋体"/>
                <w:kern w:val="0"/>
                <w:szCs w:val="21"/>
                <w:highlight w:val="none"/>
              </w:rPr>
              <w:t>便</w:t>
            </w:r>
            <w:r>
              <w:rPr>
                <w:rFonts w:hint="eastAsia" w:ascii="宋体" w:hAnsi="宋体" w:cs="宋体"/>
                <w:kern w:val="0"/>
                <w:szCs w:val="21"/>
                <w:highlight w:val="none"/>
              </w:rPr>
              <w:br w:type="textWrapping"/>
            </w:r>
            <w:r>
              <w:rPr>
                <w:rFonts w:hint="eastAsia" w:ascii="宋体" w:hAnsi="宋体" w:cs="宋体"/>
                <w:kern w:val="0"/>
                <w:szCs w:val="21"/>
                <w:highlight w:val="none"/>
              </w:rPr>
              <w:t>清</w:t>
            </w:r>
            <w:r>
              <w:rPr>
                <w:rFonts w:hint="eastAsia" w:ascii="宋体" w:hAnsi="宋体" w:cs="宋体"/>
                <w:kern w:val="0"/>
                <w:szCs w:val="21"/>
                <w:highlight w:val="none"/>
              </w:rPr>
              <w:br w:type="textWrapping"/>
            </w:r>
            <w:r>
              <w:rPr>
                <w:rFonts w:hint="eastAsia" w:ascii="宋体" w:hAnsi="宋体" w:cs="宋体"/>
                <w:kern w:val="0"/>
                <w:szCs w:val="21"/>
                <w:highlight w:val="none"/>
              </w:rPr>
              <w:t>运</w:t>
            </w:r>
          </w:p>
        </w:tc>
        <w:tc>
          <w:tcPr>
            <w:tcW w:w="3315" w:type="dxa"/>
            <w:tcBorders>
              <w:top w:val="nil"/>
              <w:left w:val="nil"/>
              <w:bottom w:val="single" w:color="auto" w:sz="4" w:space="0"/>
              <w:right w:val="single" w:color="auto" w:sz="4" w:space="0"/>
            </w:tcBorders>
            <w:vAlign w:val="center"/>
          </w:tcPr>
          <w:p w14:paraId="5CD65C75">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(1)企事业单位和区域内公厕的粪便抽运需实行定岗、定人、定车，按照要求及时清运，按照规定地点卸粪；</w:t>
            </w:r>
          </w:p>
        </w:tc>
        <w:tc>
          <w:tcPr>
            <w:tcW w:w="4645" w:type="dxa"/>
            <w:tcBorders>
              <w:top w:val="nil"/>
              <w:left w:val="nil"/>
              <w:bottom w:val="single" w:color="auto" w:sz="4" w:space="0"/>
              <w:right w:val="single" w:color="auto" w:sz="4" w:space="0"/>
            </w:tcBorders>
            <w:vAlign w:val="center"/>
          </w:tcPr>
          <w:p w14:paraId="2A425C6D">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未按照规定抽粪的，作业不符合要求的，根据实际情况扣1~3分/次。</w:t>
            </w:r>
          </w:p>
        </w:tc>
      </w:tr>
      <w:tr w14:paraId="63159F13">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59AC8187">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000000" w:sz="4" w:space="0"/>
              <w:right w:val="single" w:color="auto" w:sz="4" w:space="0"/>
            </w:tcBorders>
            <w:vAlign w:val="center"/>
          </w:tcPr>
          <w:p w14:paraId="6097A42B">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0858F5A3">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(2)严禁承接、包揽企事业单位和公厕签订的合同之外的粪便清运；</w:t>
            </w:r>
          </w:p>
        </w:tc>
        <w:tc>
          <w:tcPr>
            <w:tcW w:w="4645" w:type="dxa"/>
            <w:tcBorders>
              <w:top w:val="nil"/>
              <w:left w:val="nil"/>
              <w:bottom w:val="single" w:color="auto" w:sz="4" w:space="0"/>
              <w:right w:val="single" w:color="auto" w:sz="4" w:space="0"/>
            </w:tcBorders>
            <w:vAlign w:val="center"/>
          </w:tcPr>
          <w:p w14:paraId="06DC1326">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发现一起5分/次。</w:t>
            </w:r>
          </w:p>
        </w:tc>
      </w:tr>
      <w:tr w14:paraId="0F8F78FE">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71E5375D">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000000" w:sz="4" w:space="0"/>
              <w:right w:val="single" w:color="auto" w:sz="4" w:space="0"/>
            </w:tcBorders>
            <w:vAlign w:val="center"/>
          </w:tcPr>
          <w:p w14:paraId="0A8AB35A">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062247C7">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(3)按照清单上的企业和公厕数量，合理安排，不得漏清；</w:t>
            </w:r>
          </w:p>
        </w:tc>
        <w:tc>
          <w:tcPr>
            <w:tcW w:w="4645" w:type="dxa"/>
            <w:tcBorders>
              <w:top w:val="nil"/>
              <w:left w:val="nil"/>
              <w:bottom w:val="single" w:color="auto" w:sz="4" w:space="0"/>
              <w:right w:val="single" w:color="auto" w:sz="4" w:space="0"/>
            </w:tcBorders>
            <w:vAlign w:val="center"/>
          </w:tcPr>
          <w:p w14:paraId="67DFF3CD">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漏清扣2分/处。</w:t>
            </w:r>
          </w:p>
        </w:tc>
      </w:tr>
      <w:tr w14:paraId="16E49459">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16BAA108">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000000" w:sz="4" w:space="0"/>
              <w:right w:val="single" w:color="auto" w:sz="4" w:space="0"/>
            </w:tcBorders>
            <w:vAlign w:val="center"/>
          </w:tcPr>
          <w:p w14:paraId="4F6D58C0">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7B86662C">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(4)及时清运，严禁满井、冒井、造成粪便外溢状况；</w:t>
            </w:r>
          </w:p>
        </w:tc>
        <w:tc>
          <w:tcPr>
            <w:tcW w:w="4645" w:type="dxa"/>
            <w:tcBorders>
              <w:top w:val="nil"/>
              <w:left w:val="nil"/>
              <w:bottom w:val="single" w:color="auto" w:sz="4" w:space="0"/>
              <w:right w:val="single" w:color="auto" w:sz="4" w:space="0"/>
            </w:tcBorders>
            <w:vAlign w:val="center"/>
          </w:tcPr>
          <w:p w14:paraId="6AA1B426">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未及时清运，造成满溢扣3分/次。</w:t>
            </w:r>
          </w:p>
        </w:tc>
      </w:tr>
      <w:tr w14:paraId="4B1AD7AC">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503FA8B0">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000000" w:sz="4" w:space="0"/>
              <w:right w:val="single" w:color="auto" w:sz="4" w:space="0"/>
            </w:tcBorders>
            <w:vAlign w:val="center"/>
          </w:tcPr>
          <w:p w14:paraId="086E3973">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2C0DC8BB">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(5)按规定容量装载，保持车容整洁无污物，杜绝抛洒滴漏现象；</w:t>
            </w:r>
          </w:p>
        </w:tc>
        <w:tc>
          <w:tcPr>
            <w:tcW w:w="4645" w:type="dxa"/>
            <w:tcBorders>
              <w:top w:val="nil"/>
              <w:left w:val="nil"/>
              <w:bottom w:val="single" w:color="auto" w:sz="4" w:space="0"/>
              <w:right w:val="single" w:color="auto" w:sz="4" w:space="0"/>
            </w:tcBorders>
            <w:vAlign w:val="center"/>
          </w:tcPr>
          <w:p w14:paraId="266FB452">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车辆超载或车身不洁的扣2分/次。</w:t>
            </w:r>
          </w:p>
        </w:tc>
      </w:tr>
      <w:tr w14:paraId="31D6D1FB">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10CF67CA">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000000" w:sz="4" w:space="0"/>
              <w:right w:val="single" w:color="auto" w:sz="4" w:space="0"/>
            </w:tcBorders>
            <w:vAlign w:val="center"/>
          </w:tcPr>
          <w:p w14:paraId="3454C141">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6FE7645C">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(6)按指定线路运输，严禁乱排乱卸；</w:t>
            </w:r>
          </w:p>
        </w:tc>
        <w:tc>
          <w:tcPr>
            <w:tcW w:w="4645" w:type="dxa"/>
            <w:tcBorders>
              <w:top w:val="nil"/>
              <w:left w:val="nil"/>
              <w:bottom w:val="single" w:color="auto" w:sz="4" w:space="0"/>
              <w:right w:val="single" w:color="auto" w:sz="4" w:space="0"/>
            </w:tcBorders>
            <w:vAlign w:val="center"/>
          </w:tcPr>
          <w:p w14:paraId="5B3512CF">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未按规定地点卸粪的扣3分/次。</w:t>
            </w:r>
          </w:p>
        </w:tc>
      </w:tr>
      <w:tr w14:paraId="6A07CC80">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4E048984">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000000" w:sz="4" w:space="0"/>
              <w:right w:val="single" w:color="auto" w:sz="4" w:space="0"/>
            </w:tcBorders>
            <w:vAlign w:val="center"/>
          </w:tcPr>
          <w:p w14:paraId="3547DF85">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70013D93">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(7)记录清运台账，按时递交环卫部门便于核对；</w:t>
            </w:r>
          </w:p>
        </w:tc>
        <w:tc>
          <w:tcPr>
            <w:tcW w:w="4645" w:type="dxa"/>
            <w:tcBorders>
              <w:top w:val="nil"/>
              <w:left w:val="nil"/>
              <w:bottom w:val="single" w:color="auto" w:sz="4" w:space="0"/>
              <w:right w:val="single" w:color="auto" w:sz="4" w:space="0"/>
            </w:tcBorders>
            <w:vAlign w:val="center"/>
          </w:tcPr>
          <w:p w14:paraId="094D389C">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未按照规定的扣3分/次。</w:t>
            </w:r>
          </w:p>
        </w:tc>
      </w:tr>
      <w:tr w14:paraId="71A2FC42">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37C70378">
            <w:pPr>
              <w:widowControl/>
              <w:snapToGrid w:val="0"/>
              <w:spacing w:line="360" w:lineRule="auto"/>
              <w:jc w:val="left"/>
              <w:rPr>
                <w:rFonts w:ascii="宋体" w:hAnsi="宋体" w:cs="宋体"/>
                <w:kern w:val="0"/>
                <w:szCs w:val="21"/>
                <w:highlight w:val="none"/>
              </w:rPr>
            </w:pPr>
          </w:p>
        </w:tc>
        <w:tc>
          <w:tcPr>
            <w:tcW w:w="816" w:type="dxa"/>
            <w:vMerge w:val="restart"/>
            <w:tcBorders>
              <w:top w:val="nil"/>
              <w:left w:val="single" w:color="auto" w:sz="4" w:space="0"/>
              <w:bottom w:val="single" w:color="auto" w:sz="4" w:space="0"/>
              <w:right w:val="single" w:color="auto" w:sz="4" w:space="0"/>
            </w:tcBorders>
            <w:vAlign w:val="center"/>
          </w:tcPr>
          <w:p w14:paraId="4EA9EF2B">
            <w:pPr>
              <w:widowControl/>
              <w:snapToGrid w:val="0"/>
              <w:spacing w:line="360" w:lineRule="auto"/>
              <w:jc w:val="center"/>
              <w:rPr>
                <w:rFonts w:ascii="宋体" w:hAnsi="宋体" w:cs="宋体"/>
                <w:kern w:val="0"/>
                <w:szCs w:val="21"/>
                <w:highlight w:val="none"/>
              </w:rPr>
            </w:pPr>
            <w:r>
              <w:rPr>
                <w:rFonts w:hint="eastAsia" w:ascii="宋体" w:hAnsi="宋体" w:cs="宋体"/>
                <w:kern w:val="0"/>
                <w:szCs w:val="21"/>
                <w:highlight w:val="none"/>
              </w:rPr>
              <w:t>(G)           黑             色           广         告            清             理</w:t>
            </w:r>
          </w:p>
        </w:tc>
        <w:tc>
          <w:tcPr>
            <w:tcW w:w="3315" w:type="dxa"/>
            <w:tcBorders>
              <w:top w:val="nil"/>
              <w:left w:val="nil"/>
              <w:bottom w:val="single" w:color="auto" w:sz="4" w:space="0"/>
              <w:right w:val="single" w:color="auto" w:sz="4" w:space="0"/>
            </w:tcBorders>
            <w:vAlign w:val="center"/>
          </w:tcPr>
          <w:p w14:paraId="2F462BB4">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(1)一级道路乱涂乱贴出现后的20分钟内未清理完毕；</w:t>
            </w:r>
          </w:p>
        </w:tc>
        <w:tc>
          <w:tcPr>
            <w:tcW w:w="4645" w:type="dxa"/>
            <w:tcBorders>
              <w:top w:val="nil"/>
              <w:left w:val="nil"/>
              <w:bottom w:val="single" w:color="auto" w:sz="4" w:space="0"/>
              <w:right w:val="single" w:color="auto" w:sz="4" w:space="0"/>
            </w:tcBorders>
            <w:vAlign w:val="center"/>
          </w:tcPr>
          <w:p w14:paraId="4F8D3D95">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未及时清理的扣1分/处，对于已清理但质量达不到标准要求的扣1分/处。</w:t>
            </w:r>
          </w:p>
        </w:tc>
      </w:tr>
      <w:tr w14:paraId="008EF33E">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000B0F8F">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auto" w:sz="4" w:space="0"/>
              <w:right w:val="single" w:color="auto" w:sz="4" w:space="0"/>
            </w:tcBorders>
            <w:vAlign w:val="center"/>
          </w:tcPr>
          <w:p w14:paraId="10E908AB">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4A0B5524">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(2)清除不规范或涂鸦出现返工的；</w:t>
            </w:r>
          </w:p>
        </w:tc>
        <w:tc>
          <w:tcPr>
            <w:tcW w:w="4645" w:type="dxa"/>
            <w:tcBorders>
              <w:top w:val="nil"/>
              <w:left w:val="nil"/>
              <w:bottom w:val="single" w:color="auto" w:sz="4" w:space="0"/>
              <w:right w:val="single" w:color="auto" w:sz="4" w:space="0"/>
            </w:tcBorders>
            <w:vAlign w:val="center"/>
          </w:tcPr>
          <w:p w14:paraId="261F9693">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加倍扣分；每处每起2分/处。</w:t>
            </w:r>
          </w:p>
        </w:tc>
      </w:tr>
      <w:tr w14:paraId="3ABBF6C1">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vAlign w:val="center"/>
          </w:tcPr>
          <w:p w14:paraId="06F25C16">
            <w:pPr>
              <w:widowControl/>
              <w:snapToGrid w:val="0"/>
              <w:spacing w:line="360" w:lineRule="auto"/>
              <w:jc w:val="left"/>
              <w:rPr>
                <w:rFonts w:ascii="宋体" w:hAnsi="宋体" w:cs="宋体"/>
                <w:kern w:val="0"/>
                <w:szCs w:val="21"/>
                <w:highlight w:val="none"/>
              </w:rPr>
            </w:pPr>
          </w:p>
        </w:tc>
        <w:tc>
          <w:tcPr>
            <w:tcW w:w="816" w:type="dxa"/>
            <w:vMerge w:val="continue"/>
            <w:tcBorders>
              <w:top w:val="nil"/>
              <w:left w:val="single" w:color="auto" w:sz="4" w:space="0"/>
              <w:bottom w:val="single" w:color="auto" w:sz="4" w:space="0"/>
              <w:right w:val="single" w:color="auto" w:sz="4" w:space="0"/>
            </w:tcBorders>
            <w:vAlign w:val="center"/>
          </w:tcPr>
          <w:p w14:paraId="140D9BF5">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3D30D28C">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(3)加强作业管理，无投诉现象；</w:t>
            </w:r>
          </w:p>
        </w:tc>
        <w:tc>
          <w:tcPr>
            <w:tcW w:w="4645" w:type="dxa"/>
            <w:tcBorders>
              <w:top w:val="nil"/>
              <w:left w:val="nil"/>
              <w:bottom w:val="single" w:color="auto" w:sz="4" w:space="0"/>
              <w:right w:val="single" w:color="auto" w:sz="4" w:space="0"/>
            </w:tcBorders>
            <w:vAlign w:val="center"/>
          </w:tcPr>
          <w:p w14:paraId="723DFE89">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市领导指出或媒体曝光（包括电子城管及市民投诉）扣5分/起；接待活动中受到批评，影响我市声誉的扣200分/起。</w:t>
            </w:r>
          </w:p>
        </w:tc>
      </w:tr>
      <w:tr w14:paraId="3C0264E4">
        <w:tblPrEx>
          <w:tblCellMar>
            <w:top w:w="0" w:type="dxa"/>
            <w:left w:w="108" w:type="dxa"/>
            <w:bottom w:w="0" w:type="dxa"/>
            <w:right w:w="108" w:type="dxa"/>
          </w:tblCellMar>
        </w:tblPrEx>
        <w:trPr>
          <w:trHeight w:val="600" w:hRule="atLeast"/>
        </w:trPr>
        <w:tc>
          <w:tcPr>
            <w:tcW w:w="936" w:type="dxa"/>
            <w:vMerge w:val="restart"/>
            <w:tcBorders>
              <w:top w:val="single" w:color="auto" w:sz="4" w:space="0"/>
              <w:left w:val="single" w:color="auto" w:sz="4" w:space="0"/>
              <w:right w:val="nil"/>
            </w:tcBorders>
            <w:vAlign w:val="center"/>
          </w:tcPr>
          <w:p w14:paraId="371DA767">
            <w:pPr>
              <w:widowControl/>
              <w:snapToGrid w:val="0"/>
              <w:spacing w:line="360" w:lineRule="auto"/>
              <w:jc w:val="left"/>
              <w:rPr>
                <w:rFonts w:ascii="宋体" w:hAnsi="宋体" w:cs="宋体"/>
                <w:kern w:val="0"/>
                <w:szCs w:val="21"/>
                <w:highlight w:val="none"/>
              </w:rPr>
            </w:pPr>
          </w:p>
        </w:tc>
        <w:tc>
          <w:tcPr>
            <w:tcW w:w="816" w:type="dxa"/>
            <w:vMerge w:val="restart"/>
            <w:tcBorders>
              <w:top w:val="nil"/>
              <w:left w:val="single" w:color="auto" w:sz="4" w:space="0"/>
              <w:right w:val="single" w:color="auto" w:sz="4" w:space="0"/>
            </w:tcBorders>
            <w:vAlign w:val="center"/>
          </w:tcPr>
          <w:p w14:paraId="01A034B8">
            <w:pPr>
              <w:widowControl/>
              <w:snapToGrid w:val="0"/>
              <w:spacing w:line="360" w:lineRule="auto"/>
              <w:jc w:val="center"/>
              <w:rPr>
                <w:rFonts w:ascii="宋体" w:hAnsi="宋体" w:cs="宋体"/>
                <w:kern w:val="0"/>
                <w:szCs w:val="21"/>
                <w:highlight w:val="none"/>
              </w:rPr>
            </w:pPr>
            <w:r>
              <w:rPr>
                <w:rFonts w:hint="eastAsia" w:ascii="宋体" w:hAnsi="宋体" w:cs="宋体"/>
                <w:kern w:val="0"/>
                <w:szCs w:val="21"/>
                <w:highlight w:val="none"/>
              </w:rPr>
              <w:t>（H）公共卫生间保洁管理</w:t>
            </w:r>
          </w:p>
        </w:tc>
        <w:tc>
          <w:tcPr>
            <w:tcW w:w="3315" w:type="dxa"/>
            <w:tcBorders>
              <w:top w:val="nil"/>
              <w:left w:val="nil"/>
              <w:bottom w:val="single" w:color="auto" w:sz="4" w:space="0"/>
              <w:right w:val="single" w:color="auto" w:sz="4" w:space="0"/>
            </w:tcBorders>
          </w:tcPr>
          <w:p w14:paraId="5DB7D25B">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（1）公共卫生间保洁应专人专职，严格按照招标文件承诺人数配置保洁员，且不得兼职。</w:t>
            </w:r>
          </w:p>
        </w:tc>
        <w:tc>
          <w:tcPr>
            <w:tcW w:w="4645" w:type="dxa"/>
            <w:tcBorders>
              <w:top w:val="nil"/>
              <w:left w:val="nil"/>
              <w:bottom w:val="single" w:color="auto" w:sz="4" w:space="0"/>
              <w:right w:val="single" w:color="auto" w:sz="4" w:space="0"/>
            </w:tcBorders>
          </w:tcPr>
          <w:p w14:paraId="4F00387A">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未按承诺要求配置保洁员的，每少1人扣1分；发现兼职的扣1分/人。</w:t>
            </w:r>
          </w:p>
        </w:tc>
      </w:tr>
      <w:tr w14:paraId="0F83E78A">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vAlign w:val="center"/>
          </w:tcPr>
          <w:p w14:paraId="5F396F27">
            <w:pPr>
              <w:widowControl/>
              <w:snapToGrid w:val="0"/>
              <w:spacing w:line="360" w:lineRule="auto"/>
              <w:jc w:val="left"/>
              <w:rPr>
                <w:rFonts w:ascii="宋体" w:hAnsi="宋体" w:cs="宋体"/>
                <w:kern w:val="0"/>
                <w:szCs w:val="21"/>
                <w:highlight w:val="none"/>
              </w:rPr>
            </w:pPr>
          </w:p>
        </w:tc>
        <w:tc>
          <w:tcPr>
            <w:tcW w:w="816" w:type="dxa"/>
            <w:vMerge w:val="continue"/>
            <w:tcBorders>
              <w:left w:val="single" w:color="auto" w:sz="4" w:space="0"/>
              <w:right w:val="single" w:color="auto" w:sz="4" w:space="0"/>
            </w:tcBorders>
            <w:vAlign w:val="center"/>
          </w:tcPr>
          <w:p w14:paraId="4918241E">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tcPr>
          <w:p w14:paraId="19F6C802">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（2）公共卫生间24小时免费开放，作业时间</w:t>
            </w:r>
            <w:r>
              <w:rPr>
                <w:rFonts w:hint="eastAsia" w:ascii="宋体" w:hAnsi="宋体" w:cs="宋体"/>
                <w:szCs w:val="21"/>
                <w:highlight w:val="none"/>
              </w:rPr>
              <w:t>按规定进行</w:t>
            </w:r>
            <w:r>
              <w:rPr>
                <w:rFonts w:hint="eastAsia" w:ascii="宋体" w:hAnsi="宋体" w:cs="宋体"/>
                <w:szCs w:val="21"/>
                <w:highlight w:val="none"/>
              </w:rPr>
              <w:t>。作业期间不间断循环保洁，确保无异味。</w:t>
            </w:r>
          </w:p>
        </w:tc>
        <w:tc>
          <w:tcPr>
            <w:tcW w:w="4645" w:type="dxa"/>
            <w:tcBorders>
              <w:top w:val="nil"/>
              <w:left w:val="nil"/>
              <w:bottom w:val="single" w:color="auto" w:sz="4" w:space="0"/>
              <w:right w:val="single" w:color="auto" w:sz="4" w:space="0"/>
            </w:tcBorders>
          </w:tcPr>
          <w:p w14:paraId="1A84E238">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未按规定时间作业的扣1分/次；作业期间不循环保洁或有异味的扣1分/次。</w:t>
            </w:r>
          </w:p>
        </w:tc>
      </w:tr>
      <w:tr w14:paraId="555169B9">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vAlign w:val="center"/>
          </w:tcPr>
          <w:p w14:paraId="732D3BA6">
            <w:pPr>
              <w:widowControl/>
              <w:snapToGrid w:val="0"/>
              <w:spacing w:line="360" w:lineRule="auto"/>
              <w:jc w:val="left"/>
              <w:rPr>
                <w:rFonts w:ascii="宋体" w:hAnsi="宋体" w:cs="宋体"/>
                <w:kern w:val="0"/>
                <w:szCs w:val="21"/>
                <w:highlight w:val="none"/>
              </w:rPr>
            </w:pPr>
          </w:p>
        </w:tc>
        <w:tc>
          <w:tcPr>
            <w:tcW w:w="816" w:type="dxa"/>
            <w:vMerge w:val="continue"/>
            <w:tcBorders>
              <w:left w:val="single" w:color="auto" w:sz="4" w:space="0"/>
              <w:right w:val="single" w:color="auto" w:sz="4" w:space="0"/>
            </w:tcBorders>
            <w:vAlign w:val="center"/>
          </w:tcPr>
          <w:p w14:paraId="12D292AE">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tcPr>
          <w:p w14:paraId="1832D017">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（3）公共卫生间内设施设备整洁完好，做到无垃圾、无粪迹、无积尘、无积垢、无积水、无蛛网、无乱涂乱贴乱刻现象。</w:t>
            </w:r>
          </w:p>
        </w:tc>
        <w:tc>
          <w:tcPr>
            <w:tcW w:w="4645" w:type="dxa"/>
            <w:tcBorders>
              <w:top w:val="nil"/>
              <w:left w:val="nil"/>
              <w:bottom w:val="single" w:color="auto" w:sz="4" w:space="0"/>
              <w:right w:val="single" w:color="auto" w:sz="4" w:space="0"/>
            </w:tcBorders>
          </w:tcPr>
          <w:p w14:paraId="00CBE1DD">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发现有积尘、积水、蛛网、乱张贴等情况的扣1分/处。</w:t>
            </w:r>
          </w:p>
        </w:tc>
      </w:tr>
      <w:tr w14:paraId="75B3EED8">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vAlign w:val="center"/>
          </w:tcPr>
          <w:p w14:paraId="7B1E5994">
            <w:pPr>
              <w:widowControl/>
              <w:snapToGrid w:val="0"/>
              <w:spacing w:line="360" w:lineRule="auto"/>
              <w:jc w:val="left"/>
              <w:rPr>
                <w:rFonts w:ascii="宋体" w:hAnsi="宋体" w:cs="宋体"/>
                <w:kern w:val="0"/>
                <w:szCs w:val="21"/>
                <w:highlight w:val="none"/>
              </w:rPr>
            </w:pPr>
          </w:p>
        </w:tc>
        <w:tc>
          <w:tcPr>
            <w:tcW w:w="816" w:type="dxa"/>
            <w:vMerge w:val="continue"/>
            <w:tcBorders>
              <w:left w:val="single" w:color="auto" w:sz="4" w:space="0"/>
              <w:right w:val="single" w:color="auto" w:sz="4" w:space="0"/>
            </w:tcBorders>
            <w:vAlign w:val="center"/>
          </w:tcPr>
          <w:p w14:paraId="08F64C4A">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tcPr>
          <w:p w14:paraId="27882322">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（4）地面无积水、无污渍、泥迹、痰迹、烟蒂、烟灰。</w:t>
            </w:r>
          </w:p>
        </w:tc>
        <w:tc>
          <w:tcPr>
            <w:tcW w:w="4645" w:type="dxa"/>
            <w:tcBorders>
              <w:top w:val="nil"/>
              <w:left w:val="nil"/>
              <w:bottom w:val="single" w:color="auto" w:sz="4" w:space="0"/>
              <w:right w:val="single" w:color="auto" w:sz="4" w:space="0"/>
            </w:tcBorders>
          </w:tcPr>
          <w:p w14:paraId="4F534FA3">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发现上述情况的扣0.5分/次。</w:t>
            </w:r>
          </w:p>
        </w:tc>
      </w:tr>
      <w:tr w14:paraId="21959633">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vAlign w:val="center"/>
          </w:tcPr>
          <w:p w14:paraId="3CA4A26C">
            <w:pPr>
              <w:widowControl/>
              <w:snapToGrid w:val="0"/>
              <w:spacing w:line="360" w:lineRule="auto"/>
              <w:jc w:val="left"/>
              <w:rPr>
                <w:rFonts w:ascii="宋体" w:hAnsi="宋体" w:cs="宋体"/>
                <w:kern w:val="0"/>
                <w:szCs w:val="21"/>
                <w:highlight w:val="none"/>
              </w:rPr>
            </w:pPr>
          </w:p>
        </w:tc>
        <w:tc>
          <w:tcPr>
            <w:tcW w:w="816" w:type="dxa"/>
            <w:vMerge w:val="continue"/>
            <w:tcBorders>
              <w:left w:val="single" w:color="auto" w:sz="4" w:space="0"/>
              <w:right w:val="single" w:color="auto" w:sz="4" w:space="0"/>
            </w:tcBorders>
            <w:vAlign w:val="center"/>
          </w:tcPr>
          <w:p w14:paraId="0550A6D8">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tcPr>
          <w:p w14:paraId="45F81DC0">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（5）灯罩内蚊虫尸体及时清理，保持灯罩外表面清洁。</w:t>
            </w:r>
          </w:p>
        </w:tc>
        <w:tc>
          <w:tcPr>
            <w:tcW w:w="4645" w:type="dxa"/>
            <w:tcBorders>
              <w:top w:val="nil"/>
              <w:left w:val="nil"/>
              <w:bottom w:val="single" w:color="auto" w:sz="4" w:space="0"/>
              <w:right w:val="single" w:color="auto" w:sz="4" w:space="0"/>
            </w:tcBorders>
          </w:tcPr>
          <w:p w14:paraId="20BBAF77">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灯罩不清洁的扣0.1分/次。</w:t>
            </w:r>
          </w:p>
        </w:tc>
      </w:tr>
      <w:tr w14:paraId="723631B0">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vAlign w:val="center"/>
          </w:tcPr>
          <w:p w14:paraId="7BEC1AA5">
            <w:pPr>
              <w:widowControl/>
              <w:snapToGrid w:val="0"/>
              <w:spacing w:line="360" w:lineRule="auto"/>
              <w:jc w:val="left"/>
              <w:rPr>
                <w:rFonts w:ascii="宋体" w:hAnsi="宋体" w:cs="宋体"/>
                <w:kern w:val="0"/>
                <w:szCs w:val="21"/>
                <w:highlight w:val="none"/>
              </w:rPr>
            </w:pPr>
          </w:p>
        </w:tc>
        <w:tc>
          <w:tcPr>
            <w:tcW w:w="816" w:type="dxa"/>
            <w:vMerge w:val="continue"/>
            <w:tcBorders>
              <w:left w:val="single" w:color="auto" w:sz="4" w:space="0"/>
              <w:right w:val="single" w:color="auto" w:sz="4" w:space="0"/>
            </w:tcBorders>
            <w:vAlign w:val="center"/>
          </w:tcPr>
          <w:p w14:paraId="153E70D5">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tcPr>
          <w:p w14:paraId="296CDED5">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（6）纸篓及时清理、不满溢。</w:t>
            </w:r>
          </w:p>
        </w:tc>
        <w:tc>
          <w:tcPr>
            <w:tcW w:w="4645" w:type="dxa"/>
            <w:tcBorders>
              <w:top w:val="nil"/>
              <w:left w:val="nil"/>
              <w:bottom w:val="single" w:color="auto" w:sz="4" w:space="0"/>
              <w:right w:val="single" w:color="auto" w:sz="4" w:space="0"/>
            </w:tcBorders>
          </w:tcPr>
          <w:p w14:paraId="75D10B84">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纸篓满溢的扣0.5分/处。</w:t>
            </w:r>
          </w:p>
        </w:tc>
      </w:tr>
      <w:tr w14:paraId="3C4B7BC5">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vAlign w:val="center"/>
          </w:tcPr>
          <w:p w14:paraId="1A837E6B">
            <w:pPr>
              <w:widowControl/>
              <w:snapToGrid w:val="0"/>
              <w:spacing w:line="360" w:lineRule="auto"/>
              <w:jc w:val="left"/>
              <w:rPr>
                <w:rFonts w:ascii="宋体" w:hAnsi="宋体" w:cs="宋体"/>
                <w:kern w:val="0"/>
                <w:szCs w:val="21"/>
                <w:highlight w:val="none"/>
              </w:rPr>
            </w:pPr>
          </w:p>
        </w:tc>
        <w:tc>
          <w:tcPr>
            <w:tcW w:w="816" w:type="dxa"/>
            <w:vMerge w:val="continue"/>
            <w:tcBorders>
              <w:left w:val="single" w:color="auto" w:sz="4" w:space="0"/>
              <w:right w:val="single" w:color="auto" w:sz="4" w:space="0"/>
            </w:tcBorders>
            <w:vAlign w:val="center"/>
          </w:tcPr>
          <w:p w14:paraId="466DD415">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tcPr>
          <w:p w14:paraId="3A702F91">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（7）发现设施被盗、破损、管道堵塞等问题及时维修或报修。</w:t>
            </w:r>
          </w:p>
        </w:tc>
        <w:tc>
          <w:tcPr>
            <w:tcW w:w="4645" w:type="dxa"/>
            <w:tcBorders>
              <w:top w:val="nil"/>
              <w:left w:val="nil"/>
              <w:bottom w:val="single" w:color="auto" w:sz="4" w:space="0"/>
              <w:right w:val="single" w:color="auto" w:sz="4" w:space="0"/>
            </w:tcBorders>
          </w:tcPr>
          <w:p w14:paraId="2E5BC0F3">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维修或报修不及时扣1分/座，未报修的扣2分/座。</w:t>
            </w:r>
          </w:p>
        </w:tc>
      </w:tr>
      <w:tr w14:paraId="323B6278">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vAlign w:val="center"/>
          </w:tcPr>
          <w:p w14:paraId="5800AB1C">
            <w:pPr>
              <w:widowControl/>
              <w:snapToGrid w:val="0"/>
              <w:spacing w:line="360" w:lineRule="auto"/>
              <w:jc w:val="left"/>
              <w:rPr>
                <w:rFonts w:ascii="宋体" w:hAnsi="宋体" w:cs="宋体"/>
                <w:kern w:val="0"/>
                <w:szCs w:val="21"/>
                <w:highlight w:val="none"/>
              </w:rPr>
            </w:pPr>
          </w:p>
        </w:tc>
        <w:tc>
          <w:tcPr>
            <w:tcW w:w="816" w:type="dxa"/>
            <w:vMerge w:val="continue"/>
            <w:tcBorders>
              <w:left w:val="single" w:color="auto" w:sz="4" w:space="0"/>
              <w:right w:val="single" w:color="auto" w:sz="4" w:space="0"/>
            </w:tcBorders>
            <w:vAlign w:val="center"/>
          </w:tcPr>
          <w:p w14:paraId="0526C17A">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tcPr>
          <w:p w14:paraId="6000FC33">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（8）公共卫生间内作业用具应摆放整齐，禁止堆放杂物。管理间内不得堆放、储藏与公共卫生间管理无关的物品。</w:t>
            </w:r>
          </w:p>
        </w:tc>
        <w:tc>
          <w:tcPr>
            <w:tcW w:w="4645" w:type="dxa"/>
            <w:tcBorders>
              <w:top w:val="nil"/>
              <w:left w:val="nil"/>
              <w:bottom w:val="single" w:color="auto" w:sz="4" w:space="0"/>
              <w:right w:val="single" w:color="auto" w:sz="4" w:space="0"/>
            </w:tcBorders>
          </w:tcPr>
          <w:p w14:paraId="5F5D7BD8">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堆放无关杂物的，扣1分/次。</w:t>
            </w:r>
          </w:p>
        </w:tc>
      </w:tr>
      <w:tr w14:paraId="791C1EFA">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vAlign w:val="center"/>
          </w:tcPr>
          <w:p w14:paraId="7F434387">
            <w:pPr>
              <w:widowControl/>
              <w:snapToGrid w:val="0"/>
              <w:spacing w:line="360" w:lineRule="auto"/>
              <w:jc w:val="left"/>
              <w:rPr>
                <w:rFonts w:ascii="宋体" w:hAnsi="宋体" w:cs="宋体"/>
                <w:kern w:val="0"/>
                <w:szCs w:val="21"/>
                <w:highlight w:val="none"/>
              </w:rPr>
            </w:pPr>
          </w:p>
        </w:tc>
        <w:tc>
          <w:tcPr>
            <w:tcW w:w="816" w:type="dxa"/>
            <w:vMerge w:val="continue"/>
            <w:tcBorders>
              <w:left w:val="single" w:color="auto" w:sz="4" w:space="0"/>
              <w:right w:val="single" w:color="auto" w:sz="4" w:space="0"/>
            </w:tcBorders>
            <w:vAlign w:val="center"/>
          </w:tcPr>
          <w:p w14:paraId="04529F10">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tcPr>
          <w:p w14:paraId="62AECE06">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（9）禁止使用明火或电炉等大功率电器，禁止擅自拉、埋、铺设电线路。</w:t>
            </w:r>
          </w:p>
        </w:tc>
        <w:tc>
          <w:tcPr>
            <w:tcW w:w="4645" w:type="dxa"/>
            <w:tcBorders>
              <w:top w:val="nil"/>
              <w:left w:val="nil"/>
              <w:bottom w:val="single" w:color="auto" w:sz="4" w:space="0"/>
              <w:right w:val="single" w:color="auto" w:sz="4" w:space="0"/>
            </w:tcBorders>
          </w:tcPr>
          <w:p w14:paraId="7CDEA975">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发现上述情况的，扣1分/次。</w:t>
            </w:r>
          </w:p>
        </w:tc>
      </w:tr>
      <w:tr w14:paraId="489F23DA">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vAlign w:val="center"/>
          </w:tcPr>
          <w:p w14:paraId="2EB3B10C">
            <w:pPr>
              <w:widowControl/>
              <w:snapToGrid w:val="0"/>
              <w:spacing w:line="360" w:lineRule="auto"/>
              <w:jc w:val="left"/>
              <w:rPr>
                <w:rFonts w:ascii="宋体" w:hAnsi="宋体" w:cs="宋体"/>
                <w:kern w:val="0"/>
                <w:szCs w:val="21"/>
                <w:highlight w:val="none"/>
              </w:rPr>
            </w:pPr>
          </w:p>
        </w:tc>
        <w:tc>
          <w:tcPr>
            <w:tcW w:w="816" w:type="dxa"/>
            <w:vMerge w:val="continue"/>
            <w:tcBorders>
              <w:left w:val="single" w:color="auto" w:sz="4" w:space="0"/>
              <w:right w:val="single" w:color="auto" w:sz="4" w:space="0"/>
            </w:tcBorders>
            <w:vAlign w:val="center"/>
          </w:tcPr>
          <w:p w14:paraId="52886BA7">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tcPr>
          <w:p w14:paraId="19A2AE95">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（10）公共卫生间内需按照规定放置及使用樟脑球、熏香、警示牌、警示条等。</w:t>
            </w:r>
          </w:p>
        </w:tc>
        <w:tc>
          <w:tcPr>
            <w:tcW w:w="4645" w:type="dxa"/>
            <w:tcBorders>
              <w:top w:val="nil"/>
              <w:left w:val="nil"/>
              <w:bottom w:val="single" w:color="auto" w:sz="4" w:space="0"/>
              <w:right w:val="single" w:color="auto" w:sz="4" w:space="0"/>
            </w:tcBorders>
          </w:tcPr>
          <w:p w14:paraId="67AB6581">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未按放置及使用的扣0.1分/次。</w:t>
            </w:r>
          </w:p>
        </w:tc>
      </w:tr>
      <w:tr w14:paraId="4320654B">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vAlign w:val="center"/>
          </w:tcPr>
          <w:p w14:paraId="7C30A157">
            <w:pPr>
              <w:widowControl/>
              <w:snapToGrid w:val="0"/>
              <w:spacing w:line="360" w:lineRule="auto"/>
              <w:jc w:val="left"/>
              <w:rPr>
                <w:rFonts w:ascii="宋体" w:hAnsi="宋体" w:cs="宋体"/>
                <w:kern w:val="0"/>
                <w:szCs w:val="21"/>
                <w:highlight w:val="none"/>
              </w:rPr>
            </w:pPr>
          </w:p>
        </w:tc>
        <w:tc>
          <w:tcPr>
            <w:tcW w:w="816" w:type="dxa"/>
            <w:vMerge w:val="continue"/>
            <w:tcBorders>
              <w:left w:val="single" w:color="auto" w:sz="4" w:space="0"/>
              <w:right w:val="single" w:color="auto" w:sz="4" w:space="0"/>
            </w:tcBorders>
            <w:vAlign w:val="center"/>
          </w:tcPr>
          <w:p w14:paraId="102154F9">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tcPr>
          <w:p w14:paraId="02147CCE">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（11）蝇虫滋生季节每天进行消杀（消杀时间为：6月-10月），做到室内外无蝇、无虫。</w:t>
            </w:r>
          </w:p>
        </w:tc>
        <w:tc>
          <w:tcPr>
            <w:tcW w:w="4645" w:type="dxa"/>
            <w:tcBorders>
              <w:top w:val="nil"/>
              <w:left w:val="nil"/>
              <w:bottom w:val="single" w:color="auto" w:sz="4" w:space="0"/>
              <w:right w:val="single" w:color="auto" w:sz="4" w:space="0"/>
            </w:tcBorders>
          </w:tcPr>
          <w:p w14:paraId="286B6012">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消杀不到位的扣0.5分，未及时消杀扣1分/座。</w:t>
            </w:r>
          </w:p>
        </w:tc>
      </w:tr>
      <w:tr w14:paraId="7EA35127">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vAlign w:val="center"/>
          </w:tcPr>
          <w:p w14:paraId="2A02B9F2">
            <w:pPr>
              <w:widowControl/>
              <w:snapToGrid w:val="0"/>
              <w:spacing w:line="360" w:lineRule="auto"/>
              <w:jc w:val="left"/>
              <w:rPr>
                <w:rFonts w:ascii="宋体" w:hAnsi="宋体" w:cs="宋体"/>
                <w:kern w:val="0"/>
                <w:szCs w:val="21"/>
                <w:highlight w:val="none"/>
              </w:rPr>
            </w:pPr>
          </w:p>
        </w:tc>
        <w:tc>
          <w:tcPr>
            <w:tcW w:w="816" w:type="dxa"/>
            <w:vMerge w:val="continue"/>
            <w:tcBorders>
              <w:left w:val="single" w:color="auto" w:sz="4" w:space="0"/>
              <w:right w:val="single" w:color="auto" w:sz="4" w:space="0"/>
            </w:tcBorders>
            <w:vAlign w:val="center"/>
          </w:tcPr>
          <w:p w14:paraId="66E78672">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tcPr>
          <w:p w14:paraId="5DF06973">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（12）周边5米内环境整洁，绿化内无散落垃圾、杂物。</w:t>
            </w:r>
          </w:p>
        </w:tc>
        <w:tc>
          <w:tcPr>
            <w:tcW w:w="4645" w:type="dxa"/>
            <w:tcBorders>
              <w:top w:val="nil"/>
              <w:left w:val="nil"/>
              <w:bottom w:val="single" w:color="auto" w:sz="4" w:space="0"/>
              <w:right w:val="single" w:color="auto" w:sz="4" w:space="0"/>
            </w:tcBorders>
          </w:tcPr>
          <w:p w14:paraId="0056197E">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周边环境不洁的，扣1分/座。</w:t>
            </w:r>
          </w:p>
        </w:tc>
      </w:tr>
      <w:tr w14:paraId="5E90E92D">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vAlign w:val="center"/>
          </w:tcPr>
          <w:p w14:paraId="6C615828">
            <w:pPr>
              <w:widowControl/>
              <w:snapToGrid w:val="0"/>
              <w:spacing w:line="360" w:lineRule="auto"/>
              <w:jc w:val="left"/>
              <w:rPr>
                <w:rFonts w:ascii="宋体" w:hAnsi="宋体" w:cs="宋体"/>
                <w:kern w:val="0"/>
                <w:szCs w:val="21"/>
                <w:highlight w:val="none"/>
              </w:rPr>
            </w:pPr>
          </w:p>
        </w:tc>
        <w:tc>
          <w:tcPr>
            <w:tcW w:w="816" w:type="dxa"/>
            <w:vMerge w:val="continue"/>
            <w:tcBorders>
              <w:left w:val="single" w:color="auto" w:sz="4" w:space="0"/>
              <w:right w:val="single" w:color="auto" w:sz="4" w:space="0"/>
            </w:tcBorders>
            <w:vAlign w:val="center"/>
          </w:tcPr>
          <w:p w14:paraId="1844C5FB">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tcPr>
          <w:p w14:paraId="1FE0CC35">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（13）公共卫生间内外墙面无乱张贴、乱涂写。</w:t>
            </w:r>
          </w:p>
        </w:tc>
        <w:tc>
          <w:tcPr>
            <w:tcW w:w="4645" w:type="dxa"/>
            <w:tcBorders>
              <w:top w:val="nil"/>
              <w:left w:val="nil"/>
              <w:bottom w:val="single" w:color="auto" w:sz="4" w:space="0"/>
              <w:right w:val="single" w:color="auto" w:sz="4" w:space="0"/>
            </w:tcBorders>
          </w:tcPr>
          <w:p w14:paraId="55827D65">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乱涂贴刻清理不及时的，扣1分/座</w:t>
            </w:r>
          </w:p>
        </w:tc>
      </w:tr>
      <w:tr w14:paraId="35E209FA">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vAlign w:val="center"/>
          </w:tcPr>
          <w:p w14:paraId="0242B425">
            <w:pPr>
              <w:widowControl/>
              <w:snapToGrid w:val="0"/>
              <w:spacing w:line="360" w:lineRule="auto"/>
              <w:jc w:val="left"/>
              <w:rPr>
                <w:rFonts w:ascii="宋体" w:hAnsi="宋体" w:cs="宋体"/>
                <w:kern w:val="0"/>
                <w:szCs w:val="21"/>
                <w:highlight w:val="none"/>
              </w:rPr>
            </w:pPr>
          </w:p>
        </w:tc>
        <w:tc>
          <w:tcPr>
            <w:tcW w:w="816" w:type="dxa"/>
            <w:vMerge w:val="continue"/>
            <w:tcBorders>
              <w:left w:val="single" w:color="auto" w:sz="4" w:space="0"/>
              <w:bottom w:val="single" w:color="auto" w:sz="4" w:space="0"/>
              <w:right w:val="single" w:color="auto" w:sz="4" w:space="0"/>
            </w:tcBorders>
            <w:vAlign w:val="center"/>
          </w:tcPr>
          <w:p w14:paraId="2D9897AD">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tcPr>
          <w:p w14:paraId="3C93F658">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（14）不得以任何形式进行收费。</w:t>
            </w:r>
          </w:p>
        </w:tc>
        <w:tc>
          <w:tcPr>
            <w:tcW w:w="4645" w:type="dxa"/>
            <w:tcBorders>
              <w:top w:val="nil"/>
              <w:left w:val="nil"/>
              <w:bottom w:val="single" w:color="auto" w:sz="4" w:space="0"/>
              <w:right w:val="single" w:color="auto" w:sz="4" w:space="0"/>
            </w:tcBorders>
          </w:tcPr>
          <w:p w14:paraId="473A029A">
            <w:pPr>
              <w:widowControl/>
              <w:snapToGrid w:val="0"/>
              <w:spacing w:line="360" w:lineRule="auto"/>
              <w:jc w:val="left"/>
              <w:rPr>
                <w:rFonts w:ascii="宋体" w:hAnsi="宋体" w:cs="宋体"/>
                <w:kern w:val="0"/>
                <w:szCs w:val="21"/>
                <w:highlight w:val="none"/>
              </w:rPr>
            </w:pPr>
            <w:r>
              <w:rPr>
                <w:rFonts w:hint="eastAsia" w:ascii="宋体" w:hAnsi="宋体" w:cs="宋体"/>
                <w:szCs w:val="21"/>
                <w:highlight w:val="none"/>
              </w:rPr>
              <w:t>发现有收费现象，扣1分/次。</w:t>
            </w:r>
          </w:p>
        </w:tc>
      </w:tr>
      <w:tr w14:paraId="203DCCB8">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vAlign w:val="center"/>
          </w:tcPr>
          <w:p w14:paraId="7FCA0C3A">
            <w:pPr>
              <w:widowControl/>
              <w:snapToGrid w:val="0"/>
              <w:spacing w:line="360" w:lineRule="auto"/>
              <w:jc w:val="left"/>
              <w:rPr>
                <w:rFonts w:ascii="宋体" w:hAnsi="宋体" w:cs="宋体"/>
                <w:kern w:val="0"/>
                <w:szCs w:val="21"/>
                <w:highlight w:val="none"/>
              </w:rPr>
            </w:pPr>
          </w:p>
        </w:tc>
        <w:tc>
          <w:tcPr>
            <w:tcW w:w="816" w:type="dxa"/>
            <w:vMerge w:val="restart"/>
            <w:tcBorders>
              <w:left w:val="single" w:color="auto" w:sz="4" w:space="0"/>
              <w:right w:val="single" w:color="auto" w:sz="4" w:space="0"/>
            </w:tcBorders>
            <w:vAlign w:val="center"/>
          </w:tcPr>
          <w:p w14:paraId="67A66056">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（I）中转站压缩站管理</w:t>
            </w:r>
          </w:p>
        </w:tc>
        <w:tc>
          <w:tcPr>
            <w:tcW w:w="3315" w:type="dxa"/>
            <w:tcBorders>
              <w:top w:val="nil"/>
              <w:left w:val="nil"/>
              <w:bottom w:val="single" w:color="auto" w:sz="4" w:space="0"/>
              <w:right w:val="single" w:color="auto" w:sz="4" w:space="0"/>
            </w:tcBorders>
          </w:tcPr>
          <w:p w14:paraId="5177ACCD">
            <w:pPr>
              <w:widowControl/>
              <w:snapToGrid w:val="0"/>
              <w:spacing w:line="360" w:lineRule="auto"/>
              <w:jc w:val="left"/>
              <w:rPr>
                <w:rFonts w:ascii="宋体" w:hAnsi="宋体" w:cs="宋体"/>
                <w:szCs w:val="21"/>
                <w:highlight w:val="none"/>
              </w:rPr>
            </w:pPr>
            <w:r>
              <w:rPr>
                <w:rFonts w:hint="eastAsia" w:ascii="宋体" w:hAnsi="宋体" w:cs="宋体"/>
                <w:szCs w:val="21"/>
                <w:highlight w:val="none"/>
              </w:rPr>
              <w:t>（1）垃圾及时清运，做到日产日清，禁止非生活垃圾进入中转站。</w:t>
            </w:r>
          </w:p>
        </w:tc>
        <w:tc>
          <w:tcPr>
            <w:tcW w:w="4645" w:type="dxa"/>
            <w:tcBorders>
              <w:top w:val="nil"/>
              <w:left w:val="nil"/>
              <w:bottom w:val="single" w:color="auto" w:sz="4" w:space="0"/>
              <w:right w:val="single" w:color="auto" w:sz="4" w:space="0"/>
            </w:tcBorders>
          </w:tcPr>
          <w:p w14:paraId="6C86A708">
            <w:pPr>
              <w:widowControl/>
              <w:snapToGrid w:val="0"/>
              <w:spacing w:line="360" w:lineRule="auto"/>
              <w:jc w:val="left"/>
              <w:rPr>
                <w:rFonts w:ascii="宋体" w:hAnsi="宋体" w:cs="宋体"/>
                <w:szCs w:val="21"/>
                <w:highlight w:val="none"/>
              </w:rPr>
            </w:pPr>
            <w:r>
              <w:rPr>
                <w:rFonts w:hint="eastAsia" w:ascii="宋体" w:hAnsi="宋体" w:cs="宋体"/>
                <w:szCs w:val="21"/>
                <w:highlight w:val="none"/>
              </w:rPr>
              <w:t>垃圾满溢未及时通知车队清运的扣1分/次，发现有非生活垃圾进入中转站的扣5分/次。</w:t>
            </w:r>
          </w:p>
        </w:tc>
      </w:tr>
      <w:tr w14:paraId="3ACF8CD9">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vAlign w:val="center"/>
          </w:tcPr>
          <w:p w14:paraId="5063A9B6">
            <w:pPr>
              <w:widowControl/>
              <w:snapToGrid w:val="0"/>
              <w:spacing w:line="360" w:lineRule="auto"/>
              <w:jc w:val="left"/>
              <w:rPr>
                <w:rFonts w:ascii="宋体" w:hAnsi="宋体" w:cs="宋体"/>
                <w:kern w:val="0"/>
                <w:szCs w:val="21"/>
                <w:highlight w:val="none"/>
              </w:rPr>
            </w:pPr>
          </w:p>
        </w:tc>
        <w:tc>
          <w:tcPr>
            <w:tcW w:w="816" w:type="dxa"/>
            <w:vMerge w:val="continue"/>
            <w:tcBorders>
              <w:left w:val="single" w:color="auto" w:sz="4" w:space="0"/>
              <w:right w:val="single" w:color="auto" w:sz="4" w:space="0"/>
            </w:tcBorders>
            <w:vAlign w:val="center"/>
          </w:tcPr>
          <w:p w14:paraId="7571ACF5">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tcPr>
          <w:p w14:paraId="158F7338">
            <w:pPr>
              <w:widowControl/>
              <w:snapToGrid w:val="0"/>
              <w:spacing w:line="360" w:lineRule="auto"/>
              <w:jc w:val="left"/>
              <w:rPr>
                <w:rFonts w:ascii="宋体" w:hAnsi="宋体" w:cs="宋体"/>
                <w:szCs w:val="21"/>
                <w:highlight w:val="none"/>
              </w:rPr>
            </w:pPr>
            <w:r>
              <w:rPr>
                <w:rFonts w:hint="eastAsia" w:ascii="宋体" w:hAnsi="宋体" w:cs="宋体"/>
                <w:szCs w:val="21"/>
                <w:highlight w:val="none"/>
              </w:rPr>
              <w:t>（2）中转站内外无乱张贴、刻画，无杂物堆放，工具摆放整齐，站周围五米内保持清洁。</w:t>
            </w:r>
          </w:p>
        </w:tc>
        <w:tc>
          <w:tcPr>
            <w:tcW w:w="4645" w:type="dxa"/>
            <w:tcBorders>
              <w:top w:val="nil"/>
              <w:left w:val="nil"/>
              <w:bottom w:val="single" w:color="auto" w:sz="4" w:space="0"/>
              <w:right w:val="single" w:color="auto" w:sz="4" w:space="0"/>
            </w:tcBorders>
          </w:tcPr>
          <w:p w14:paraId="383E67B3">
            <w:pPr>
              <w:widowControl/>
              <w:snapToGrid w:val="0"/>
              <w:spacing w:line="360" w:lineRule="auto"/>
              <w:jc w:val="left"/>
              <w:rPr>
                <w:rFonts w:ascii="宋体" w:hAnsi="宋体" w:cs="宋体"/>
                <w:szCs w:val="21"/>
                <w:highlight w:val="none"/>
              </w:rPr>
            </w:pPr>
            <w:r>
              <w:rPr>
                <w:rFonts w:hint="eastAsia" w:ascii="宋体" w:hAnsi="宋体" w:cs="宋体"/>
                <w:szCs w:val="21"/>
                <w:highlight w:val="none"/>
              </w:rPr>
              <w:t>发现上述情况每次扣1分。</w:t>
            </w:r>
          </w:p>
        </w:tc>
      </w:tr>
      <w:tr w14:paraId="1D36837E">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vAlign w:val="center"/>
          </w:tcPr>
          <w:p w14:paraId="594A4C59">
            <w:pPr>
              <w:widowControl/>
              <w:snapToGrid w:val="0"/>
              <w:spacing w:line="360" w:lineRule="auto"/>
              <w:jc w:val="left"/>
              <w:rPr>
                <w:rFonts w:ascii="宋体" w:hAnsi="宋体" w:cs="宋体"/>
                <w:kern w:val="0"/>
                <w:szCs w:val="21"/>
                <w:highlight w:val="none"/>
              </w:rPr>
            </w:pPr>
          </w:p>
        </w:tc>
        <w:tc>
          <w:tcPr>
            <w:tcW w:w="816" w:type="dxa"/>
            <w:vMerge w:val="continue"/>
            <w:tcBorders>
              <w:left w:val="single" w:color="auto" w:sz="4" w:space="0"/>
              <w:right w:val="single" w:color="auto" w:sz="4" w:space="0"/>
            </w:tcBorders>
            <w:vAlign w:val="center"/>
          </w:tcPr>
          <w:p w14:paraId="4B4FDDCC">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tcPr>
          <w:p w14:paraId="271BF326">
            <w:pPr>
              <w:widowControl/>
              <w:snapToGrid w:val="0"/>
              <w:spacing w:line="360" w:lineRule="auto"/>
              <w:jc w:val="left"/>
              <w:rPr>
                <w:rFonts w:ascii="宋体" w:hAnsi="宋体" w:cs="宋体"/>
                <w:szCs w:val="21"/>
                <w:highlight w:val="none"/>
              </w:rPr>
            </w:pPr>
            <w:r>
              <w:rPr>
                <w:rFonts w:hint="eastAsia" w:ascii="宋体" w:hAnsi="宋体" w:cs="宋体"/>
                <w:szCs w:val="21"/>
                <w:highlight w:val="none"/>
              </w:rPr>
              <w:t>（3）室内无灰尘、蛛网、污迹；地面、地坑无积水，地面无污物；箱体干净无异味。</w:t>
            </w:r>
          </w:p>
        </w:tc>
        <w:tc>
          <w:tcPr>
            <w:tcW w:w="4645" w:type="dxa"/>
            <w:tcBorders>
              <w:top w:val="nil"/>
              <w:left w:val="nil"/>
              <w:bottom w:val="single" w:color="auto" w:sz="4" w:space="0"/>
              <w:right w:val="single" w:color="auto" w:sz="4" w:space="0"/>
            </w:tcBorders>
          </w:tcPr>
          <w:p w14:paraId="68D5F3BF">
            <w:pPr>
              <w:widowControl/>
              <w:snapToGrid w:val="0"/>
              <w:spacing w:line="360" w:lineRule="auto"/>
              <w:jc w:val="left"/>
              <w:rPr>
                <w:rFonts w:ascii="宋体" w:hAnsi="宋体" w:cs="宋体"/>
                <w:szCs w:val="21"/>
                <w:highlight w:val="none"/>
              </w:rPr>
            </w:pPr>
            <w:r>
              <w:rPr>
                <w:rFonts w:hint="eastAsia" w:ascii="宋体" w:hAnsi="宋体" w:cs="宋体"/>
                <w:szCs w:val="21"/>
                <w:highlight w:val="none"/>
              </w:rPr>
              <w:t>发现上述情况每次扣1分。</w:t>
            </w:r>
          </w:p>
        </w:tc>
      </w:tr>
      <w:tr w14:paraId="1FD8E2F0">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vAlign w:val="center"/>
          </w:tcPr>
          <w:p w14:paraId="01866951">
            <w:pPr>
              <w:widowControl/>
              <w:snapToGrid w:val="0"/>
              <w:spacing w:line="360" w:lineRule="auto"/>
              <w:jc w:val="left"/>
              <w:rPr>
                <w:rFonts w:ascii="宋体" w:hAnsi="宋体" w:cs="宋体"/>
                <w:kern w:val="0"/>
                <w:szCs w:val="21"/>
                <w:highlight w:val="none"/>
              </w:rPr>
            </w:pPr>
          </w:p>
        </w:tc>
        <w:tc>
          <w:tcPr>
            <w:tcW w:w="816" w:type="dxa"/>
            <w:vMerge w:val="continue"/>
            <w:tcBorders>
              <w:left w:val="single" w:color="auto" w:sz="4" w:space="0"/>
              <w:right w:val="single" w:color="auto" w:sz="4" w:space="0"/>
            </w:tcBorders>
            <w:vAlign w:val="center"/>
          </w:tcPr>
          <w:p w14:paraId="77F47FBB">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tcPr>
          <w:p w14:paraId="470FFD53">
            <w:pPr>
              <w:widowControl/>
              <w:snapToGrid w:val="0"/>
              <w:spacing w:line="360" w:lineRule="auto"/>
              <w:jc w:val="left"/>
              <w:rPr>
                <w:rFonts w:ascii="宋体" w:hAnsi="宋体" w:cs="宋体"/>
                <w:szCs w:val="21"/>
                <w:highlight w:val="none"/>
              </w:rPr>
            </w:pPr>
            <w:r>
              <w:rPr>
                <w:rFonts w:hint="eastAsia" w:ascii="宋体" w:hAnsi="宋体" w:cs="宋体"/>
                <w:szCs w:val="21"/>
                <w:highlight w:val="none"/>
              </w:rPr>
              <w:t>（4）蚊蝇孳生季节，加强消杀，可视范围内，无蚊蝇。</w:t>
            </w:r>
          </w:p>
        </w:tc>
        <w:tc>
          <w:tcPr>
            <w:tcW w:w="4645" w:type="dxa"/>
            <w:tcBorders>
              <w:top w:val="nil"/>
              <w:left w:val="nil"/>
              <w:bottom w:val="single" w:color="auto" w:sz="4" w:space="0"/>
              <w:right w:val="single" w:color="auto" w:sz="4" w:space="0"/>
            </w:tcBorders>
          </w:tcPr>
          <w:p w14:paraId="3681A925">
            <w:pPr>
              <w:widowControl/>
              <w:snapToGrid w:val="0"/>
              <w:spacing w:line="360" w:lineRule="auto"/>
              <w:jc w:val="left"/>
              <w:rPr>
                <w:rFonts w:ascii="宋体" w:hAnsi="宋体" w:cs="宋体"/>
                <w:szCs w:val="21"/>
                <w:highlight w:val="none"/>
              </w:rPr>
            </w:pPr>
            <w:r>
              <w:rPr>
                <w:rFonts w:hint="eastAsia" w:ascii="宋体" w:hAnsi="宋体" w:cs="宋体"/>
                <w:szCs w:val="21"/>
                <w:highlight w:val="none"/>
              </w:rPr>
              <w:t>未消杀的扣1分/次，消杀不到位的或可视范围内有蚊蝇的扣0.5分/次。</w:t>
            </w:r>
          </w:p>
        </w:tc>
      </w:tr>
      <w:tr w14:paraId="40F46596">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vAlign w:val="center"/>
          </w:tcPr>
          <w:p w14:paraId="4719F3CE">
            <w:pPr>
              <w:widowControl/>
              <w:snapToGrid w:val="0"/>
              <w:spacing w:line="360" w:lineRule="auto"/>
              <w:jc w:val="left"/>
              <w:rPr>
                <w:rFonts w:ascii="宋体" w:hAnsi="宋体" w:cs="宋体"/>
                <w:kern w:val="0"/>
                <w:szCs w:val="21"/>
                <w:highlight w:val="none"/>
              </w:rPr>
            </w:pPr>
          </w:p>
        </w:tc>
        <w:tc>
          <w:tcPr>
            <w:tcW w:w="816" w:type="dxa"/>
            <w:vMerge w:val="continue"/>
            <w:tcBorders>
              <w:left w:val="single" w:color="auto" w:sz="4" w:space="0"/>
              <w:right w:val="single" w:color="auto" w:sz="4" w:space="0"/>
            </w:tcBorders>
            <w:vAlign w:val="center"/>
          </w:tcPr>
          <w:p w14:paraId="1BACD131">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tcPr>
          <w:p w14:paraId="3345066A">
            <w:pPr>
              <w:widowControl/>
              <w:snapToGrid w:val="0"/>
              <w:spacing w:line="360" w:lineRule="auto"/>
              <w:jc w:val="left"/>
              <w:rPr>
                <w:rFonts w:ascii="宋体" w:hAnsi="宋体" w:cs="宋体"/>
                <w:szCs w:val="21"/>
                <w:highlight w:val="none"/>
              </w:rPr>
            </w:pPr>
            <w:r>
              <w:rPr>
                <w:rFonts w:hint="eastAsia" w:ascii="宋体" w:hAnsi="宋体" w:cs="宋体"/>
                <w:szCs w:val="21"/>
                <w:highlight w:val="none"/>
              </w:rPr>
              <w:t>（5）按时保养、维护，确保设备正常运行。</w:t>
            </w:r>
          </w:p>
        </w:tc>
        <w:tc>
          <w:tcPr>
            <w:tcW w:w="4645" w:type="dxa"/>
            <w:tcBorders>
              <w:top w:val="nil"/>
              <w:left w:val="nil"/>
              <w:bottom w:val="single" w:color="auto" w:sz="4" w:space="0"/>
              <w:right w:val="single" w:color="auto" w:sz="4" w:space="0"/>
            </w:tcBorders>
          </w:tcPr>
          <w:p w14:paraId="53D2B131">
            <w:pPr>
              <w:widowControl/>
              <w:snapToGrid w:val="0"/>
              <w:spacing w:line="360" w:lineRule="auto"/>
              <w:jc w:val="left"/>
              <w:rPr>
                <w:rFonts w:ascii="宋体" w:hAnsi="宋体" w:cs="宋体"/>
                <w:szCs w:val="21"/>
                <w:highlight w:val="none"/>
              </w:rPr>
            </w:pPr>
            <w:r>
              <w:rPr>
                <w:rFonts w:hint="eastAsia" w:ascii="宋体" w:hAnsi="宋体" w:cs="宋体"/>
                <w:szCs w:val="21"/>
                <w:highlight w:val="none"/>
              </w:rPr>
              <w:t>未保养或维护的扣1分/次。</w:t>
            </w:r>
          </w:p>
        </w:tc>
      </w:tr>
      <w:tr w14:paraId="154B721D">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vAlign w:val="center"/>
          </w:tcPr>
          <w:p w14:paraId="1EC8558F">
            <w:pPr>
              <w:widowControl/>
              <w:snapToGrid w:val="0"/>
              <w:spacing w:line="360" w:lineRule="auto"/>
              <w:jc w:val="left"/>
              <w:rPr>
                <w:rFonts w:ascii="宋体" w:hAnsi="宋体" w:cs="宋体"/>
                <w:kern w:val="0"/>
                <w:szCs w:val="21"/>
                <w:highlight w:val="none"/>
              </w:rPr>
            </w:pPr>
          </w:p>
        </w:tc>
        <w:tc>
          <w:tcPr>
            <w:tcW w:w="816" w:type="dxa"/>
            <w:vMerge w:val="continue"/>
            <w:tcBorders>
              <w:left w:val="single" w:color="auto" w:sz="4" w:space="0"/>
              <w:right w:val="single" w:color="auto" w:sz="4" w:space="0"/>
            </w:tcBorders>
            <w:vAlign w:val="center"/>
          </w:tcPr>
          <w:p w14:paraId="1E347D59">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tcPr>
          <w:p w14:paraId="2BABA46B">
            <w:pPr>
              <w:widowControl/>
              <w:snapToGrid w:val="0"/>
              <w:spacing w:line="360" w:lineRule="auto"/>
              <w:jc w:val="left"/>
              <w:rPr>
                <w:rFonts w:ascii="宋体" w:hAnsi="宋体" w:cs="宋体"/>
                <w:szCs w:val="21"/>
                <w:highlight w:val="none"/>
              </w:rPr>
            </w:pPr>
            <w:r>
              <w:rPr>
                <w:rFonts w:hint="eastAsia" w:ascii="宋体" w:hAnsi="宋体" w:cs="宋体"/>
                <w:szCs w:val="21"/>
                <w:highlight w:val="none"/>
              </w:rPr>
              <w:t>（6）按规程操作，严禁非工作人员操作机械，杜绝事故发生。</w:t>
            </w:r>
          </w:p>
        </w:tc>
        <w:tc>
          <w:tcPr>
            <w:tcW w:w="4645" w:type="dxa"/>
            <w:tcBorders>
              <w:top w:val="nil"/>
              <w:left w:val="nil"/>
              <w:bottom w:val="single" w:color="auto" w:sz="4" w:space="0"/>
              <w:right w:val="single" w:color="auto" w:sz="4" w:space="0"/>
            </w:tcBorders>
          </w:tcPr>
          <w:p w14:paraId="0961CF8F">
            <w:pPr>
              <w:widowControl/>
              <w:snapToGrid w:val="0"/>
              <w:spacing w:line="360" w:lineRule="auto"/>
              <w:jc w:val="left"/>
              <w:rPr>
                <w:rFonts w:ascii="宋体" w:hAnsi="宋体" w:cs="宋体"/>
                <w:szCs w:val="21"/>
                <w:highlight w:val="none"/>
              </w:rPr>
            </w:pPr>
            <w:r>
              <w:rPr>
                <w:rFonts w:hint="eastAsia" w:ascii="宋体" w:hAnsi="宋体" w:cs="宋体"/>
                <w:szCs w:val="21"/>
                <w:highlight w:val="none"/>
              </w:rPr>
              <w:t>未按规程操作的扣2分/次，造成严重后果的扣10分/次，并赔偿所产生的损失费用。</w:t>
            </w:r>
          </w:p>
        </w:tc>
      </w:tr>
      <w:tr w14:paraId="51B98869">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vAlign w:val="center"/>
          </w:tcPr>
          <w:p w14:paraId="2C6D8C57">
            <w:pPr>
              <w:widowControl/>
              <w:snapToGrid w:val="0"/>
              <w:spacing w:line="360" w:lineRule="auto"/>
              <w:jc w:val="left"/>
              <w:rPr>
                <w:rFonts w:ascii="宋体" w:hAnsi="宋体" w:cs="宋体"/>
                <w:kern w:val="0"/>
                <w:szCs w:val="21"/>
                <w:highlight w:val="none"/>
              </w:rPr>
            </w:pPr>
          </w:p>
        </w:tc>
        <w:tc>
          <w:tcPr>
            <w:tcW w:w="816" w:type="dxa"/>
            <w:vMerge w:val="continue"/>
            <w:tcBorders>
              <w:left w:val="single" w:color="auto" w:sz="4" w:space="0"/>
              <w:right w:val="single" w:color="auto" w:sz="4" w:space="0"/>
            </w:tcBorders>
            <w:vAlign w:val="center"/>
          </w:tcPr>
          <w:p w14:paraId="03212EF3">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tcPr>
          <w:p w14:paraId="699D12D4">
            <w:pPr>
              <w:widowControl/>
              <w:snapToGrid w:val="0"/>
              <w:spacing w:line="360" w:lineRule="auto"/>
              <w:jc w:val="left"/>
              <w:rPr>
                <w:rFonts w:ascii="宋体" w:hAnsi="宋体" w:cs="宋体"/>
                <w:szCs w:val="21"/>
                <w:highlight w:val="none"/>
              </w:rPr>
            </w:pPr>
            <w:r>
              <w:rPr>
                <w:rFonts w:hint="eastAsia" w:ascii="宋体" w:hAnsi="宋体" w:cs="宋体"/>
                <w:szCs w:val="21"/>
                <w:highlight w:val="none"/>
              </w:rPr>
              <w:t>（7）中转站范围内禁止捡泔脚、收废品。</w:t>
            </w:r>
          </w:p>
        </w:tc>
        <w:tc>
          <w:tcPr>
            <w:tcW w:w="4645" w:type="dxa"/>
            <w:tcBorders>
              <w:top w:val="nil"/>
              <w:left w:val="nil"/>
              <w:bottom w:val="single" w:color="auto" w:sz="4" w:space="0"/>
              <w:right w:val="single" w:color="auto" w:sz="4" w:space="0"/>
            </w:tcBorders>
          </w:tcPr>
          <w:p w14:paraId="27AC560C">
            <w:pPr>
              <w:widowControl/>
              <w:snapToGrid w:val="0"/>
              <w:spacing w:line="360" w:lineRule="auto"/>
              <w:jc w:val="left"/>
              <w:rPr>
                <w:rFonts w:ascii="宋体" w:hAnsi="宋体" w:cs="宋体"/>
                <w:szCs w:val="21"/>
                <w:highlight w:val="none"/>
              </w:rPr>
            </w:pPr>
            <w:r>
              <w:rPr>
                <w:rFonts w:hint="eastAsia" w:ascii="宋体" w:hAnsi="宋体" w:cs="宋体"/>
                <w:szCs w:val="21"/>
                <w:highlight w:val="none"/>
              </w:rPr>
              <w:t>发现上述情况的每次扣1分。</w:t>
            </w:r>
          </w:p>
        </w:tc>
      </w:tr>
      <w:tr w14:paraId="1B85CC6E">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vAlign w:val="center"/>
          </w:tcPr>
          <w:p w14:paraId="040A193C">
            <w:pPr>
              <w:widowControl/>
              <w:snapToGrid w:val="0"/>
              <w:spacing w:line="360" w:lineRule="auto"/>
              <w:jc w:val="left"/>
              <w:rPr>
                <w:rFonts w:ascii="宋体" w:hAnsi="宋体" w:cs="宋体"/>
                <w:kern w:val="0"/>
                <w:szCs w:val="21"/>
                <w:highlight w:val="none"/>
              </w:rPr>
            </w:pPr>
          </w:p>
        </w:tc>
        <w:tc>
          <w:tcPr>
            <w:tcW w:w="816" w:type="dxa"/>
            <w:vMerge w:val="continue"/>
            <w:tcBorders>
              <w:left w:val="single" w:color="auto" w:sz="4" w:space="0"/>
              <w:right w:val="single" w:color="auto" w:sz="4" w:space="0"/>
            </w:tcBorders>
            <w:vAlign w:val="center"/>
          </w:tcPr>
          <w:p w14:paraId="44A2DEB7">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tcPr>
          <w:p w14:paraId="32E08EE4">
            <w:pPr>
              <w:widowControl/>
              <w:snapToGrid w:val="0"/>
              <w:spacing w:line="360" w:lineRule="auto"/>
              <w:jc w:val="left"/>
              <w:rPr>
                <w:rFonts w:ascii="宋体" w:hAnsi="宋体" w:cs="宋体"/>
                <w:szCs w:val="21"/>
                <w:highlight w:val="none"/>
              </w:rPr>
            </w:pPr>
            <w:r>
              <w:rPr>
                <w:rFonts w:hint="eastAsia" w:ascii="宋体" w:hAnsi="宋体" w:cs="宋体"/>
                <w:szCs w:val="21"/>
                <w:highlight w:val="none"/>
              </w:rPr>
              <w:t>（8）做好中转站日运行记录和月报表。</w:t>
            </w:r>
          </w:p>
        </w:tc>
        <w:tc>
          <w:tcPr>
            <w:tcW w:w="4645" w:type="dxa"/>
            <w:tcBorders>
              <w:top w:val="nil"/>
              <w:left w:val="nil"/>
              <w:bottom w:val="single" w:color="auto" w:sz="4" w:space="0"/>
              <w:right w:val="single" w:color="auto" w:sz="4" w:space="0"/>
            </w:tcBorders>
          </w:tcPr>
          <w:p w14:paraId="73084C28">
            <w:pPr>
              <w:widowControl/>
              <w:snapToGrid w:val="0"/>
              <w:spacing w:line="360" w:lineRule="auto"/>
              <w:jc w:val="left"/>
              <w:rPr>
                <w:rFonts w:ascii="宋体" w:hAnsi="宋体" w:cs="宋体"/>
                <w:szCs w:val="21"/>
                <w:highlight w:val="none"/>
              </w:rPr>
            </w:pPr>
            <w:r>
              <w:rPr>
                <w:rFonts w:hint="eastAsia" w:ascii="宋体" w:hAnsi="宋体" w:cs="宋体"/>
                <w:szCs w:val="21"/>
                <w:highlight w:val="none"/>
              </w:rPr>
              <w:t>未按规定做台账记录的扣1分/次</w:t>
            </w:r>
          </w:p>
        </w:tc>
      </w:tr>
      <w:tr w14:paraId="08E01F7D">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vAlign w:val="center"/>
          </w:tcPr>
          <w:p w14:paraId="2630D366">
            <w:pPr>
              <w:widowControl/>
              <w:snapToGrid w:val="0"/>
              <w:spacing w:line="360" w:lineRule="auto"/>
              <w:jc w:val="left"/>
              <w:rPr>
                <w:rFonts w:ascii="宋体" w:hAnsi="宋体" w:cs="宋体"/>
                <w:kern w:val="0"/>
                <w:szCs w:val="21"/>
                <w:highlight w:val="none"/>
              </w:rPr>
            </w:pPr>
          </w:p>
        </w:tc>
        <w:tc>
          <w:tcPr>
            <w:tcW w:w="816" w:type="dxa"/>
            <w:vMerge w:val="continue"/>
            <w:tcBorders>
              <w:left w:val="single" w:color="auto" w:sz="4" w:space="0"/>
              <w:right w:val="single" w:color="auto" w:sz="4" w:space="0"/>
            </w:tcBorders>
            <w:vAlign w:val="center"/>
          </w:tcPr>
          <w:p w14:paraId="0B6260AF">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tcPr>
          <w:p w14:paraId="25F090DB">
            <w:pPr>
              <w:widowControl/>
              <w:snapToGrid w:val="0"/>
              <w:spacing w:line="360" w:lineRule="auto"/>
              <w:jc w:val="left"/>
              <w:rPr>
                <w:rFonts w:ascii="宋体" w:hAnsi="宋体" w:cs="宋体"/>
                <w:szCs w:val="21"/>
                <w:highlight w:val="none"/>
              </w:rPr>
            </w:pPr>
            <w:r>
              <w:rPr>
                <w:rFonts w:hint="eastAsia" w:ascii="宋体" w:hAnsi="宋体" w:cs="宋体"/>
                <w:szCs w:val="21"/>
                <w:highlight w:val="none"/>
              </w:rPr>
              <w:t>（9）上班时间不得随意关闭中转站。</w:t>
            </w:r>
          </w:p>
        </w:tc>
        <w:tc>
          <w:tcPr>
            <w:tcW w:w="4645" w:type="dxa"/>
            <w:tcBorders>
              <w:top w:val="nil"/>
              <w:left w:val="nil"/>
              <w:bottom w:val="single" w:color="auto" w:sz="4" w:space="0"/>
              <w:right w:val="single" w:color="auto" w:sz="4" w:space="0"/>
            </w:tcBorders>
          </w:tcPr>
          <w:p w14:paraId="70C087A7">
            <w:pPr>
              <w:widowControl/>
              <w:snapToGrid w:val="0"/>
              <w:spacing w:line="360" w:lineRule="auto"/>
              <w:jc w:val="left"/>
              <w:rPr>
                <w:rFonts w:ascii="宋体" w:hAnsi="宋体" w:cs="宋体"/>
                <w:szCs w:val="21"/>
                <w:highlight w:val="none"/>
              </w:rPr>
            </w:pPr>
            <w:r>
              <w:rPr>
                <w:rFonts w:hint="eastAsia" w:ascii="宋体" w:hAnsi="宋体" w:cs="宋体"/>
                <w:szCs w:val="21"/>
                <w:highlight w:val="none"/>
              </w:rPr>
              <w:t>发现一次扣1分。</w:t>
            </w:r>
          </w:p>
        </w:tc>
      </w:tr>
      <w:tr w14:paraId="31FB69C6">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vAlign w:val="center"/>
          </w:tcPr>
          <w:p w14:paraId="4B73C991">
            <w:pPr>
              <w:widowControl/>
              <w:snapToGrid w:val="0"/>
              <w:spacing w:line="360" w:lineRule="auto"/>
              <w:jc w:val="left"/>
              <w:rPr>
                <w:rFonts w:ascii="宋体" w:hAnsi="宋体" w:cs="宋体"/>
                <w:kern w:val="0"/>
                <w:szCs w:val="21"/>
                <w:highlight w:val="none"/>
              </w:rPr>
            </w:pPr>
          </w:p>
        </w:tc>
        <w:tc>
          <w:tcPr>
            <w:tcW w:w="816" w:type="dxa"/>
            <w:vMerge w:val="continue"/>
            <w:tcBorders>
              <w:left w:val="single" w:color="auto" w:sz="4" w:space="0"/>
              <w:right w:val="single" w:color="auto" w:sz="4" w:space="0"/>
            </w:tcBorders>
            <w:vAlign w:val="center"/>
          </w:tcPr>
          <w:p w14:paraId="4FE6BA68">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tcPr>
          <w:p w14:paraId="00C4C22F">
            <w:pPr>
              <w:widowControl/>
              <w:snapToGrid w:val="0"/>
              <w:spacing w:line="360" w:lineRule="auto"/>
              <w:jc w:val="left"/>
              <w:rPr>
                <w:rFonts w:ascii="宋体" w:hAnsi="宋体" w:cs="宋体"/>
                <w:szCs w:val="21"/>
                <w:highlight w:val="none"/>
              </w:rPr>
            </w:pPr>
            <w:r>
              <w:rPr>
                <w:rFonts w:hint="eastAsia" w:ascii="宋体" w:hAnsi="宋体" w:cs="宋体"/>
                <w:szCs w:val="21"/>
                <w:highlight w:val="none"/>
              </w:rPr>
              <w:t>（10）禁止使用明火或电炉等大功率电器，禁止擅自拉、埋、铺设电线路。</w:t>
            </w:r>
          </w:p>
        </w:tc>
        <w:tc>
          <w:tcPr>
            <w:tcW w:w="4645" w:type="dxa"/>
            <w:tcBorders>
              <w:top w:val="nil"/>
              <w:left w:val="nil"/>
              <w:bottom w:val="single" w:color="auto" w:sz="4" w:space="0"/>
              <w:right w:val="single" w:color="auto" w:sz="4" w:space="0"/>
            </w:tcBorders>
          </w:tcPr>
          <w:p w14:paraId="7700E219">
            <w:pPr>
              <w:widowControl/>
              <w:snapToGrid w:val="0"/>
              <w:spacing w:line="360" w:lineRule="auto"/>
              <w:jc w:val="left"/>
              <w:rPr>
                <w:rFonts w:ascii="宋体" w:hAnsi="宋体" w:cs="宋体"/>
                <w:szCs w:val="21"/>
                <w:highlight w:val="none"/>
              </w:rPr>
            </w:pPr>
            <w:r>
              <w:rPr>
                <w:rFonts w:hint="eastAsia" w:ascii="宋体" w:hAnsi="宋体" w:cs="宋体"/>
                <w:szCs w:val="21"/>
                <w:highlight w:val="none"/>
              </w:rPr>
              <w:t>发现上述情况的，扣1分/次。</w:t>
            </w:r>
          </w:p>
        </w:tc>
      </w:tr>
      <w:tr w14:paraId="582330D9">
        <w:tblPrEx>
          <w:tblCellMar>
            <w:top w:w="0" w:type="dxa"/>
            <w:left w:w="108" w:type="dxa"/>
            <w:bottom w:w="0" w:type="dxa"/>
            <w:right w:w="108" w:type="dxa"/>
          </w:tblCellMar>
        </w:tblPrEx>
        <w:trPr>
          <w:trHeight w:val="600" w:hRule="atLeast"/>
        </w:trPr>
        <w:tc>
          <w:tcPr>
            <w:tcW w:w="936" w:type="dxa"/>
            <w:vMerge w:val="continue"/>
            <w:tcBorders>
              <w:left w:val="single" w:color="auto" w:sz="4" w:space="0"/>
              <w:bottom w:val="nil"/>
              <w:right w:val="nil"/>
            </w:tcBorders>
            <w:vAlign w:val="center"/>
          </w:tcPr>
          <w:p w14:paraId="136A8311">
            <w:pPr>
              <w:widowControl/>
              <w:snapToGrid w:val="0"/>
              <w:spacing w:line="360" w:lineRule="auto"/>
              <w:jc w:val="left"/>
              <w:rPr>
                <w:rFonts w:ascii="宋体" w:hAnsi="宋体" w:cs="宋体"/>
                <w:kern w:val="0"/>
                <w:szCs w:val="21"/>
                <w:highlight w:val="none"/>
              </w:rPr>
            </w:pPr>
          </w:p>
        </w:tc>
        <w:tc>
          <w:tcPr>
            <w:tcW w:w="816" w:type="dxa"/>
            <w:vMerge w:val="continue"/>
            <w:tcBorders>
              <w:left w:val="single" w:color="auto" w:sz="4" w:space="0"/>
              <w:bottom w:val="single" w:color="auto" w:sz="4" w:space="0"/>
              <w:right w:val="single" w:color="auto" w:sz="4" w:space="0"/>
            </w:tcBorders>
            <w:vAlign w:val="center"/>
          </w:tcPr>
          <w:p w14:paraId="307783EA">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tcPr>
          <w:p w14:paraId="6A407977">
            <w:pPr>
              <w:widowControl/>
              <w:snapToGrid w:val="0"/>
              <w:spacing w:line="360" w:lineRule="auto"/>
              <w:jc w:val="left"/>
              <w:rPr>
                <w:rFonts w:ascii="宋体" w:hAnsi="宋体" w:cs="宋体"/>
                <w:szCs w:val="21"/>
                <w:highlight w:val="none"/>
              </w:rPr>
            </w:pPr>
            <w:r>
              <w:rPr>
                <w:rFonts w:hint="eastAsia" w:ascii="宋体" w:hAnsi="宋体" w:cs="宋体"/>
                <w:szCs w:val="21"/>
                <w:highlight w:val="none"/>
              </w:rPr>
              <w:t>（11）发现设备故障及时报修。</w:t>
            </w:r>
          </w:p>
        </w:tc>
        <w:tc>
          <w:tcPr>
            <w:tcW w:w="4645" w:type="dxa"/>
            <w:tcBorders>
              <w:top w:val="nil"/>
              <w:left w:val="nil"/>
              <w:bottom w:val="single" w:color="auto" w:sz="4" w:space="0"/>
              <w:right w:val="single" w:color="auto" w:sz="4" w:space="0"/>
            </w:tcBorders>
          </w:tcPr>
          <w:p w14:paraId="48B04EAF">
            <w:pPr>
              <w:widowControl/>
              <w:snapToGrid w:val="0"/>
              <w:spacing w:line="360" w:lineRule="auto"/>
              <w:jc w:val="left"/>
              <w:rPr>
                <w:rFonts w:ascii="宋体" w:hAnsi="宋体" w:cs="宋体"/>
                <w:szCs w:val="21"/>
                <w:highlight w:val="none"/>
              </w:rPr>
            </w:pPr>
            <w:r>
              <w:rPr>
                <w:rFonts w:hint="eastAsia" w:ascii="宋体" w:hAnsi="宋体" w:cs="宋体"/>
                <w:szCs w:val="21"/>
                <w:highlight w:val="none"/>
              </w:rPr>
              <w:t>报修不及时扣1分/座，未报修的扣2分/座。</w:t>
            </w:r>
          </w:p>
        </w:tc>
      </w:tr>
      <w:tr w14:paraId="1A95922A">
        <w:tblPrEx>
          <w:tblCellMar>
            <w:top w:w="0" w:type="dxa"/>
            <w:left w:w="108" w:type="dxa"/>
            <w:bottom w:w="0" w:type="dxa"/>
            <w:right w:w="108" w:type="dxa"/>
          </w:tblCellMar>
        </w:tblPrEx>
        <w:trPr>
          <w:trHeight w:val="600" w:hRule="atLeast"/>
        </w:trPr>
        <w:tc>
          <w:tcPr>
            <w:tcW w:w="1752" w:type="dxa"/>
            <w:gridSpan w:val="2"/>
            <w:vMerge w:val="restart"/>
            <w:tcBorders>
              <w:top w:val="single" w:color="auto" w:sz="4" w:space="0"/>
              <w:left w:val="single" w:color="auto" w:sz="4" w:space="0"/>
              <w:bottom w:val="nil"/>
              <w:right w:val="single" w:color="000000" w:sz="4" w:space="0"/>
            </w:tcBorders>
            <w:vAlign w:val="center"/>
          </w:tcPr>
          <w:p w14:paraId="3BB047DB">
            <w:pPr>
              <w:widowControl/>
              <w:snapToGrid w:val="0"/>
              <w:spacing w:line="360" w:lineRule="auto"/>
              <w:jc w:val="center"/>
              <w:rPr>
                <w:rFonts w:ascii="宋体" w:hAnsi="宋体" w:cs="宋体"/>
                <w:kern w:val="0"/>
                <w:szCs w:val="21"/>
                <w:highlight w:val="none"/>
              </w:rPr>
            </w:pPr>
            <w:r>
              <w:rPr>
                <w:rFonts w:hint="eastAsia" w:ascii="宋体" w:hAnsi="宋体" w:cs="宋体"/>
                <w:kern w:val="0"/>
                <w:szCs w:val="21"/>
                <w:highlight w:val="none"/>
              </w:rPr>
              <w:t xml:space="preserve">（三）                安                                 </w:t>
            </w:r>
            <w:r>
              <w:rPr>
                <w:rFonts w:hint="eastAsia" w:ascii="宋体" w:hAnsi="宋体" w:cs="宋体"/>
                <w:kern w:val="0"/>
                <w:szCs w:val="21"/>
                <w:highlight w:val="none"/>
              </w:rPr>
              <w:br w:type="textWrapping"/>
            </w:r>
            <w:r>
              <w:rPr>
                <w:rFonts w:hint="eastAsia" w:ascii="宋体" w:hAnsi="宋体" w:cs="宋体"/>
                <w:kern w:val="0"/>
                <w:szCs w:val="21"/>
                <w:highlight w:val="none"/>
              </w:rPr>
              <w:t>全</w:t>
            </w:r>
            <w:r>
              <w:rPr>
                <w:rFonts w:hint="eastAsia" w:ascii="宋体" w:hAnsi="宋体" w:cs="宋体"/>
                <w:kern w:val="0"/>
                <w:szCs w:val="21"/>
                <w:highlight w:val="none"/>
              </w:rPr>
              <w:br w:type="textWrapping"/>
            </w:r>
            <w:r>
              <w:rPr>
                <w:rFonts w:hint="eastAsia" w:ascii="宋体" w:hAnsi="宋体" w:cs="宋体"/>
                <w:kern w:val="0"/>
                <w:szCs w:val="21"/>
                <w:highlight w:val="none"/>
              </w:rPr>
              <w:t>作</w:t>
            </w:r>
            <w:r>
              <w:rPr>
                <w:rFonts w:hint="eastAsia" w:ascii="宋体" w:hAnsi="宋体" w:cs="宋体"/>
                <w:kern w:val="0"/>
                <w:szCs w:val="21"/>
                <w:highlight w:val="none"/>
              </w:rPr>
              <w:br w:type="textWrapping"/>
            </w:r>
            <w:r>
              <w:rPr>
                <w:rFonts w:hint="eastAsia" w:ascii="宋体" w:hAnsi="宋体" w:cs="宋体"/>
                <w:kern w:val="0"/>
                <w:szCs w:val="21"/>
                <w:highlight w:val="none"/>
              </w:rPr>
              <w:t>业</w:t>
            </w:r>
            <w:r>
              <w:rPr>
                <w:rFonts w:hint="eastAsia" w:ascii="宋体" w:hAnsi="宋体" w:cs="宋体"/>
                <w:kern w:val="0"/>
                <w:szCs w:val="21"/>
                <w:highlight w:val="none"/>
              </w:rPr>
              <w:br w:type="textWrapping"/>
            </w:r>
            <w:r>
              <w:rPr>
                <w:rFonts w:hint="eastAsia" w:ascii="宋体" w:hAnsi="宋体" w:cs="宋体"/>
                <w:kern w:val="0"/>
                <w:szCs w:val="21"/>
                <w:highlight w:val="none"/>
              </w:rPr>
              <w:t>指</w:t>
            </w:r>
            <w:r>
              <w:rPr>
                <w:rFonts w:hint="eastAsia" w:ascii="宋体" w:hAnsi="宋体" w:cs="宋体"/>
                <w:kern w:val="0"/>
                <w:szCs w:val="21"/>
                <w:highlight w:val="none"/>
              </w:rPr>
              <w:br w:type="textWrapping"/>
            </w:r>
            <w:r>
              <w:rPr>
                <w:rFonts w:hint="eastAsia" w:ascii="宋体" w:hAnsi="宋体" w:cs="宋体"/>
                <w:kern w:val="0"/>
                <w:szCs w:val="21"/>
                <w:highlight w:val="none"/>
              </w:rPr>
              <w:t xml:space="preserve">标                                                                           </w:t>
            </w:r>
          </w:p>
        </w:tc>
        <w:tc>
          <w:tcPr>
            <w:tcW w:w="3315" w:type="dxa"/>
            <w:tcBorders>
              <w:top w:val="nil"/>
              <w:left w:val="nil"/>
              <w:bottom w:val="single" w:color="auto" w:sz="4" w:space="0"/>
              <w:right w:val="single" w:color="auto" w:sz="4" w:space="0"/>
            </w:tcBorders>
            <w:vAlign w:val="center"/>
          </w:tcPr>
          <w:p w14:paraId="5CFC199D">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（1）发生环卫作业安全生产事故或者环卫从业人员意外伤害伤亡的，应主动在</w:t>
            </w:r>
            <w:r>
              <w:rPr>
                <w:rFonts w:hint="eastAsia" w:ascii="宋体" w:hAnsi="宋体" w:cs="宋体"/>
                <w:kern w:val="0"/>
                <w:szCs w:val="21"/>
                <w:highlight w:val="none"/>
              </w:rPr>
              <w:t>1</w:t>
            </w:r>
            <w:r>
              <w:rPr>
                <w:rFonts w:hint="eastAsia" w:ascii="宋体" w:hAnsi="宋体" w:cs="宋体"/>
                <w:kern w:val="0"/>
                <w:szCs w:val="21"/>
                <w:highlight w:val="none"/>
              </w:rPr>
              <w:t>小时内上报，不得有虚报和瞒报；</w:t>
            </w:r>
          </w:p>
        </w:tc>
        <w:tc>
          <w:tcPr>
            <w:tcW w:w="4645" w:type="dxa"/>
            <w:tcBorders>
              <w:top w:val="nil"/>
              <w:left w:val="nil"/>
              <w:bottom w:val="single" w:color="auto" w:sz="4" w:space="0"/>
              <w:right w:val="single" w:color="auto" w:sz="4" w:space="0"/>
            </w:tcBorders>
            <w:vAlign w:val="center"/>
          </w:tcPr>
          <w:p w14:paraId="4A6C3C34">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未主动在</w:t>
            </w:r>
            <w:r>
              <w:rPr>
                <w:rFonts w:hint="eastAsia" w:ascii="宋体" w:hAnsi="宋体" w:cs="宋体"/>
                <w:kern w:val="0"/>
                <w:szCs w:val="21"/>
                <w:highlight w:val="none"/>
              </w:rPr>
              <w:t>1</w:t>
            </w:r>
            <w:r>
              <w:rPr>
                <w:rFonts w:hint="eastAsia" w:ascii="宋体" w:hAnsi="宋体" w:cs="宋体"/>
                <w:kern w:val="0"/>
                <w:szCs w:val="21"/>
                <w:highlight w:val="none"/>
              </w:rPr>
              <w:t>小时内上报的，扣20分/次；上报情况不属实，有虚报和瞒报的，扣</w:t>
            </w:r>
            <w:r>
              <w:rPr>
                <w:rFonts w:hint="eastAsia" w:ascii="宋体" w:hAnsi="宋体" w:cs="宋体"/>
                <w:kern w:val="0"/>
                <w:szCs w:val="21"/>
                <w:highlight w:val="none"/>
              </w:rPr>
              <w:t>30</w:t>
            </w:r>
            <w:r>
              <w:rPr>
                <w:rFonts w:hint="eastAsia" w:ascii="宋体" w:hAnsi="宋体" w:cs="宋体"/>
                <w:kern w:val="0"/>
                <w:szCs w:val="21"/>
                <w:highlight w:val="none"/>
              </w:rPr>
              <w:t>分/次。</w:t>
            </w:r>
          </w:p>
        </w:tc>
      </w:tr>
      <w:tr w14:paraId="370CB044">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vAlign w:val="center"/>
          </w:tcPr>
          <w:p w14:paraId="1A9338C5">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55507540">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（2）驾驶环卫作业车辆的人员应主动参加单位或环卫管理部门组织的安全培训；</w:t>
            </w:r>
          </w:p>
        </w:tc>
        <w:tc>
          <w:tcPr>
            <w:tcW w:w="4645" w:type="dxa"/>
            <w:tcBorders>
              <w:top w:val="nil"/>
              <w:left w:val="nil"/>
              <w:bottom w:val="single" w:color="auto" w:sz="4" w:space="0"/>
              <w:right w:val="single" w:color="auto" w:sz="4" w:space="0"/>
            </w:tcBorders>
            <w:vAlign w:val="center"/>
          </w:tcPr>
          <w:p w14:paraId="02E88F64">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未参加安全培训的，扣5分/次。</w:t>
            </w:r>
          </w:p>
        </w:tc>
      </w:tr>
      <w:tr w14:paraId="0FF08FDF">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vAlign w:val="center"/>
          </w:tcPr>
          <w:p w14:paraId="2196925A">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2940EBF2">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（3）环卫电动车辆未按照交通信号灯通行，不服从交通警察及交通协管员指挥，逆向行驶，驶入高架道路的；</w:t>
            </w:r>
          </w:p>
        </w:tc>
        <w:tc>
          <w:tcPr>
            <w:tcW w:w="4645" w:type="dxa"/>
            <w:tcBorders>
              <w:top w:val="nil"/>
              <w:left w:val="nil"/>
              <w:bottom w:val="single" w:color="auto" w:sz="4" w:space="0"/>
              <w:right w:val="single" w:color="auto" w:sz="4" w:space="0"/>
            </w:tcBorders>
            <w:vAlign w:val="center"/>
          </w:tcPr>
          <w:p w14:paraId="166303CD">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未按规定要求行驶的扣5分/辆。</w:t>
            </w:r>
          </w:p>
        </w:tc>
      </w:tr>
      <w:tr w14:paraId="794E6AA8">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vAlign w:val="center"/>
          </w:tcPr>
          <w:p w14:paraId="12C39429">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530A951F">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（4）环卫电动车辆在机动车道通行，在未划分机动车道与非机动车道的道路上，未在道路两侧四分之一路面通行的；</w:t>
            </w:r>
          </w:p>
        </w:tc>
        <w:tc>
          <w:tcPr>
            <w:tcW w:w="4645" w:type="dxa"/>
            <w:tcBorders>
              <w:top w:val="nil"/>
              <w:left w:val="nil"/>
              <w:bottom w:val="single" w:color="auto" w:sz="4" w:space="0"/>
              <w:right w:val="single" w:color="auto" w:sz="4" w:space="0"/>
            </w:tcBorders>
            <w:vAlign w:val="center"/>
          </w:tcPr>
          <w:p w14:paraId="6BEB4548">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发现每车次扣2分/次。</w:t>
            </w:r>
          </w:p>
        </w:tc>
      </w:tr>
      <w:tr w14:paraId="3B97AC2A">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vAlign w:val="center"/>
          </w:tcPr>
          <w:p w14:paraId="17646F5F">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7A7ACAE0">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（5）小型多功能扫路车作业时，最高时速不得超过6公里/小时；</w:t>
            </w:r>
          </w:p>
        </w:tc>
        <w:tc>
          <w:tcPr>
            <w:tcW w:w="4645" w:type="dxa"/>
            <w:tcBorders>
              <w:top w:val="nil"/>
              <w:left w:val="nil"/>
              <w:bottom w:val="single" w:color="auto" w:sz="4" w:space="0"/>
              <w:right w:val="single" w:color="auto" w:sz="4" w:space="0"/>
            </w:tcBorders>
            <w:vAlign w:val="center"/>
          </w:tcPr>
          <w:p w14:paraId="7A065D9B">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未按规定作业的扣2分/次。</w:t>
            </w:r>
          </w:p>
        </w:tc>
      </w:tr>
      <w:tr w14:paraId="1CC9B5AC">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vAlign w:val="center"/>
          </w:tcPr>
          <w:p w14:paraId="15722CFA">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5D727391">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（6）环卫电动车辆在道路作业时，最高时速不得超过15公里/小时；</w:t>
            </w:r>
          </w:p>
        </w:tc>
        <w:tc>
          <w:tcPr>
            <w:tcW w:w="4645" w:type="dxa"/>
            <w:tcBorders>
              <w:top w:val="nil"/>
              <w:left w:val="nil"/>
              <w:bottom w:val="single" w:color="auto" w:sz="4" w:space="0"/>
              <w:right w:val="single" w:color="auto" w:sz="4" w:space="0"/>
            </w:tcBorders>
            <w:vAlign w:val="center"/>
          </w:tcPr>
          <w:p w14:paraId="68E5149C">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发现超速作业行驶的扣2分/次。</w:t>
            </w:r>
          </w:p>
        </w:tc>
      </w:tr>
      <w:tr w14:paraId="03E8A891">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vAlign w:val="center"/>
          </w:tcPr>
          <w:p w14:paraId="13E0AD41">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6BD6B65B">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（7）环卫部门应严格按照政府防疫要求落实到位，做好防疫物资的按时发放，对区域环卫人员疫情防控做好日常监管；</w:t>
            </w:r>
          </w:p>
        </w:tc>
        <w:tc>
          <w:tcPr>
            <w:tcW w:w="4645" w:type="dxa"/>
            <w:tcBorders>
              <w:top w:val="nil"/>
              <w:left w:val="nil"/>
              <w:bottom w:val="single" w:color="auto" w:sz="4" w:space="0"/>
              <w:right w:val="single" w:color="auto" w:sz="4" w:space="0"/>
            </w:tcBorders>
            <w:vAlign w:val="center"/>
          </w:tcPr>
          <w:p w14:paraId="429CF855">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疫情防控督查中对市级防控政策落实不到位或被市级部门通报批评的扣20分/次。</w:t>
            </w:r>
          </w:p>
        </w:tc>
      </w:tr>
      <w:tr w14:paraId="4F28202D">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vAlign w:val="center"/>
          </w:tcPr>
          <w:p w14:paraId="70916C3E">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43D6760D">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(8)配置专职安全管理员；</w:t>
            </w:r>
          </w:p>
        </w:tc>
        <w:tc>
          <w:tcPr>
            <w:tcW w:w="4645" w:type="dxa"/>
            <w:tcBorders>
              <w:top w:val="nil"/>
              <w:left w:val="nil"/>
              <w:bottom w:val="single" w:color="auto" w:sz="4" w:space="0"/>
              <w:right w:val="single" w:color="auto" w:sz="4" w:space="0"/>
            </w:tcBorders>
            <w:vAlign w:val="center"/>
          </w:tcPr>
          <w:p w14:paraId="7BD802E6">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未配置专职安全管理员的</w:t>
            </w:r>
            <w:r>
              <w:rPr>
                <w:rFonts w:hint="eastAsia" w:ascii="宋体" w:hAnsi="宋体" w:cs="宋体"/>
                <w:kern w:val="0"/>
                <w:szCs w:val="21"/>
                <w:highlight w:val="none"/>
              </w:rPr>
              <w:t>扣</w:t>
            </w:r>
            <w:r>
              <w:rPr>
                <w:rFonts w:hint="eastAsia" w:ascii="宋体" w:hAnsi="宋体" w:cs="宋体"/>
                <w:kern w:val="0"/>
                <w:szCs w:val="21"/>
                <w:highlight w:val="none"/>
              </w:rPr>
              <w:t>50分。</w:t>
            </w:r>
          </w:p>
        </w:tc>
      </w:tr>
      <w:tr w14:paraId="4175E506">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vAlign w:val="center"/>
          </w:tcPr>
          <w:p w14:paraId="0261F937">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7491EF89">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（9）办公及作业场所必须配备消防安全器材；</w:t>
            </w:r>
          </w:p>
        </w:tc>
        <w:tc>
          <w:tcPr>
            <w:tcW w:w="4645" w:type="dxa"/>
            <w:tcBorders>
              <w:top w:val="nil"/>
              <w:left w:val="nil"/>
              <w:bottom w:val="single" w:color="auto" w:sz="4" w:space="0"/>
              <w:right w:val="single" w:color="auto" w:sz="4" w:space="0"/>
            </w:tcBorders>
            <w:vAlign w:val="center"/>
          </w:tcPr>
          <w:p w14:paraId="2CF8EE89">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未配置消防安全器材的扣20分/处,到期未及时更新的扣10分/处。</w:t>
            </w:r>
          </w:p>
        </w:tc>
      </w:tr>
      <w:tr w14:paraId="30E363B3">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vAlign w:val="center"/>
          </w:tcPr>
          <w:p w14:paraId="5CFB1EEB">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2A742E0B">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（10）建立健全规范的安全生产及作业管理制度，制定科学合理的作业方案和计划；</w:t>
            </w:r>
          </w:p>
        </w:tc>
        <w:tc>
          <w:tcPr>
            <w:tcW w:w="4645" w:type="dxa"/>
            <w:tcBorders>
              <w:top w:val="nil"/>
              <w:left w:val="nil"/>
              <w:bottom w:val="single" w:color="auto" w:sz="4" w:space="0"/>
              <w:right w:val="single" w:color="auto" w:sz="4" w:space="0"/>
            </w:tcBorders>
            <w:vAlign w:val="center"/>
          </w:tcPr>
          <w:p w14:paraId="39B32BA3">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无安全生产培训计划的50分/次；无管理制度和作业方案、或计划不全的扣5分/次。</w:t>
            </w:r>
          </w:p>
        </w:tc>
      </w:tr>
      <w:tr w14:paraId="740777ED">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vAlign w:val="center"/>
          </w:tcPr>
          <w:p w14:paraId="727FE4FD">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466E4B3F">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(11)加强安全生产工作，确保人员、设备安全、稳定运行。</w:t>
            </w:r>
          </w:p>
        </w:tc>
        <w:tc>
          <w:tcPr>
            <w:tcW w:w="4645" w:type="dxa"/>
            <w:tcBorders>
              <w:top w:val="nil"/>
              <w:left w:val="nil"/>
              <w:bottom w:val="single" w:color="auto" w:sz="4" w:space="0"/>
              <w:right w:val="single" w:color="auto" w:sz="4" w:space="0"/>
            </w:tcBorders>
            <w:vAlign w:val="center"/>
          </w:tcPr>
          <w:p w14:paraId="45458773">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 xml:space="preserve">发生重大安全生产事故造成重大社会影响的扣300分/次，在事故中出现人员死亡的加扣200分/人次。 </w:t>
            </w:r>
          </w:p>
        </w:tc>
      </w:tr>
      <w:tr w14:paraId="187DC2E0">
        <w:tblPrEx>
          <w:tblCellMar>
            <w:top w:w="0" w:type="dxa"/>
            <w:left w:w="108" w:type="dxa"/>
            <w:bottom w:w="0" w:type="dxa"/>
            <w:right w:w="108" w:type="dxa"/>
          </w:tblCellMar>
        </w:tblPrEx>
        <w:trPr>
          <w:trHeight w:val="600" w:hRule="atLeast"/>
        </w:trPr>
        <w:tc>
          <w:tcPr>
            <w:tcW w:w="1752" w:type="dxa"/>
            <w:gridSpan w:val="2"/>
            <w:vMerge w:val="restart"/>
            <w:tcBorders>
              <w:top w:val="single" w:color="auto" w:sz="4" w:space="0"/>
              <w:left w:val="single" w:color="auto" w:sz="4" w:space="0"/>
              <w:bottom w:val="single" w:color="auto" w:sz="4" w:space="0"/>
              <w:right w:val="single" w:color="auto" w:sz="4" w:space="0"/>
            </w:tcBorders>
            <w:vAlign w:val="center"/>
          </w:tcPr>
          <w:p w14:paraId="65DAD162">
            <w:pPr>
              <w:widowControl/>
              <w:snapToGrid w:val="0"/>
              <w:spacing w:line="360" w:lineRule="auto"/>
              <w:jc w:val="center"/>
              <w:rPr>
                <w:rFonts w:ascii="宋体" w:hAnsi="宋体" w:cs="宋体"/>
                <w:kern w:val="0"/>
                <w:szCs w:val="21"/>
                <w:highlight w:val="none"/>
              </w:rPr>
            </w:pPr>
            <w:r>
              <w:rPr>
                <w:rFonts w:hint="eastAsia" w:ascii="宋体" w:hAnsi="宋体" w:cs="宋体"/>
                <w:kern w:val="0"/>
                <w:szCs w:val="21"/>
                <w:highlight w:val="none"/>
              </w:rPr>
              <w:t>（四)</w:t>
            </w:r>
            <w:r>
              <w:rPr>
                <w:rFonts w:hint="eastAsia" w:ascii="宋体" w:hAnsi="宋体" w:cs="宋体"/>
                <w:kern w:val="0"/>
                <w:szCs w:val="21"/>
                <w:highlight w:val="none"/>
              </w:rPr>
              <w:br w:type="textWrapping"/>
            </w:r>
            <w:r>
              <w:rPr>
                <w:rFonts w:hint="eastAsia" w:ascii="宋体" w:hAnsi="宋体" w:cs="宋体"/>
                <w:kern w:val="0"/>
                <w:szCs w:val="21"/>
                <w:highlight w:val="none"/>
              </w:rPr>
              <w:t>内</w:t>
            </w:r>
            <w:r>
              <w:rPr>
                <w:rFonts w:hint="eastAsia" w:ascii="宋体" w:hAnsi="宋体" w:cs="宋体"/>
                <w:kern w:val="0"/>
                <w:szCs w:val="21"/>
                <w:highlight w:val="none"/>
              </w:rPr>
              <w:br w:type="textWrapping"/>
            </w:r>
            <w:r>
              <w:rPr>
                <w:rFonts w:hint="eastAsia" w:ascii="宋体" w:hAnsi="宋体" w:cs="宋体"/>
                <w:kern w:val="0"/>
                <w:szCs w:val="21"/>
                <w:highlight w:val="none"/>
              </w:rPr>
              <w:t>部</w:t>
            </w:r>
            <w:r>
              <w:rPr>
                <w:rFonts w:hint="eastAsia" w:ascii="宋体" w:hAnsi="宋体" w:cs="宋体"/>
                <w:kern w:val="0"/>
                <w:szCs w:val="21"/>
                <w:highlight w:val="none"/>
              </w:rPr>
              <w:br w:type="textWrapping"/>
            </w:r>
            <w:r>
              <w:rPr>
                <w:rFonts w:hint="eastAsia" w:ascii="宋体" w:hAnsi="宋体" w:cs="宋体"/>
                <w:kern w:val="0"/>
                <w:szCs w:val="21"/>
                <w:highlight w:val="none"/>
              </w:rPr>
              <w:t>管</w:t>
            </w:r>
            <w:r>
              <w:rPr>
                <w:rFonts w:hint="eastAsia" w:ascii="宋体" w:hAnsi="宋体" w:cs="宋体"/>
                <w:kern w:val="0"/>
                <w:szCs w:val="21"/>
                <w:highlight w:val="none"/>
              </w:rPr>
              <w:br w:type="textWrapping"/>
            </w:r>
            <w:r>
              <w:rPr>
                <w:rFonts w:hint="eastAsia" w:ascii="宋体" w:hAnsi="宋体" w:cs="宋体"/>
                <w:kern w:val="0"/>
                <w:szCs w:val="21"/>
                <w:highlight w:val="none"/>
              </w:rPr>
              <w:t>理</w:t>
            </w:r>
            <w:r>
              <w:rPr>
                <w:rFonts w:hint="eastAsia" w:ascii="宋体" w:hAnsi="宋体" w:cs="宋体"/>
                <w:kern w:val="0"/>
                <w:szCs w:val="21"/>
                <w:highlight w:val="none"/>
              </w:rPr>
              <w:br w:type="textWrapping"/>
            </w:r>
            <w:r>
              <w:rPr>
                <w:rFonts w:hint="eastAsia" w:ascii="宋体" w:hAnsi="宋体" w:cs="宋体"/>
                <w:kern w:val="0"/>
                <w:szCs w:val="21"/>
                <w:highlight w:val="none"/>
              </w:rPr>
              <w:t>指</w:t>
            </w:r>
            <w:r>
              <w:rPr>
                <w:rFonts w:hint="eastAsia" w:ascii="宋体" w:hAnsi="宋体" w:cs="宋体"/>
                <w:kern w:val="0"/>
                <w:szCs w:val="21"/>
                <w:highlight w:val="none"/>
              </w:rPr>
              <w:br w:type="textWrapping"/>
            </w:r>
            <w:r>
              <w:rPr>
                <w:rFonts w:hint="eastAsia" w:ascii="宋体" w:hAnsi="宋体" w:cs="宋体"/>
                <w:kern w:val="0"/>
                <w:szCs w:val="21"/>
                <w:highlight w:val="none"/>
              </w:rPr>
              <w:t>标</w:t>
            </w:r>
            <w:r>
              <w:rPr>
                <w:rFonts w:hint="eastAsia" w:ascii="宋体" w:hAnsi="宋体" w:cs="宋体"/>
                <w:kern w:val="0"/>
                <w:szCs w:val="21"/>
                <w:highlight w:val="none"/>
              </w:rPr>
              <w:br w:type="textWrapping"/>
            </w:r>
          </w:p>
        </w:tc>
        <w:tc>
          <w:tcPr>
            <w:tcW w:w="3315" w:type="dxa"/>
            <w:tcBorders>
              <w:top w:val="nil"/>
              <w:left w:val="nil"/>
              <w:bottom w:val="single" w:color="auto" w:sz="4" w:space="0"/>
              <w:right w:val="single" w:color="auto" w:sz="4" w:space="0"/>
            </w:tcBorders>
            <w:vAlign w:val="center"/>
          </w:tcPr>
          <w:p w14:paraId="28B04786">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(1)内部规章制度齐全，作业方案完善。管理人员岗位职责明确，工作流程规范，台账齐全；</w:t>
            </w:r>
          </w:p>
        </w:tc>
        <w:tc>
          <w:tcPr>
            <w:tcW w:w="4645" w:type="dxa"/>
            <w:tcBorders>
              <w:top w:val="nil"/>
              <w:left w:val="nil"/>
              <w:bottom w:val="single" w:color="auto" w:sz="4" w:space="0"/>
              <w:right w:val="single" w:color="auto" w:sz="4" w:space="0"/>
            </w:tcBorders>
            <w:vAlign w:val="center"/>
          </w:tcPr>
          <w:p w14:paraId="08D399A3">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规章制度不齐全的扣10分/次；管理人员岗位职责不明确明确、工作流程规范、台账不齐全的扣10分/次。</w:t>
            </w:r>
          </w:p>
        </w:tc>
      </w:tr>
      <w:tr w14:paraId="450EEFF3">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single" w:color="auto" w:sz="4" w:space="0"/>
              <w:right w:val="single" w:color="auto" w:sz="4" w:space="0"/>
            </w:tcBorders>
            <w:vAlign w:val="center"/>
          </w:tcPr>
          <w:p w14:paraId="219A12BE">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74D3B4BC">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(2)每月的20日前提供员工的工资发放清单、社保和公积金清单；</w:t>
            </w:r>
          </w:p>
        </w:tc>
        <w:tc>
          <w:tcPr>
            <w:tcW w:w="4645" w:type="dxa"/>
            <w:tcBorders>
              <w:top w:val="nil"/>
              <w:left w:val="nil"/>
              <w:bottom w:val="single" w:color="auto" w:sz="4" w:space="0"/>
              <w:right w:val="single" w:color="auto" w:sz="4" w:space="0"/>
            </w:tcBorders>
            <w:vAlign w:val="center"/>
          </w:tcPr>
          <w:p w14:paraId="14D8826C">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不提供或提供不及时的扣20分/次；</w:t>
            </w:r>
          </w:p>
        </w:tc>
      </w:tr>
      <w:tr w14:paraId="567F712C">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single" w:color="auto" w:sz="4" w:space="0"/>
              <w:right w:val="single" w:color="auto" w:sz="4" w:space="0"/>
            </w:tcBorders>
            <w:vAlign w:val="center"/>
          </w:tcPr>
          <w:p w14:paraId="6E1487C4">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4895603D">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(3)加强对信息化装备的管理，落实专人负责，保证设备正常使用；</w:t>
            </w:r>
          </w:p>
        </w:tc>
        <w:tc>
          <w:tcPr>
            <w:tcW w:w="4645" w:type="dxa"/>
            <w:tcBorders>
              <w:top w:val="nil"/>
              <w:left w:val="nil"/>
              <w:bottom w:val="single" w:color="auto" w:sz="4" w:space="0"/>
              <w:right w:val="single" w:color="auto" w:sz="4" w:space="0"/>
            </w:tcBorders>
            <w:vAlign w:val="center"/>
          </w:tcPr>
          <w:p w14:paraId="1C3E360E">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装备管理不到位的扣10分/次；非正常损坏的按使用年限作价赔偿。人为关闭或擅自修改信息化设备的10分/人.次</w:t>
            </w:r>
          </w:p>
        </w:tc>
      </w:tr>
      <w:tr w14:paraId="0348E4D9">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single" w:color="auto" w:sz="4" w:space="0"/>
              <w:right w:val="single" w:color="auto" w:sz="4" w:space="0"/>
            </w:tcBorders>
            <w:vAlign w:val="center"/>
          </w:tcPr>
          <w:p w14:paraId="6F3726DF">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477DF6A2">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(4)按照规定时间登录、退出工作系统；不得擅自关闭信息化系统；</w:t>
            </w:r>
          </w:p>
        </w:tc>
        <w:tc>
          <w:tcPr>
            <w:tcW w:w="4645" w:type="dxa"/>
            <w:tcBorders>
              <w:top w:val="nil"/>
              <w:left w:val="nil"/>
              <w:bottom w:val="single" w:color="auto" w:sz="4" w:space="0"/>
              <w:right w:val="single" w:color="auto" w:sz="4" w:space="0"/>
            </w:tcBorders>
            <w:vAlign w:val="center"/>
          </w:tcPr>
          <w:p w14:paraId="14C6A67E">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每发生一起的扣1分/人。</w:t>
            </w:r>
          </w:p>
        </w:tc>
      </w:tr>
      <w:tr w14:paraId="4449DA80">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single" w:color="auto" w:sz="4" w:space="0"/>
              <w:right w:val="single" w:color="auto" w:sz="4" w:space="0"/>
            </w:tcBorders>
            <w:vAlign w:val="center"/>
          </w:tcPr>
          <w:p w14:paraId="47766299">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58A72044">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（5）按照规定时间进入和离开作业区域；</w:t>
            </w:r>
          </w:p>
        </w:tc>
        <w:tc>
          <w:tcPr>
            <w:tcW w:w="4645" w:type="dxa"/>
            <w:tcBorders>
              <w:top w:val="nil"/>
              <w:left w:val="nil"/>
              <w:bottom w:val="single" w:color="auto" w:sz="4" w:space="0"/>
              <w:right w:val="single" w:color="auto" w:sz="4" w:space="0"/>
            </w:tcBorders>
            <w:vAlign w:val="center"/>
          </w:tcPr>
          <w:p w14:paraId="3D4823F8">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未按规定时间进入和离开作业区域1分/人。</w:t>
            </w:r>
          </w:p>
        </w:tc>
      </w:tr>
      <w:tr w14:paraId="645E73C6">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single" w:color="auto" w:sz="4" w:space="0"/>
              <w:right w:val="single" w:color="auto" w:sz="4" w:space="0"/>
            </w:tcBorders>
            <w:vAlign w:val="center"/>
          </w:tcPr>
          <w:p w14:paraId="3F5480B7">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7FDF68E5">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（6）工作期间不得从事和工作无关活动；不得进入非指定休息点休息；</w:t>
            </w:r>
          </w:p>
        </w:tc>
        <w:tc>
          <w:tcPr>
            <w:tcW w:w="4645" w:type="dxa"/>
            <w:tcBorders>
              <w:top w:val="nil"/>
              <w:left w:val="nil"/>
              <w:bottom w:val="single" w:color="auto" w:sz="4" w:space="0"/>
              <w:right w:val="single" w:color="auto" w:sz="4" w:space="0"/>
            </w:tcBorders>
            <w:vAlign w:val="center"/>
          </w:tcPr>
          <w:p w14:paraId="289C084C">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工作期间从事和工作无关活动或进入非指定休息点休息5分/人。</w:t>
            </w:r>
          </w:p>
        </w:tc>
      </w:tr>
      <w:tr w14:paraId="397C777E">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single" w:color="auto" w:sz="4" w:space="0"/>
              <w:right w:val="single" w:color="auto" w:sz="4" w:space="0"/>
            </w:tcBorders>
            <w:vAlign w:val="center"/>
          </w:tcPr>
          <w:p w14:paraId="167EEF6C">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2544A6F6">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（7）必须准时参加环卫部门召集的会议；必须服从、落实环卫部门下达的工作指令和组织开展的活动；必须无条件接受环卫部门的检查和指导；</w:t>
            </w:r>
          </w:p>
        </w:tc>
        <w:tc>
          <w:tcPr>
            <w:tcW w:w="4645" w:type="dxa"/>
            <w:tcBorders>
              <w:top w:val="nil"/>
              <w:left w:val="nil"/>
              <w:bottom w:val="single" w:color="auto" w:sz="4" w:space="0"/>
              <w:right w:val="single" w:color="auto" w:sz="4" w:space="0"/>
            </w:tcBorders>
            <w:vAlign w:val="center"/>
          </w:tcPr>
          <w:p w14:paraId="05339838">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无正当理由不参加、不服从、不落实环卫部门下达的会议和工作指令的，或者不参加环卫部门组织开展的活动的扣20分。拒绝或回避环卫部门检查指导的扣50分，严重的终止合同。</w:t>
            </w:r>
          </w:p>
        </w:tc>
      </w:tr>
      <w:tr w14:paraId="449CAEDA">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single" w:color="auto" w:sz="4" w:space="0"/>
              <w:right w:val="single" w:color="auto" w:sz="4" w:space="0"/>
            </w:tcBorders>
            <w:vAlign w:val="center"/>
          </w:tcPr>
          <w:p w14:paraId="69D9016C">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36F6DB85">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（8）要有各类应急响应机制和预案；要完成环卫部门下达的应急任务；</w:t>
            </w:r>
          </w:p>
        </w:tc>
        <w:tc>
          <w:tcPr>
            <w:tcW w:w="4645" w:type="dxa"/>
            <w:tcBorders>
              <w:top w:val="nil"/>
              <w:left w:val="nil"/>
              <w:bottom w:val="single" w:color="auto" w:sz="4" w:space="0"/>
              <w:right w:val="single" w:color="auto" w:sz="4" w:space="0"/>
            </w:tcBorders>
            <w:vAlign w:val="center"/>
          </w:tcPr>
          <w:p w14:paraId="2F0107BF">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没有指定各类应急响应机制和预案的扣20分/人；未完成环卫部门下达的应急任务的扣20分/次。</w:t>
            </w:r>
          </w:p>
        </w:tc>
      </w:tr>
      <w:tr w14:paraId="7CC836AD">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single" w:color="auto" w:sz="4" w:space="0"/>
              <w:right w:val="single" w:color="auto" w:sz="4" w:space="0"/>
            </w:tcBorders>
            <w:vAlign w:val="center"/>
          </w:tcPr>
          <w:p w14:paraId="70943875">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11B4983D">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（9）上报的数据材料准确性与及时性；</w:t>
            </w:r>
          </w:p>
        </w:tc>
        <w:tc>
          <w:tcPr>
            <w:tcW w:w="4645" w:type="dxa"/>
            <w:tcBorders>
              <w:top w:val="nil"/>
              <w:left w:val="nil"/>
              <w:bottom w:val="single" w:color="auto" w:sz="4" w:space="0"/>
              <w:right w:val="single" w:color="auto" w:sz="4" w:space="0"/>
            </w:tcBorders>
            <w:vAlign w:val="center"/>
          </w:tcPr>
          <w:p w14:paraId="06BD96C7">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上报不及时的扣5分/次，发现弄虚作假的扣10分/次。</w:t>
            </w:r>
          </w:p>
        </w:tc>
      </w:tr>
      <w:tr w14:paraId="6D9D53BD">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single" w:color="auto" w:sz="4" w:space="0"/>
              <w:right w:val="single" w:color="auto" w:sz="4" w:space="0"/>
            </w:tcBorders>
            <w:vAlign w:val="center"/>
          </w:tcPr>
          <w:p w14:paraId="15D2C289">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6E7E2332">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（10）要加强宣传力度，及时完成宣传任务；</w:t>
            </w:r>
          </w:p>
        </w:tc>
        <w:tc>
          <w:tcPr>
            <w:tcW w:w="4645" w:type="dxa"/>
            <w:tcBorders>
              <w:top w:val="nil"/>
              <w:left w:val="nil"/>
              <w:bottom w:val="single" w:color="auto" w:sz="4" w:space="0"/>
              <w:right w:val="single" w:color="auto" w:sz="4" w:space="0"/>
            </w:tcBorders>
            <w:vAlign w:val="center"/>
          </w:tcPr>
          <w:p w14:paraId="0A9F444B">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未完成任务的扣20分/次。</w:t>
            </w:r>
          </w:p>
        </w:tc>
      </w:tr>
      <w:tr w14:paraId="1ADB0A10">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single" w:color="auto" w:sz="4" w:space="0"/>
              <w:right w:val="single" w:color="auto" w:sz="4" w:space="0"/>
            </w:tcBorders>
            <w:vAlign w:val="center"/>
          </w:tcPr>
          <w:p w14:paraId="1AF3A105">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45CD14E1">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（11）非超龄人员占比；</w:t>
            </w:r>
          </w:p>
        </w:tc>
        <w:tc>
          <w:tcPr>
            <w:tcW w:w="4645" w:type="dxa"/>
            <w:tcBorders>
              <w:top w:val="nil"/>
              <w:left w:val="nil"/>
              <w:bottom w:val="single" w:color="auto" w:sz="4" w:space="0"/>
              <w:right w:val="single" w:color="auto" w:sz="4" w:space="0"/>
            </w:tcBorders>
            <w:vAlign w:val="center"/>
          </w:tcPr>
          <w:p w14:paraId="50B5DD28">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与招标文件不符，弄虚作假的扣5分/次。</w:t>
            </w:r>
          </w:p>
        </w:tc>
      </w:tr>
      <w:tr w14:paraId="0E24980A">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single" w:color="auto" w:sz="4" w:space="0"/>
              <w:right w:val="single" w:color="auto" w:sz="4" w:space="0"/>
            </w:tcBorders>
            <w:vAlign w:val="center"/>
          </w:tcPr>
          <w:p w14:paraId="397C4B56">
            <w:pPr>
              <w:widowControl/>
              <w:snapToGrid w:val="0"/>
              <w:spacing w:line="360" w:lineRule="auto"/>
              <w:jc w:val="left"/>
              <w:rPr>
                <w:rFonts w:ascii="宋体" w:hAnsi="宋体" w:cs="宋体"/>
                <w:kern w:val="0"/>
                <w:szCs w:val="21"/>
                <w:highlight w:val="none"/>
              </w:rPr>
            </w:pPr>
          </w:p>
        </w:tc>
        <w:tc>
          <w:tcPr>
            <w:tcW w:w="3315" w:type="dxa"/>
            <w:tcBorders>
              <w:top w:val="nil"/>
              <w:left w:val="nil"/>
              <w:bottom w:val="single" w:color="auto" w:sz="4" w:space="0"/>
              <w:right w:val="single" w:color="auto" w:sz="4" w:space="0"/>
            </w:tcBorders>
            <w:vAlign w:val="center"/>
          </w:tcPr>
          <w:p w14:paraId="704F3DCE">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（12）作业人员的奖励与福利；</w:t>
            </w:r>
          </w:p>
        </w:tc>
        <w:tc>
          <w:tcPr>
            <w:tcW w:w="4645" w:type="dxa"/>
            <w:tcBorders>
              <w:top w:val="nil"/>
              <w:left w:val="nil"/>
              <w:bottom w:val="single" w:color="auto" w:sz="4" w:space="0"/>
              <w:right w:val="single" w:color="auto" w:sz="4" w:space="0"/>
            </w:tcBorders>
            <w:vAlign w:val="center"/>
          </w:tcPr>
          <w:p w14:paraId="7081B00B">
            <w:pPr>
              <w:widowControl/>
              <w:snapToGrid w:val="0"/>
              <w:spacing w:line="360" w:lineRule="auto"/>
              <w:jc w:val="left"/>
              <w:rPr>
                <w:rFonts w:ascii="宋体" w:hAnsi="宋体" w:cs="宋体"/>
                <w:kern w:val="0"/>
                <w:szCs w:val="21"/>
                <w:highlight w:val="none"/>
              </w:rPr>
            </w:pPr>
            <w:r>
              <w:rPr>
                <w:rFonts w:hint="eastAsia" w:ascii="宋体" w:hAnsi="宋体" w:cs="宋体"/>
                <w:kern w:val="0"/>
                <w:szCs w:val="21"/>
                <w:highlight w:val="none"/>
              </w:rPr>
              <w:t>与招标文件不符，弄虚作假的扣5分/次。</w:t>
            </w:r>
          </w:p>
        </w:tc>
      </w:tr>
    </w:tbl>
    <w:p w14:paraId="23151D83">
      <w:pPr>
        <w:pStyle w:val="3"/>
        <w:rPr>
          <w:highlight w:val="none"/>
        </w:rPr>
      </w:pPr>
    </w:p>
    <w:p w14:paraId="603DC9FF">
      <w:pPr>
        <w:rPr>
          <w:highlight w:val="none"/>
        </w:rPr>
      </w:pPr>
    </w:p>
    <w:p w14:paraId="4B00B026">
      <w:pPr>
        <w:rPr>
          <w:highlight w:val="none"/>
        </w:rPr>
      </w:pPr>
    </w:p>
    <w:p w14:paraId="2999DEBF">
      <w:pPr>
        <w:rPr>
          <w:highlight w:val="none"/>
        </w:rPr>
      </w:pPr>
    </w:p>
    <w:p w14:paraId="2488AD65">
      <w:pPr>
        <w:rPr>
          <w:highlight w:val="none"/>
        </w:rPr>
      </w:pPr>
    </w:p>
    <w:p w14:paraId="0EA30D41">
      <w:pPr>
        <w:spacing w:line="360" w:lineRule="auto"/>
        <w:rPr>
          <w:rFonts w:ascii="宋体" w:hAnsi="宋体" w:cs="宋体"/>
          <w:b/>
          <w:bCs/>
          <w:kern w:val="0"/>
          <w:szCs w:val="21"/>
          <w:highlight w:val="none"/>
        </w:rPr>
      </w:pPr>
      <w:r>
        <w:rPr>
          <w:rFonts w:ascii="黑体" w:hAnsi="宋体" w:eastAsia="黑体" w:cs="黑体"/>
          <w:kern w:val="0"/>
          <w:sz w:val="31"/>
          <w:szCs w:val="31"/>
          <w:highlight w:val="none"/>
          <w:lang w:bidi="ar"/>
        </w:rPr>
        <w:br w:type="page"/>
      </w:r>
      <w:r>
        <w:rPr>
          <w:rFonts w:hint="eastAsia" w:ascii="宋体" w:hAnsi="宋体" w:cs="宋体"/>
          <w:b/>
          <w:bCs/>
          <w:kern w:val="0"/>
          <w:szCs w:val="21"/>
          <w:highlight w:val="none"/>
        </w:rPr>
        <w:t>附件 2：各级考核考评标准</w:t>
      </w:r>
    </w:p>
    <w:tbl>
      <w:tblPr>
        <w:tblStyle w:val="9"/>
        <w:tblpPr w:leftFromText="180" w:rightFromText="180" w:vertAnchor="text" w:horzAnchor="page" w:tblpX="1150" w:tblpY="204"/>
        <w:tblOverlap w:val="never"/>
        <w:tblW w:w="5201" w:type="pct"/>
        <w:tblInd w:w="0" w:type="dxa"/>
        <w:tblLayout w:type="autofit"/>
        <w:tblCellMar>
          <w:top w:w="0" w:type="dxa"/>
          <w:left w:w="108" w:type="dxa"/>
          <w:bottom w:w="0" w:type="dxa"/>
          <w:right w:w="108" w:type="dxa"/>
        </w:tblCellMar>
      </w:tblPr>
      <w:tblGrid>
        <w:gridCol w:w="1864"/>
        <w:gridCol w:w="4634"/>
        <w:gridCol w:w="3752"/>
      </w:tblGrid>
      <w:tr w14:paraId="440B0AB3">
        <w:tblPrEx>
          <w:tblCellMar>
            <w:top w:w="0" w:type="dxa"/>
            <w:left w:w="108" w:type="dxa"/>
            <w:bottom w:w="0" w:type="dxa"/>
            <w:right w:w="108" w:type="dxa"/>
          </w:tblCellMar>
        </w:tblPrEx>
        <w:trPr>
          <w:trHeight w:val="485" w:hRule="atLeast"/>
        </w:trPr>
        <w:tc>
          <w:tcPr>
            <w:tcW w:w="909" w:type="pct"/>
            <w:tcBorders>
              <w:top w:val="single" w:color="auto" w:sz="4" w:space="0"/>
              <w:left w:val="single" w:color="auto" w:sz="4" w:space="0"/>
              <w:bottom w:val="single" w:color="auto" w:sz="4" w:space="0"/>
              <w:right w:val="single" w:color="auto" w:sz="4" w:space="0"/>
            </w:tcBorders>
            <w:vAlign w:val="center"/>
          </w:tcPr>
          <w:p w14:paraId="71BE2B4D">
            <w:pPr>
              <w:widowControl/>
              <w:snapToGrid w:val="0"/>
              <w:spacing w:line="360" w:lineRule="auto"/>
              <w:jc w:val="center"/>
              <w:textAlignment w:val="center"/>
              <w:rPr>
                <w:rFonts w:ascii="宋体" w:hAnsi="宋体" w:cs="宋体"/>
                <w:b/>
                <w:bCs/>
                <w:kern w:val="0"/>
                <w:szCs w:val="21"/>
                <w:highlight w:val="none"/>
                <w:lang w:bidi="ar"/>
              </w:rPr>
            </w:pPr>
            <w:r>
              <w:rPr>
                <w:rFonts w:hint="eastAsia" w:ascii="宋体" w:hAnsi="宋体" w:cs="宋体"/>
                <w:b/>
                <w:bCs/>
                <w:kern w:val="0"/>
                <w:szCs w:val="21"/>
                <w:highlight w:val="none"/>
                <w:lang w:bidi="ar"/>
              </w:rPr>
              <w:t>考评项目</w:t>
            </w:r>
          </w:p>
        </w:tc>
        <w:tc>
          <w:tcPr>
            <w:tcW w:w="2260" w:type="pct"/>
            <w:tcBorders>
              <w:top w:val="single" w:color="auto" w:sz="4" w:space="0"/>
              <w:left w:val="single" w:color="auto" w:sz="4" w:space="0"/>
              <w:bottom w:val="single" w:color="auto" w:sz="4" w:space="0"/>
              <w:right w:val="single" w:color="auto" w:sz="4" w:space="0"/>
            </w:tcBorders>
            <w:vAlign w:val="center"/>
          </w:tcPr>
          <w:p w14:paraId="7D821867">
            <w:pPr>
              <w:widowControl/>
              <w:snapToGrid w:val="0"/>
              <w:spacing w:line="360" w:lineRule="auto"/>
              <w:jc w:val="center"/>
              <w:textAlignment w:val="center"/>
              <w:rPr>
                <w:rFonts w:ascii="宋体" w:hAnsi="宋体" w:cs="宋体"/>
                <w:b/>
                <w:bCs/>
                <w:kern w:val="0"/>
                <w:szCs w:val="21"/>
                <w:highlight w:val="none"/>
                <w:lang w:bidi="ar"/>
              </w:rPr>
            </w:pPr>
            <w:r>
              <w:rPr>
                <w:rFonts w:hint="eastAsia" w:ascii="宋体" w:hAnsi="宋体" w:cs="宋体"/>
                <w:b/>
                <w:bCs/>
                <w:kern w:val="0"/>
                <w:szCs w:val="21"/>
                <w:highlight w:val="none"/>
                <w:lang w:bidi="ar"/>
              </w:rPr>
              <w:t>考评评分内容</w:t>
            </w:r>
          </w:p>
        </w:tc>
        <w:tc>
          <w:tcPr>
            <w:tcW w:w="1830" w:type="pct"/>
            <w:tcBorders>
              <w:top w:val="single" w:color="auto" w:sz="4" w:space="0"/>
              <w:left w:val="single" w:color="auto" w:sz="4" w:space="0"/>
              <w:bottom w:val="single" w:color="auto" w:sz="4" w:space="0"/>
              <w:right w:val="single" w:color="auto" w:sz="4" w:space="0"/>
            </w:tcBorders>
            <w:vAlign w:val="center"/>
          </w:tcPr>
          <w:p w14:paraId="30A60B0B">
            <w:pPr>
              <w:widowControl/>
              <w:snapToGrid w:val="0"/>
              <w:spacing w:line="360" w:lineRule="auto"/>
              <w:jc w:val="center"/>
              <w:textAlignment w:val="center"/>
              <w:rPr>
                <w:rFonts w:ascii="宋体" w:hAnsi="宋体" w:cs="宋体"/>
                <w:b/>
                <w:bCs/>
                <w:kern w:val="0"/>
                <w:szCs w:val="21"/>
                <w:highlight w:val="none"/>
                <w:lang w:bidi="ar"/>
              </w:rPr>
            </w:pPr>
            <w:r>
              <w:rPr>
                <w:rFonts w:hint="eastAsia" w:ascii="宋体" w:hAnsi="宋体" w:cs="宋体"/>
                <w:b/>
                <w:bCs/>
                <w:kern w:val="0"/>
                <w:szCs w:val="21"/>
                <w:highlight w:val="none"/>
                <w:lang w:bidi="ar"/>
              </w:rPr>
              <w:t>考核扣款标准</w:t>
            </w:r>
          </w:p>
        </w:tc>
      </w:tr>
      <w:tr w14:paraId="3120C13F">
        <w:tblPrEx>
          <w:tblCellMar>
            <w:top w:w="0" w:type="dxa"/>
            <w:left w:w="108" w:type="dxa"/>
            <w:bottom w:w="0" w:type="dxa"/>
            <w:right w:w="108" w:type="dxa"/>
          </w:tblCellMar>
        </w:tblPrEx>
        <w:trPr>
          <w:trHeight w:val="1446" w:hRule="atLeast"/>
        </w:trPr>
        <w:tc>
          <w:tcPr>
            <w:tcW w:w="909" w:type="pct"/>
            <w:tcBorders>
              <w:top w:val="single" w:color="auto" w:sz="4" w:space="0"/>
              <w:left w:val="single" w:color="auto" w:sz="4" w:space="0"/>
              <w:bottom w:val="single" w:color="auto" w:sz="4" w:space="0"/>
              <w:right w:val="single" w:color="auto" w:sz="4" w:space="0"/>
            </w:tcBorders>
            <w:vAlign w:val="center"/>
          </w:tcPr>
          <w:p w14:paraId="49F77625">
            <w:pPr>
              <w:snapToGrid w:val="0"/>
              <w:spacing w:line="360" w:lineRule="auto"/>
              <w:jc w:val="center"/>
              <w:rPr>
                <w:rFonts w:ascii="宋体" w:hAnsi="宋体" w:cs="宋体"/>
                <w:b/>
                <w:bCs/>
                <w:szCs w:val="21"/>
                <w:highlight w:val="none"/>
              </w:rPr>
            </w:pPr>
            <w:r>
              <w:rPr>
                <w:rFonts w:hint="eastAsia" w:ascii="宋体" w:hAnsi="宋体" w:cs="宋体"/>
                <w:b/>
                <w:bCs/>
                <w:szCs w:val="21"/>
                <w:highlight w:val="none"/>
              </w:rPr>
              <w:t xml:space="preserve">苏州级考核    </w:t>
            </w:r>
          </w:p>
        </w:tc>
        <w:tc>
          <w:tcPr>
            <w:tcW w:w="2260" w:type="pct"/>
            <w:tcBorders>
              <w:top w:val="single" w:color="auto" w:sz="4" w:space="0"/>
              <w:left w:val="single" w:color="auto" w:sz="4" w:space="0"/>
              <w:bottom w:val="single" w:color="auto" w:sz="4" w:space="0"/>
              <w:right w:val="single" w:color="auto" w:sz="4" w:space="0"/>
            </w:tcBorders>
            <w:vAlign w:val="center"/>
          </w:tcPr>
          <w:p w14:paraId="592C7A49">
            <w:pPr>
              <w:widowControl/>
              <w:snapToGrid w:val="0"/>
              <w:spacing w:line="360" w:lineRule="auto"/>
              <w:textAlignment w:val="center"/>
              <w:rPr>
                <w:rFonts w:ascii="宋体" w:hAnsi="宋体" w:cs="宋体"/>
                <w:kern w:val="0"/>
                <w:szCs w:val="21"/>
                <w:highlight w:val="none"/>
                <w:lang w:bidi="ar"/>
              </w:rPr>
            </w:pPr>
            <w:r>
              <w:rPr>
                <w:rFonts w:hint="eastAsia" w:ascii="宋体" w:hAnsi="宋体" w:cs="宋体"/>
                <w:kern w:val="0"/>
                <w:szCs w:val="21"/>
                <w:highlight w:val="none"/>
                <w:lang w:bidi="ar"/>
              </w:rPr>
              <w:t>根据苏州市环卫处考核区镇扣分情况，归属各作业标段总分进行扣款</w:t>
            </w:r>
          </w:p>
        </w:tc>
        <w:tc>
          <w:tcPr>
            <w:tcW w:w="1830" w:type="pct"/>
            <w:tcBorders>
              <w:top w:val="single" w:color="auto" w:sz="4" w:space="0"/>
              <w:left w:val="single" w:color="auto" w:sz="4" w:space="0"/>
              <w:bottom w:val="single" w:color="auto" w:sz="4" w:space="0"/>
              <w:right w:val="single" w:color="auto" w:sz="4" w:space="0"/>
            </w:tcBorders>
            <w:vAlign w:val="center"/>
          </w:tcPr>
          <w:p w14:paraId="2803736E">
            <w:pPr>
              <w:widowControl/>
              <w:snapToGrid w:val="0"/>
              <w:spacing w:line="360" w:lineRule="auto"/>
              <w:textAlignment w:val="center"/>
              <w:rPr>
                <w:rFonts w:ascii="宋体" w:hAnsi="宋体" w:cs="宋体"/>
                <w:szCs w:val="21"/>
                <w:highlight w:val="none"/>
              </w:rPr>
            </w:pPr>
            <w:r>
              <w:rPr>
                <w:rFonts w:hint="eastAsia" w:ascii="宋体" w:hAnsi="宋体" w:cs="宋体"/>
                <w:szCs w:val="21"/>
                <w:highlight w:val="none"/>
              </w:rPr>
              <w:t>1-10分，300元/分；</w:t>
            </w:r>
          </w:p>
          <w:p w14:paraId="68F34B9E">
            <w:pPr>
              <w:widowControl/>
              <w:snapToGrid w:val="0"/>
              <w:spacing w:line="360" w:lineRule="auto"/>
              <w:textAlignment w:val="center"/>
              <w:rPr>
                <w:rFonts w:ascii="宋体" w:hAnsi="宋体" w:cs="宋体"/>
                <w:szCs w:val="21"/>
                <w:highlight w:val="none"/>
              </w:rPr>
            </w:pPr>
            <w:r>
              <w:rPr>
                <w:rFonts w:hint="eastAsia" w:ascii="宋体" w:hAnsi="宋体" w:cs="宋体"/>
                <w:szCs w:val="21"/>
                <w:highlight w:val="none"/>
              </w:rPr>
              <w:t>11-20分，500元/分；</w:t>
            </w:r>
          </w:p>
          <w:p w14:paraId="7C91EA17">
            <w:pPr>
              <w:widowControl/>
              <w:snapToGrid w:val="0"/>
              <w:spacing w:line="360" w:lineRule="auto"/>
              <w:textAlignment w:val="center"/>
              <w:rPr>
                <w:rFonts w:ascii="宋体" w:hAnsi="宋体" w:cs="宋体"/>
                <w:szCs w:val="21"/>
                <w:highlight w:val="none"/>
              </w:rPr>
            </w:pPr>
            <w:r>
              <w:rPr>
                <w:rFonts w:hint="eastAsia" w:ascii="宋体" w:hAnsi="宋体" w:cs="宋体"/>
                <w:szCs w:val="21"/>
                <w:highlight w:val="none"/>
              </w:rPr>
              <w:t>21分以上，1000元/分。</w:t>
            </w:r>
          </w:p>
        </w:tc>
      </w:tr>
      <w:tr w14:paraId="459514FB">
        <w:tblPrEx>
          <w:tblCellMar>
            <w:top w:w="0" w:type="dxa"/>
            <w:left w:w="108" w:type="dxa"/>
            <w:bottom w:w="0" w:type="dxa"/>
            <w:right w:w="108" w:type="dxa"/>
          </w:tblCellMar>
        </w:tblPrEx>
        <w:trPr>
          <w:trHeight w:val="1951" w:hRule="atLeast"/>
        </w:trPr>
        <w:tc>
          <w:tcPr>
            <w:tcW w:w="909" w:type="pct"/>
            <w:tcBorders>
              <w:top w:val="single" w:color="auto" w:sz="4" w:space="0"/>
              <w:left w:val="single" w:color="auto" w:sz="4" w:space="0"/>
              <w:bottom w:val="single" w:color="auto" w:sz="4" w:space="0"/>
              <w:right w:val="single" w:color="auto" w:sz="4" w:space="0"/>
            </w:tcBorders>
            <w:vAlign w:val="center"/>
          </w:tcPr>
          <w:p w14:paraId="53A7A475">
            <w:pPr>
              <w:snapToGrid w:val="0"/>
              <w:spacing w:line="360" w:lineRule="auto"/>
              <w:jc w:val="center"/>
              <w:rPr>
                <w:rFonts w:ascii="宋体" w:hAnsi="宋体" w:cs="宋体"/>
                <w:b/>
                <w:bCs/>
                <w:szCs w:val="21"/>
                <w:highlight w:val="none"/>
              </w:rPr>
            </w:pPr>
            <w:r>
              <w:rPr>
                <w:rFonts w:hint="eastAsia" w:ascii="宋体" w:hAnsi="宋体" w:cs="宋体"/>
                <w:b/>
                <w:bCs/>
                <w:szCs w:val="21"/>
                <w:highlight w:val="none"/>
              </w:rPr>
              <w:t>昆山级考核</w:t>
            </w:r>
          </w:p>
        </w:tc>
        <w:tc>
          <w:tcPr>
            <w:tcW w:w="2260" w:type="pct"/>
            <w:tcBorders>
              <w:top w:val="single" w:color="auto" w:sz="4" w:space="0"/>
              <w:left w:val="single" w:color="auto" w:sz="4" w:space="0"/>
              <w:bottom w:val="single" w:color="auto" w:sz="4" w:space="0"/>
              <w:right w:val="single" w:color="auto" w:sz="4" w:space="0"/>
            </w:tcBorders>
            <w:vAlign w:val="center"/>
          </w:tcPr>
          <w:p w14:paraId="5799379D">
            <w:pPr>
              <w:widowControl/>
              <w:snapToGrid w:val="0"/>
              <w:spacing w:line="360" w:lineRule="auto"/>
              <w:textAlignment w:val="center"/>
              <w:rPr>
                <w:rFonts w:ascii="宋体" w:hAnsi="宋体" w:cs="宋体"/>
                <w:spacing w:val="14"/>
                <w:szCs w:val="21"/>
                <w:highlight w:val="none"/>
              </w:rPr>
            </w:pPr>
            <w:r>
              <w:rPr>
                <w:rFonts w:hint="eastAsia" w:ascii="宋体" w:hAnsi="宋体" w:cs="宋体"/>
                <w:kern w:val="0"/>
                <w:szCs w:val="21"/>
                <w:highlight w:val="none"/>
                <w:lang w:bidi="ar"/>
              </w:rPr>
              <w:t>根据昆山市环卫处考核区镇扣分情况，归属各作业标段总分进行扣款</w:t>
            </w:r>
          </w:p>
        </w:tc>
        <w:tc>
          <w:tcPr>
            <w:tcW w:w="1830" w:type="pct"/>
            <w:tcBorders>
              <w:top w:val="single" w:color="auto" w:sz="4" w:space="0"/>
              <w:left w:val="single" w:color="auto" w:sz="4" w:space="0"/>
              <w:bottom w:val="single" w:color="auto" w:sz="4" w:space="0"/>
              <w:right w:val="single" w:color="auto" w:sz="4" w:space="0"/>
            </w:tcBorders>
            <w:vAlign w:val="center"/>
          </w:tcPr>
          <w:p w14:paraId="671DEA8B">
            <w:pPr>
              <w:widowControl/>
              <w:snapToGrid w:val="0"/>
              <w:spacing w:line="360" w:lineRule="auto"/>
              <w:textAlignment w:val="center"/>
              <w:rPr>
                <w:rFonts w:ascii="宋体" w:hAnsi="宋体" w:cs="宋体"/>
                <w:szCs w:val="21"/>
                <w:highlight w:val="none"/>
              </w:rPr>
            </w:pPr>
            <w:r>
              <w:rPr>
                <w:rFonts w:hint="eastAsia" w:ascii="宋体" w:hAnsi="宋体" w:cs="宋体"/>
                <w:szCs w:val="21"/>
                <w:highlight w:val="none"/>
              </w:rPr>
              <w:t>1-30分，100元/分；</w:t>
            </w:r>
          </w:p>
          <w:p w14:paraId="27B579B8">
            <w:pPr>
              <w:widowControl/>
              <w:snapToGrid w:val="0"/>
              <w:spacing w:line="360" w:lineRule="auto"/>
              <w:textAlignment w:val="center"/>
              <w:rPr>
                <w:rFonts w:ascii="宋体" w:hAnsi="宋体" w:cs="宋体"/>
                <w:szCs w:val="21"/>
                <w:highlight w:val="none"/>
              </w:rPr>
            </w:pPr>
            <w:r>
              <w:rPr>
                <w:rFonts w:hint="eastAsia" w:ascii="宋体" w:hAnsi="宋体" w:cs="宋体"/>
                <w:szCs w:val="21"/>
                <w:highlight w:val="none"/>
              </w:rPr>
              <w:t>31-50分，200元/分；</w:t>
            </w:r>
          </w:p>
          <w:p w14:paraId="2EDBBAA0">
            <w:pPr>
              <w:widowControl/>
              <w:snapToGrid w:val="0"/>
              <w:spacing w:line="360" w:lineRule="auto"/>
              <w:textAlignment w:val="center"/>
              <w:rPr>
                <w:rFonts w:ascii="宋体" w:hAnsi="宋体" w:cs="宋体"/>
                <w:spacing w:val="26"/>
                <w:szCs w:val="21"/>
                <w:highlight w:val="none"/>
              </w:rPr>
            </w:pPr>
            <w:r>
              <w:rPr>
                <w:rFonts w:hint="eastAsia" w:ascii="宋体" w:hAnsi="宋体" w:cs="宋体"/>
                <w:szCs w:val="21"/>
                <w:highlight w:val="none"/>
              </w:rPr>
              <w:t>51分以上，500元/分。</w:t>
            </w:r>
          </w:p>
        </w:tc>
      </w:tr>
      <w:tr w14:paraId="714D1E15">
        <w:tblPrEx>
          <w:tblCellMar>
            <w:top w:w="0" w:type="dxa"/>
            <w:left w:w="108" w:type="dxa"/>
            <w:bottom w:w="0" w:type="dxa"/>
            <w:right w:w="108" w:type="dxa"/>
          </w:tblCellMar>
        </w:tblPrEx>
        <w:trPr>
          <w:trHeight w:val="1291" w:hRule="atLeast"/>
        </w:trPr>
        <w:tc>
          <w:tcPr>
            <w:tcW w:w="909" w:type="pct"/>
            <w:tcBorders>
              <w:top w:val="single" w:color="auto" w:sz="4" w:space="0"/>
              <w:left w:val="single" w:color="auto" w:sz="4" w:space="0"/>
              <w:bottom w:val="single" w:color="auto" w:sz="4" w:space="0"/>
              <w:right w:val="single" w:color="auto" w:sz="4" w:space="0"/>
            </w:tcBorders>
            <w:vAlign w:val="center"/>
          </w:tcPr>
          <w:p w14:paraId="3ECD386B">
            <w:pPr>
              <w:snapToGrid w:val="0"/>
              <w:spacing w:line="360" w:lineRule="auto"/>
              <w:jc w:val="center"/>
              <w:rPr>
                <w:rFonts w:ascii="宋体" w:hAnsi="宋体" w:cs="宋体"/>
                <w:b/>
                <w:bCs/>
                <w:szCs w:val="21"/>
                <w:highlight w:val="none"/>
              </w:rPr>
            </w:pPr>
            <w:r>
              <w:rPr>
                <w:rFonts w:hint="eastAsia" w:ascii="宋体" w:hAnsi="宋体" w:cs="宋体"/>
                <w:b/>
                <w:bCs/>
                <w:szCs w:val="21"/>
                <w:highlight w:val="none"/>
              </w:rPr>
              <w:t>本级考核</w:t>
            </w:r>
          </w:p>
        </w:tc>
        <w:tc>
          <w:tcPr>
            <w:tcW w:w="2260" w:type="pct"/>
            <w:tcBorders>
              <w:top w:val="single" w:color="auto" w:sz="4" w:space="0"/>
              <w:left w:val="single" w:color="auto" w:sz="4" w:space="0"/>
              <w:bottom w:val="single" w:color="auto" w:sz="4" w:space="0"/>
              <w:right w:val="single" w:color="auto" w:sz="4" w:space="0"/>
            </w:tcBorders>
            <w:vAlign w:val="center"/>
          </w:tcPr>
          <w:p w14:paraId="072E10CD">
            <w:pPr>
              <w:widowControl/>
              <w:snapToGrid w:val="0"/>
              <w:spacing w:line="360" w:lineRule="auto"/>
              <w:textAlignment w:val="center"/>
              <w:rPr>
                <w:rFonts w:ascii="宋体" w:hAnsi="宋体" w:cs="宋体"/>
                <w:kern w:val="0"/>
                <w:szCs w:val="21"/>
                <w:highlight w:val="none"/>
                <w:lang w:bidi="ar"/>
              </w:rPr>
            </w:pPr>
            <w:r>
              <w:rPr>
                <w:rFonts w:hint="eastAsia" w:ascii="宋体" w:hAnsi="宋体" w:cs="宋体"/>
                <w:kern w:val="0"/>
                <w:szCs w:val="21"/>
                <w:highlight w:val="none"/>
                <w:lang w:bidi="ar"/>
              </w:rPr>
              <w:t>每月不定期开展督查，对督查情况进行扣分</w:t>
            </w:r>
          </w:p>
        </w:tc>
        <w:tc>
          <w:tcPr>
            <w:tcW w:w="1830" w:type="pct"/>
            <w:tcBorders>
              <w:top w:val="single" w:color="auto" w:sz="4" w:space="0"/>
              <w:left w:val="single" w:color="auto" w:sz="4" w:space="0"/>
              <w:bottom w:val="single" w:color="auto" w:sz="4" w:space="0"/>
              <w:right w:val="single" w:color="auto" w:sz="4" w:space="0"/>
            </w:tcBorders>
            <w:vAlign w:val="center"/>
          </w:tcPr>
          <w:p w14:paraId="4B21D149">
            <w:pPr>
              <w:widowControl/>
              <w:snapToGrid w:val="0"/>
              <w:spacing w:line="360" w:lineRule="auto"/>
              <w:textAlignment w:val="center"/>
              <w:rPr>
                <w:rFonts w:ascii="宋体" w:hAnsi="宋体" w:cs="宋体"/>
                <w:szCs w:val="21"/>
                <w:highlight w:val="none"/>
              </w:rPr>
            </w:pPr>
            <w:r>
              <w:rPr>
                <w:rFonts w:hint="eastAsia" w:ascii="宋体" w:hAnsi="宋体" w:cs="宋体"/>
                <w:szCs w:val="21"/>
                <w:highlight w:val="none"/>
              </w:rPr>
              <w:t>100元/分</w:t>
            </w:r>
          </w:p>
        </w:tc>
      </w:tr>
      <w:tr w14:paraId="080319CE">
        <w:tblPrEx>
          <w:tblCellMar>
            <w:top w:w="0" w:type="dxa"/>
            <w:left w:w="108" w:type="dxa"/>
            <w:bottom w:w="0" w:type="dxa"/>
            <w:right w:w="108" w:type="dxa"/>
          </w:tblCellMar>
        </w:tblPrEx>
        <w:trPr>
          <w:trHeight w:val="1291" w:hRule="atLeast"/>
        </w:trPr>
        <w:tc>
          <w:tcPr>
            <w:tcW w:w="909" w:type="pct"/>
            <w:tcBorders>
              <w:top w:val="single" w:color="auto" w:sz="4" w:space="0"/>
              <w:left w:val="single" w:color="auto" w:sz="4" w:space="0"/>
              <w:bottom w:val="single" w:color="auto" w:sz="4" w:space="0"/>
              <w:right w:val="single" w:color="auto" w:sz="4" w:space="0"/>
            </w:tcBorders>
            <w:vAlign w:val="center"/>
          </w:tcPr>
          <w:p w14:paraId="0ED758AA">
            <w:pPr>
              <w:snapToGrid w:val="0"/>
              <w:spacing w:line="360" w:lineRule="auto"/>
              <w:jc w:val="center"/>
              <w:rPr>
                <w:rFonts w:ascii="宋体" w:hAnsi="宋体" w:cs="宋体"/>
                <w:b/>
                <w:bCs/>
                <w:szCs w:val="21"/>
                <w:highlight w:val="none"/>
              </w:rPr>
            </w:pPr>
            <w:r>
              <w:rPr>
                <w:rFonts w:hint="eastAsia" w:ascii="宋体" w:hAnsi="宋体" w:cs="宋体"/>
                <w:b/>
                <w:bCs/>
                <w:szCs w:val="21"/>
                <w:highlight w:val="none"/>
              </w:rPr>
              <w:t>社会监督考核</w:t>
            </w:r>
          </w:p>
        </w:tc>
        <w:tc>
          <w:tcPr>
            <w:tcW w:w="2260" w:type="pct"/>
            <w:tcBorders>
              <w:top w:val="single" w:color="auto" w:sz="4" w:space="0"/>
              <w:left w:val="single" w:color="auto" w:sz="4" w:space="0"/>
              <w:bottom w:val="single" w:color="auto" w:sz="4" w:space="0"/>
              <w:right w:val="single" w:color="auto" w:sz="4" w:space="0"/>
            </w:tcBorders>
            <w:vAlign w:val="center"/>
          </w:tcPr>
          <w:p w14:paraId="3DEF5F10">
            <w:pPr>
              <w:widowControl/>
              <w:snapToGrid w:val="0"/>
              <w:spacing w:line="360" w:lineRule="auto"/>
              <w:textAlignment w:val="center"/>
              <w:rPr>
                <w:rFonts w:ascii="宋体" w:hAnsi="宋体" w:cs="宋体"/>
                <w:kern w:val="0"/>
                <w:szCs w:val="21"/>
                <w:highlight w:val="none"/>
                <w:lang w:bidi="ar"/>
              </w:rPr>
            </w:pPr>
            <w:r>
              <w:rPr>
                <w:rFonts w:hint="eastAsia" w:ascii="宋体" w:hAnsi="宋体" w:cs="宋体"/>
                <w:kern w:val="0"/>
                <w:szCs w:val="21"/>
                <w:highlight w:val="none"/>
                <w:lang w:bidi="ar"/>
              </w:rPr>
              <w:t>根据来电、来信、来访、便民服务平台进行考核。</w:t>
            </w:r>
          </w:p>
          <w:p w14:paraId="7E7D79FE">
            <w:pPr>
              <w:widowControl/>
              <w:snapToGrid w:val="0"/>
              <w:spacing w:line="360" w:lineRule="auto"/>
              <w:textAlignment w:val="center"/>
              <w:rPr>
                <w:rFonts w:ascii="宋体" w:hAnsi="宋体" w:cs="宋体"/>
                <w:kern w:val="0"/>
                <w:szCs w:val="21"/>
                <w:highlight w:val="none"/>
                <w:lang w:bidi="ar"/>
              </w:rPr>
            </w:pPr>
          </w:p>
        </w:tc>
        <w:tc>
          <w:tcPr>
            <w:tcW w:w="1830" w:type="pct"/>
            <w:tcBorders>
              <w:top w:val="single" w:color="auto" w:sz="4" w:space="0"/>
              <w:left w:val="single" w:color="auto" w:sz="4" w:space="0"/>
              <w:bottom w:val="single" w:color="auto" w:sz="4" w:space="0"/>
              <w:right w:val="single" w:color="auto" w:sz="4" w:space="0"/>
            </w:tcBorders>
            <w:vAlign w:val="center"/>
          </w:tcPr>
          <w:p w14:paraId="67550243">
            <w:pPr>
              <w:widowControl/>
              <w:snapToGrid w:val="0"/>
              <w:spacing w:line="360" w:lineRule="auto"/>
              <w:textAlignment w:val="center"/>
              <w:rPr>
                <w:rFonts w:ascii="宋体" w:hAnsi="宋体" w:cs="宋体"/>
                <w:kern w:val="0"/>
                <w:szCs w:val="21"/>
                <w:highlight w:val="none"/>
                <w:lang w:bidi="ar"/>
              </w:rPr>
            </w:pPr>
            <w:r>
              <w:rPr>
                <w:rFonts w:hint="eastAsia" w:ascii="宋体" w:hAnsi="宋体" w:cs="宋体"/>
                <w:kern w:val="0"/>
                <w:szCs w:val="21"/>
                <w:highlight w:val="none"/>
                <w:lang w:bidi="ar"/>
              </w:rPr>
              <w:t>根据反映情况核实后列入考核。</w:t>
            </w:r>
          </w:p>
          <w:p w14:paraId="65672617">
            <w:pPr>
              <w:widowControl/>
              <w:snapToGrid w:val="0"/>
              <w:spacing w:line="360" w:lineRule="auto"/>
              <w:textAlignment w:val="center"/>
              <w:rPr>
                <w:rFonts w:ascii="宋体" w:hAnsi="宋体" w:cs="宋体"/>
                <w:szCs w:val="21"/>
                <w:highlight w:val="none"/>
              </w:rPr>
            </w:pPr>
          </w:p>
        </w:tc>
      </w:tr>
    </w:tbl>
    <w:p w14:paraId="21AD6D27">
      <w:pPr>
        <w:rPr>
          <w:highlight w:val="none"/>
        </w:rPr>
      </w:pPr>
    </w:p>
    <w:p w14:paraId="7AA046E7">
      <w:pPr>
        <w:widowControl/>
        <w:jc w:val="left"/>
        <w:rPr>
          <w:highlight w:val="none"/>
        </w:rPr>
      </w:pPr>
      <w:r>
        <w:rPr>
          <w:highlight w:val="none"/>
        </w:rPr>
        <w:br w:type="page"/>
      </w:r>
    </w:p>
    <w:p w14:paraId="71CD0081">
      <w:pPr>
        <w:pStyle w:val="7"/>
        <w:rPr>
          <w:highlight w:val="none"/>
        </w:rPr>
      </w:pPr>
      <w:r>
        <w:rPr>
          <w:rFonts w:hint="eastAsia"/>
          <w:highlight w:val="none"/>
        </w:rPr>
        <w:t>2、小区及</w:t>
      </w:r>
      <w:r>
        <w:rPr>
          <w:highlight w:val="none"/>
        </w:rPr>
        <w:t>市政道路雨水管网养护考核办法</w:t>
      </w:r>
    </w:p>
    <w:p w14:paraId="1EB49BDB">
      <w:pPr>
        <w:pBdr>
          <w:top w:val="none" w:color="000000" w:sz="0" w:space="0"/>
          <w:left w:val="none" w:color="000000" w:sz="0" w:space="0"/>
          <w:bottom w:val="none" w:color="000000" w:sz="0" w:space="0"/>
          <w:right w:val="none" w:color="000000" w:sz="0" w:space="0"/>
        </w:pBdr>
        <w:spacing w:line="360" w:lineRule="auto"/>
        <w:ind w:firstLine="480"/>
        <w:rPr>
          <w:szCs w:val="21"/>
          <w:highlight w:val="none"/>
        </w:rPr>
      </w:pPr>
      <w:r>
        <w:rPr>
          <w:rFonts w:ascii="宋体" w:hAnsi="宋体" w:cs="宋体"/>
          <w:szCs w:val="21"/>
          <w:highlight w:val="none"/>
        </w:rPr>
        <w:t>为了充分发挥雨水管网在城市排涝工作中的基础性作用，保障雨水管网设施完好，进一步提高管网养护质量，改善城市水环境质量，促进生态文明，根据相关文件和技术标准，特制定本考核办法。</w:t>
      </w:r>
    </w:p>
    <w:p w14:paraId="4B79BC8B">
      <w:pPr>
        <w:pBdr>
          <w:top w:val="none" w:color="000000" w:sz="0" w:space="0"/>
          <w:left w:val="none" w:color="000000" w:sz="0" w:space="0"/>
          <w:bottom w:val="none" w:color="000000" w:sz="0" w:space="0"/>
          <w:right w:val="none" w:color="000000" w:sz="0" w:space="0"/>
        </w:pBdr>
        <w:spacing w:line="360" w:lineRule="auto"/>
        <w:ind w:firstLine="480"/>
        <w:rPr>
          <w:szCs w:val="21"/>
          <w:highlight w:val="none"/>
        </w:rPr>
      </w:pPr>
      <w:r>
        <w:rPr>
          <w:rFonts w:ascii="宋体" w:hAnsi="宋体" w:cs="宋体"/>
          <w:szCs w:val="21"/>
          <w:highlight w:val="none"/>
        </w:rPr>
        <w:t>一、考核范围：</w:t>
      </w:r>
    </w:p>
    <w:p w14:paraId="148F2A62">
      <w:pPr>
        <w:pBdr>
          <w:top w:val="none" w:color="000000" w:sz="0" w:space="0"/>
          <w:left w:val="none" w:color="000000" w:sz="0" w:space="0"/>
          <w:bottom w:val="none" w:color="000000" w:sz="0" w:space="0"/>
          <w:right w:val="none" w:color="000000" w:sz="0" w:space="0"/>
        </w:pBdr>
        <w:spacing w:line="360" w:lineRule="auto"/>
        <w:ind w:firstLine="480"/>
        <w:rPr>
          <w:szCs w:val="21"/>
          <w:highlight w:val="none"/>
        </w:rPr>
      </w:pPr>
      <w:r>
        <w:rPr>
          <w:rFonts w:hint="eastAsia" w:ascii="宋体" w:hAnsi="宋体" w:cs="宋体"/>
          <w:szCs w:val="21"/>
          <w:highlight w:val="none"/>
        </w:rPr>
        <w:t>本项目区域</w:t>
      </w:r>
      <w:r>
        <w:rPr>
          <w:rFonts w:ascii="宋体" w:hAnsi="宋体" w:cs="宋体"/>
          <w:szCs w:val="21"/>
          <w:highlight w:val="none"/>
        </w:rPr>
        <w:t xml:space="preserve">范围内的雨水管网 </w:t>
      </w:r>
    </w:p>
    <w:p w14:paraId="63806028">
      <w:pPr>
        <w:pBdr>
          <w:top w:val="none" w:color="000000" w:sz="0" w:space="0"/>
          <w:left w:val="none" w:color="000000" w:sz="0" w:space="0"/>
          <w:bottom w:val="none" w:color="000000" w:sz="0" w:space="0"/>
          <w:right w:val="none" w:color="000000" w:sz="0" w:space="0"/>
        </w:pBdr>
        <w:spacing w:line="360" w:lineRule="auto"/>
        <w:ind w:firstLine="480"/>
        <w:rPr>
          <w:szCs w:val="21"/>
          <w:highlight w:val="none"/>
        </w:rPr>
      </w:pPr>
      <w:r>
        <w:rPr>
          <w:rFonts w:ascii="宋体" w:hAnsi="宋体" w:cs="宋体"/>
          <w:szCs w:val="21"/>
          <w:highlight w:val="none"/>
        </w:rPr>
        <w:t>二、考核对象</w:t>
      </w:r>
    </w:p>
    <w:p w14:paraId="54DF4646">
      <w:pPr>
        <w:pBdr>
          <w:top w:val="none" w:color="000000" w:sz="0" w:space="0"/>
          <w:left w:val="none" w:color="000000" w:sz="0" w:space="0"/>
          <w:bottom w:val="none" w:color="000000" w:sz="0" w:space="0"/>
          <w:right w:val="none" w:color="000000" w:sz="0" w:space="0"/>
        </w:pBdr>
        <w:spacing w:line="360" w:lineRule="auto"/>
        <w:ind w:firstLine="480"/>
        <w:rPr>
          <w:szCs w:val="21"/>
          <w:highlight w:val="none"/>
        </w:rPr>
      </w:pPr>
      <w:r>
        <w:rPr>
          <w:rFonts w:ascii="宋体" w:hAnsi="宋体" w:cs="宋体"/>
          <w:szCs w:val="21"/>
          <w:highlight w:val="none"/>
        </w:rPr>
        <w:t>以上范围内雨水管网养护单位均为考核对象。</w:t>
      </w:r>
    </w:p>
    <w:p w14:paraId="3FE0F216">
      <w:pPr>
        <w:pBdr>
          <w:top w:val="none" w:color="000000" w:sz="0" w:space="0"/>
          <w:left w:val="none" w:color="000000" w:sz="0" w:space="0"/>
          <w:bottom w:val="none" w:color="000000" w:sz="0" w:space="0"/>
          <w:right w:val="none" w:color="000000" w:sz="0" w:space="0"/>
        </w:pBdr>
        <w:spacing w:line="360" w:lineRule="auto"/>
        <w:ind w:firstLine="480"/>
        <w:rPr>
          <w:rFonts w:ascii="宋体" w:hAnsi="宋体" w:cs="宋体"/>
          <w:szCs w:val="21"/>
          <w:highlight w:val="none"/>
        </w:rPr>
      </w:pPr>
      <w:r>
        <w:rPr>
          <w:rFonts w:ascii="宋体" w:hAnsi="宋体" w:cs="宋体"/>
          <w:szCs w:val="21"/>
          <w:highlight w:val="none"/>
        </w:rPr>
        <w:t>三、考核内容和标准</w:t>
      </w:r>
    </w:p>
    <w:p w14:paraId="28A44C90">
      <w:pPr>
        <w:pBdr>
          <w:top w:val="none" w:color="000000" w:sz="0" w:space="0"/>
          <w:left w:val="none" w:color="000000" w:sz="0" w:space="0"/>
          <w:bottom w:val="none" w:color="000000" w:sz="0" w:space="0"/>
          <w:right w:val="none" w:color="000000" w:sz="0" w:space="0"/>
        </w:pBdr>
        <w:spacing w:line="360" w:lineRule="auto"/>
        <w:ind w:firstLine="480"/>
        <w:rPr>
          <w:rFonts w:ascii="宋体" w:hAnsi="宋体" w:cs="宋体"/>
          <w:szCs w:val="21"/>
          <w:highlight w:val="none"/>
        </w:rPr>
      </w:pPr>
      <w:r>
        <w:rPr>
          <w:rFonts w:ascii="宋体" w:hAnsi="宋体" w:cs="宋体"/>
          <w:szCs w:val="21"/>
          <w:highlight w:val="none"/>
        </w:rPr>
        <w:t>从项目管理、人员及设备管理、作业要求、工单及信访处置要求、服务态度等5个方面进行考核。</w:t>
      </w:r>
    </w:p>
    <w:p w14:paraId="1A4015A4">
      <w:pPr>
        <w:pBdr>
          <w:top w:val="none" w:color="000000" w:sz="0" w:space="0"/>
          <w:left w:val="none" w:color="000000" w:sz="0" w:space="0"/>
          <w:bottom w:val="none" w:color="000000" w:sz="0" w:space="0"/>
          <w:right w:val="none" w:color="000000" w:sz="0" w:space="0"/>
        </w:pBdr>
        <w:spacing w:line="360" w:lineRule="auto"/>
        <w:ind w:firstLine="480"/>
        <w:rPr>
          <w:szCs w:val="21"/>
          <w:highlight w:val="none"/>
        </w:rPr>
      </w:pPr>
      <w:r>
        <w:rPr>
          <w:rFonts w:ascii="宋体" w:hAnsi="宋体" w:cs="宋体"/>
          <w:szCs w:val="21"/>
          <w:highlight w:val="none"/>
        </w:rPr>
        <w:t>1、考核标准</w:t>
      </w:r>
    </w:p>
    <w:p w14:paraId="6667EC6C">
      <w:pPr>
        <w:pBdr>
          <w:top w:val="none" w:color="000000" w:sz="0" w:space="0"/>
          <w:left w:val="none" w:color="000000" w:sz="0" w:space="0"/>
          <w:bottom w:val="none" w:color="000000" w:sz="0" w:space="0"/>
          <w:right w:val="none" w:color="000000" w:sz="0" w:space="0"/>
        </w:pBdr>
        <w:spacing w:line="360" w:lineRule="auto"/>
        <w:ind w:left="480" w:right="56"/>
        <w:rPr>
          <w:szCs w:val="21"/>
          <w:highlight w:val="none"/>
        </w:rPr>
      </w:pPr>
      <w:r>
        <w:rPr>
          <w:rFonts w:ascii="宋体" w:hAnsi="宋体" w:cs="宋体"/>
          <w:szCs w:val="21"/>
          <w:highlight w:val="none"/>
        </w:rPr>
        <w:t>(1)疏挖考核结果判定</w:t>
      </w:r>
    </w:p>
    <w:p w14:paraId="11E4ED12">
      <w:pPr>
        <w:pBdr>
          <w:top w:val="none" w:color="000000" w:sz="0" w:space="0"/>
          <w:left w:val="none" w:color="000000" w:sz="0" w:space="0"/>
          <w:bottom w:val="none" w:color="000000" w:sz="0" w:space="0"/>
          <w:right w:val="none" w:color="000000" w:sz="0" w:space="0"/>
        </w:pBdr>
        <w:spacing w:line="360" w:lineRule="auto"/>
        <w:ind w:left="480" w:right="56"/>
        <w:rPr>
          <w:szCs w:val="21"/>
          <w:highlight w:val="none"/>
        </w:rPr>
      </w:pPr>
      <w:r>
        <w:rPr>
          <w:rFonts w:ascii="宋体" w:hAnsi="宋体" w:cs="宋体"/>
          <w:szCs w:val="21"/>
          <w:highlight w:val="none"/>
        </w:rPr>
        <w:t>考核结果以疏挖完成后雨水井内残留淤泥厚度为基准进行评判，按照不同</w:t>
      </w:r>
    </w:p>
    <w:p w14:paraId="0FE88A7E">
      <w:pPr>
        <w:pBdr>
          <w:top w:val="none" w:color="000000" w:sz="0" w:space="0"/>
          <w:left w:val="none" w:color="000000" w:sz="0" w:space="0"/>
          <w:bottom w:val="none" w:color="000000" w:sz="0" w:space="0"/>
          <w:right w:val="none" w:color="000000" w:sz="0" w:space="0"/>
        </w:pBdr>
        <w:spacing w:line="360" w:lineRule="auto"/>
        <w:ind w:right="56"/>
        <w:rPr>
          <w:szCs w:val="21"/>
          <w:highlight w:val="none"/>
        </w:rPr>
      </w:pPr>
      <w:r>
        <w:rPr>
          <w:rFonts w:ascii="宋体" w:hAnsi="宋体" w:cs="宋体"/>
          <w:szCs w:val="21"/>
          <w:highlight w:val="none"/>
        </w:rPr>
        <w:t>淤泥厚度分为合格、不合格与未挖（下述表格）。</w:t>
      </w:r>
    </w:p>
    <w:tbl>
      <w:tblPr>
        <w:tblStyle w:val="9"/>
        <w:tblW w:w="0" w:type="auto"/>
        <w:tblInd w:w="675"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0" w:type="dxa"/>
          <w:bottom w:w="0" w:type="dxa"/>
          <w:right w:w="0" w:type="dxa"/>
        </w:tblCellMar>
      </w:tblPr>
      <w:tblGrid>
        <w:gridCol w:w="2127"/>
        <w:gridCol w:w="1706"/>
        <w:gridCol w:w="2897"/>
        <w:gridCol w:w="1566"/>
      </w:tblGrid>
      <w:tr w14:paraId="68865655">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212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7093134">
            <w:pPr>
              <w:pBdr>
                <w:top w:val="none" w:color="000000" w:sz="0" w:space="0"/>
                <w:left w:val="none" w:color="000000" w:sz="0" w:space="0"/>
                <w:bottom w:val="none" w:color="000000" w:sz="0" w:space="0"/>
                <w:right w:val="none" w:color="000000" w:sz="0" w:space="0"/>
              </w:pBdr>
              <w:spacing w:line="360" w:lineRule="auto"/>
              <w:ind w:right="56" w:firstLine="480"/>
              <w:jc w:val="center"/>
              <w:rPr>
                <w:szCs w:val="21"/>
                <w:highlight w:val="none"/>
              </w:rPr>
            </w:pPr>
            <w:r>
              <w:rPr>
                <w:rFonts w:ascii="宋体" w:hAnsi="宋体" w:cs="宋体"/>
                <w:szCs w:val="21"/>
                <w:highlight w:val="none"/>
              </w:rPr>
              <w:t>判定结果</w:t>
            </w:r>
          </w:p>
        </w:tc>
        <w:tc>
          <w:tcPr>
            <w:tcW w:w="1706" w:type="dxa"/>
            <w:tcBorders>
              <w:top w:val="single" w:color="000000" w:sz="8" w:space="0"/>
              <w:bottom w:val="single" w:color="000000" w:sz="8" w:space="0"/>
              <w:right w:val="single" w:color="000000" w:sz="8" w:space="0"/>
            </w:tcBorders>
            <w:tcMar>
              <w:top w:w="0" w:type="dxa"/>
              <w:left w:w="108" w:type="dxa"/>
              <w:bottom w:w="0" w:type="dxa"/>
              <w:right w:w="108" w:type="dxa"/>
            </w:tcMar>
            <w:vAlign w:val="center"/>
          </w:tcPr>
          <w:p w14:paraId="475FDFBF">
            <w:pPr>
              <w:pBdr>
                <w:top w:val="none" w:color="000000" w:sz="0" w:space="0"/>
                <w:left w:val="none" w:color="000000" w:sz="0" w:space="0"/>
                <w:bottom w:val="none" w:color="000000" w:sz="0" w:space="0"/>
                <w:right w:val="none" w:color="000000" w:sz="0" w:space="0"/>
              </w:pBdr>
              <w:spacing w:line="360" w:lineRule="auto"/>
              <w:ind w:right="56"/>
              <w:rPr>
                <w:szCs w:val="21"/>
                <w:highlight w:val="none"/>
              </w:rPr>
            </w:pPr>
            <w:r>
              <w:rPr>
                <w:rFonts w:ascii="宋体" w:hAnsi="宋体" w:cs="宋体"/>
                <w:szCs w:val="21"/>
                <w:highlight w:val="none"/>
              </w:rPr>
              <w:t>合格</w:t>
            </w:r>
          </w:p>
        </w:tc>
        <w:tc>
          <w:tcPr>
            <w:tcW w:w="2897" w:type="dxa"/>
            <w:tcBorders>
              <w:top w:val="single" w:color="000000" w:sz="8" w:space="0"/>
              <w:bottom w:val="single" w:color="000000" w:sz="8" w:space="0"/>
              <w:right w:val="single" w:color="000000" w:sz="8" w:space="0"/>
            </w:tcBorders>
            <w:tcMar>
              <w:top w:w="0" w:type="dxa"/>
              <w:left w:w="108" w:type="dxa"/>
              <w:bottom w:w="0" w:type="dxa"/>
              <w:right w:w="108" w:type="dxa"/>
            </w:tcMar>
            <w:vAlign w:val="center"/>
          </w:tcPr>
          <w:p w14:paraId="3796DBEC">
            <w:pPr>
              <w:pBdr>
                <w:top w:val="none" w:color="000000" w:sz="0" w:space="0"/>
                <w:left w:val="none" w:color="000000" w:sz="0" w:space="0"/>
                <w:bottom w:val="none" w:color="000000" w:sz="0" w:space="0"/>
                <w:right w:val="none" w:color="000000" w:sz="0" w:space="0"/>
              </w:pBdr>
              <w:spacing w:line="360" w:lineRule="auto"/>
              <w:ind w:right="56" w:firstLine="480"/>
              <w:rPr>
                <w:szCs w:val="21"/>
                <w:highlight w:val="none"/>
              </w:rPr>
            </w:pPr>
            <w:r>
              <w:rPr>
                <w:rFonts w:ascii="宋体" w:hAnsi="宋体" w:cs="宋体"/>
                <w:szCs w:val="21"/>
                <w:highlight w:val="none"/>
              </w:rPr>
              <w:t>不合格</w:t>
            </w:r>
          </w:p>
        </w:tc>
        <w:tc>
          <w:tcPr>
            <w:tcW w:w="1566" w:type="dxa"/>
            <w:tcBorders>
              <w:top w:val="single" w:color="000000" w:sz="8" w:space="0"/>
              <w:bottom w:val="single" w:color="000000" w:sz="8" w:space="0"/>
              <w:right w:val="single" w:color="000000" w:sz="8" w:space="0"/>
            </w:tcBorders>
            <w:tcMar>
              <w:top w:w="0" w:type="dxa"/>
              <w:left w:w="108" w:type="dxa"/>
              <w:bottom w:w="0" w:type="dxa"/>
              <w:right w:w="108" w:type="dxa"/>
            </w:tcMar>
            <w:vAlign w:val="center"/>
          </w:tcPr>
          <w:p w14:paraId="3D703866">
            <w:pPr>
              <w:pBdr>
                <w:top w:val="none" w:color="000000" w:sz="0" w:space="0"/>
                <w:left w:val="none" w:color="000000" w:sz="0" w:space="0"/>
                <w:bottom w:val="none" w:color="000000" w:sz="0" w:space="0"/>
                <w:right w:val="none" w:color="000000" w:sz="0" w:space="0"/>
              </w:pBdr>
              <w:spacing w:line="360" w:lineRule="auto"/>
              <w:ind w:right="56" w:firstLine="480"/>
              <w:jc w:val="center"/>
              <w:rPr>
                <w:szCs w:val="21"/>
                <w:highlight w:val="none"/>
              </w:rPr>
            </w:pPr>
            <w:r>
              <w:rPr>
                <w:rFonts w:ascii="宋体" w:hAnsi="宋体" w:cs="宋体"/>
                <w:szCs w:val="21"/>
                <w:highlight w:val="none"/>
              </w:rPr>
              <w:t>未挖</w:t>
            </w:r>
          </w:p>
        </w:tc>
      </w:tr>
      <w:tr w14:paraId="79DB5B63">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2127" w:type="dxa"/>
            <w:tcBorders>
              <w:left w:val="single" w:color="000000" w:sz="8" w:space="0"/>
              <w:bottom w:val="single" w:color="000000" w:sz="8" w:space="0"/>
              <w:right w:val="single" w:color="000000" w:sz="8" w:space="0"/>
            </w:tcBorders>
            <w:tcMar>
              <w:top w:w="0" w:type="dxa"/>
              <w:left w:w="108" w:type="dxa"/>
              <w:bottom w:w="0" w:type="dxa"/>
              <w:right w:w="108" w:type="dxa"/>
            </w:tcMar>
            <w:vAlign w:val="center"/>
          </w:tcPr>
          <w:p w14:paraId="40CB9B4F">
            <w:pPr>
              <w:pBdr>
                <w:top w:val="none" w:color="000000" w:sz="0" w:space="0"/>
                <w:left w:val="none" w:color="000000" w:sz="0" w:space="0"/>
                <w:bottom w:val="none" w:color="000000" w:sz="0" w:space="0"/>
                <w:right w:val="none" w:color="000000" w:sz="0" w:space="0"/>
              </w:pBdr>
              <w:spacing w:line="360" w:lineRule="auto"/>
              <w:ind w:right="56" w:firstLine="480"/>
              <w:jc w:val="center"/>
              <w:rPr>
                <w:szCs w:val="21"/>
                <w:highlight w:val="none"/>
              </w:rPr>
            </w:pPr>
            <w:r>
              <w:rPr>
                <w:rFonts w:ascii="宋体" w:hAnsi="宋体" w:cs="宋体"/>
                <w:szCs w:val="21"/>
                <w:highlight w:val="none"/>
              </w:rPr>
              <w:t>淤泥厚度(cm)</w:t>
            </w:r>
          </w:p>
        </w:tc>
        <w:tc>
          <w:tcPr>
            <w:tcW w:w="1706" w:type="dxa"/>
            <w:tcBorders>
              <w:bottom w:val="single" w:color="000000" w:sz="8" w:space="0"/>
              <w:right w:val="single" w:color="000000" w:sz="8" w:space="0"/>
            </w:tcBorders>
            <w:tcMar>
              <w:top w:w="0" w:type="dxa"/>
              <w:left w:w="108" w:type="dxa"/>
              <w:bottom w:w="0" w:type="dxa"/>
              <w:right w:w="108" w:type="dxa"/>
            </w:tcMar>
            <w:vAlign w:val="center"/>
          </w:tcPr>
          <w:p w14:paraId="04466CB7">
            <w:pPr>
              <w:pBdr>
                <w:top w:val="none" w:color="000000" w:sz="0" w:space="0"/>
                <w:left w:val="none" w:color="000000" w:sz="0" w:space="0"/>
                <w:bottom w:val="none" w:color="000000" w:sz="0" w:space="0"/>
                <w:right w:val="none" w:color="000000" w:sz="0" w:space="0"/>
              </w:pBdr>
              <w:spacing w:line="360" w:lineRule="auto"/>
              <w:ind w:right="56"/>
              <w:rPr>
                <w:szCs w:val="21"/>
                <w:highlight w:val="none"/>
              </w:rPr>
            </w:pPr>
            <w:r>
              <w:rPr>
                <w:rFonts w:ascii="宋体" w:hAnsi="宋体" w:cs="宋体"/>
                <w:szCs w:val="21"/>
                <w:highlight w:val="none"/>
              </w:rPr>
              <w:t>0—8(含8)</w:t>
            </w:r>
          </w:p>
        </w:tc>
        <w:tc>
          <w:tcPr>
            <w:tcW w:w="2897" w:type="dxa"/>
            <w:tcBorders>
              <w:bottom w:val="single" w:color="000000" w:sz="8" w:space="0"/>
              <w:right w:val="single" w:color="000000" w:sz="8" w:space="0"/>
            </w:tcBorders>
            <w:tcMar>
              <w:top w:w="0" w:type="dxa"/>
              <w:left w:w="108" w:type="dxa"/>
              <w:bottom w:w="0" w:type="dxa"/>
              <w:right w:w="108" w:type="dxa"/>
            </w:tcMar>
            <w:vAlign w:val="center"/>
          </w:tcPr>
          <w:p w14:paraId="3E0FE8DD">
            <w:pPr>
              <w:pBdr>
                <w:top w:val="none" w:color="000000" w:sz="0" w:space="0"/>
                <w:left w:val="none" w:color="000000" w:sz="0" w:space="0"/>
                <w:bottom w:val="none" w:color="000000" w:sz="0" w:space="0"/>
                <w:right w:val="none" w:color="000000" w:sz="0" w:space="0"/>
              </w:pBdr>
              <w:spacing w:line="360" w:lineRule="auto"/>
              <w:ind w:right="56"/>
              <w:rPr>
                <w:szCs w:val="21"/>
                <w:highlight w:val="none"/>
              </w:rPr>
            </w:pPr>
            <w:r>
              <w:rPr>
                <w:rFonts w:ascii="宋体" w:hAnsi="宋体" w:cs="宋体"/>
                <w:szCs w:val="21"/>
                <w:highlight w:val="none"/>
              </w:rPr>
              <w:t>8(不含8)—20 (含20)</w:t>
            </w:r>
          </w:p>
        </w:tc>
        <w:tc>
          <w:tcPr>
            <w:tcW w:w="1566" w:type="dxa"/>
            <w:tcBorders>
              <w:bottom w:val="single" w:color="000000" w:sz="8" w:space="0"/>
              <w:right w:val="single" w:color="000000" w:sz="8" w:space="0"/>
            </w:tcBorders>
            <w:tcMar>
              <w:top w:w="0" w:type="dxa"/>
              <w:left w:w="108" w:type="dxa"/>
              <w:bottom w:w="0" w:type="dxa"/>
              <w:right w:w="108" w:type="dxa"/>
            </w:tcMar>
            <w:vAlign w:val="center"/>
          </w:tcPr>
          <w:p w14:paraId="07466948">
            <w:pPr>
              <w:pBdr>
                <w:top w:val="none" w:color="000000" w:sz="0" w:space="0"/>
                <w:left w:val="none" w:color="000000" w:sz="0" w:space="0"/>
                <w:bottom w:val="none" w:color="000000" w:sz="0" w:space="0"/>
                <w:right w:val="none" w:color="000000" w:sz="0" w:space="0"/>
              </w:pBdr>
              <w:spacing w:line="360" w:lineRule="auto"/>
              <w:ind w:right="56" w:firstLine="480"/>
              <w:jc w:val="center"/>
              <w:rPr>
                <w:szCs w:val="21"/>
                <w:highlight w:val="none"/>
              </w:rPr>
            </w:pPr>
            <w:r>
              <w:rPr>
                <w:rFonts w:ascii="宋体" w:hAnsi="宋体" w:cs="宋体"/>
                <w:szCs w:val="21"/>
                <w:highlight w:val="none"/>
              </w:rPr>
              <w:t>超过20</w:t>
            </w:r>
          </w:p>
        </w:tc>
      </w:tr>
    </w:tbl>
    <w:p w14:paraId="38A4738F">
      <w:pPr>
        <w:pBdr>
          <w:top w:val="none" w:color="000000" w:sz="0" w:space="0"/>
          <w:left w:val="none" w:color="000000" w:sz="0" w:space="0"/>
          <w:bottom w:val="none" w:color="000000" w:sz="0" w:space="0"/>
          <w:right w:val="none" w:color="000000" w:sz="0" w:space="0"/>
        </w:pBdr>
        <w:spacing w:line="360" w:lineRule="auto"/>
        <w:ind w:firstLine="480"/>
        <w:rPr>
          <w:szCs w:val="21"/>
          <w:highlight w:val="none"/>
        </w:rPr>
      </w:pPr>
      <w:r>
        <w:rPr>
          <w:rFonts w:ascii="宋体" w:hAnsi="宋体" w:cs="宋体"/>
          <w:szCs w:val="21"/>
          <w:highlight w:val="none"/>
        </w:rPr>
        <w:t>①单井不合格：1座雨水窨井（边井）不合格</w:t>
      </w:r>
    </w:p>
    <w:p w14:paraId="72F51DB3">
      <w:pPr>
        <w:pBdr>
          <w:top w:val="none" w:color="000000" w:sz="0" w:space="0"/>
          <w:left w:val="none" w:color="000000" w:sz="0" w:space="0"/>
          <w:bottom w:val="none" w:color="000000" w:sz="0" w:space="0"/>
          <w:right w:val="none" w:color="000000" w:sz="0" w:space="0"/>
        </w:pBdr>
        <w:spacing w:line="360" w:lineRule="auto"/>
        <w:ind w:firstLine="480"/>
        <w:rPr>
          <w:szCs w:val="21"/>
          <w:highlight w:val="none"/>
        </w:rPr>
      </w:pPr>
      <w:r>
        <w:rPr>
          <w:rFonts w:ascii="宋体" w:hAnsi="宋体" w:cs="宋体"/>
          <w:szCs w:val="21"/>
          <w:highlight w:val="none"/>
        </w:rPr>
        <w:t>②局部路段不合格：发生以下情形，则认定该路段局部路段不合格</w:t>
      </w:r>
    </w:p>
    <w:p w14:paraId="2813A4AD">
      <w:pPr>
        <w:pBdr>
          <w:top w:val="none" w:color="000000" w:sz="0" w:space="0"/>
          <w:left w:val="none" w:color="000000" w:sz="0" w:space="0"/>
          <w:bottom w:val="none" w:color="000000" w:sz="0" w:space="0"/>
          <w:right w:val="none" w:color="000000" w:sz="0" w:space="0"/>
        </w:pBdr>
        <w:spacing w:line="360" w:lineRule="auto"/>
        <w:ind w:firstLine="480"/>
        <w:rPr>
          <w:szCs w:val="21"/>
          <w:highlight w:val="none"/>
        </w:rPr>
      </w:pPr>
      <w:r>
        <w:rPr>
          <w:rFonts w:ascii="宋体" w:hAnsi="宋体" w:cs="宋体"/>
          <w:szCs w:val="21"/>
          <w:highlight w:val="none"/>
        </w:rPr>
        <w:t>注：“局部路段”指全路段中，两条道路之间（路口归入本局部路段中）的部分。</w:t>
      </w:r>
    </w:p>
    <w:p w14:paraId="3A06DCB5">
      <w:pPr>
        <w:pBdr>
          <w:top w:val="none" w:color="000000" w:sz="0" w:space="0"/>
          <w:left w:val="none" w:color="000000" w:sz="0" w:space="0"/>
          <w:bottom w:val="none" w:color="000000" w:sz="0" w:space="0"/>
          <w:right w:val="none" w:color="000000" w:sz="0" w:space="0"/>
        </w:pBdr>
        <w:spacing w:line="360" w:lineRule="auto"/>
        <w:ind w:firstLine="480"/>
        <w:rPr>
          <w:szCs w:val="21"/>
          <w:highlight w:val="none"/>
        </w:rPr>
      </w:pPr>
      <w:r>
        <w:rPr>
          <w:rFonts w:ascii="宋体" w:hAnsi="宋体" w:cs="宋体"/>
          <w:szCs w:val="21"/>
          <w:highlight w:val="none"/>
        </w:rPr>
        <w:t>●3座及以上连续雨水窨井（边井）不合格；</w:t>
      </w:r>
    </w:p>
    <w:p w14:paraId="06F2D603">
      <w:pPr>
        <w:pBdr>
          <w:top w:val="none" w:color="000000" w:sz="0" w:space="0"/>
          <w:left w:val="none" w:color="000000" w:sz="0" w:space="0"/>
          <w:bottom w:val="none" w:color="000000" w:sz="0" w:space="0"/>
          <w:right w:val="none" w:color="000000" w:sz="0" w:space="0"/>
        </w:pBdr>
        <w:spacing w:line="360" w:lineRule="auto"/>
        <w:ind w:firstLine="480"/>
        <w:rPr>
          <w:szCs w:val="21"/>
          <w:highlight w:val="none"/>
        </w:rPr>
      </w:pPr>
      <w:r>
        <w:rPr>
          <w:rFonts w:ascii="宋体" w:hAnsi="宋体" w:cs="宋体"/>
          <w:szCs w:val="21"/>
          <w:highlight w:val="none"/>
        </w:rPr>
        <w:t>●单井不合格数量累计5个及以上；</w:t>
      </w:r>
    </w:p>
    <w:p w14:paraId="76713D7F">
      <w:pPr>
        <w:pBdr>
          <w:top w:val="none" w:color="000000" w:sz="0" w:space="0"/>
          <w:left w:val="none" w:color="000000" w:sz="0" w:space="0"/>
          <w:bottom w:val="none" w:color="000000" w:sz="0" w:space="0"/>
          <w:right w:val="none" w:color="000000" w:sz="0" w:space="0"/>
        </w:pBdr>
        <w:spacing w:line="360" w:lineRule="auto"/>
        <w:ind w:firstLine="480"/>
        <w:rPr>
          <w:szCs w:val="21"/>
          <w:highlight w:val="none"/>
        </w:rPr>
      </w:pPr>
      <w:r>
        <w:rPr>
          <w:rFonts w:ascii="宋体" w:hAnsi="宋体" w:cs="宋体"/>
          <w:szCs w:val="21"/>
          <w:highlight w:val="none"/>
        </w:rPr>
        <w:t>③全路段不合格：两条及以上局部路段不合格</w:t>
      </w:r>
    </w:p>
    <w:p w14:paraId="2C4DA444">
      <w:pPr>
        <w:pBdr>
          <w:top w:val="none" w:color="000000" w:sz="0" w:space="0"/>
          <w:left w:val="none" w:color="000000" w:sz="0" w:space="0"/>
          <w:bottom w:val="none" w:color="000000" w:sz="0" w:space="0"/>
          <w:right w:val="none" w:color="000000" w:sz="0" w:space="0"/>
        </w:pBdr>
        <w:spacing w:line="360" w:lineRule="auto"/>
        <w:ind w:right="56" w:firstLine="480"/>
        <w:rPr>
          <w:szCs w:val="21"/>
          <w:highlight w:val="none"/>
        </w:rPr>
      </w:pPr>
      <w:r>
        <w:rPr>
          <w:rFonts w:ascii="宋体" w:hAnsi="宋体" w:cs="宋体"/>
          <w:szCs w:val="21"/>
          <w:highlight w:val="none"/>
        </w:rPr>
        <w:t>(2)疏通考核结果判定</w:t>
      </w:r>
    </w:p>
    <w:p w14:paraId="2CF8530A">
      <w:pPr>
        <w:pBdr>
          <w:top w:val="none" w:color="000000" w:sz="0" w:space="0"/>
          <w:left w:val="none" w:color="000000" w:sz="0" w:space="0"/>
          <w:bottom w:val="none" w:color="000000" w:sz="0" w:space="0"/>
          <w:right w:val="none" w:color="000000" w:sz="0" w:space="0"/>
        </w:pBdr>
        <w:spacing w:line="360" w:lineRule="auto"/>
        <w:ind w:right="56" w:firstLine="480"/>
        <w:rPr>
          <w:szCs w:val="21"/>
          <w:highlight w:val="none"/>
        </w:rPr>
      </w:pPr>
      <w:r>
        <w:rPr>
          <w:rFonts w:ascii="宋体" w:hAnsi="宋体" w:cs="宋体"/>
          <w:szCs w:val="21"/>
          <w:highlight w:val="none"/>
        </w:rPr>
        <w:t>①单段不合格：</w:t>
      </w:r>
    </w:p>
    <w:tbl>
      <w:tblPr>
        <w:tblStyle w:val="9"/>
        <w:tblW w:w="0" w:type="auto"/>
        <w:tblInd w:w="675"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0" w:type="dxa"/>
          <w:bottom w:w="0" w:type="dxa"/>
          <w:right w:w="0" w:type="dxa"/>
        </w:tblCellMar>
      </w:tblPr>
      <w:tblGrid>
        <w:gridCol w:w="4395"/>
        <w:gridCol w:w="3969"/>
      </w:tblGrid>
      <w:tr w14:paraId="7320824F">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439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F341BC3">
            <w:pPr>
              <w:pBdr>
                <w:top w:val="none" w:color="000000" w:sz="0" w:space="0"/>
                <w:left w:val="none" w:color="000000" w:sz="0" w:space="0"/>
                <w:bottom w:val="none" w:color="000000" w:sz="0" w:space="0"/>
                <w:right w:val="none" w:color="000000" w:sz="0" w:space="0"/>
              </w:pBdr>
              <w:spacing w:line="360" w:lineRule="auto"/>
              <w:ind w:right="56" w:firstLine="480"/>
              <w:rPr>
                <w:szCs w:val="21"/>
                <w:highlight w:val="none"/>
              </w:rPr>
            </w:pPr>
            <w:r>
              <w:rPr>
                <w:rFonts w:ascii="宋体" w:hAnsi="宋体" w:cs="宋体"/>
                <w:szCs w:val="21"/>
                <w:highlight w:val="none"/>
              </w:rPr>
              <w:t>干管单段不合格</w:t>
            </w:r>
          </w:p>
        </w:tc>
        <w:tc>
          <w:tcPr>
            <w:tcW w:w="3969" w:type="dxa"/>
            <w:tcBorders>
              <w:top w:val="single" w:color="000000" w:sz="8" w:space="0"/>
              <w:bottom w:val="single" w:color="000000" w:sz="8" w:space="0"/>
              <w:right w:val="single" w:color="000000" w:sz="8" w:space="0"/>
            </w:tcBorders>
            <w:tcMar>
              <w:top w:w="0" w:type="dxa"/>
              <w:left w:w="108" w:type="dxa"/>
              <w:bottom w:w="0" w:type="dxa"/>
              <w:right w:w="108" w:type="dxa"/>
            </w:tcMar>
          </w:tcPr>
          <w:p w14:paraId="68CF48DB">
            <w:pPr>
              <w:pBdr>
                <w:top w:val="none" w:color="000000" w:sz="0" w:space="0"/>
                <w:left w:val="none" w:color="000000" w:sz="0" w:space="0"/>
                <w:bottom w:val="none" w:color="000000" w:sz="0" w:space="0"/>
                <w:right w:val="none" w:color="000000" w:sz="0" w:space="0"/>
              </w:pBdr>
              <w:spacing w:line="360" w:lineRule="auto"/>
              <w:ind w:right="56" w:firstLine="480"/>
              <w:rPr>
                <w:szCs w:val="21"/>
                <w:highlight w:val="none"/>
              </w:rPr>
            </w:pPr>
            <w:r>
              <w:rPr>
                <w:rFonts w:ascii="宋体" w:hAnsi="宋体" w:cs="宋体"/>
                <w:szCs w:val="21"/>
                <w:highlight w:val="none"/>
              </w:rPr>
              <w:t>1段雨水干管不合格</w:t>
            </w:r>
          </w:p>
        </w:tc>
      </w:tr>
      <w:tr w14:paraId="471278E6">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4395" w:type="dxa"/>
            <w:tcBorders>
              <w:left w:val="single" w:color="000000" w:sz="8" w:space="0"/>
              <w:bottom w:val="single" w:color="000000" w:sz="8" w:space="0"/>
              <w:right w:val="single" w:color="000000" w:sz="8" w:space="0"/>
            </w:tcBorders>
            <w:tcMar>
              <w:top w:w="0" w:type="dxa"/>
              <w:left w:w="108" w:type="dxa"/>
              <w:bottom w:w="0" w:type="dxa"/>
              <w:right w:w="108" w:type="dxa"/>
            </w:tcMar>
          </w:tcPr>
          <w:p w14:paraId="7B6CBF17">
            <w:pPr>
              <w:pBdr>
                <w:top w:val="none" w:color="000000" w:sz="0" w:space="0"/>
                <w:left w:val="none" w:color="000000" w:sz="0" w:space="0"/>
                <w:bottom w:val="none" w:color="000000" w:sz="0" w:space="0"/>
                <w:right w:val="none" w:color="000000" w:sz="0" w:space="0"/>
              </w:pBdr>
              <w:spacing w:line="360" w:lineRule="auto"/>
              <w:ind w:right="56" w:firstLine="480"/>
              <w:rPr>
                <w:szCs w:val="21"/>
                <w:highlight w:val="none"/>
              </w:rPr>
            </w:pPr>
            <w:r>
              <w:rPr>
                <w:rFonts w:ascii="宋体" w:hAnsi="宋体" w:cs="宋体"/>
                <w:szCs w:val="21"/>
                <w:highlight w:val="none"/>
              </w:rPr>
              <w:t>管网单段不合格</w:t>
            </w:r>
          </w:p>
        </w:tc>
        <w:tc>
          <w:tcPr>
            <w:tcW w:w="3969" w:type="dxa"/>
            <w:tcBorders>
              <w:bottom w:val="single" w:color="000000" w:sz="8" w:space="0"/>
              <w:right w:val="single" w:color="000000" w:sz="8" w:space="0"/>
            </w:tcBorders>
            <w:tcMar>
              <w:top w:w="0" w:type="dxa"/>
              <w:left w:w="108" w:type="dxa"/>
              <w:bottom w:w="0" w:type="dxa"/>
              <w:right w:w="108" w:type="dxa"/>
            </w:tcMar>
          </w:tcPr>
          <w:p w14:paraId="6EF4A44C">
            <w:pPr>
              <w:pBdr>
                <w:top w:val="none" w:color="000000" w:sz="0" w:space="0"/>
                <w:left w:val="none" w:color="000000" w:sz="0" w:space="0"/>
                <w:bottom w:val="none" w:color="000000" w:sz="0" w:space="0"/>
                <w:right w:val="none" w:color="000000" w:sz="0" w:space="0"/>
              </w:pBdr>
              <w:spacing w:line="360" w:lineRule="auto"/>
              <w:ind w:right="56" w:firstLine="480"/>
              <w:rPr>
                <w:szCs w:val="21"/>
                <w:highlight w:val="none"/>
              </w:rPr>
            </w:pPr>
            <w:r>
              <w:rPr>
                <w:rFonts w:ascii="宋体" w:hAnsi="宋体" w:cs="宋体"/>
                <w:szCs w:val="21"/>
                <w:highlight w:val="none"/>
              </w:rPr>
              <w:t>1段雨水管网不合格</w:t>
            </w:r>
          </w:p>
        </w:tc>
      </w:tr>
    </w:tbl>
    <w:p w14:paraId="171387FE">
      <w:pPr>
        <w:pBdr>
          <w:top w:val="none" w:color="000000" w:sz="0" w:space="0"/>
          <w:left w:val="none" w:color="000000" w:sz="0" w:space="0"/>
          <w:bottom w:val="none" w:color="000000" w:sz="0" w:space="0"/>
          <w:right w:val="none" w:color="000000" w:sz="0" w:space="0"/>
        </w:pBdr>
        <w:spacing w:line="360" w:lineRule="auto"/>
        <w:ind w:right="56" w:firstLine="480"/>
        <w:rPr>
          <w:szCs w:val="21"/>
          <w:highlight w:val="none"/>
        </w:rPr>
      </w:pPr>
      <w:r>
        <w:rPr>
          <w:rFonts w:ascii="宋体" w:hAnsi="宋体" w:cs="宋体"/>
          <w:szCs w:val="21"/>
          <w:highlight w:val="none"/>
        </w:rPr>
        <w:t>注：两座连续雨水窨井之间的一段管道为“干管单段”，任意的一段雨水管网为“管网单段”</w:t>
      </w:r>
    </w:p>
    <w:p w14:paraId="14201567">
      <w:pPr>
        <w:pBdr>
          <w:top w:val="none" w:color="000000" w:sz="0" w:space="0"/>
          <w:left w:val="none" w:color="000000" w:sz="0" w:space="0"/>
          <w:bottom w:val="none" w:color="000000" w:sz="0" w:space="0"/>
          <w:right w:val="none" w:color="000000" w:sz="0" w:space="0"/>
        </w:pBdr>
        <w:spacing w:line="360" w:lineRule="auto"/>
        <w:ind w:right="56" w:firstLine="480"/>
        <w:rPr>
          <w:szCs w:val="21"/>
          <w:highlight w:val="none"/>
        </w:rPr>
      </w:pPr>
      <w:r>
        <w:rPr>
          <w:rFonts w:ascii="宋体" w:hAnsi="宋体" w:cs="宋体"/>
          <w:szCs w:val="21"/>
          <w:highlight w:val="none"/>
        </w:rPr>
        <w:t>②局部路段不合格：发生以下情形，则认定该路段局部路段不合格：</w:t>
      </w:r>
    </w:p>
    <w:p w14:paraId="4BE7E042">
      <w:pPr>
        <w:pBdr>
          <w:top w:val="none" w:color="000000" w:sz="0" w:space="0"/>
          <w:left w:val="none" w:color="000000" w:sz="0" w:space="0"/>
          <w:bottom w:val="none" w:color="000000" w:sz="0" w:space="0"/>
          <w:right w:val="none" w:color="000000" w:sz="0" w:space="0"/>
        </w:pBdr>
        <w:spacing w:line="360" w:lineRule="auto"/>
        <w:ind w:right="56" w:firstLine="480"/>
        <w:rPr>
          <w:szCs w:val="21"/>
          <w:highlight w:val="none"/>
        </w:rPr>
      </w:pPr>
      <w:r>
        <w:rPr>
          <w:rFonts w:ascii="宋体" w:hAnsi="宋体" w:cs="宋体"/>
          <w:szCs w:val="21"/>
          <w:highlight w:val="none"/>
        </w:rPr>
        <w:t>●干管连续3个单段及以上不合格；</w:t>
      </w:r>
    </w:p>
    <w:p w14:paraId="41C37DFF">
      <w:pPr>
        <w:pBdr>
          <w:top w:val="none" w:color="000000" w:sz="0" w:space="0"/>
          <w:left w:val="none" w:color="000000" w:sz="0" w:space="0"/>
          <w:bottom w:val="none" w:color="000000" w:sz="0" w:space="0"/>
          <w:right w:val="none" w:color="000000" w:sz="0" w:space="0"/>
        </w:pBdr>
        <w:spacing w:line="360" w:lineRule="auto"/>
        <w:ind w:right="56" w:firstLine="480"/>
        <w:rPr>
          <w:szCs w:val="21"/>
          <w:highlight w:val="none"/>
        </w:rPr>
      </w:pPr>
      <w:r>
        <w:rPr>
          <w:rFonts w:ascii="宋体" w:hAnsi="宋体" w:cs="宋体"/>
          <w:szCs w:val="21"/>
          <w:highlight w:val="none"/>
        </w:rPr>
        <w:t>●干管单段不合格数量累计5个以上；</w:t>
      </w:r>
    </w:p>
    <w:p w14:paraId="54A4713C">
      <w:pPr>
        <w:pBdr>
          <w:top w:val="none" w:color="000000" w:sz="0" w:space="0"/>
          <w:left w:val="none" w:color="000000" w:sz="0" w:space="0"/>
          <w:bottom w:val="none" w:color="000000" w:sz="0" w:space="0"/>
          <w:right w:val="none" w:color="000000" w:sz="0" w:space="0"/>
        </w:pBdr>
        <w:spacing w:line="360" w:lineRule="auto"/>
        <w:ind w:right="56" w:firstLine="480"/>
        <w:rPr>
          <w:szCs w:val="21"/>
          <w:highlight w:val="none"/>
        </w:rPr>
      </w:pPr>
      <w:r>
        <w:rPr>
          <w:rFonts w:ascii="宋体" w:hAnsi="宋体" w:cs="宋体"/>
          <w:szCs w:val="21"/>
          <w:highlight w:val="none"/>
        </w:rPr>
        <w:t>●管网单段不合格数量累计5个以上以上。</w:t>
      </w:r>
    </w:p>
    <w:p w14:paraId="44956FD5">
      <w:pPr>
        <w:pBdr>
          <w:top w:val="none" w:color="000000" w:sz="0" w:space="0"/>
          <w:left w:val="none" w:color="000000" w:sz="0" w:space="0"/>
          <w:bottom w:val="none" w:color="000000" w:sz="0" w:space="0"/>
          <w:right w:val="none" w:color="000000" w:sz="0" w:space="0"/>
        </w:pBdr>
        <w:spacing w:line="360" w:lineRule="auto"/>
        <w:ind w:right="56" w:firstLine="480"/>
        <w:rPr>
          <w:rFonts w:ascii="宋体" w:hAnsi="宋体" w:cs="宋体"/>
          <w:szCs w:val="21"/>
          <w:highlight w:val="none"/>
        </w:rPr>
      </w:pPr>
      <w:r>
        <w:rPr>
          <w:rFonts w:ascii="宋体" w:hAnsi="宋体" w:cs="宋体"/>
          <w:szCs w:val="21"/>
          <w:highlight w:val="none"/>
        </w:rPr>
        <w:t>③全路段不合格：两条及以上局部路段不合格。</w:t>
      </w:r>
    </w:p>
    <w:p w14:paraId="655567CB">
      <w:pPr>
        <w:pBdr>
          <w:top w:val="none" w:color="000000" w:sz="0" w:space="0"/>
          <w:left w:val="none" w:color="000000" w:sz="0" w:space="0"/>
          <w:bottom w:val="none" w:color="000000" w:sz="0" w:space="0"/>
          <w:right w:val="none" w:color="000000" w:sz="0" w:space="0"/>
        </w:pBdr>
        <w:spacing w:line="360" w:lineRule="auto"/>
        <w:ind w:right="56" w:firstLine="480"/>
        <w:rPr>
          <w:rFonts w:ascii="宋体" w:hAnsi="宋体" w:cs="宋体"/>
          <w:szCs w:val="21"/>
          <w:highlight w:val="none"/>
        </w:rPr>
      </w:pPr>
      <w:r>
        <w:rPr>
          <w:rFonts w:ascii="宋体" w:hAnsi="宋体" w:cs="宋体"/>
          <w:szCs w:val="21"/>
          <w:highlight w:val="none"/>
        </w:rPr>
        <w:t>2、考核体系</w:t>
      </w:r>
    </w:p>
    <w:p w14:paraId="3E076BC9">
      <w:pPr>
        <w:pBdr>
          <w:top w:val="none" w:color="000000" w:sz="0" w:space="0"/>
          <w:left w:val="none" w:color="000000" w:sz="0" w:space="0"/>
          <w:bottom w:val="none" w:color="000000" w:sz="0" w:space="0"/>
          <w:right w:val="none" w:color="000000" w:sz="0" w:space="0"/>
        </w:pBdr>
        <w:spacing w:line="360" w:lineRule="auto"/>
        <w:ind w:right="56" w:firstLine="480"/>
        <w:rPr>
          <w:rFonts w:ascii="宋体" w:hAnsi="宋体" w:cs="宋体"/>
          <w:szCs w:val="21"/>
          <w:highlight w:val="none"/>
        </w:rPr>
      </w:pPr>
      <w:r>
        <w:rPr>
          <w:rFonts w:ascii="宋体" w:hAnsi="宋体" w:cs="宋体"/>
          <w:szCs w:val="21"/>
          <w:highlight w:val="none"/>
        </w:rPr>
        <w:t>首先由养护单位进行自查，确认自查完毕后由甲方组织的考核小组，对考核进度以及质量进行考核，并打分提交汇总，由复核小组对考核路段进行复核抽查，并进行汇总打分。</w:t>
      </w:r>
    </w:p>
    <w:p w14:paraId="7553258E">
      <w:pPr>
        <w:pBdr>
          <w:top w:val="none" w:color="000000" w:sz="0" w:space="0"/>
          <w:left w:val="none" w:color="000000" w:sz="0" w:space="0"/>
          <w:bottom w:val="none" w:color="000000" w:sz="0" w:space="0"/>
          <w:right w:val="none" w:color="000000" w:sz="0" w:space="0"/>
        </w:pBdr>
        <w:spacing w:line="360" w:lineRule="auto"/>
        <w:ind w:right="56" w:firstLine="480"/>
        <w:rPr>
          <w:szCs w:val="21"/>
          <w:highlight w:val="none"/>
        </w:rPr>
      </w:pPr>
      <w:r>
        <w:rPr>
          <w:rFonts w:ascii="宋体" w:hAnsi="宋体" w:cs="宋体"/>
          <w:szCs w:val="21"/>
          <w:highlight w:val="none"/>
        </w:rPr>
        <w:t>（1）、养护单位自查</w:t>
      </w:r>
    </w:p>
    <w:p w14:paraId="25E5EAE7">
      <w:pPr>
        <w:pBdr>
          <w:top w:val="none" w:color="000000" w:sz="0" w:space="0"/>
          <w:left w:val="none" w:color="000000" w:sz="0" w:space="0"/>
          <w:bottom w:val="none" w:color="000000" w:sz="0" w:space="0"/>
          <w:right w:val="none" w:color="000000" w:sz="0" w:space="0"/>
        </w:pBdr>
        <w:spacing w:line="360" w:lineRule="auto"/>
        <w:ind w:right="56" w:firstLine="480"/>
        <w:rPr>
          <w:rFonts w:ascii="宋体" w:hAnsi="宋体" w:cs="宋体"/>
          <w:szCs w:val="21"/>
          <w:highlight w:val="none"/>
        </w:rPr>
      </w:pPr>
      <w:r>
        <w:rPr>
          <w:rFonts w:ascii="宋体" w:hAnsi="宋体" w:cs="宋体"/>
          <w:szCs w:val="21"/>
          <w:highlight w:val="none"/>
        </w:rPr>
        <w:t>养护单位须有负责人每日对养护管道进行自查，以确保管道养护工作落实到位。未落实到位的养护工作，重新进行养护。无条件进行养护的管线，写明原因后，将当日自查后工作量在报表1中进行汇总统计并上报。</w:t>
      </w:r>
    </w:p>
    <w:p w14:paraId="6F6DF94A">
      <w:pPr>
        <w:pBdr>
          <w:top w:val="none" w:color="000000" w:sz="0" w:space="0"/>
          <w:left w:val="none" w:color="000000" w:sz="0" w:space="0"/>
          <w:bottom w:val="none" w:color="000000" w:sz="0" w:space="0"/>
          <w:right w:val="none" w:color="000000" w:sz="0" w:space="0"/>
        </w:pBdr>
        <w:spacing w:line="360" w:lineRule="auto"/>
        <w:ind w:right="56" w:firstLine="480"/>
        <w:rPr>
          <w:rFonts w:ascii="宋体" w:hAnsi="宋体" w:cs="宋体"/>
          <w:szCs w:val="21"/>
          <w:highlight w:val="none"/>
        </w:rPr>
      </w:pPr>
      <w:r>
        <w:rPr>
          <w:rFonts w:ascii="宋体" w:hAnsi="宋体" w:cs="宋体"/>
          <w:szCs w:val="21"/>
          <w:highlight w:val="none"/>
        </w:rPr>
        <w:t>（2）、日常机动考核小组现场检查</w:t>
      </w:r>
    </w:p>
    <w:p w14:paraId="28FC7717">
      <w:pPr>
        <w:pBdr>
          <w:top w:val="none" w:color="000000" w:sz="0" w:space="0"/>
          <w:left w:val="none" w:color="000000" w:sz="0" w:space="0"/>
          <w:bottom w:val="none" w:color="000000" w:sz="0" w:space="0"/>
          <w:right w:val="none" w:color="000000" w:sz="0" w:space="0"/>
        </w:pBdr>
        <w:spacing w:line="360" w:lineRule="auto"/>
        <w:ind w:right="56" w:firstLine="480"/>
        <w:rPr>
          <w:rFonts w:ascii="宋体" w:hAnsi="宋体" w:cs="宋体"/>
          <w:szCs w:val="21"/>
          <w:highlight w:val="none"/>
        </w:rPr>
      </w:pPr>
      <w:r>
        <w:rPr>
          <w:rFonts w:ascii="宋体" w:hAnsi="宋体" w:cs="宋体"/>
          <w:szCs w:val="21"/>
          <w:highlight w:val="none"/>
        </w:rPr>
        <w:t>科室以分片区、分工作组落实专人负责的方式加强对养护单位在作业中的考核，并落实片区交叉考核，进行交叉检查，以加强考核可靠性。主要考核是否按计划养护、人员出勤情况、安全作业情况、养护是否到位、现场是否解决养护疑难问题等。</w:t>
      </w:r>
    </w:p>
    <w:p w14:paraId="2773EF5B">
      <w:pPr>
        <w:pBdr>
          <w:top w:val="none" w:color="000000" w:sz="0" w:space="0"/>
          <w:left w:val="none" w:color="000000" w:sz="0" w:space="0"/>
          <w:bottom w:val="none" w:color="000000" w:sz="0" w:space="0"/>
          <w:right w:val="none" w:color="000000" w:sz="0" w:space="0"/>
        </w:pBdr>
        <w:spacing w:line="360" w:lineRule="auto"/>
        <w:ind w:right="56" w:firstLine="480"/>
        <w:rPr>
          <w:szCs w:val="21"/>
          <w:highlight w:val="none"/>
        </w:rPr>
      </w:pPr>
      <w:r>
        <w:rPr>
          <w:rFonts w:ascii="宋体" w:hAnsi="宋体" w:cs="宋体"/>
          <w:szCs w:val="21"/>
          <w:highlight w:val="none"/>
        </w:rPr>
        <w:t>（3）、复核小组抽查</w:t>
      </w:r>
    </w:p>
    <w:p w14:paraId="06E4E1B7">
      <w:pPr>
        <w:pBdr>
          <w:top w:val="none" w:color="000000" w:sz="0" w:space="0"/>
          <w:left w:val="none" w:color="000000" w:sz="0" w:space="0"/>
          <w:bottom w:val="none" w:color="000000" w:sz="0" w:space="0"/>
          <w:right w:val="none" w:color="000000" w:sz="0" w:space="0"/>
        </w:pBdr>
        <w:spacing w:line="360" w:lineRule="auto"/>
        <w:ind w:firstLine="480"/>
        <w:rPr>
          <w:szCs w:val="21"/>
          <w:highlight w:val="none"/>
        </w:rPr>
      </w:pPr>
      <w:r>
        <w:rPr>
          <w:rFonts w:ascii="宋体" w:hAnsi="宋体" w:cs="宋体"/>
          <w:szCs w:val="21"/>
          <w:highlight w:val="none"/>
        </w:rPr>
        <w:t>在三个小组的抽查汇总中排除掉交叉部分，管理人员带队进行随机考核，落实到对每个窨边井的检查。</w:t>
      </w:r>
    </w:p>
    <w:p w14:paraId="589B2020">
      <w:pPr>
        <w:pBdr>
          <w:top w:val="none" w:color="000000" w:sz="0" w:space="0"/>
          <w:left w:val="none" w:color="000000" w:sz="0" w:space="0"/>
          <w:bottom w:val="none" w:color="000000" w:sz="0" w:space="0"/>
          <w:right w:val="none" w:color="000000" w:sz="0" w:space="0"/>
        </w:pBdr>
        <w:spacing w:line="360" w:lineRule="auto"/>
        <w:ind w:firstLine="420"/>
        <w:rPr>
          <w:szCs w:val="21"/>
          <w:highlight w:val="none"/>
        </w:rPr>
      </w:pPr>
      <w:r>
        <w:rPr>
          <w:rFonts w:ascii="宋体" w:hAnsi="宋体" w:cs="宋体"/>
          <w:szCs w:val="21"/>
          <w:highlight w:val="none"/>
        </w:rPr>
        <w:t>进行随机抽查后，如考核存在较大误差，则次日日常考核小组重新考核。 </w:t>
      </w:r>
    </w:p>
    <w:p w14:paraId="20281B95">
      <w:pPr>
        <w:pBdr>
          <w:top w:val="none" w:color="000000" w:sz="0" w:space="0"/>
          <w:left w:val="none" w:color="000000" w:sz="0" w:space="0"/>
          <w:bottom w:val="none" w:color="000000" w:sz="0" w:space="0"/>
          <w:right w:val="none" w:color="000000" w:sz="0" w:space="0"/>
        </w:pBdr>
        <w:spacing w:line="360" w:lineRule="auto"/>
        <w:ind w:firstLine="420"/>
        <w:rPr>
          <w:rFonts w:hint="eastAsia" w:ascii="宋体" w:hAnsi="宋体" w:cs="宋体"/>
          <w:szCs w:val="21"/>
          <w:highlight w:val="none"/>
        </w:rPr>
      </w:pPr>
      <w:r>
        <w:rPr>
          <w:rFonts w:ascii="宋体" w:hAnsi="宋体" w:cs="宋体"/>
          <w:szCs w:val="21"/>
          <w:highlight w:val="none"/>
        </w:rPr>
        <w:t>四、评分形式</w:t>
      </w:r>
    </w:p>
    <w:p w14:paraId="2B5CC9D5">
      <w:pPr>
        <w:pBdr>
          <w:top w:val="none" w:color="000000" w:sz="0" w:space="0"/>
          <w:left w:val="none" w:color="000000" w:sz="0" w:space="0"/>
          <w:bottom w:val="none" w:color="000000" w:sz="0" w:space="0"/>
          <w:right w:val="none" w:color="000000" w:sz="0" w:space="0"/>
        </w:pBdr>
        <w:spacing w:line="360" w:lineRule="auto"/>
        <w:ind w:firstLine="420"/>
        <w:rPr>
          <w:rFonts w:ascii="宋体" w:hAnsi="宋体" w:cs="宋体"/>
          <w:szCs w:val="21"/>
          <w:highlight w:val="none"/>
        </w:rPr>
      </w:pPr>
      <w:r>
        <w:rPr>
          <w:rFonts w:ascii="宋体" w:hAnsi="宋体" w:cs="宋体"/>
          <w:szCs w:val="21"/>
          <w:highlight w:val="none"/>
        </w:rPr>
        <w:t>月度综合得分=</w:t>
      </w:r>
      <w:r>
        <w:rPr>
          <w:rFonts w:hint="eastAsia" w:ascii="宋体" w:hAnsi="宋体" w:cs="宋体"/>
          <w:szCs w:val="21"/>
          <w:highlight w:val="none"/>
        </w:rPr>
        <w:t>排水养护40</w:t>
      </w:r>
      <w:r>
        <w:rPr>
          <w:rFonts w:ascii="宋体" w:hAnsi="宋体" w:cs="宋体"/>
          <w:szCs w:val="21"/>
          <w:highlight w:val="none"/>
        </w:rPr>
        <w:t>%+</w:t>
      </w:r>
      <w:r>
        <w:rPr>
          <w:rFonts w:hint="eastAsia" w:ascii="宋体" w:hAnsi="宋体" w:cs="宋体"/>
          <w:szCs w:val="21"/>
          <w:highlight w:val="none"/>
        </w:rPr>
        <w:t>施工管理15</w:t>
      </w:r>
      <w:r>
        <w:rPr>
          <w:rFonts w:ascii="宋体" w:hAnsi="宋体" w:cs="宋体"/>
          <w:szCs w:val="21"/>
          <w:highlight w:val="none"/>
        </w:rPr>
        <w:t>%+</w:t>
      </w:r>
      <w:r>
        <w:rPr>
          <w:rFonts w:hint="eastAsia" w:ascii="宋体" w:hAnsi="宋体" w:cs="宋体"/>
          <w:szCs w:val="21"/>
          <w:highlight w:val="none"/>
        </w:rPr>
        <w:t>安全文明施工1</w:t>
      </w:r>
      <w:r>
        <w:rPr>
          <w:rFonts w:ascii="宋体" w:hAnsi="宋体" w:cs="宋体"/>
          <w:szCs w:val="21"/>
          <w:highlight w:val="none"/>
        </w:rPr>
        <w:t>5%+</w:t>
      </w:r>
      <w:r>
        <w:rPr>
          <w:rFonts w:hint="eastAsia" w:ascii="宋体" w:hAnsi="宋体" w:cs="宋体"/>
          <w:szCs w:val="21"/>
          <w:highlight w:val="none"/>
        </w:rPr>
        <w:t>业务管理</w:t>
      </w:r>
      <w:r>
        <w:rPr>
          <w:rFonts w:ascii="宋体" w:hAnsi="宋体" w:cs="宋体"/>
          <w:szCs w:val="21"/>
          <w:highlight w:val="none"/>
        </w:rPr>
        <w:t>10%+</w:t>
      </w:r>
      <w:r>
        <w:rPr>
          <w:rFonts w:hint="eastAsia" w:ascii="宋体" w:hAnsi="宋体" w:cs="宋体"/>
          <w:szCs w:val="21"/>
          <w:highlight w:val="none"/>
        </w:rPr>
        <w:t>其他</w:t>
      </w:r>
      <w:r>
        <w:rPr>
          <w:rFonts w:ascii="宋体" w:hAnsi="宋体" w:cs="宋体"/>
          <w:szCs w:val="21"/>
          <w:highlight w:val="none"/>
        </w:rPr>
        <w:t xml:space="preserve">20% </w:t>
      </w:r>
    </w:p>
    <w:p w14:paraId="0974B624">
      <w:pPr>
        <w:pBdr>
          <w:top w:val="none" w:color="000000" w:sz="0" w:space="0"/>
          <w:left w:val="none" w:color="000000" w:sz="0" w:space="0"/>
          <w:bottom w:val="none" w:color="000000" w:sz="0" w:space="0"/>
          <w:right w:val="none" w:color="000000" w:sz="0" w:space="0"/>
        </w:pBdr>
        <w:spacing w:line="360" w:lineRule="auto"/>
        <w:ind w:firstLine="480"/>
        <w:rPr>
          <w:rFonts w:ascii="宋体" w:hAnsi="宋体" w:cs="宋体"/>
          <w:szCs w:val="21"/>
          <w:highlight w:val="none"/>
        </w:rPr>
      </w:pPr>
      <w:r>
        <w:rPr>
          <w:rFonts w:ascii="宋体" w:hAnsi="宋体" w:cs="宋体"/>
          <w:szCs w:val="21"/>
          <w:highlight w:val="none"/>
        </w:rPr>
        <w:t>五、奖惩办法</w:t>
      </w:r>
    </w:p>
    <w:p w14:paraId="2E1FAAB1">
      <w:pPr>
        <w:pBdr>
          <w:top w:val="none" w:color="000000" w:sz="0" w:space="0"/>
          <w:left w:val="none" w:color="000000" w:sz="0" w:space="0"/>
          <w:bottom w:val="none" w:color="000000" w:sz="0" w:space="0"/>
          <w:right w:val="none" w:color="000000" w:sz="0" w:space="0"/>
        </w:pBdr>
        <w:spacing w:line="360" w:lineRule="auto"/>
        <w:ind w:firstLine="480"/>
        <w:rPr>
          <w:rFonts w:ascii="宋体" w:hAnsi="宋体" w:cs="宋体"/>
          <w:szCs w:val="21"/>
          <w:highlight w:val="none"/>
        </w:rPr>
      </w:pPr>
      <w:r>
        <w:rPr>
          <w:rFonts w:ascii="宋体" w:hAnsi="宋体" w:cs="宋体"/>
          <w:szCs w:val="21"/>
          <w:highlight w:val="none"/>
        </w:rPr>
        <w:t>1、采购单位根据当月考核成绩，核算月度考核经费。当月服务经费次月支付，各标段月度考核成绩达到90分标准的，作业经费全额拨付。达到85-90分标准的，成绩每低于90分一分，扣减相应标段月服务经费的1%。达到80-85分标准的，在扣减相应标段月承包经费5%的基础上，成绩每低于85分一分，扣减相应月服务经费2%。低于80分的视为不合格，不再额外扣款，累计三次甲方有权无条件解除合同。</w:t>
      </w:r>
    </w:p>
    <w:p w14:paraId="41257503">
      <w:pPr>
        <w:pBdr>
          <w:top w:val="none" w:color="000000" w:sz="0" w:space="0"/>
          <w:left w:val="none" w:color="000000" w:sz="0" w:space="0"/>
          <w:bottom w:val="none" w:color="000000" w:sz="0" w:space="0"/>
          <w:right w:val="none" w:color="000000" w:sz="0" w:space="0"/>
        </w:pBdr>
        <w:spacing w:line="360" w:lineRule="auto"/>
        <w:ind w:firstLine="480"/>
        <w:rPr>
          <w:rFonts w:ascii="宋体" w:hAnsi="宋体" w:cs="宋体"/>
          <w:szCs w:val="21"/>
          <w:highlight w:val="none"/>
        </w:rPr>
      </w:pPr>
      <w:r>
        <w:rPr>
          <w:rFonts w:ascii="宋体" w:hAnsi="宋体" w:cs="宋体"/>
          <w:szCs w:val="21"/>
          <w:highlight w:val="none"/>
        </w:rPr>
        <w:t>2、对合同周期内出现如下重大违规现象之一的养护单位将终止其合同，并进行通报，同时取消其下一轮雨水管道养护的投标权。</w:t>
      </w:r>
    </w:p>
    <w:p w14:paraId="2162ECDB">
      <w:pPr>
        <w:pBdr>
          <w:top w:val="none" w:color="000000" w:sz="0" w:space="0"/>
          <w:left w:val="none" w:color="000000" w:sz="0" w:space="0"/>
          <w:bottom w:val="none" w:color="000000" w:sz="0" w:space="0"/>
          <w:right w:val="none" w:color="000000" w:sz="0" w:space="0"/>
        </w:pBdr>
        <w:spacing w:line="360" w:lineRule="auto"/>
        <w:ind w:firstLine="480"/>
        <w:rPr>
          <w:rFonts w:ascii="宋体" w:hAnsi="宋体" w:cs="宋体"/>
          <w:szCs w:val="21"/>
          <w:highlight w:val="none"/>
        </w:rPr>
      </w:pPr>
      <w:r>
        <w:rPr>
          <w:rFonts w:ascii="宋体" w:hAnsi="宋体" w:cs="宋体"/>
          <w:szCs w:val="21"/>
          <w:highlight w:val="none"/>
        </w:rPr>
        <w:t>（1）被发现有转包行为的。</w:t>
      </w:r>
    </w:p>
    <w:p w14:paraId="2CC1ED73">
      <w:pPr>
        <w:pBdr>
          <w:top w:val="none" w:color="000000" w:sz="0" w:space="0"/>
          <w:left w:val="none" w:color="000000" w:sz="0" w:space="0"/>
          <w:bottom w:val="none" w:color="000000" w:sz="0" w:space="0"/>
          <w:right w:val="none" w:color="000000" w:sz="0" w:space="0"/>
        </w:pBdr>
        <w:spacing w:line="360" w:lineRule="auto"/>
        <w:ind w:firstLine="480"/>
        <w:rPr>
          <w:rFonts w:ascii="宋体" w:hAnsi="宋体" w:cs="宋体"/>
          <w:szCs w:val="21"/>
          <w:highlight w:val="none"/>
        </w:rPr>
      </w:pPr>
      <w:r>
        <w:rPr>
          <w:rFonts w:ascii="宋体" w:hAnsi="宋体" w:cs="宋体"/>
          <w:szCs w:val="21"/>
          <w:highlight w:val="none"/>
        </w:rPr>
        <w:t>（2）媒体曝光核查或社会反响严重，情况属实且有责累计满3次的。</w:t>
      </w:r>
    </w:p>
    <w:p w14:paraId="7C28C68E">
      <w:pPr>
        <w:pBdr>
          <w:top w:val="none" w:color="000000" w:sz="0" w:space="0"/>
          <w:left w:val="none" w:color="000000" w:sz="0" w:space="0"/>
          <w:bottom w:val="none" w:color="000000" w:sz="0" w:space="0"/>
          <w:right w:val="none" w:color="000000" w:sz="0" w:space="0"/>
        </w:pBdr>
        <w:spacing w:line="360" w:lineRule="auto"/>
        <w:ind w:firstLine="480"/>
        <w:rPr>
          <w:rFonts w:ascii="宋体" w:hAnsi="宋体" w:cs="宋体"/>
          <w:szCs w:val="21"/>
          <w:highlight w:val="none"/>
        </w:rPr>
      </w:pPr>
      <w:r>
        <w:rPr>
          <w:rFonts w:ascii="宋体" w:hAnsi="宋体" w:cs="宋体"/>
          <w:szCs w:val="21"/>
          <w:highlight w:val="none"/>
        </w:rPr>
        <w:t>（3）累计3次月考核低于80分或1次月考核低于60分。</w:t>
      </w:r>
    </w:p>
    <w:p w14:paraId="6222F652">
      <w:pPr>
        <w:pBdr>
          <w:top w:val="none" w:color="000000" w:sz="0" w:space="0"/>
          <w:left w:val="none" w:color="000000" w:sz="0" w:space="0"/>
          <w:bottom w:val="none" w:color="000000" w:sz="0" w:space="0"/>
          <w:right w:val="none" w:color="000000" w:sz="0" w:space="0"/>
        </w:pBdr>
        <w:spacing w:line="360" w:lineRule="auto"/>
        <w:ind w:firstLine="480"/>
        <w:rPr>
          <w:rFonts w:ascii="宋体" w:hAnsi="宋体" w:cs="宋体"/>
          <w:szCs w:val="21"/>
          <w:highlight w:val="none"/>
        </w:rPr>
      </w:pPr>
      <w:r>
        <w:rPr>
          <w:rFonts w:ascii="宋体" w:hAnsi="宋体" w:cs="宋体"/>
          <w:szCs w:val="21"/>
          <w:highlight w:val="none"/>
        </w:rPr>
        <w:t>（4）拖欠养护员工资、发生重大安全作业事故等违规现象。</w:t>
      </w:r>
    </w:p>
    <w:p w14:paraId="27B1F9E5">
      <w:pPr>
        <w:pBdr>
          <w:top w:val="none" w:color="000000" w:sz="0" w:space="0"/>
          <w:left w:val="none" w:color="000000" w:sz="0" w:space="0"/>
          <w:bottom w:val="none" w:color="000000" w:sz="0" w:space="0"/>
          <w:right w:val="none" w:color="000000" w:sz="0" w:space="0"/>
        </w:pBdr>
        <w:spacing w:line="360" w:lineRule="auto"/>
        <w:ind w:firstLine="480"/>
        <w:rPr>
          <w:rFonts w:ascii="宋体" w:hAnsi="宋体" w:cs="宋体"/>
          <w:szCs w:val="21"/>
          <w:highlight w:val="none"/>
        </w:rPr>
      </w:pPr>
      <w:r>
        <w:rPr>
          <w:rFonts w:ascii="宋体" w:hAnsi="宋体" w:cs="宋体"/>
          <w:szCs w:val="21"/>
          <w:highlight w:val="none"/>
        </w:rPr>
        <w:t>（5）其他重大违规现象的。</w:t>
      </w:r>
    </w:p>
    <w:p w14:paraId="04017763">
      <w:pPr>
        <w:pBdr>
          <w:top w:val="none" w:color="000000" w:sz="0" w:space="0"/>
          <w:left w:val="none" w:color="000000" w:sz="0" w:space="0"/>
          <w:bottom w:val="none" w:color="000000" w:sz="0" w:space="0"/>
          <w:right w:val="none" w:color="000000" w:sz="0" w:space="0"/>
        </w:pBdr>
        <w:spacing w:line="360" w:lineRule="auto"/>
        <w:ind w:firstLine="480"/>
        <w:rPr>
          <w:rFonts w:ascii="宋体" w:hAnsi="宋体" w:cs="宋体"/>
          <w:szCs w:val="21"/>
          <w:highlight w:val="none"/>
        </w:rPr>
      </w:pPr>
      <w:r>
        <w:rPr>
          <w:rFonts w:hint="eastAsia" w:ascii="宋体" w:hAnsi="宋体" w:cs="宋体"/>
          <w:szCs w:val="21"/>
          <w:highlight w:val="none"/>
        </w:rPr>
        <w:t>六、考核细则</w:t>
      </w:r>
    </w:p>
    <w:p w14:paraId="500AFFF6">
      <w:pPr>
        <w:jc w:val="center"/>
        <w:rPr>
          <w:rFonts w:hint="eastAsia"/>
          <w:b/>
          <w:bCs/>
          <w:sz w:val="24"/>
          <w:szCs w:val="32"/>
          <w:highlight w:val="none"/>
        </w:rPr>
      </w:pPr>
    </w:p>
    <w:p w14:paraId="7C4CCD0B">
      <w:pPr>
        <w:jc w:val="center"/>
        <w:rPr>
          <w:b/>
          <w:bCs/>
          <w:sz w:val="24"/>
          <w:szCs w:val="32"/>
          <w:highlight w:val="none"/>
        </w:rPr>
      </w:pPr>
      <w:r>
        <w:rPr>
          <w:rFonts w:hint="eastAsia"/>
          <w:b/>
          <w:bCs/>
          <w:sz w:val="24"/>
          <w:szCs w:val="32"/>
          <w:highlight w:val="none"/>
        </w:rPr>
        <w:t>陆家镇管网养护项目考核评分表</w:t>
      </w:r>
    </w:p>
    <w:p w14:paraId="0956A267">
      <w:pPr>
        <w:spacing w:line="360" w:lineRule="auto"/>
        <w:ind w:firstLine="420" w:firstLineChars="200"/>
        <w:rPr>
          <w:rFonts w:ascii="宋体" w:hAnsi="宋体"/>
          <w:bCs/>
          <w:szCs w:val="21"/>
          <w:highlight w:val="none"/>
        </w:rPr>
      </w:pPr>
      <w:r>
        <w:rPr>
          <w:rFonts w:hint="eastAsia" w:ascii="宋体" w:hAnsi="宋体"/>
          <w:bCs/>
          <w:szCs w:val="21"/>
          <w:highlight w:val="none"/>
        </w:rPr>
        <w:t>考核日期：                                考核区域：</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134"/>
        <w:gridCol w:w="967"/>
        <w:gridCol w:w="2289"/>
        <w:gridCol w:w="3437"/>
        <w:gridCol w:w="563"/>
        <w:gridCol w:w="15"/>
        <w:gridCol w:w="545"/>
        <w:gridCol w:w="7"/>
        <w:gridCol w:w="10"/>
      </w:tblGrid>
      <w:tr w14:paraId="1BED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7" w:type="dxa"/>
          <w:cantSplit/>
          <w:trHeight w:val="620" w:hRule="atLeast"/>
        </w:trPr>
        <w:tc>
          <w:tcPr>
            <w:tcW w:w="760" w:type="dxa"/>
            <w:tcBorders>
              <w:top w:val="single" w:color="auto" w:sz="4" w:space="0"/>
              <w:left w:val="single" w:color="auto" w:sz="4" w:space="0"/>
              <w:bottom w:val="single" w:color="auto" w:sz="4" w:space="0"/>
              <w:right w:val="single" w:color="auto" w:sz="4" w:space="0"/>
            </w:tcBorders>
            <w:vAlign w:val="center"/>
          </w:tcPr>
          <w:p w14:paraId="7356948B">
            <w:pPr>
              <w:spacing w:line="360" w:lineRule="auto"/>
              <w:rPr>
                <w:rFonts w:ascii="宋体" w:hAnsi="宋体" w:cs="宋体"/>
                <w:b/>
                <w:bCs/>
                <w:szCs w:val="21"/>
                <w:highlight w:val="none"/>
              </w:rPr>
            </w:pPr>
            <w:r>
              <w:rPr>
                <w:rFonts w:hint="eastAsia" w:ascii="宋体" w:hAnsi="宋体" w:cs="宋体"/>
                <w:b/>
                <w:bCs/>
                <w:szCs w:val="21"/>
                <w:highlight w:val="none"/>
              </w:rPr>
              <w:t>序号</w:t>
            </w:r>
          </w:p>
        </w:tc>
        <w:tc>
          <w:tcPr>
            <w:tcW w:w="1134" w:type="dxa"/>
            <w:tcBorders>
              <w:top w:val="single" w:color="auto" w:sz="4" w:space="0"/>
              <w:left w:val="single" w:color="auto" w:sz="4" w:space="0"/>
              <w:bottom w:val="single" w:color="auto" w:sz="4" w:space="0"/>
              <w:right w:val="single" w:color="auto" w:sz="4" w:space="0"/>
            </w:tcBorders>
            <w:vAlign w:val="center"/>
          </w:tcPr>
          <w:p w14:paraId="10E5601A">
            <w:pPr>
              <w:spacing w:line="360" w:lineRule="auto"/>
              <w:jc w:val="center"/>
              <w:rPr>
                <w:rFonts w:ascii="宋体" w:hAnsi="宋体" w:cs="宋体"/>
                <w:b/>
                <w:bCs/>
                <w:szCs w:val="21"/>
                <w:highlight w:val="none"/>
              </w:rPr>
            </w:pPr>
            <w:r>
              <w:rPr>
                <w:rFonts w:hint="eastAsia" w:ascii="宋体" w:hAnsi="宋体" w:cs="宋体"/>
                <w:b/>
                <w:bCs/>
                <w:szCs w:val="21"/>
                <w:highlight w:val="none"/>
              </w:rPr>
              <w:t>考核项目</w:t>
            </w:r>
          </w:p>
        </w:tc>
        <w:tc>
          <w:tcPr>
            <w:tcW w:w="6693" w:type="dxa"/>
            <w:gridSpan w:val="3"/>
            <w:tcBorders>
              <w:top w:val="single" w:color="auto" w:sz="4" w:space="0"/>
              <w:left w:val="single" w:color="auto" w:sz="4" w:space="0"/>
              <w:bottom w:val="single" w:color="auto" w:sz="4" w:space="0"/>
              <w:right w:val="single" w:color="auto" w:sz="4" w:space="0"/>
            </w:tcBorders>
            <w:vAlign w:val="center"/>
          </w:tcPr>
          <w:p w14:paraId="32836956">
            <w:pPr>
              <w:spacing w:line="360" w:lineRule="auto"/>
              <w:jc w:val="center"/>
              <w:rPr>
                <w:rFonts w:ascii="宋体" w:hAnsi="宋体" w:cs="宋体"/>
                <w:b/>
                <w:bCs/>
                <w:szCs w:val="21"/>
                <w:highlight w:val="none"/>
              </w:rPr>
            </w:pPr>
            <w:r>
              <w:rPr>
                <w:rFonts w:hint="eastAsia" w:ascii="宋体" w:hAnsi="宋体" w:cs="宋体"/>
                <w:b/>
                <w:bCs/>
                <w:szCs w:val="21"/>
                <w:highlight w:val="none"/>
              </w:rPr>
              <w:t>考核内容</w:t>
            </w:r>
          </w:p>
        </w:tc>
        <w:tc>
          <w:tcPr>
            <w:tcW w:w="578" w:type="dxa"/>
            <w:gridSpan w:val="2"/>
            <w:tcBorders>
              <w:top w:val="single" w:color="auto" w:sz="4" w:space="0"/>
              <w:left w:val="single" w:color="auto" w:sz="4" w:space="0"/>
              <w:bottom w:val="single" w:color="auto" w:sz="4" w:space="0"/>
              <w:right w:val="single" w:color="auto" w:sz="4" w:space="0"/>
            </w:tcBorders>
            <w:vAlign w:val="center"/>
          </w:tcPr>
          <w:p w14:paraId="2EBC2D78">
            <w:pPr>
              <w:spacing w:before="156" w:after="156" w:line="360" w:lineRule="auto"/>
              <w:ind w:left="-136" w:leftChars="-65" w:firstLine="46" w:firstLineChars="22"/>
              <w:jc w:val="center"/>
              <w:rPr>
                <w:rFonts w:ascii="宋体" w:hAnsi="宋体" w:cs="宋体"/>
                <w:b/>
                <w:bCs/>
                <w:szCs w:val="21"/>
                <w:highlight w:val="none"/>
              </w:rPr>
            </w:pPr>
            <w:r>
              <w:rPr>
                <w:rFonts w:hint="eastAsia" w:ascii="宋体" w:hAnsi="宋体" w:cs="宋体"/>
                <w:b/>
                <w:bCs/>
                <w:szCs w:val="21"/>
                <w:highlight w:val="none"/>
              </w:rPr>
              <w:t>扣分</w:t>
            </w:r>
          </w:p>
        </w:tc>
        <w:tc>
          <w:tcPr>
            <w:tcW w:w="545" w:type="dxa"/>
            <w:tcBorders>
              <w:top w:val="single" w:color="auto" w:sz="4" w:space="0"/>
              <w:left w:val="single" w:color="auto" w:sz="4" w:space="0"/>
              <w:bottom w:val="single" w:color="auto" w:sz="4" w:space="0"/>
              <w:right w:val="single" w:color="auto" w:sz="4" w:space="0"/>
            </w:tcBorders>
            <w:vAlign w:val="center"/>
          </w:tcPr>
          <w:p w14:paraId="0EDF69B1">
            <w:pPr>
              <w:spacing w:before="156" w:after="156" w:line="360" w:lineRule="auto"/>
              <w:ind w:left="17" w:leftChars="-51" w:hanging="124" w:hangingChars="59"/>
              <w:jc w:val="center"/>
              <w:rPr>
                <w:rFonts w:ascii="宋体" w:hAnsi="宋体" w:cs="宋体"/>
                <w:b/>
                <w:bCs/>
                <w:szCs w:val="21"/>
                <w:highlight w:val="none"/>
              </w:rPr>
            </w:pPr>
            <w:r>
              <w:rPr>
                <w:rFonts w:hint="eastAsia" w:ascii="宋体" w:hAnsi="宋体" w:cs="宋体"/>
                <w:b/>
                <w:bCs/>
                <w:szCs w:val="21"/>
                <w:highlight w:val="none"/>
              </w:rPr>
              <w:t>得分</w:t>
            </w:r>
          </w:p>
        </w:tc>
      </w:tr>
      <w:tr w14:paraId="612FD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7" w:type="dxa"/>
          <w:cantSplit/>
          <w:trHeight w:val="3793" w:hRule="atLeast"/>
        </w:trPr>
        <w:tc>
          <w:tcPr>
            <w:tcW w:w="760" w:type="dxa"/>
            <w:vMerge w:val="restart"/>
            <w:tcBorders>
              <w:top w:val="single" w:color="auto" w:sz="4" w:space="0"/>
              <w:left w:val="single" w:color="auto" w:sz="4" w:space="0"/>
              <w:bottom w:val="single" w:color="auto" w:sz="4" w:space="0"/>
              <w:right w:val="single" w:color="auto" w:sz="4" w:space="0"/>
            </w:tcBorders>
            <w:vAlign w:val="center"/>
          </w:tcPr>
          <w:p w14:paraId="6962E32C">
            <w:pPr>
              <w:spacing w:line="360" w:lineRule="auto"/>
              <w:jc w:val="center"/>
              <w:rPr>
                <w:rFonts w:ascii="宋体" w:hAnsi="宋体" w:cs="宋体"/>
                <w:b/>
                <w:bCs/>
                <w:szCs w:val="21"/>
                <w:highlight w:val="none"/>
              </w:rPr>
            </w:pPr>
            <w:r>
              <w:rPr>
                <w:rFonts w:hint="eastAsia" w:ascii="宋体" w:hAnsi="宋体" w:cs="宋体"/>
                <w:b/>
                <w:bCs/>
                <w:szCs w:val="21"/>
                <w:highlight w:val="none"/>
              </w:rPr>
              <w:t>1</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16F53AFD">
            <w:pPr>
              <w:spacing w:line="360" w:lineRule="auto"/>
              <w:jc w:val="center"/>
              <w:rPr>
                <w:rFonts w:ascii="宋体" w:hAnsi="宋体" w:cs="宋体"/>
                <w:b/>
                <w:bCs/>
                <w:szCs w:val="21"/>
                <w:highlight w:val="none"/>
              </w:rPr>
            </w:pPr>
            <w:r>
              <w:rPr>
                <w:rFonts w:hint="eastAsia" w:ascii="宋体" w:hAnsi="宋体" w:cs="宋体"/>
                <w:b/>
                <w:bCs/>
                <w:szCs w:val="21"/>
                <w:highlight w:val="none"/>
              </w:rPr>
              <w:t>排水养护（40分）</w:t>
            </w:r>
          </w:p>
        </w:tc>
        <w:tc>
          <w:tcPr>
            <w:tcW w:w="967" w:type="dxa"/>
            <w:tcBorders>
              <w:top w:val="single" w:color="auto" w:sz="4" w:space="0"/>
              <w:left w:val="single" w:color="auto" w:sz="4" w:space="0"/>
              <w:bottom w:val="single" w:color="auto" w:sz="4" w:space="0"/>
              <w:right w:val="single" w:color="auto" w:sz="4" w:space="0"/>
            </w:tcBorders>
            <w:vAlign w:val="center"/>
          </w:tcPr>
          <w:p w14:paraId="453DE62F">
            <w:pPr>
              <w:spacing w:line="360" w:lineRule="auto"/>
              <w:jc w:val="center"/>
              <w:rPr>
                <w:rFonts w:ascii="宋体" w:hAnsi="宋体" w:cs="宋体"/>
                <w:kern w:val="0"/>
                <w:szCs w:val="21"/>
                <w:highlight w:val="none"/>
              </w:rPr>
            </w:pPr>
            <w:r>
              <w:rPr>
                <w:rFonts w:hint="eastAsia" w:ascii="宋体" w:hAnsi="宋体" w:cs="宋体"/>
                <w:kern w:val="0"/>
                <w:szCs w:val="21"/>
                <w:highlight w:val="none"/>
              </w:rPr>
              <w:t>窨井、边井</w:t>
            </w:r>
          </w:p>
        </w:tc>
        <w:tc>
          <w:tcPr>
            <w:tcW w:w="2289" w:type="dxa"/>
            <w:tcBorders>
              <w:top w:val="single" w:color="auto" w:sz="4" w:space="0"/>
              <w:left w:val="single" w:color="auto" w:sz="4" w:space="0"/>
              <w:bottom w:val="single" w:color="auto" w:sz="4" w:space="0"/>
              <w:right w:val="single" w:color="auto" w:sz="4" w:space="0"/>
            </w:tcBorders>
            <w:vAlign w:val="center"/>
          </w:tcPr>
          <w:p w14:paraId="09B43C4C">
            <w:pPr>
              <w:spacing w:line="360" w:lineRule="auto"/>
              <w:jc w:val="left"/>
              <w:rPr>
                <w:rFonts w:ascii="宋体" w:hAnsi="宋体" w:cs="宋体"/>
                <w:kern w:val="0"/>
                <w:szCs w:val="21"/>
                <w:highlight w:val="none"/>
              </w:rPr>
            </w:pPr>
            <w:r>
              <w:rPr>
                <w:rFonts w:hint="eastAsia" w:ascii="宋体" w:hAnsi="宋体" w:cs="宋体"/>
                <w:kern w:val="0"/>
                <w:szCs w:val="21"/>
                <w:highlight w:val="none"/>
              </w:rPr>
              <w:t>排水设施坡度顺适,无阻水物,泄水孔畅通,无积水；管道畅通，窨井无淤积；各类井盖、井框固定平稳，铭牌无缺损，井盖与井框应吻合，和路面顺接，无破裂、缺失现象。</w:t>
            </w:r>
          </w:p>
        </w:tc>
        <w:tc>
          <w:tcPr>
            <w:tcW w:w="3437" w:type="dxa"/>
            <w:tcBorders>
              <w:top w:val="single" w:color="auto" w:sz="4" w:space="0"/>
              <w:left w:val="single" w:color="auto" w:sz="4" w:space="0"/>
              <w:bottom w:val="single" w:color="auto" w:sz="4" w:space="0"/>
              <w:right w:val="single" w:color="auto" w:sz="4" w:space="0"/>
            </w:tcBorders>
            <w:vAlign w:val="center"/>
          </w:tcPr>
          <w:p w14:paraId="011D0411">
            <w:pPr>
              <w:spacing w:line="360" w:lineRule="auto"/>
              <w:jc w:val="left"/>
              <w:rPr>
                <w:rFonts w:ascii="宋体" w:hAnsi="宋体" w:cs="宋体"/>
                <w:kern w:val="0"/>
                <w:szCs w:val="21"/>
                <w:highlight w:val="none"/>
              </w:rPr>
            </w:pPr>
            <w:r>
              <w:rPr>
                <w:rFonts w:hint="eastAsia" w:ascii="宋体" w:hAnsi="宋体" w:cs="宋体"/>
                <w:kern w:val="0"/>
                <w:szCs w:val="21"/>
                <w:highlight w:val="none"/>
              </w:rPr>
              <w:t>井盖缺少，每只扣0.5分；</w:t>
            </w:r>
          </w:p>
          <w:p w14:paraId="3654AFCA">
            <w:pPr>
              <w:spacing w:line="360" w:lineRule="auto"/>
              <w:jc w:val="left"/>
              <w:rPr>
                <w:rFonts w:ascii="宋体" w:hAnsi="宋体" w:cs="宋体"/>
                <w:kern w:val="0"/>
                <w:szCs w:val="21"/>
                <w:highlight w:val="none"/>
              </w:rPr>
            </w:pPr>
            <w:r>
              <w:rPr>
                <w:rFonts w:hint="eastAsia" w:ascii="宋体" w:hAnsi="宋体" w:cs="宋体"/>
                <w:kern w:val="0"/>
                <w:szCs w:val="21"/>
                <w:highlight w:val="none"/>
              </w:rPr>
              <w:t>井盖破损，每只扣0.2分；</w:t>
            </w:r>
          </w:p>
          <w:p w14:paraId="016FA889">
            <w:pPr>
              <w:spacing w:line="360" w:lineRule="auto"/>
              <w:jc w:val="left"/>
              <w:rPr>
                <w:rFonts w:ascii="宋体" w:hAnsi="宋体" w:cs="宋体"/>
                <w:kern w:val="0"/>
                <w:szCs w:val="21"/>
                <w:highlight w:val="none"/>
              </w:rPr>
            </w:pPr>
            <w:r>
              <w:rPr>
                <w:rFonts w:hint="eastAsia" w:ascii="宋体" w:hAnsi="宋体" w:cs="宋体"/>
                <w:kern w:val="0"/>
                <w:szCs w:val="21"/>
                <w:highlight w:val="none"/>
              </w:rPr>
              <w:t>安放不稳固，每只扣0.2分；</w:t>
            </w:r>
          </w:p>
          <w:p w14:paraId="29D478D4">
            <w:pPr>
              <w:spacing w:line="360" w:lineRule="auto"/>
              <w:jc w:val="left"/>
              <w:rPr>
                <w:rFonts w:ascii="宋体" w:hAnsi="宋体" w:cs="宋体"/>
                <w:kern w:val="0"/>
                <w:szCs w:val="21"/>
                <w:highlight w:val="none"/>
              </w:rPr>
            </w:pPr>
            <w:r>
              <w:rPr>
                <w:rFonts w:hint="eastAsia" w:ascii="宋体" w:hAnsi="宋体" w:cs="宋体"/>
                <w:kern w:val="0"/>
                <w:szCs w:val="21"/>
                <w:highlight w:val="none"/>
              </w:rPr>
              <w:t>检查井铭牌缺损，每只扣0.05分；</w:t>
            </w:r>
          </w:p>
          <w:p w14:paraId="53F6AB68">
            <w:pPr>
              <w:spacing w:line="360" w:lineRule="auto"/>
              <w:jc w:val="left"/>
              <w:rPr>
                <w:rFonts w:ascii="宋体" w:hAnsi="宋体" w:cs="宋体"/>
                <w:kern w:val="0"/>
                <w:szCs w:val="21"/>
                <w:highlight w:val="none"/>
              </w:rPr>
            </w:pPr>
            <w:r>
              <w:rPr>
                <w:rFonts w:hint="eastAsia" w:ascii="宋体" w:hAnsi="宋体" w:cs="宋体"/>
                <w:kern w:val="0"/>
                <w:szCs w:val="21"/>
                <w:highlight w:val="none"/>
              </w:rPr>
              <w:t>窨井淤积＞5cm，每只扣0.5；</w:t>
            </w:r>
          </w:p>
          <w:p w14:paraId="735B3DAE">
            <w:pPr>
              <w:spacing w:line="360" w:lineRule="auto"/>
              <w:jc w:val="left"/>
              <w:rPr>
                <w:rFonts w:ascii="宋体" w:hAnsi="宋体" w:cs="宋体"/>
                <w:kern w:val="0"/>
                <w:szCs w:val="21"/>
                <w:highlight w:val="none"/>
              </w:rPr>
            </w:pPr>
            <w:r>
              <w:rPr>
                <w:rFonts w:hint="eastAsia" w:ascii="宋体" w:hAnsi="宋体" w:cs="宋体"/>
                <w:kern w:val="0"/>
                <w:szCs w:val="21"/>
                <w:highlight w:val="none"/>
              </w:rPr>
              <w:t>边井积泥＞2cm，每只扣0.5分。</w:t>
            </w:r>
          </w:p>
        </w:tc>
        <w:tc>
          <w:tcPr>
            <w:tcW w:w="578" w:type="dxa"/>
            <w:gridSpan w:val="2"/>
            <w:tcBorders>
              <w:top w:val="single" w:color="auto" w:sz="4" w:space="0"/>
              <w:left w:val="single" w:color="auto" w:sz="4" w:space="0"/>
              <w:bottom w:val="single" w:color="auto" w:sz="4" w:space="0"/>
              <w:right w:val="single" w:color="auto" w:sz="4" w:space="0"/>
            </w:tcBorders>
            <w:vAlign w:val="center"/>
          </w:tcPr>
          <w:p w14:paraId="342D72EE">
            <w:pPr>
              <w:spacing w:line="360" w:lineRule="auto"/>
              <w:ind w:right="-107" w:rightChars="-51"/>
              <w:rPr>
                <w:rFonts w:ascii="宋体" w:hAnsi="宋体" w:cs="宋体"/>
                <w:bCs/>
                <w:szCs w:val="21"/>
                <w:highlight w:val="none"/>
              </w:rPr>
            </w:pPr>
          </w:p>
        </w:tc>
        <w:tc>
          <w:tcPr>
            <w:tcW w:w="545" w:type="dxa"/>
            <w:vMerge w:val="restart"/>
            <w:tcBorders>
              <w:top w:val="single" w:color="auto" w:sz="4" w:space="0"/>
              <w:left w:val="single" w:color="auto" w:sz="4" w:space="0"/>
              <w:bottom w:val="single" w:color="auto" w:sz="4" w:space="0"/>
              <w:right w:val="single" w:color="auto" w:sz="4" w:space="0"/>
            </w:tcBorders>
            <w:vAlign w:val="center"/>
          </w:tcPr>
          <w:p w14:paraId="1E4D0CB5">
            <w:pPr>
              <w:spacing w:line="360" w:lineRule="auto"/>
              <w:rPr>
                <w:rFonts w:ascii="宋体" w:hAnsi="宋体" w:cs="宋体"/>
                <w:bCs/>
                <w:szCs w:val="21"/>
                <w:highlight w:val="none"/>
              </w:rPr>
            </w:pPr>
          </w:p>
        </w:tc>
      </w:tr>
      <w:tr w14:paraId="7AACE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7" w:type="dxa"/>
          <w:cantSplit/>
          <w:trHeight w:val="1682" w:hRule="atLeast"/>
        </w:trPr>
        <w:tc>
          <w:tcPr>
            <w:tcW w:w="760" w:type="dxa"/>
            <w:vMerge w:val="continue"/>
            <w:tcBorders>
              <w:top w:val="single" w:color="auto" w:sz="4" w:space="0"/>
              <w:left w:val="single" w:color="auto" w:sz="4" w:space="0"/>
              <w:bottom w:val="single" w:color="auto" w:sz="4" w:space="0"/>
              <w:right w:val="single" w:color="auto" w:sz="4" w:space="0"/>
            </w:tcBorders>
            <w:vAlign w:val="center"/>
          </w:tcPr>
          <w:p w14:paraId="611ABEBC">
            <w:pPr>
              <w:spacing w:line="360" w:lineRule="auto"/>
              <w:jc w:val="center"/>
              <w:rPr>
                <w:rFonts w:ascii="宋体" w:hAnsi="宋体" w:cs="宋体"/>
                <w:b/>
                <w:bCs/>
                <w:szCs w:val="21"/>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6497A11D">
            <w:pPr>
              <w:spacing w:line="360" w:lineRule="auto"/>
              <w:jc w:val="center"/>
              <w:rPr>
                <w:rFonts w:ascii="宋体" w:hAnsi="宋体" w:cs="宋体"/>
                <w:b/>
                <w:bCs/>
                <w:szCs w:val="21"/>
                <w:highlight w:val="none"/>
              </w:rPr>
            </w:pPr>
          </w:p>
        </w:tc>
        <w:tc>
          <w:tcPr>
            <w:tcW w:w="967" w:type="dxa"/>
            <w:tcBorders>
              <w:top w:val="single" w:color="auto" w:sz="4" w:space="0"/>
              <w:left w:val="single" w:color="auto" w:sz="4" w:space="0"/>
              <w:bottom w:val="single" w:color="auto" w:sz="4" w:space="0"/>
              <w:right w:val="single" w:color="auto" w:sz="4" w:space="0"/>
            </w:tcBorders>
            <w:vAlign w:val="center"/>
          </w:tcPr>
          <w:p w14:paraId="7F2DD57F">
            <w:pPr>
              <w:spacing w:line="360" w:lineRule="auto"/>
              <w:jc w:val="center"/>
              <w:rPr>
                <w:rFonts w:ascii="宋体" w:hAnsi="宋体" w:cs="宋体"/>
                <w:kern w:val="0"/>
                <w:szCs w:val="21"/>
                <w:highlight w:val="none"/>
              </w:rPr>
            </w:pPr>
            <w:r>
              <w:rPr>
                <w:rFonts w:hint="eastAsia" w:ascii="宋体" w:hAnsi="宋体" w:cs="宋体"/>
                <w:kern w:val="0"/>
                <w:szCs w:val="21"/>
                <w:highlight w:val="none"/>
              </w:rPr>
              <w:t>管道</w:t>
            </w:r>
          </w:p>
        </w:tc>
        <w:tc>
          <w:tcPr>
            <w:tcW w:w="2289" w:type="dxa"/>
            <w:tcBorders>
              <w:top w:val="single" w:color="auto" w:sz="4" w:space="0"/>
              <w:left w:val="single" w:color="auto" w:sz="4" w:space="0"/>
              <w:bottom w:val="single" w:color="auto" w:sz="4" w:space="0"/>
              <w:right w:val="single" w:color="auto" w:sz="4" w:space="0"/>
            </w:tcBorders>
            <w:vAlign w:val="center"/>
          </w:tcPr>
          <w:p w14:paraId="1FD8AB21">
            <w:pPr>
              <w:spacing w:line="360" w:lineRule="auto"/>
              <w:jc w:val="left"/>
              <w:rPr>
                <w:rFonts w:ascii="宋体" w:hAnsi="宋体" w:cs="宋体"/>
                <w:kern w:val="0"/>
                <w:szCs w:val="21"/>
                <w:highlight w:val="none"/>
              </w:rPr>
            </w:pPr>
            <w:r>
              <w:rPr>
                <w:rFonts w:hint="eastAsia" w:ascii="宋体" w:hAnsi="宋体" w:cs="宋体"/>
                <w:kern w:val="0"/>
                <w:szCs w:val="21"/>
                <w:highlight w:val="none"/>
              </w:rPr>
              <w:t>管道畅通,接管规范。</w:t>
            </w:r>
          </w:p>
        </w:tc>
        <w:tc>
          <w:tcPr>
            <w:tcW w:w="3437" w:type="dxa"/>
            <w:tcBorders>
              <w:top w:val="single" w:color="auto" w:sz="4" w:space="0"/>
              <w:left w:val="single" w:color="auto" w:sz="4" w:space="0"/>
              <w:bottom w:val="single" w:color="auto" w:sz="4" w:space="0"/>
              <w:right w:val="single" w:color="auto" w:sz="4" w:space="0"/>
            </w:tcBorders>
            <w:vAlign w:val="center"/>
          </w:tcPr>
          <w:p w14:paraId="6CDA9AD5">
            <w:pPr>
              <w:spacing w:line="360" w:lineRule="auto"/>
              <w:jc w:val="left"/>
              <w:rPr>
                <w:rFonts w:ascii="宋体" w:hAnsi="宋体" w:cs="宋体"/>
                <w:kern w:val="0"/>
                <w:szCs w:val="21"/>
                <w:highlight w:val="none"/>
              </w:rPr>
            </w:pPr>
            <w:r>
              <w:rPr>
                <w:rFonts w:hint="eastAsia" w:ascii="宋体" w:hAnsi="宋体" w:cs="宋体"/>
                <w:kern w:val="0"/>
                <w:szCs w:val="21"/>
                <w:highlight w:val="none"/>
              </w:rPr>
              <w:t>管口积泥≥1/5管径，每处扣0.5分；</w:t>
            </w:r>
          </w:p>
          <w:p w14:paraId="53840CD8">
            <w:pPr>
              <w:spacing w:line="360" w:lineRule="auto"/>
              <w:jc w:val="left"/>
              <w:rPr>
                <w:rFonts w:ascii="宋体" w:hAnsi="宋体" w:cs="宋体"/>
                <w:kern w:val="0"/>
                <w:szCs w:val="21"/>
                <w:highlight w:val="none"/>
              </w:rPr>
            </w:pPr>
            <w:r>
              <w:rPr>
                <w:rFonts w:hint="eastAsia" w:ascii="宋体" w:hAnsi="宋体" w:cs="宋体"/>
                <w:kern w:val="0"/>
                <w:szCs w:val="21"/>
                <w:highlight w:val="none"/>
              </w:rPr>
              <w:t>排水管道堵塞到疏通完毕时间≥24小时，每发生一次扣0.5分。</w:t>
            </w:r>
          </w:p>
        </w:tc>
        <w:tc>
          <w:tcPr>
            <w:tcW w:w="578" w:type="dxa"/>
            <w:gridSpan w:val="2"/>
            <w:tcBorders>
              <w:top w:val="single" w:color="auto" w:sz="4" w:space="0"/>
              <w:left w:val="single" w:color="auto" w:sz="4" w:space="0"/>
              <w:bottom w:val="single" w:color="auto" w:sz="4" w:space="0"/>
              <w:right w:val="single" w:color="auto" w:sz="4" w:space="0"/>
            </w:tcBorders>
            <w:vAlign w:val="center"/>
          </w:tcPr>
          <w:p w14:paraId="311D7F08">
            <w:pPr>
              <w:spacing w:line="360" w:lineRule="auto"/>
              <w:ind w:right="-107" w:rightChars="-51"/>
              <w:rPr>
                <w:rFonts w:ascii="宋体" w:hAnsi="宋体" w:cs="宋体"/>
                <w:bCs/>
                <w:szCs w:val="21"/>
                <w:highlight w:val="none"/>
              </w:rPr>
            </w:pPr>
          </w:p>
        </w:tc>
        <w:tc>
          <w:tcPr>
            <w:tcW w:w="545" w:type="dxa"/>
            <w:vMerge w:val="continue"/>
            <w:tcBorders>
              <w:top w:val="single" w:color="auto" w:sz="4" w:space="0"/>
              <w:left w:val="single" w:color="auto" w:sz="4" w:space="0"/>
              <w:bottom w:val="single" w:color="auto" w:sz="4" w:space="0"/>
              <w:right w:val="single" w:color="auto" w:sz="4" w:space="0"/>
            </w:tcBorders>
            <w:vAlign w:val="center"/>
          </w:tcPr>
          <w:p w14:paraId="58B0A96A">
            <w:pPr>
              <w:spacing w:line="360" w:lineRule="auto"/>
              <w:rPr>
                <w:rFonts w:ascii="宋体" w:hAnsi="宋体" w:cs="宋体"/>
                <w:bCs/>
                <w:szCs w:val="21"/>
                <w:highlight w:val="none"/>
              </w:rPr>
            </w:pPr>
          </w:p>
        </w:tc>
      </w:tr>
      <w:tr w14:paraId="383C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7" w:type="dxa"/>
          <w:cantSplit/>
          <w:trHeight w:val="1014" w:hRule="atLeast"/>
        </w:trPr>
        <w:tc>
          <w:tcPr>
            <w:tcW w:w="760" w:type="dxa"/>
            <w:vMerge w:val="continue"/>
            <w:tcBorders>
              <w:top w:val="single" w:color="auto" w:sz="4" w:space="0"/>
              <w:left w:val="single" w:color="auto" w:sz="4" w:space="0"/>
              <w:bottom w:val="single" w:color="auto" w:sz="4" w:space="0"/>
              <w:right w:val="single" w:color="auto" w:sz="4" w:space="0"/>
            </w:tcBorders>
            <w:vAlign w:val="center"/>
          </w:tcPr>
          <w:p w14:paraId="3D3C3CCF">
            <w:pPr>
              <w:spacing w:line="360" w:lineRule="auto"/>
              <w:jc w:val="center"/>
              <w:rPr>
                <w:rFonts w:ascii="宋体" w:hAnsi="宋体" w:cs="宋体"/>
                <w:b/>
                <w:bCs/>
                <w:szCs w:val="21"/>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475C5B02">
            <w:pPr>
              <w:spacing w:line="360" w:lineRule="auto"/>
              <w:jc w:val="center"/>
              <w:rPr>
                <w:rFonts w:ascii="宋体" w:hAnsi="宋体" w:cs="宋体"/>
                <w:b/>
                <w:bCs/>
                <w:szCs w:val="21"/>
                <w:highlight w:val="none"/>
              </w:rPr>
            </w:pPr>
          </w:p>
        </w:tc>
        <w:tc>
          <w:tcPr>
            <w:tcW w:w="967" w:type="dxa"/>
            <w:tcBorders>
              <w:top w:val="single" w:color="auto" w:sz="4" w:space="0"/>
              <w:left w:val="single" w:color="auto" w:sz="4" w:space="0"/>
              <w:bottom w:val="single" w:color="auto" w:sz="4" w:space="0"/>
              <w:right w:val="single" w:color="auto" w:sz="4" w:space="0"/>
            </w:tcBorders>
            <w:vAlign w:val="center"/>
          </w:tcPr>
          <w:p w14:paraId="783D80F4">
            <w:pPr>
              <w:spacing w:line="360" w:lineRule="auto"/>
              <w:jc w:val="center"/>
              <w:rPr>
                <w:rFonts w:ascii="宋体" w:hAnsi="宋体" w:cs="宋体"/>
                <w:kern w:val="0"/>
                <w:szCs w:val="21"/>
                <w:highlight w:val="none"/>
              </w:rPr>
            </w:pPr>
            <w:r>
              <w:rPr>
                <w:rFonts w:hint="eastAsia" w:ascii="宋体" w:hAnsi="宋体" w:cs="宋体"/>
                <w:kern w:val="0"/>
                <w:szCs w:val="21"/>
                <w:highlight w:val="none"/>
              </w:rPr>
              <w:t>隔油池</w:t>
            </w:r>
          </w:p>
        </w:tc>
        <w:tc>
          <w:tcPr>
            <w:tcW w:w="2289" w:type="dxa"/>
            <w:tcBorders>
              <w:top w:val="single" w:color="auto" w:sz="4" w:space="0"/>
              <w:left w:val="single" w:color="auto" w:sz="4" w:space="0"/>
              <w:bottom w:val="single" w:color="auto" w:sz="4" w:space="0"/>
              <w:right w:val="single" w:color="auto" w:sz="4" w:space="0"/>
            </w:tcBorders>
            <w:vAlign w:val="center"/>
          </w:tcPr>
          <w:p w14:paraId="3CB4BA36">
            <w:pPr>
              <w:spacing w:line="360" w:lineRule="auto"/>
              <w:jc w:val="left"/>
              <w:rPr>
                <w:rFonts w:ascii="宋体" w:hAnsi="宋体" w:cs="宋体"/>
                <w:kern w:val="0"/>
                <w:szCs w:val="21"/>
                <w:highlight w:val="none"/>
              </w:rPr>
            </w:pPr>
            <w:r>
              <w:rPr>
                <w:rFonts w:hint="eastAsia" w:ascii="宋体" w:hAnsi="宋体" w:cs="宋体"/>
                <w:kern w:val="0"/>
                <w:szCs w:val="21"/>
                <w:highlight w:val="none"/>
              </w:rPr>
              <w:t>盖板完好，油脂无堆积现象。</w:t>
            </w:r>
          </w:p>
        </w:tc>
        <w:tc>
          <w:tcPr>
            <w:tcW w:w="3437" w:type="dxa"/>
            <w:tcBorders>
              <w:top w:val="single" w:color="auto" w:sz="4" w:space="0"/>
              <w:left w:val="single" w:color="auto" w:sz="4" w:space="0"/>
              <w:bottom w:val="single" w:color="auto" w:sz="4" w:space="0"/>
              <w:right w:val="single" w:color="auto" w:sz="4" w:space="0"/>
            </w:tcBorders>
            <w:vAlign w:val="center"/>
          </w:tcPr>
          <w:p w14:paraId="51CC0BB7">
            <w:pPr>
              <w:spacing w:line="360" w:lineRule="auto"/>
              <w:jc w:val="left"/>
              <w:rPr>
                <w:rFonts w:ascii="宋体" w:hAnsi="宋体" w:cs="宋体"/>
                <w:kern w:val="0"/>
                <w:szCs w:val="21"/>
                <w:highlight w:val="none"/>
              </w:rPr>
            </w:pPr>
            <w:r>
              <w:rPr>
                <w:rFonts w:hint="eastAsia" w:ascii="宋体" w:hAnsi="宋体" w:cs="宋体"/>
                <w:kern w:val="0"/>
                <w:szCs w:val="21"/>
                <w:highlight w:val="none"/>
              </w:rPr>
              <w:t>盖板破损每处扣0.2分；</w:t>
            </w:r>
            <w:r>
              <w:rPr>
                <w:rFonts w:hint="eastAsia" w:ascii="宋体" w:hAnsi="宋体" w:cs="宋体"/>
                <w:kern w:val="0"/>
                <w:szCs w:val="21"/>
                <w:highlight w:val="none"/>
              </w:rPr>
              <w:br w:type="textWrapping"/>
            </w:r>
            <w:r>
              <w:rPr>
                <w:rFonts w:hint="eastAsia" w:ascii="宋体" w:hAnsi="宋体" w:cs="宋体"/>
                <w:kern w:val="0"/>
                <w:szCs w:val="21"/>
                <w:highlight w:val="none"/>
              </w:rPr>
              <w:t>油脂堆积每处扣0.5分。</w:t>
            </w:r>
          </w:p>
        </w:tc>
        <w:tc>
          <w:tcPr>
            <w:tcW w:w="578" w:type="dxa"/>
            <w:gridSpan w:val="2"/>
            <w:tcBorders>
              <w:top w:val="single" w:color="auto" w:sz="4" w:space="0"/>
              <w:left w:val="single" w:color="auto" w:sz="4" w:space="0"/>
              <w:bottom w:val="single" w:color="auto" w:sz="4" w:space="0"/>
              <w:right w:val="single" w:color="auto" w:sz="4" w:space="0"/>
            </w:tcBorders>
            <w:vAlign w:val="center"/>
          </w:tcPr>
          <w:p w14:paraId="2D629467">
            <w:pPr>
              <w:spacing w:line="360" w:lineRule="auto"/>
              <w:ind w:right="-107" w:rightChars="-51"/>
              <w:rPr>
                <w:rFonts w:ascii="宋体" w:hAnsi="宋体" w:cs="宋体"/>
                <w:bCs/>
                <w:szCs w:val="21"/>
                <w:highlight w:val="none"/>
              </w:rPr>
            </w:pPr>
          </w:p>
        </w:tc>
        <w:tc>
          <w:tcPr>
            <w:tcW w:w="545" w:type="dxa"/>
            <w:vMerge w:val="continue"/>
            <w:tcBorders>
              <w:top w:val="single" w:color="auto" w:sz="4" w:space="0"/>
              <w:left w:val="single" w:color="auto" w:sz="4" w:space="0"/>
              <w:bottom w:val="single" w:color="auto" w:sz="4" w:space="0"/>
              <w:right w:val="single" w:color="auto" w:sz="4" w:space="0"/>
            </w:tcBorders>
            <w:vAlign w:val="center"/>
          </w:tcPr>
          <w:p w14:paraId="66BCC943">
            <w:pPr>
              <w:spacing w:line="360" w:lineRule="auto"/>
              <w:rPr>
                <w:rFonts w:ascii="宋体" w:hAnsi="宋体" w:cs="宋体"/>
                <w:bCs/>
                <w:szCs w:val="21"/>
                <w:highlight w:val="none"/>
              </w:rPr>
            </w:pPr>
          </w:p>
        </w:tc>
      </w:tr>
      <w:tr w14:paraId="60F1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7" w:type="dxa"/>
          <w:cantSplit/>
          <w:trHeight w:val="1255" w:hRule="atLeast"/>
        </w:trPr>
        <w:tc>
          <w:tcPr>
            <w:tcW w:w="760" w:type="dxa"/>
            <w:vMerge w:val="continue"/>
            <w:tcBorders>
              <w:top w:val="single" w:color="auto" w:sz="4" w:space="0"/>
              <w:left w:val="single" w:color="auto" w:sz="4" w:space="0"/>
              <w:bottom w:val="single" w:color="auto" w:sz="4" w:space="0"/>
              <w:right w:val="single" w:color="auto" w:sz="4" w:space="0"/>
            </w:tcBorders>
            <w:vAlign w:val="center"/>
          </w:tcPr>
          <w:p w14:paraId="12277F08">
            <w:pPr>
              <w:spacing w:line="360" w:lineRule="auto"/>
              <w:jc w:val="center"/>
              <w:rPr>
                <w:rFonts w:ascii="宋体" w:hAnsi="宋体" w:cs="宋体"/>
                <w:b/>
                <w:bCs/>
                <w:szCs w:val="21"/>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062FBE57">
            <w:pPr>
              <w:spacing w:line="360" w:lineRule="auto"/>
              <w:jc w:val="center"/>
              <w:rPr>
                <w:rFonts w:ascii="宋体" w:hAnsi="宋体" w:cs="宋体"/>
                <w:b/>
                <w:bCs/>
                <w:szCs w:val="21"/>
                <w:highlight w:val="none"/>
              </w:rPr>
            </w:pPr>
          </w:p>
        </w:tc>
        <w:tc>
          <w:tcPr>
            <w:tcW w:w="967" w:type="dxa"/>
            <w:tcBorders>
              <w:top w:val="single" w:color="auto" w:sz="4" w:space="0"/>
              <w:left w:val="single" w:color="auto" w:sz="4" w:space="0"/>
              <w:right w:val="single" w:color="auto" w:sz="4" w:space="0"/>
            </w:tcBorders>
            <w:vAlign w:val="center"/>
          </w:tcPr>
          <w:p w14:paraId="6A267642">
            <w:pPr>
              <w:spacing w:line="360" w:lineRule="auto"/>
              <w:jc w:val="center"/>
              <w:rPr>
                <w:rFonts w:ascii="宋体" w:hAnsi="宋体" w:cs="宋体"/>
                <w:kern w:val="0"/>
                <w:szCs w:val="21"/>
                <w:highlight w:val="none"/>
              </w:rPr>
            </w:pPr>
            <w:r>
              <w:rPr>
                <w:rFonts w:hint="eastAsia" w:ascii="宋体" w:hAnsi="宋体" w:cs="宋体"/>
                <w:kern w:val="0"/>
                <w:szCs w:val="21"/>
                <w:highlight w:val="none"/>
              </w:rPr>
              <w:t>化粪池</w:t>
            </w:r>
          </w:p>
        </w:tc>
        <w:tc>
          <w:tcPr>
            <w:tcW w:w="2289" w:type="dxa"/>
            <w:tcBorders>
              <w:top w:val="single" w:color="auto" w:sz="4" w:space="0"/>
              <w:left w:val="single" w:color="auto" w:sz="4" w:space="0"/>
              <w:right w:val="single" w:color="auto" w:sz="4" w:space="0"/>
            </w:tcBorders>
            <w:vAlign w:val="center"/>
          </w:tcPr>
          <w:p w14:paraId="5CB5FB9D">
            <w:pPr>
              <w:spacing w:line="360" w:lineRule="auto"/>
              <w:jc w:val="left"/>
              <w:rPr>
                <w:rFonts w:ascii="宋体" w:hAnsi="宋体" w:cs="宋体"/>
                <w:kern w:val="0"/>
                <w:szCs w:val="21"/>
                <w:highlight w:val="none"/>
              </w:rPr>
            </w:pPr>
            <w:r>
              <w:rPr>
                <w:rFonts w:hint="eastAsia" w:ascii="宋体" w:hAnsi="宋体" w:cs="宋体"/>
                <w:kern w:val="0"/>
                <w:szCs w:val="21"/>
                <w:highlight w:val="none"/>
              </w:rPr>
              <w:t>盖板完好，池内无淤积现象。</w:t>
            </w:r>
          </w:p>
        </w:tc>
        <w:tc>
          <w:tcPr>
            <w:tcW w:w="3437" w:type="dxa"/>
            <w:tcBorders>
              <w:top w:val="single" w:color="auto" w:sz="4" w:space="0"/>
              <w:left w:val="single" w:color="auto" w:sz="4" w:space="0"/>
              <w:right w:val="single" w:color="auto" w:sz="4" w:space="0"/>
            </w:tcBorders>
            <w:vAlign w:val="center"/>
          </w:tcPr>
          <w:p w14:paraId="77AFBEEE">
            <w:pPr>
              <w:spacing w:line="360" w:lineRule="auto"/>
              <w:jc w:val="left"/>
              <w:rPr>
                <w:rFonts w:ascii="宋体" w:hAnsi="宋体" w:cs="宋体"/>
                <w:kern w:val="0"/>
                <w:szCs w:val="21"/>
                <w:highlight w:val="none"/>
              </w:rPr>
            </w:pPr>
            <w:r>
              <w:rPr>
                <w:rFonts w:hint="eastAsia" w:ascii="宋体" w:hAnsi="宋体" w:cs="宋体"/>
                <w:kern w:val="0"/>
                <w:szCs w:val="21"/>
                <w:highlight w:val="none"/>
              </w:rPr>
              <w:t>盖板破损每处扣0.2分；</w:t>
            </w:r>
            <w:r>
              <w:rPr>
                <w:rFonts w:hint="eastAsia" w:ascii="宋体" w:hAnsi="宋体" w:cs="宋体"/>
                <w:kern w:val="0"/>
                <w:szCs w:val="21"/>
                <w:highlight w:val="none"/>
              </w:rPr>
              <w:br w:type="textWrapping"/>
            </w:r>
            <w:r>
              <w:rPr>
                <w:rFonts w:hint="eastAsia" w:ascii="宋体" w:hAnsi="宋体" w:cs="宋体"/>
                <w:kern w:val="0"/>
                <w:szCs w:val="21"/>
                <w:highlight w:val="none"/>
              </w:rPr>
              <w:t>化粪池积泥每处扣0.5分。</w:t>
            </w:r>
          </w:p>
        </w:tc>
        <w:tc>
          <w:tcPr>
            <w:tcW w:w="578" w:type="dxa"/>
            <w:gridSpan w:val="2"/>
            <w:tcBorders>
              <w:top w:val="single" w:color="auto" w:sz="4" w:space="0"/>
              <w:left w:val="single" w:color="auto" w:sz="4" w:space="0"/>
              <w:bottom w:val="single" w:color="auto" w:sz="4" w:space="0"/>
              <w:right w:val="single" w:color="auto" w:sz="4" w:space="0"/>
            </w:tcBorders>
            <w:vAlign w:val="center"/>
          </w:tcPr>
          <w:p w14:paraId="0C50434F">
            <w:pPr>
              <w:spacing w:line="360" w:lineRule="auto"/>
              <w:ind w:right="-107" w:rightChars="-51"/>
              <w:rPr>
                <w:rFonts w:ascii="宋体" w:hAnsi="宋体" w:cs="宋体"/>
                <w:bCs/>
                <w:szCs w:val="21"/>
                <w:highlight w:val="none"/>
              </w:rPr>
            </w:pPr>
          </w:p>
        </w:tc>
        <w:tc>
          <w:tcPr>
            <w:tcW w:w="545" w:type="dxa"/>
            <w:vMerge w:val="continue"/>
            <w:tcBorders>
              <w:top w:val="single" w:color="auto" w:sz="4" w:space="0"/>
              <w:left w:val="single" w:color="auto" w:sz="4" w:space="0"/>
              <w:bottom w:val="single" w:color="auto" w:sz="4" w:space="0"/>
              <w:right w:val="single" w:color="auto" w:sz="4" w:space="0"/>
            </w:tcBorders>
            <w:vAlign w:val="center"/>
          </w:tcPr>
          <w:p w14:paraId="13742CA7">
            <w:pPr>
              <w:spacing w:line="360" w:lineRule="auto"/>
              <w:rPr>
                <w:rFonts w:ascii="宋体" w:hAnsi="宋体" w:cs="宋体"/>
                <w:bCs/>
                <w:szCs w:val="21"/>
                <w:highlight w:val="none"/>
              </w:rPr>
            </w:pPr>
          </w:p>
        </w:tc>
      </w:tr>
      <w:tr w14:paraId="6BB50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7" w:type="dxa"/>
          <w:cantSplit/>
          <w:trHeight w:val="931" w:hRule="atLeast"/>
        </w:trPr>
        <w:tc>
          <w:tcPr>
            <w:tcW w:w="760" w:type="dxa"/>
            <w:vMerge w:val="restart"/>
            <w:tcBorders>
              <w:top w:val="single" w:color="auto" w:sz="4" w:space="0"/>
              <w:left w:val="single" w:color="auto" w:sz="4" w:space="0"/>
              <w:right w:val="single" w:color="auto" w:sz="4" w:space="0"/>
            </w:tcBorders>
            <w:vAlign w:val="center"/>
          </w:tcPr>
          <w:p w14:paraId="4A091C69">
            <w:pPr>
              <w:spacing w:line="360" w:lineRule="auto"/>
              <w:ind w:firstLine="211" w:firstLineChars="100"/>
              <w:jc w:val="left"/>
              <w:rPr>
                <w:rFonts w:ascii="宋体" w:hAnsi="宋体" w:cs="宋体"/>
                <w:b/>
                <w:bCs/>
                <w:szCs w:val="21"/>
                <w:highlight w:val="none"/>
              </w:rPr>
            </w:pPr>
            <w:r>
              <w:rPr>
                <w:rFonts w:hint="eastAsia" w:ascii="宋体" w:hAnsi="宋体" w:cs="宋体"/>
                <w:b/>
                <w:bCs/>
                <w:szCs w:val="21"/>
                <w:highlight w:val="none"/>
              </w:rPr>
              <w:t>2</w:t>
            </w:r>
          </w:p>
        </w:tc>
        <w:tc>
          <w:tcPr>
            <w:tcW w:w="1134" w:type="dxa"/>
            <w:vMerge w:val="restart"/>
            <w:tcBorders>
              <w:top w:val="single" w:color="auto" w:sz="4" w:space="0"/>
              <w:left w:val="single" w:color="auto" w:sz="4" w:space="0"/>
              <w:right w:val="single" w:color="auto" w:sz="4" w:space="0"/>
            </w:tcBorders>
            <w:vAlign w:val="center"/>
          </w:tcPr>
          <w:p w14:paraId="2CBD3FF7">
            <w:pPr>
              <w:spacing w:line="360" w:lineRule="auto"/>
              <w:jc w:val="center"/>
              <w:rPr>
                <w:rFonts w:ascii="宋体" w:hAnsi="宋体" w:cs="宋体"/>
                <w:b/>
                <w:bCs/>
                <w:szCs w:val="21"/>
                <w:highlight w:val="none"/>
              </w:rPr>
            </w:pPr>
            <w:r>
              <w:rPr>
                <w:rFonts w:hint="eastAsia" w:ascii="宋体" w:hAnsi="宋体" w:cs="宋体"/>
                <w:b/>
                <w:bCs/>
                <w:szCs w:val="21"/>
                <w:highlight w:val="none"/>
              </w:rPr>
              <w:t>施工管理</w:t>
            </w:r>
          </w:p>
          <w:p w14:paraId="571FA3D0">
            <w:pPr>
              <w:spacing w:line="360" w:lineRule="auto"/>
              <w:jc w:val="center"/>
              <w:rPr>
                <w:rFonts w:ascii="宋体" w:hAnsi="宋体" w:cs="宋体"/>
                <w:b/>
                <w:bCs/>
                <w:szCs w:val="21"/>
                <w:highlight w:val="none"/>
              </w:rPr>
            </w:pPr>
            <w:r>
              <w:rPr>
                <w:rFonts w:hint="eastAsia" w:ascii="宋体" w:hAnsi="宋体" w:cs="宋体"/>
                <w:b/>
                <w:bCs/>
                <w:szCs w:val="21"/>
                <w:highlight w:val="none"/>
              </w:rPr>
              <w:t>（15分）</w:t>
            </w:r>
          </w:p>
        </w:tc>
        <w:tc>
          <w:tcPr>
            <w:tcW w:w="6693" w:type="dxa"/>
            <w:gridSpan w:val="3"/>
            <w:tcBorders>
              <w:top w:val="single" w:color="auto" w:sz="4" w:space="0"/>
              <w:left w:val="single" w:color="auto" w:sz="4" w:space="0"/>
              <w:bottom w:val="single" w:color="auto" w:sz="4" w:space="0"/>
              <w:right w:val="single" w:color="auto" w:sz="4" w:space="0"/>
            </w:tcBorders>
            <w:vAlign w:val="center"/>
          </w:tcPr>
          <w:p w14:paraId="76DBADFD">
            <w:pPr>
              <w:spacing w:line="360" w:lineRule="auto"/>
              <w:jc w:val="left"/>
              <w:rPr>
                <w:rFonts w:ascii="宋体" w:hAnsi="宋体" w:cs="宋体"/>
                <w:kern w:val="0"/>
                <w:szCs w:val="21"/>
                <w:highlight w:val="none"/>
              </w:rPr>
            </w:pPr>
            <w:r>
              <w:rPr>
                <w:rFonts w:hint="eastAsia" w:ascii="宋体" w:hAnsi="宋体" w:cs="宋体"/>
                <w:bCs/>
                <w:szCs w:val="21"/>
                <w:highlight w:val="none"/>
              </w:rPr>
              <w:t>窨井框盖未及时恢复，或井框盖需定制而现场未设置安全护栏的，发现一处扣0.5分。</w:t>
            </w:r>
          </w:p>
        </w:tc>
        <w:tc>
          <w:tcPr>
            <w:tcW w:w="578" w:type="dxa"/>
            <w:gridSpan w:val="2"/>
            <w:tcBorders>
              <w:top w:val="single" w:color="auto" w:sz="4" w:space="0"/>
              <w:left w:val="single" w:color="auto" w:sz="4" w:space="0"/>
              <w:bottom w:val="single" w:color="auto" w:sz="4" w:space="0"/>
              <w:right w:val="single" w:color="auto" w:sz="4" w:space="0"/>
            </w:tcBorders>
            <w:vAlign w:val="center"/>
          </w:tcPr>
          <w:p w14:paraId="29E5771F">
            <w:pPr>
              <w:spacing w:line="360" w:lineRule="auto"/>
              <w:rPr>
                <w:rFonts w:ascii="宋体" w:hAnsi="宋体" w:cs="宋体"/>
                <w:bCs/>
                <w:szCs w:val="21"/>
                <w:highlight w:val="none"/>
              </w:rPr>
            </w:pPr>
          </w:p>
        </w:tc>
        <w:tc>
          <w:tcPr>
            <w:tcW w:w="545" w:type="dxa"/>
            <w:vMerge w:val="restart"/>
            <w:tcBorders>
              <w:top w:val="single" w:color="auto" w:sz="4" w:space="0"/>
              <w:left w:val="single" w:color="auto" w:sz="4" w:space="0"/>
              <w:right w:val="single" w:color="auto" w:sz="4" w:space="0"/>
            </w:tcBorders>
            <w:vAlign w:val="center"/>
          </w:tcPr>
          <w:p w14:paraId="0434B656">
            <w:pPr>
              <w:spacing w:line="360" w:lineRule="auto"/>
              <w:jc w:val="left"/>
              <w:rPr>
                <w:rFonts w:ascii="宋体" w:hAnsi="宋体" w:cs="宋体"/>
                <w:bCs/>
                <w:szCs w:val="21"/>
                <w:highlight w:val="none"/>
              </w:rPr>
            </w:pPr>
          </w:p>
        </w:tc>
      </w:tr>
      <w:tr w14:paraId="65C68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7" w:type="dxa"/>
          <w:cantSplit/>
          <w:trHeight w:val="718" w:hRule="atLeast"/>
        </w:trPr>
        <w:tc>
          <w:tcPr>
            <w:tcW w:w="760" w:type="dxa"/>
            <w:vMerge w:val="continue"/>
            <w:tcBorders>
              <w:left w:val="single" w:color="auto" w:sz="4" w:space="0"/>
              <w:right w:val="single" w:color="auto" w:sz="4" w:space="0"/>
            </w:tcBorders>
          </w:tcPr>
          <w:p w14:paraId="08997F2A">
            <w:pPr>
              <w:spacing w:line="360" w:lineRule="auto"/>
              <w:jc w:val="left"/>
              <w:rPr>
                <w:rFonts w:ascii="宋体" w:hAnsi="宋体" w:cs="宋体"/>
                <w:b/>
                <w:bCs/>
                <w:szCs w:val="21"/>
                <w:highlight w:val="none"/>
              </w:rPr>
            </w:pPr>
          </w:p>
        </w:tc>
        <w:tc>
          <w:tcPr>
            <w:tcW w:w="1134" w:type="dxa"/>
            <w:vMerge w:val="continue"/>
            <w:tcBorders>
              <w:left w:val="single" w:color="auto" w:sz="4" w:space="0"/>
              <w:right w:val="single" w:color="auto" w:sz="4" w:space="0"/>
            </w:tcBorders>
          </w:tcPr>
          <w:p w14:paraId="1F98DC14">
            <w:pPr>
              <w:spacing w:line="360" w:lineRule="auto"/>
              <w:jc w:val="left"/>
              <w:rPr>
                <w:rFonts w:ascii="宋体" w:hAnsi="宋体" w:cs="宋体"/>
                <w:b/>
                <w:bCs/>
                <w:szCs w:val="21"/>
                <w:highlight w:val="none"/>
              </w:rPr>
            </w:pPr>
          </w:p>
        </w:tc>
        <w:tc>
          <w:tcPr>
            <w:tcW w:w="6693" w:type="dxa"/>
            <w:gridSpan w:val="3"/>
            <w:vAlign w:val="center"/>
          </w:tcPr>
          <w:p w14:paraId="30683E9B">
            <w:pPr>
              <w:spacing w:line="360" w:lineRule="auto"/>
              <w:jc w:val="left"/>
              <w:rPr>
                <w:rFonts w:ascii="宋体" w:hAnsi="宋体" w:cs="宋体"/>
                <w:kern w:val="0"/>
                <w:szCs w:val="21"/>
                <w:highlight w:val="none"/>
              </w:rPr>
            </w:pPr>
            <w:r>
              <w:rPr>
                <w:rFonts w:hint="eastAsia" w:ascii="宋体" w:hAnsi="宋体" w:cs="宋体"/>
                <w:bCs/>
                <w:szCs w:val="21"/>
                <w:highlight w:val="none"/>
              </w:rPr>
              <w:t>排水设施堵塞未及时疏通，发现一处扣0.5分。</w:t>
            </w:r>
          </w:p>
        </w:tc>
        <w:tc>
          <w:tcPr>
            <w:tcW w:w="578" w:type="dxa"/>
            <w:gridSpan w:val="2"/>
          </w:tcPr>
          <w:p w14:paraId="774B3CB9">
            <w:pPr>
              <w:spacing w:line="360" w:lineRule="auto"/>
              <w:rPr>
                <w:rFonts w:ascii="宋体" w:hAnsi="宋体" w:cs="宋体"/>
                <w:bCs/>
                <w:szCs w:val="21"/>
                <w:highlight w:val="none"/>
              </w:rPr>
            </w:pPr>
          </w:p>
        </w:tc>
        <w:tc>
          <w:tcPr>
            <w:tcW w:w="545" w:type="dxa"/>
            <w:vMerge w:val="continue"/>
            <w:tcBorders>
              <w:left w:val="single" w:color="auto" w:sz="4" w:space="0"/>
              <w:right w:val="single" w:color="auto" w:sz="4" w:space="0"/>
            </w:tcBorders>
          </w:tcPr>
          <w:p w14:paraId="7F803B67">
            <w:pPr>
              <w:spacing w:line="360" w:lineRule="auto"/>
              <w:jc w:val="left"/>
              <w:rPr>
                <w:rFonts w:ascii="宋体" w:hAnsi="宋体" w:cs="宋体"/>
                <w:bCs/>
                <w:szCs w:val="21"/>
                <w:highlight w:val="none"/>
              </w:rPr>
            </w:pPr>
          </w:p>
        </w:tc>
      </w:tr>
      <w:tr w14:paraId="6F84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7" w:type="dxa"/>
          <w:cantSplit/>
          <w:trHeight w:val="931" w:hRule="atLeast"/>
        </w:trPr>
        <w:tc>
          <w:tcPr>
            <w:tcW w:w="760" w:type="dxa"/>
            <w:vMerge w:val="continue"/>
            <w:tcBorders>
              <w:left w:val="single" w:color="auto" w:sz="4" w:space="0"/>
              <w:right w:val="single" w:color="auto" w:sz="4" w:space="0"/>
            </w:tcBorders>
          </w:tcPr>
          <w:p w14:paraId="09198288">
            <w:pPr>
              <w:spacing w:line="360" w:lineRule="auto"/>
              <w:jc w:val="left"/>
              <w:rPr>
                <w:rFonts w:ascii="宋体" w:hAnsi="宋体" w:cs="宋体"/>
                <w:b/>
                <w:bCs/>
                <w:szCs w:val="21"/>
                <w:highlight w:val="none"/>
              </w:rPr>
            </w:pPr>
          </w:p>
        </w:tc>
        <w:tc>
          <w:tcPr>
            <w:tcW w:w="1134" w:type="dxa"/>
            <w:vMerge w:val="continue"/>
            <w:tcBorders>
              <w:left w:val="single" w:color="auto" w:sz="4" w:space="0"/>
              <w:right w:val="single" w:color="auto" w:sz="4" w:space="0"/>
            </w:tcBorders>
          </w:tcPr>
          <w:p w14:paraId="3D70F1B2">
            <w:pPr>
              <w:spacing w:line="360" w:lineRule="auto"/>
              <w:jc w:val="left"/>
              <w:rPr>
                <w:rFonts w:ascii="宋体" w:hAnsi="宋体" w:cs="宋体"/>
                <w:b/>
                <w:bCs/>
                <w:szCs w:val="21"/>
                <w:highlight w:val="none"/>
              </w:rPr>
            </w:pPr>
          </w:p>
        </w:tc>
        <w:tc>
          <w:tcPr>
            <w:tcW w:w="6693" w:type="dxa"/>
            <w:gridSpan w:val="3"/>
            <w:vAlign w:val="center"/>
          </w:tcPr>
          <w:p w14:paraId="56C38E44">
            <w:pPr>
              <w:spacing w:line="360" w:lineRule="auto"/>
              <w:jc w:val="left"/>
              <w:rPr>
                <w:rFonts w:ascii="宋体" w:hAnsi="宋体" w:cs="宋体"/>
                <w:kern w:val="0"/>
                <w:szCs w:val="21"/>
                <w:highlight w:val="none"/>
              </w:rPr>
            </w:pPr>
            <w:r>
              <w:rPr>
                <w:rFonts w:hint="eastAsia" w:ascii="宋体" w:hAnsi="宋体" w:cs="宋体"/>
                <w:bCs/>
                <w:szCs w:val="21"/>
                <w:highlight w:val="none"/>
              </w:rPr>
              <w:t>工程完工后未及时清理建材、垃圾、需日常清理部位未做到位，发现一次扣0.5分。</w:t>
            </w:r>
          </w:p>
        </w:tc>
        <w:tc>
          <w:tcPr>
            <w:tcW w:w="578" w:type="dxa"/>
            <w:gridSpan w:val="2"/>
          </w:tcPr>
          <w:p w14:paraId="27EDB427">
            <w:pPr>
              <w:spacing w:line="360" w:lineRule="auto"/>
              <w:rPr>
                <w:rFonts w:ascii="宋体" w:hAnsi="宋体" w:cs="宋体"/>
                <w:bCs/>
                <w:szCs w:val="21"/>
                <w:highlight w:val="none"/>
              </w:rPr>
            </w:pPr>
          </w:p>
        </w:tc>
        <w:tc>
          <w:tcPr>
            <w:tcW w:w="545" w:type="dxa"/>
            <w:vMerge w:val="continue"/>
            <w:tcBorders>
              <w:left w:val="single" w:color="auto" w:sz="4" w:space="0"/>
              <w:right w:val="single" w:color="auto" w:sz="4" w:space="0"/>
            </w:tcBorders>
          </w:tcPr>
          <w:p w14:paraId="41238475">
            <w:pPr>
              <w:spacing w:line="360" w:lineRule="auto"/>
              <w:jc w:val="left"/>
              <w:rPr>
                <w:rFonts w:ascii="宋体" w:hAnsi="宋体" w:cs="宋体"/>
                <w:bCs/>
                <w:szCs w:val="21"/>
                <w:highlight w:val="none"/>
              </w:rPr>
            </w:pPr>
          </w:p>
        </w:tc>
      </w:tr>
      <w:tr w14:paraId="3E202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7" w:type="dxa"/>
          <w:cantSplit/>
          <w:trHeight w:val="731" w:hRule="atLeast"/>
        </w:trPr>
        <w:tc>
          <w:tcPr>
            <w:tcW w:w="760" w:type="dxa"/>
            <w:vMerge w:val="continue"/>
            <w:tcBorders>
              <w:left w:val="single" w:color="auto" w:sz="4" w:space="0"/>
              <w:right w:val="single" w:color="auto" w:sz="4" w:space="0"/>
            </w:tcBorders>
          </w:tcPr>
          <w:p w14:paraId="115BE2C5">
            <w:pPr>
              <w:spacing w:line="360" w:lineRule="auto"/>
              <w:jc w:val="left"/>
              <w:rPr>
                <w:rFonts w:ascii="宋体" w:hAnsi="宋体" w:cs="宋体"/>
                <w:b/>
                <w:bCs/>
                <w:szCs w:val="21"/>
                <w:highlight w:val="none"/>
              </w:rPr>
            </w:pPr>
          </w:p>
        </w:tc>
        <w:tc>
          <w:tcPr>
            <w:tcW w:w="1134" w:type="dxa"/>
            <w:vMerge w:val="continue"/>
            <w:tcBorders>
              <w:left w:val="single" w:color="auto" w:sz="4" w:space="0"/>
              <w:right w:val="single" w:color="auto" w:sz="4" w:space="0"/>
            </w:tcBorders>
          </w:tcPr>
          <w:p w14:paraId="484EBCDA">
            <w:pPr>
              <w:spacing w:line="360" w:lineRule="auto"/>
              <w:jc w:val="left"/>
              <w:rPr>
                <w:rFonts w:ascii="宋体" w:hAnsi="宋体" w:cs="宋体"/>
                <w:b/>
                <w:bCs/>
                <w:szCs w:val="21"/>
                <w:highlight w:val="none"/>
              </w:rPr>
            </w:pPr>
          </w:p>
        </w:tc>
        <w:tc>
          <w:tcPr>
            <w:tcW w:w="6693" w:type="dxa"/>
            <w:gridSpan w:val="3"/>
            <w:vAlign w:val="center"/>
          </w:tcPr>
          <w:p w14:paraId="5F03A334">
            <w:pPr>
              <w:spacing w:line="360" w:lineRule="auto"/>
              <w:jc w:val="left"/>
              <w:rPr>
                <w:rFonts w:ascii="宋体" w:hAnsi="宋体" w:cs="宋体"/>
                <w:kern w:val="0"/>
                <w:szCs w:val="21"/>
                <w:highlight w:val="none"/>
              </w:rPr>
            </w:pPr>
            <w:r>
              <w:rPr>
                <w:rFonts w:hint="eastAsia" w:ascii="宋体" w:hAnsi="宋体" w:cs="宋体"/>
                <w:bCs/>
                <w:szCs w:val="21"/>
                <w:highlight w:val="none"/>
              </w:rPr>
              <w:t>工程完工后造成道路市政设施污染，发现一次扣0.5分。</w:t>
            </w:r>
          </w:p>
        </w:tc>
        <w:tc>
          <w:tcPr>
            <w:tcW w:w="578" w:type="dxa"/>
            <w:gridSpan w:val="2"/>
          </w:tcPr>
          <w:p w14:paraId="245069CF">
            <w:pPr>
              <w:spacing w:line="360" w:lineRule="auto"/>
              <w:rPr>
                <w:rFonts w:ascii="宋体" w:hAnsi="宋体" w:cs="宋体"/>
                <w:bCs/>
                <w:szCs w:val="21"/>
                <w:highlight w:val="none"/>
              </w:rPr>
            </w:pPr>
          </w:p>
        </w:tc>
        <w:tc>
          <w:tcPr>
            <w:tcW w:w="545" w:type="dxa"/>
            <w:vMerge w:val="continue"/>
            <w:tcBorders>
              <w:left w:val="single" w:color="auto" w:sz="4" w:space="0"/>
              <w:right w:val="single" w:color="auto" w:sz="4" w:space="0"/>
            </w:tcBorders>
          </w:tcPr>
          <w:p w14:paraId="1F66B81E">
            <w:pPr>
              <w:spacing w:line="360" w:lineRule="auto"/>
              <w:jc w:val="left"/>
              <w:rPr>
                <w:rFonts w:ascii="宋体" w:hAnsi="宋体" w:cs="宋体"/>
                <w:bCs/>
                <w:szCs w:val="21"/>
                <w:highlight w:val="none"/>
              </w:rPr>
            </w:pPr>
          </w:p>
        </w:tc>
      </w:tr>
      <w:tr w14:paraId="0E2F9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cantSplit/>
          <w:trHeight w:val="565" w:hRule="atLeast"/>
        </w:trPr>
        <w:tc>
          <w:tcPr>
            <w:tcW w:w="760" w:type="dxa"/>
            <w:vMerge w:val="restart"/>
            <w:tcBorders>
              <w:top w:val="single" w:color="auto" w:sz="4" w:space="0"/>
              <w:left w:val="single" w:color="auto" w:sz="4" w:space="0"/>
              <w:bottom w:val="single" w:color="auto" w:sz="4" w:space="0"/>
              <w:right w:val="single" w:color="auto" w:sz="4" w:space="0"/>
            </w:tcBorders>
            <w:vAlign w:val="center"/>
          </w:tcPr>
          <w:p w14:paraId="4500F04A">
            <w:pPr>
              <w:spacing w:line="360" w:lineRule="auto"/>
              <w:jc w:val="center"/>
              <w:rPr>
                <w:rFonts w:ascii="宋体" w:hAnsi="宋体" w:cs="宋体"/>
                <w:b/>
                <w:bCs/>
                <w:szCs w:val="21"/>
                <w:highlight w:val="none"/>
              </w:rPr>
            </w:pPr>
            <w:r>
              <w:rPr>
                <w:rFonts w:hint="eastAsia" w:ascii="宋体" w:hAnsi="宋体" w:cs="宋体"/>
                <w:b/>
                <w:bCs/>
                <w:szCs w:val="21"/>
                <w:highlight w:val="none"/>
              </w:rPr>
              <w:t>3</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32E4CDB1">
            <w:pPr>
              <w:spacing w:line="360" w:lineRule="auto"/>
              <w:jc w:val="center"/>
              <w:rPr>
                <w:rFonts w:ascii="宋体" w:hAnsi="宋体" w:cs="宋体"/>
                <w:b/>
                <w:bCs/>
                <w:szCs w:val="21"/>
                <w:highlight w:val="none"/>
              </w:rPr>
            </w:pPr>
            <w:r>
              <w:rPr>
                <w:rFonts w:hint="eastAsia" w:ascii="宋体" w:hAnsi="宋体" w:cs="宋体"/>
                <w:b/>
                <w:bCs/>
                <w:szCs w:val="21"/>
                <w:highlight w:val="none"/>
              </w:rPr>
              <w:t>安全文明施工</w:t>
            </w:r>
          </w:p>
          <w:p w14:paraId="09D13D57">
            <w:pPr>
              <w:spacing w:line="360" w:lineRule="auto"/>
              <w:jc w:val="center"/>
              <w:rPr>
                <w:rFonts w:ascii="宋体" w:hAnsi="宋体" w:cs="宋体"/>
                <w:b/>
                <w:bCs/>
                <w:szCs w:val="21"/>
                <w:highlight w:val="none"/>
              </w:rPr>
            </w:pPr>
            <w:r>
              <w:rPr>
                <w:rFonts w:hint="eastAsia" w:ascii="宋体" w:hAnsi="宋体" w:cs="宋体"/>
                <w:b/>
                <w:bCs/>
                <w:szCs w:val="21"/>
                <w:highlight w:val="none"/>
              </w:rPr>
              <w:t>（15分）</w:t>
            </w:r>
          </w:p>
        </w:tc>
        <w:tc>
          <w:tcPr>
            <w:tcW w:w="6693" w:type="dxa"/>
            <w:gridSpan w:val="3"/>
            <w:tcBorders>
              <w:top w:val="single" w:color="auto" w:sz="4" w:space="0"/>
              <w:left w:val="single" w:color="auto" w:sz="4" w:space="0"/>
              <w:bottom w:val="single" w:color="auto" w:sz="4" w:space="0"/>
              <w:right w:val="single" w:color="auto" w:sz="4" w:space="0"/>
            </w:tcBorders>
            <w:vAlign w:val="center"/>
          </w:tcPr>
          <w:p w14:paraId="6B8FF522">
            <w:pPr>
              <w:spacing w:line="360" w:lineRule="auto"/>
              <w:rPr>
                <w:rFonts w:ascii="宋体" w:hAnsi="宋体" w:cs="宋体"/>
                <w:bCs/>
                <w:szCs w:val="21"/>
                <w:highlight w:val="none"/>
              </w:rPr>
            </w:pPr>
            <w:r>
              <w:rPr>
                <w:rFonts w:hint="eastAsia" w:ascii="宋体" w:hAnsi="宋体" w:cs="宋体"/>
                <w:bCs/>
                <w:szCs w:val="21"/>
                <w:highlight w:val="none"/>
              </w:rPr>
              <w:t>施工现场未设置安全设施，发现一次扣1分。</w:t>
            </w:r>
          </w:p>
        </w:tc>
        <w:tc>
          <w:tcPr>
            <w:tcW w:w="563" w:type="dxa"/>
            <w:tcBorders>
              <w:top w:val="single" w:color="auto" w:sz="4" w:space="0"/>
              <w:left w:val="single" w:color="auto" w:sz="4" w:space="0"/>
              <w:bottom w:val="single" w:color="auto" w:sz="4" w:space="0"/>
              <w:right w:val="single" w:color="auto" w:sz="4" w:space="0"/>
            </w:tcBorders>
            <w:vAlign w:val="center"/>
          </w:tcPr>
          <w:p w14:paraId="712E8F31">
            <w:pPr>
              <w:spacing w:line="360" w:lineRule="auto"/>
              <w:rPr>
                <w:rFonts w:ascii="宋体" w:hAnsi="宋体" w:cs="宋体"/>
                <w:bCs/>
                <w:szCs w:val="21"/>
                <w:highlight w:val="none"/>
              </w:rPr>
            </w:pPr>
          </w:p>
        </w:tc>
        <w:tc>
          <w:tcPr>
            <w:tcW w:w="567" w:type="dxa"/>
            <w:gridSpan w:val="3"/>
            <w:vMerge w:val="restart"/>
            <w:tcBorders>
              <w:top w:val="single" w:color="auto" w:sz="4" w:space="0"/>
              <w:left w:val="single" w:color="auto" w:sz="4" w:space="0"/>
              <w:right w:val="single" w:color="auto" w:sz="4" w:space="0"/>
            </w:tcBorders>
            <w:vAlign w:val="center"/>
          </w:tcPr>
          <w:p w14:paraId="63044E68">
            <w:pPr>
              <w:spacing w:line="360" w:lineRule="auto"/>
              <w:rPr>
                <w:rFonts w:ascii="宋体" w:hAnsi="宋体" w:cs="宋体"/>
                <w:bCs/>
                <w:szCs w:val="21"/>
                <w:highlight w:val="none"/>
              </w:rPr>
            </w:pPr>
          </w:p>
        </w:tc>
      </w:tr>
      <w:tr w14:paraId="6FFC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cantSplit/>
          <w:trHeight w:val="687" w:hRule="atLeast"/>
        </w:trPr>
        <w:tc>
          <w:tcPr>
            <w:tcW w:w="760" w:type="dxa"/>
            <w:vMerge w:val="continue"/>
            <w:tcBorders>
              <w:top w:val="single" w:color="auto" w:sz="4" w:space="0"/>
              <w:left w:val="single" w:color="auto" w:sz="4" w:space="0"/>
              <w:bottom w:val="single" w:color="auto" w:sz="4" w:space="0"/>
              <w:right w:val="single" w:color="auto" w:sz="4" w:space="0"/>
            </w:tcBorders>
            <w:vAlign w:val="center"/>
          </w:tcPr>
          <w:p w14:paraId="299516D3">
            <w:pPr>
              <w:spacing w:line="360" w:lineRule="auto"/>
              <w:jc w:val="center"/>
              <w:rPr>
                <w:rFonts w:ascii="宋体" w:hAnsi="宋体" w:cs="宋体"/>
                <w:b/>
                <w:bCs/>
                <w:szCs w:val="21"/>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00097D6F">
            <w:pPr>
              <w:spacing w:line="360" w:lineRule="auto"/>
              <w:jc w:val="center"/>
              <w:rPr>
                <w:rFonts w:ascii="宋体" w:hAnsi="宋体" w:cs="宋体"/>
                <w:b/>
                <w:bCs/>
                <w:szCs w:val="21"/>
                <w:highlight w:val="none"/>
              </w:rPr>
            </w:pPr>
          </w:p>
        </w:tc>
        <w:tc>
          <w:tcPr>
            <w:tcW w:w="6693" w:type="dxa"/>
            <w:gridSpan w:val="3"/>
            <w:tcBorders>
              <w:top w:val="single" w:color="auto" w:sz="4" w:space="0"/>
              <w:left w:val="single" w:color="auto" w:sz="4" w:space="0"/>
              <w:bottom w:val="single" w:color="auto" w:sz="4" w:space="0"/>
              <w:right w:val="single" w:color="auto" w:sz="4" w:space="0"/>
            </w:tcBorders>
            <w:vAlign w:val="center"/>
          </w:tcPr>
          <w:p w14:paraId="6C677287">
            <w:pPr>
              <w:spacing w:line="360" w:lineRule="auto"/>
              <w:rPr>
                <w:rFonts w:ascii="宋体" w:hAnsi="宋体" w:cs="宋体"/>
                <w:bCs/>
                <w:szCs w:val="21"/>
                <w:highlight w:val="none"/>
              </w:rPr>
            </w:pPr>
            <w:r>
              <w:rPr>
                <w:rFonts w:hint="eastAsia" w:ascii="宋体" w:hAnsi="宋体" w:cs="宋体"/>
                <w:bCs/>
                <w:szCs w:val="21"/>
                <w:highlight w:val="none"/>
              </w:rPr>
              <w:t>施工区域内指示、警示、施工安全标志不健全，发现一次扣1分。</w:t>
            </w:r>
          </w:p>
        </w:tc>
        <w:tc>
          <w:tcPr>
            <w:tcW w:w="563" w:type="dxa"/>
            <w:tcBorders>
              <w:top w:val="single" w:color="auto" w:sz="4" w:space="0"/>
              <w:left w:val="single" w:color="auto" w:sz="4" w:space="0"/>
              <w:bottom w:val="single" w:color="auto" w:sz="4" w:space="0"/>
              <w:right w:val="single" w:color="auto" w:sz="4" w:space="0"/>
            </w:tcBorders>
            <w:vAlign w:val="center"/>
          </w:tcPr>
          <w:p w14:paraId="414A8E4E">
            <w:pPr>
              <w:spacing w:line="360" w:lineRule="auto"/>
              <w:rPr>
                <w:rFonts w:ascii="宋体" w:hAnsi="宋体" w:cs="宋体"/>
                <w:bCs/>
                <w:szCs w:val="21"/>
                <w:highlight w:val="none"/>
              </w:rPr>
            </w:pPr>
          </w:p>
        </w:tc>
        <w:tc>
          <w:tcPr>
            <w:tcW w:w="567" w:type="dxa"/>
            <w:gridSpan w:val="3"/>
            <w:vMerge w:val="continue"/>
            <w:tcBorders>
              <w:left w:val="single" w:color="auto" w:sz="4" w:space="0"/>
              <w:right w:val="single" w:color="auto" w:sz="4" w:space="0"/>
            </w:tcBorders>
            <w:vAlign w:val="center"/>
          </w:tcPr>
          <w:p w14:paraId="6A5AF6A6">
            <w:pPr>
              <w:spacing w:line="360" w:lineRule="auto"/>
              <w:rPr>
                <w:rFonts w:ascii="宋体" w:hAnsi="宋体" w:cs="宋体"/>
                <w:bCs/>
                <w:szCs w:val="21"/>
                <w:highlight w:val="none"/>
              </w:rPr>
            </w:pPr>
          </w:p>
        </w:tc>
      </w:tr>
      <w:tr w14:paraId="1B510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cantSplit/>
          <w:trHeight w:val="569" w:hRule="atLeast"/>
        </w:trPr>
        <w:tc>
          <w:tcPr>
            <w:tcW w:w="760" w:type="dxa"/>
            <w:vMerge w:val="continue"/>
            <w:tcBorders>
              <w:top w:val="single" w:color="auto" w:sz="4" w:space="0"/>
              <w:left w:val="single" w:color="auto" w:sz="4" w:space="0"/>
              <w:bottom w:val="single" w:color="auto" w:sz="4" w:space="0"/>
              <w:right w:val="single" w:color="auto" w:sz="4" w:space="0"/>
            </w:tcBorders>
            <w:vAlign w:val="center"/>
          </w:tcPr>
          <w:p w14:paraId="27064BC9">
            <w:pPr>
              <w:spacing w:line="360" w:lineRule="auto"/>
              <w:jc w:val="center"/>
              <w:rPr>
                <w:rFonts w:ascii="宋体" w:hAnsi="宋体" w:cs="宋体"/>
                <w:b/>
                <w:bCs/>
                <w:szCs w:val="21"/>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7378453D">
            <w:pPr>
              <w:spacing w:line="360" w:lineRule="auto"/>
              <w:jc w:val="center"/>
              <w:rPr>
                <w:rFonts w:ascii="宋体" w:hAnsi="宋体" w:cs="宋体"/>
                <w:b/>
                <w:bCs/>
                <w:szCs w:val="21"/>
                <w:highlight w:val="none"/>
              </w:rPr>
            </w:pPr>
          </w:p>
        </w:tc>
        <w:tc>
          <w:tcPr>
            <w:tcW w:w="6693" w:type="dxa"/>
            <w:gridSpan w:val="3"/>
            <w:tcBorders>
              <w:top w:val="single" w:color="auto" w:sz="4" w:space="0"/>
              <w:left w:val="single" w:color="auto" w:sz="4" w:space="0"/>
              <w:bottom w:val="single" w:color="auto" w:sz="4" w:space="0"/>
              <w:right w:val="single" w:color="auto" w:sz="4" w:space="0"/>
            </w:tcBorders>
            <w:vAlign w:val="center"/>
          </w:tcPr>
          <w:p w14:paraId="2B52DBB2">
            <w:pPr>
              <w:spacing w:line="360" w:lineRule="auto"/>
              <w:rPr>
                <w:rFonts w:ascii="宋体" w:hAnsi="宋体" w:cs="宋体"/>
                <w:bCs/>
                <w:szCs w:val="21"/>
                <w:highlight w:val="none"/>
              </w:rPr>
            </w:pPr>
            <w:r>
              <w:rPr>
                <w:rFonts w:hint="eastAsia" w:ascii="宋体" w:hAnsi="宋体" w:cs="宋体"/>
                <w:bCs/>
                <w:szCs w:val="21"/>
                <w:highlight w:val="none"/>
              </w:rPr>
              <w:t>施工现场布置不合理；材料、设备堆放不整齐，发现一次扣1分。</w:t>
            </w:r>
          </w:p>
        </w:tc>
        <w:tc>
          <w:tcPr>
            <w:tcW w:w="563" w:type="dxa"/>
            <w:tcBorders>
              <w:top w:val="single" w:color="auto" w:sz="4" w:space="0"/>
              <w:left w:val="single" w:color="auto" w:sz="4" w:space="0"/>
              <w:bottom w:val="single" w:color="auto" w:sz="4" w:space="0"/>
              <w:right w:val="single" w:color="auto" w:sz="4" w:space="0"/>
            </w:tcBorders>
            <w:vAlign w:val="center"/>
          </w:tcPr>
          <w:p w14:paraId="4A8B0DDD">
            <w:pPr>
              <w:spacing w:line="360" w:lineRule="auto"/>
              <w:rPr>
                <w:rFonts w:ascii="宋体" w:hAnsi="宋体" w:cs="宋体"/>
                <w:bCs/>
                <w:szCs w:val="21"/>
                <w:highlight w:val="none"/>
              </w:rPr>
            </w:pPr>
          </w:p>
        </w:tc>
        <w:tc>
          <w:tcPr>
            <w:tcW w:w="567" w:type="dxa"/>
            <w:gridSpan w:val="3"/>
            <w:vMerge w:val="continue"/>
            <w:tcBorders>
              <w:left w:val="single" w:color="auto" w:sz="4" w:space="0"/>
              <w:right w:val="single" w:color="auto" w:sz="4" w:space="0"/>
            </w:tcBorders>
            <w:vAlign w:val="center"/>
          </w:tcPr>
          <w:p w14:paraId="5C87C2D0">
            <w:pPr>
              <w:spacing w:line="360" w:lineRule="auto"/>
              <w:rPr>
                <w:rFonts w:ascii="宋体" w:hAnsi="宋体" w:cs="宋体"/>
                <w:bCs/>
                <w:szCs w:val="21"/>
                <w:highlight w:val="none"/>
              </w:rPr>
            </w:pPr>
          </w:p>
        </w:tc>
      </w:tr>
      <w:tr w14:paraId="76066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cantSplit/>
          <w:trHeight w:val="690" w:hRule="atLeast"/>
        </w:trPr>
        <w:tc>
          <w:tcPr>
            <w:tcW w:w="760" w:type="dxa"/>
            <w:vMerge w:val="continue"/>
            <w:tcBorders>
              <w:top w:val="single" w:color="auto" w:sz="4" w:space="0"/>
              <w:left w:val="single" w:color="auto" w:sz="4" w:space="0"/>
              <w:bottom w:val="single" w:color="auto" w:sz="4" w:space="0"/>
              <w:right w:val="single" w:color="auto" w:sz="4" w:space="0"/>
            </w:tcBorders>
            <w:vAlign w:val="center"/>
          </w:tcPr>
          <w:p w14:paraId="6ED50CC8">
            <w:pPr>
              <w:spacing w:line="360" w:lineRule="auto"/>
              <w:jc w:val="left"/>
              <w:rPr>
                <w:rFonts w:ascii="宋体" w:hAnsi="宋体" w:cs="宋体"/>
                <w:b/>
                <w:bCs/>
                <w:szCs w:val="21"/>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6F2FA6CE">
            <w:pPr>
              <w:spacing w:line="360" w:lineRule="auto"/>
              <w:jc w:val="left"/>
              <w:rPr>
                <w:rFonts w:ascii="宋体" w:hAnsi="宋体" w:cs="宋体"/>
                <w:b/>
                <w:bCs/>
                <w:szCs w:val="21"/>
                <w:highlight w:val="none"/>
              </w:rPr>
            </w:pPr>
          </w:p>
        </w:tc>
        <w:tc>
          <w:tcPr>
            <w:tcW w:w="6693" w:type="dxa"/>
            <w:gridSpan w:val="3"/>
            <w:tcBorders>
              <w:top w:val="single" w:color="auto" w:sz="4" w:space="0"/>
              <w:left w:val="single" w:color="auto" w:sz="4" w:space="0"/>
              <w:bottom w:val="single" w:color="auto" w:sz="4" w:space="0"/>
              <w:right w:val="single" w:color="auto" w:sz="4" w:space="0"/>
            </w:tcBorders>
            <w:vAlign w:val="center"/>
          </w:tcPr>
          <w:p w14:paraId="09DD78DE">
            <w:pPr>
              <w:spacing w:line="360" w:lineRule="auto"/>
              <w:rPr>
                <w:rFonts w:ascii="宋体" w:hAnsi="宋体" w:cs="宋体"/>
                <w:bCs/>
                <w:szCs w:val="21"/>
                <w:highlight w:val="none"/>
              </w:rPr>
            </w:pPr>
            <w:r>
              <w:rPr>
                <w:rFonts w:hint="eastAsia" w:ascii="宋体" w:hAnsi="宋体" w:cs="宋体"/>
                <w:bCs/>
                <w:szCs w:val="21"/>
                <w:highlight w:val="none"/>
              </w:rPr>
              <w:t>未按规定统一着装，发现一人扣0.5分。</w:t>
            </w:r>
          </w:p>
        </w:tc>
        <w:tc>
          <w:tcPr>
            <w:tcW w:w="563" w:type="dxa"/>
            <w:tcBorders>
              <w:top w:val="single" w:color="auto" w:sz="4" w:space="0"/>
              <w:left w:val="single" w:color="auto" w:sz="4" w:space="0"/>
              <w:bottom w:val="single" w:color="auto" w:sz="4" w:space="0"/>
              <w:right w:val="single" w:color="auto" w:sz="4" w:space="0"/>
            </w:tcBorders>
            <w:vAlign w:val="center"/>
          </w:tcPr>
          <w:p w14:paraId="1090319D">
            <w:pPr>
              <w:spacing w:line="360" w:lineRule="auto"/>
              <w:rPr>
                <w:rFonts w:ascii="宋体" w:hAnsi="宋体" w:cs="宋体"/>
                <w:bCs/>
                <w:szCs w:val="21"/>
                <w:highlight w:val="none"/>
              </w:rPr>
            </w:pPr>
          </w:p>
        </w:tc>
        <w:tc>
          <w:tcPr>
            <w:tcW w:w="567" w:type="dxa"/>
            <w:gridSpan w:val="3"/>
            <w:vMerge w:val="continue"/>
            <w:tcBorders>
              <w:left w:val="single" w:color="auto" w:sz="4" w:space="0"/>
              <w:bottom w:val="single" w:color="auto" w:sz="4" w:space="0"/>
              <w:right w:val="single" w:color="auto" w:sz="4" w:space="0"/>
            </w:tcBorders>
            <w:vAlign w:val="center"/>
          </w:tcPr>
          <w:p w14:paraId="2C6225B7">
            <w:pPr>
              <w:spacing w:line="360" w:lineRule="auto"/>
              <w:rPr>
                <w:rFonts w:ascii="宋体" w:hAnsi="宋体" w:cs="宋体"/>
                <w:bCs/>
                <w:szCs w:val="21"/>
                <w:highlight w:val="none"/>
              </w:rPr>
            </w:pPr>
          </w:p>
        </w:tc>
      </w:tr>
      <w:tr w14:paraId="5DD5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cantSplit/>
          <w:trHeight w:val="690" w:hRule="atLeast"/>
        </w:trPr>
        <w:tc>
          <w:tcPr>
            <w:tcW w:w="760" w:type="dxa"/>
            <w:vMerge w:val="restart"/>
            <w:tcBorders>
              <w:top w:val="single" w:color="auto" w:sz="4" w:space="0"/>
              <w:left w:val="single" w:color="auto" w:sz="4" w:space="0"/>
              <w:right w:val="single" w:color="auto" w:sz="4" w:space="0"/>
            </w:tcBorders>
            <w:vAlign w:val="center"/>
          </w:tcPr>
          <w:p w14:paraId="3897CBD6">
            <w:pPr>
              <w:spacing w:line="360" w:lineRule="auto"/>
              <w:jc w:val="center"/>
              <w:rPr>
                <w:rFonts w:ascii="宋体" w:hAnsi="宋体" w:cs="宋体"/>
                <w:b/>
                <w:bCs/>
                <w:szCs w:val="21"/>
                <w:highlight w:val="none"/>
              </w:rPr>
            </w:pPr>
            <w:r>
              <w:rPr>
                <w:rFonts w:hint="eastAsia" w:ascii="宋体" w:hAnsi="宋体" w:cs="宋体"/>
                <w:b/>
                <w:bCs/>
                <w:szCs w:val="21"/>
                <w:highlight w:val="none"/>
              </w:rPr>
              <w:t>4</w:t>
            </w:r>
          </w:p>
        </w:tc>
        <w:tc>
          <w:tcPr>
            <w:tcW w:w="1134" w:type="dxa"/>
            <w:vMerge w:val="restart"/>
            <w:tcBorders>
              <w:top w:val="single" w:color="auto" w:sz="4" w:space="0"/>
              <w:left w:val="single" w:color="auto" w:sz="4" w:space="0"/>
              <w:right w:val="single" w:color="auto" w:sz="4" w:space="0"/>
            </w:tcBorders>
            <w:vAlign w:val="center"/>
          </w:tcPr>
          <w:p w14:paraId="383BA2EF">
            <w:pPr>
              <w:spacing w:line="360" w:lineRule="auto"/>
              <w:jc w:val="center"/>
              <w:rPr>
                <w:rFonts w:ascii="宋体" w:hAnsi="宋体" w:cs="宋体"/>
                <w:b/>
                <w:bCs/>
                <w:szCs w:val="21"/>
                <w:highlight w:val="none"/>
              </w:rPr>
            </w:pPr>
            <w:r>
              <w:rPr>
                <w:rFonts w:hint="eastAsia" w:ascii="宋体" w:hAnsi="宋体" w:cs="宋体"/>
                <w:b/>
                <w:bCs/>
                <w:szCs w:val="21"/>
                <w:highlight w:val="none"/>
              </w:rPr>
              <w:t>业务管理</w:t>
            </w:r>
          </w:p>
          <w:p w14:paraId="70A96904">
            <w:pPr>
              <w:spacing w:line="360" w:lineRule="auto"/>
              <w:jc w:val="center"/>
              <w:rPr>
                <w:rFonts w:ascii="宋体" w:hAnsi="宋体" w:cs="宋体"/>
                <w:b/>
                <w:bCs/>
                <w:szCs w:val="21"/>
                <w:highlight w:val="none"/>
              </w:rPr>
            </w:pPr>
            <w:r>
              <w:rPr>
                <w:rFonts w:hint="eastAsia" w:ascii="宋体" w:hAnsi="宋体" w:cs="宋体"/>
                <w:b/>
                <w:bCs/>
                <w:szCs w:val="21"/>
                <w:highlight w:val="none"/>
              </w:rPr>
              <w:t>（10分）</w:t>
            </w:r>
          </w:p>
        </w:tc>
        <w:tc>
          <w:tcPr>
            <w:tcW w:w="6693" w:type="dxa"/>
            <w:gridSpan w:val="3"/>
            <w:tcBorders>
              <w:top w:val="single" w:color="auto" w:sz="4" w:space="0"/>
              <w:left w:val="single" w:color="auto" w:sz="4" w:space="0"/>
              <w:bottom w:val="single" w:color="auto" w:sz="4" w:space="0"/>
              <w:right w:val="single" w:color="auto" w:sz="4" w:space="0"/>
            </w:tcBorders>
            <w:vAlign w:val="center"/>
          </w:tcPr>
          <w:p w14:paraId="33F31813">
            <w:pPr>
              <w:spacing w:line="360" w:lineRule="auto"/>
              <w:rPr>
                <w:rFonts w:ascii="宋体" w:hAnsi="宋体" w:cs="宋体"/>
                <w:bCs/>
                <w:szCs w:val="21"/>
                <w:highlight w:val="none"/>
              </w:rPr>
            </w:pPr>
            <w:r>
              <w:rPr>
                <w:rFonts w:hint="eastAsia" w:ascii="宋体" w:hAnsi="宋体" w:cs="宋体"/>
                <w:bCs/>
                <w:szCs w:val="21"/>
                <w:highlight w:val="none"/>
              </w:rPr>
              <w:t>养护过程中发现需大修的项目需及时书面上报甲方，未上报的发生一次扣2分。</w:t>
            </w:r>
          </w:p>
        </w:tc>
        <w:tc>
          <w:tcPr>
            <w:tcW w:w="563" w:type="dxa"/>
            <w:tcBorders>
              <w:top w:val="single" w:color="auto" w:sz="4" w:space="0"/>
              <w:left w:val="single" w:color="auto" w:sz="4" w:space="0"/>
              <w:bottom w:val="single" w:color="auto" w:sz="4" w:space="0"/>
              <w:right w:val="single" w:color="auto" w:sz="4" w:space="0"/>
            </w:tcBorders>
            <w:vAlign w:val="center"/>
          </w:tcPr>
          <w:p w14:paraId="37B364E8">
            <w:pPr>
              <w:spacing w:line="360" w:lineRule="auto"/>
              <w:rPr>
                <w:rFonts w:ascii="宋体" w:hAnsi="宋体" w:cs="宋体"/>
                <w:bCs/>
                <w:szCs w:val="21"/>
                <w:highlight w:val="none"/>
              </w:rPr>
            </w:pPr>
          </w:p>
        </w:tc>
        <w:tc>
          <w:tcPr>
            <w:tcW w:w="567" w:type="dxa"/>
            <w:gridSpan w:val="3"/>
            <w:vMerge w:val="restart"/>
            <w:tcBorders>
              <w:top w:val="single" w:color="auto" w:sz="4" w:space="0"/>
              <w:left w:val="single" w:color="auto" w:sz="4" w:space="0"/>
              <w:right w:val="single" w:color="auto" w:sz="4" w:space="0"/>
            </w:tcBorders>
            <w:vAlign w:val="center"/>
          </w:tcPr>
          <w:p w14:paraId="63829031">
            <w:pPr>
              <w:spacing w:line="360" w:lineRule="auto"/>
              <w:rPr>
                <w:rFonts w:ascii="宋体" w:hAnsi="宋体" w:cs="宋体"/>
                <w:bCs/>
                <w:szCs w:val="21"/>
                <w:highlight w:val="none"/>
              </w:rPr>
            </w:pPr>
          </w:p>
        </w:tc>
      </w:tr>
      <w:tr w14:paraId="71EB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cantSplit/>
          <w:trHeight w:val="690" w:hRule="atLeast"/>
        </w:trPr>
        <w:tc>
          <w:tcPr>
            <w:tcW w:w="760" w:type="dxa"/>
            <w:vMerge w:val="continue"/>
            <w:tcBorders>
              <w:left w:val="single" w:color="auto" w:sz="4" w:space="0"/>
              <w:right w:val="single" w:color="auto" w:sz="4" w:space="0"/>
            </w:tcBorders>
          </w:tcPr>
          <w:p w14:paraId="4576B2D4">
            <w:pPr>
              <w:spacing w:line="360" w:lineRule="auto"/>
              <w:jc w:val="left"/>
              <w:rPr>
                <w:rFonts w:ascii="宋体" w:hAnsi="宋体" w:cs="宋体"/>
                <w:b/>
                <w:bCs/>
                <w:szCs w:val="21"/>
                <w:highlight w:val="none"/>
              </w:rPr>
            </w:pPr>
          </w:p>
        </w:tc>
        <w:tc>
          <w:tcPr>
            <w:tcW w:w="1134" w:type="dxa"/>
            <w:vMerge w:val="continue"/>
            <w:tcBorders>
              <w:left w:val="single" w:color="auto" w:sz="4" w:space="0"/>
              <w:right w:val="single" w:color="auto" w:sz="4" w:space="0"/>
            </w:tcBorders>
          </w:tcPr>
          <w:p w14:paraId="06621176">
            <w:pPr>
              <w:spacing w:line="360" w:lineRule="auto"/>
              <w:jc w:val="left"/>
              <w:rPr>
                <w:rFonts w:ascii="宋体" w:hAnsi="宋体" w:cs="宋体"/>
                <w:b/>
                <w:bCs/>
                <w:szCs w:val="21"/>
                <w:highlight w:val="none"/>
              </w:rPr>
            </w:pPr>
          </w:p>
        </w:tc>
        <w:tc>
          <w:tcPr>
            <w:tcW w:w="6693" w:type="dxa"/>
            <w:gridSpan w:val="3"/>
            <w:vAlign w:val="center"/>
          </w:tcPr>
          <w:p w14:paraId="34DCC3C7">
            <w:pPr>
              <w:spacing w:line="360" w:lineRule="auto"/>
              <w:rPr>
                <w:rFonts w:ascii="宋体" w:hAnsi="宋体" w:cs="宋体"/>
                <w:bCs/>
                <w:szCs w:val="21"/>
                <w:highlight w:val="none"/>
              </w:rPr>
            </w:pPr>
            <w:r>
              <w:rPr>
                <w:rFonts w:hint="eastAsia" w:ascii="宋体" w:hAnsi="宋体" w:cs="宋体"/>
                <w:bCs/>
                <w:szCs w:val="21"/>
                <w:highlight w:val="none"/>
              </w:rPr>
              <w:t>未按审核的施工组织设计中的人员与设备到场施工，发现一次扣2分。</w:t>
            </w:r>
          </w:p>
        </w:tc>
        <w:tc>
          <w:tcPr>
            <w:tcW w:w="563" w:type="dxa"/>
            <w:vAlign w:val="center"/>
          </w:tcPr>
          <w:p w14:paraId="4FB81100">
            <w:pPr>
              <w:spacing w:line="360" w:lineRule="auto"/>
              <w:rPr>
                <w:rFonts w:ascii="宋体" w:hAnsi="宋体" w:cs="宋体"/>
                <w:bCs/>
                <w:szCs w:val="21"/>
                <w:highlight w:val="none"/>
              </w:rPr>
            </w:pPr>
          </w:p>
        </w:tc>
        <w:tc>
          <w:tcPr>
            <w:tcW w:w="567" w:type="dxa"/>
            <w:gridSpan w:val="3"/>
            <w:vMerge w:val="continue"/>
            <w:tcBorders>
              <w:left w:val="single" w:color="auto" w:sz="4" w:space="0"/>
              <w:right w:val="single" w:color="auto" w:sz="4" w:space="0"/>
            </w:tcBorders>
            <w:vAlign w:val="center"/>
          </w:tcPr>
          <w:p w14:paraId="3117FDEA">
            <w:pPr>
              <w:spacing w:line="360" w:lineRule="auto"/>
              <w:rPr>
                <w:rFonts w:ascii="宋体" w:hAnsi="宋体" w:cs="宋体"/>
                <w:bCs/>
                <w:szCs w:val="21"/>
                <w:highlight w:val="none"/>
              </w:rPr>
            </w:pPr>
          </w:p>
        </w:tc>
      </w:tr>
      <w:tr w14:paraId="7669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cantSplit/>
          <w:trHeight w:val="690" w:hRule="atLeast"/>
        </w:trPr>
        <w:tc>
          <w:tcPr>
            <w:tcW w:w="760" w:type="dxa"/>
            <w:vMerge w:val="continue"/>
            <w:tcBorders>
              <w:left w:val="single" w:color="auto" w:sz="4" w:space="0"/>
              <w:right w:val="single" w:color="auto" w:sz="4" w:space="0"/>
            </w:tcBorders>
          </w:tcPr>
          <w:p w14:paraId="6BD3A4BD">
            <w:pPr>
              <w:spacing w:line="360" w:lineRule="auto"/>
              <w:jc w:val="left"/>
              <w:rPr>
                <w:rFonts w:ascii="宋体" w:hAnsi="宋体" w:cs="宋体"/>
                <w:b/>
                <w:bCs/>
                <w:szCs w:val="21"/>
                <w:highlight w:val="none"/>
              </w:rPr>
            </w:pPr>
          </w:p>
        </w:tc>
        <w:tc>
          <w:tcPr>
            <w:tcW w:w="1134" w:type="dxa"/>
            <w:vMerge w:val="continue"/>
            <w:tcBorders>
              <w:left w:val="single" w:color="auto" w:sz="4" w:space="0"/>
              <w:right w:val="single" w:color="auto" w:sz="4" w:space="0"/>
            </w:tcBorders>
          </w:tcPr>
          <w:p w14:paraId="2D10C361">
            <w:pPr>
              <w:spacing w:line="360" w:lineRule="auto"/>
              <w:jc w:val="left"/>
              <w:rPr>
                <w:rFonts w:ascii="宋体" w:hAnsi="宋体" w:cs="宋体"/>
                <w:b/>
                <w:bCs/>
                <w:szCs w:val="21"/>
                <w:highlight w:val="none"/>
              </w:rPr>
            </w:pPr>
          </w:p>
        </w:tc>
        <w:tc>
          <w:tcPr>
            <w:tcW w:w="6693" w:type="dxa"/>
            <w:gridSpan w:val="3"/>
            <w:vAlign w:val="center"/>
          </w:tcPr>
          <w:p w14:paraId="3F217326">
            <w:pPr>
              <w:spacing w:line="360" w:lineRule="auto"/>
              <w:rPr>
                <w:rFonts w:ascii="宋体" w:hAnsi="宋体" w:cs="宋体"/>
                <w:bCs/>
                <w:szCs w:val="21"/>
                <w:highlight w:val="none"/>
              </w:rPr>
            </w:pPr>
            <w:r>
              <w:rPr>
                <w:rFonts w:hint="eastAsia" w:ascii="宋体" w:hAnsi="宋体" w:cs="宋体"/>
                <w:bCs/>
                <w:szCs w:val="21"/>
                <w:highlight w:val="none"/>
              </w:rPr>
              <w:t>养护台帐、内部考核制度、维修制度、应急预案、巡查记录等的完善，资料不全一次扣2分。</w:t>
            </w:r>
          </w:p>
        </w:tc>
        <w:tc>
          <w:tcPr>
            <w:tcW w:w="563" w:type="dxa"/>
            <w:vAlign w:val="center"/>
          </w:tcPr>
          <w:p w14:paraId="74C61AA8">
            <w:pPr>
              <w:spacing w:line="360" w:lineRule="auto"/>
              <w:rPr>
                <w:rFonts w:ascii="宋体" w:hAnsi="宋体" w:cs="宋体"/>
                <w:bCs/>
                <w:szCs w:val="21"/>
                <w:highlight w:val="none"/>
              </w:rPr>
            </w:pPr>
          </w:p>
        </w:tc>
        <w:tc>
          <w:tcPr>
            <w:tcW w:w="567" w:type="dxa"/>
            <w:gridSpan w:val="3"/>
            <w:vMerge w:val="continue"/>
            <w:tcBorders>
              <w:left w:val="single" w:color="auto" w:sz="4" w:space="0"/>
              <w:right w:val="single" w:color="auto" w:sz="4" w:space="0"/>
            </w:tcBorders>
            <w:vAlign w:val="center"/>
          </w:tcPr>
          <w:p w14:paraId="583788F6">
            <w:pPr>
              <w:spacing w:line="360" w:lineRule="auto"/>
              <w:rPr>
                <w:rFonts w:ascii="宋体" w:hAnsi="宋体" w:cs="宋体"/>
                <w:bCs/>
                <w:szCs w:val="21"/>
                <w:highlight w:val="none"/>
              </w:rPr>
            </w:pPr>
          </w:p>
        </w:tc>
      </w:tr>
      <w:tr w14:paraId="3DA6E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cantSplit/>
          <w:trHeight w:val="690" w:hRule="atLeast"/>
        </w:trPr>
        <w:tc>
          <w:tcPr>
            <w:tcW w:w="760" w:type="dxa"/>
            <w:vMerge w:val="continue"/>
            <w:tcBorders>
              <w:left w:val="single" w:color="auto" w:sz="4" w:space="0"/>
              <w:right w:val="single" w:color="auto" w:sz="4" w:space="0"/>
            </w:tcBorders>
          </w:tcPr>
          <w:p w14:paraId="4A451D70">
            <w:pPr>
              <w:spacing w:line="360" w:lineRule="auto"/>
              <w:jc w:val="left"/>
              <w:rPr>
                <w:rFonts w:ascii="宋体" w:hAnsi="宋体" w:cs="宋体"/>
                <w:b/>
                <w:bCs/>
                <w:szCs w:val="21"/>
                <w:highlight w:val="none"/>
              </w:rPr>
            </w:pPr>
          </w:p>
        </w:tc>
        <w:tc>
          <w:tcPr>
            <w:tcW w:w="1134" w:type="dxa"/>
            <w:vMerge w:val="continue"/>
            <w:tcBorders>
              <w:left w:val="single" w:color="auto" w:sz="4" w:space="0"/>
              <w:right w:val="single" w:color="auto" w:sz="4" w:space="0"/>
            </w:tcBorders>
          </w:tcPr>
          <w:p w14:paraId="4862D79C">
            <w:pPr>
              <w:spacing w:line="360" w:lineRule="auto"/>
              <w:jc w:val="left"/>
              <w:rPr>
                <w:rFonts w:ascii="宋体" w:hAnsi="宋体" w:cs="宋体"/>
                <w:b/>
                <w:bCs/>
                <w:szCs w:val="21"/>
                <w:highlight w:val="none"/>
              </w:rPr>
            </w:pPr>
          </w:p>
        </w:tc>
        <w:tc>
          <w:tcPr>
            <w:tcW w:w="6693" w:type="dxa"/>
            <w:gridSpan w:val="3"/>
            <w:vAlign w:val="center"/>
          </w:tcPr>
          <w:p w14:paraId="49B1AB4F">
            <w:pPr>
              <w:spacing w:line="360" w:lineRule="auto"/>
              <w:rPr>
                <w:rFonts w:ascii="宋体" w:hAnsi="宋体" w:cs="宋体"/>
                <w:bCs/>
                <w:szCs w:val="21"/>
                <w:highlight w:val="none"/>
              </w:rPr>
            </w:pPr>
            <w:r>
              <w:rPr>
                <w:rFonts w:hint="eastAsia" w:ascii="宋体" w:hAnsi="宋体" w:cs="宋体"/>
                <w:bCs/>
                <w:szCs w:val="21"/>
                <w:highlight w:val="none"/>
              </w:rPr>
              <w:t>区域内所有的市政养护工程需数字化管理，一个季度更新一次，未及时上报者，一次扣2分。</w:t>
            </w:r>
          </w:p>
        </w:tc>
        <w:tc>
          <w:tcPr>
            <w:tcW w:w="563" w:type="dxa"/>
            <w:vAlign w:val="center"/>
          </w:tcPr>
          <w:p w14:paraId="4FF7DF95">
            <w:pPr>
              <w:spacing w:line="360" w:lineRule="auto"/>
              <w:rPr>
                <w:rFonts w:ascii="宋体" w:hAnsi="宋体" w:cs="宋体"/>
                <w:bCs/>
                <w:szCs w:val="21"/>
                <w:highlight w:val="none"/>
              </w:rPr>
            </w:pPr>
          </w:p>
        </w:tc>
        <w:tc>
          <w:tcPr>
            <w:tcW w:w="567" w:type="dxa"/>
            <w:gridSpan w:val="3"/>
            <w:vMerge w:val="continue"/>
            <w:tcBorders>
              <w:left w:val="single" w:color="auto" w:sz="4" w:space="0"/>
              <w:right w:val="single" w:color="auto" w:sz="4" w:space="0"/>
            </w:tcBorders>
            <w:vAlign w:val="center"/>
          </w:tcPr>
          <w:p w14:paraId="4BCD53E2">
            <w:pPr>
              <w:spacing w:line="360" w:lineRule="auto"/>
              <w:rPr>
                <w:rFonts w:ascii="宋体" w:hAnsi="宋体" w:cs="宋体"/>
                <w:bCs/>
                <w:szCs w:val="21"/>
                <w:highlight w:val="none"/>
              </w:rPr>
            </w:pPr>
          </w:p>
        </w:tc>
      </w:tr>
      <w:tr w14:paraId="518C5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cantSplit/>
          <w:trHeight w:val="690" w:hRule="atLeast"/>
        </w:trPr>
        <w:tc>
          <w:tcPr>
            <w:tcW w:w="760" w:type="dxa"/>
            <w:vMerge w:val="restart"/>
            <w:tcBorders>
              <w:left w:val="single" w:color="auto" w:sz="4" w:space="0"/>
              <w:right w:val="single" w:color="auto" w:sz="4" w:space="0"/>
            </w:tcBorders>
            <w:vAlign w:val="center"/>
          </w:tcPr>
          <w:p w14:paraId="04BCA29B">
            <w:pPr>
              <w:spacing w:line="360" w:lineRule="auto"/>
              <w:jc w:val="center"/>
              <w:rPr>
                <w:rFonts w:ascii="宋体" w:hAnsi="宋体" w:cs="宋体"/>
                <w:b/>
                <w:bCs/>
                <w:szCs w:val="21"/>
                <w:highlight w:val="none"/>
              </w:rPr>
            </w:pPr>
            <w:r>
              <w:rPr>
                <w:rFonts w:hint="eastAsia" w:ascii="宋体" w:hAnsi="宋体" w:cs="宋体"/>
                <w:b/>
                <w:bCs/>
                <w:szCs w:val="21"/>
                <w:highlight w:val="none"/>
              </w:rPr>
              <w:t>5</w:t>
            </w:r>
          </w:p>
        </w:tc>
        <w:tc>
          <w:tcPr>
            <w:tcW w:w="1134" w:type="dxa"/>
            <w:vMerge w:val="restart"/>
            <w:tcBorders>
              <w:left w:val="single" w:color="auto" w:sz="4" w:space="0"/>
              <w:right w:val="single" w:color="auto" w:sz="4" w:space="0"/>
            </w:tcBorders>
            <w:vAlign w:val="center"/>
          </w:tcPr>
          <w:p w14:paraId="26E18B1E">
            <w:pPr>
              <w:spacing w:line="360" w:lineRule="auto"/>
              <w:jc w:val="center"/>
              <w:rPr>
                <w:rFonts w:ascii="宋体" w:hAnsi="宋体" w:cs="宋体"/>
                <w:b/>
                <w:bCs/>
                <w:szCs w:val="21"/>
                <w:highlight w:val="none"/>
              </w:rPr>
            </w:pPr>
            <w:r>
              <w:rPr>
                <w:rFonts w:hint="eastAsia" w:ascii="宋体" w:hAnsi="宋体" w:cs="宋体"/>
                <w:b/>
                <w:bCs/>
                <w:szCs w:val="21"/>
                <w:highlight w:val="none"/>
              </w:rPr>
              <w:t>其他</w:t>
            </w:r>
          </w:p>
          <w:p w14:paraId="49870F46">
            <w:pPr>
              <w:spacing w:line="360" w:lineRule="auto"/>
              <w:jc w:val="center"/>
              <w:rPr>
                <w:rFonts w:ascii="宋体" w:hAnsi="宋体" w:cs="宋体"/>
                <w:b/>
                <w:bCs/>
                <w:szCs w:val="21"/>
                <w:highlight w:val="none"/>
              </w:rPr>
            </w:pPr>
            <w:r>
              <w:rPr>
                <w:rFonts w:hint="eastAsia" w:ascii="宋体" w:hAnsi="宋体" w:cs="宋体"/>
                <w:b/>
                <w:bCs/>
                <w:szCs w:val="21"/>
                <w:highlight w:val="none"/>
              </w:rPr>
              <w:t>（20分）</w:t>
            </w:r>
          </w:p>
        </w:tc>
        <w:tc>
          <w:tcPr>
            <w:tcW w:w="6693" w:type="dxa"/>
            <w:gridSpan w:val="3"/>
            <w:vAlign w:val="center"/>
          </w:tcPr>
          <w:p w14:paraId="00064C9D">
            <w:pPr>
              <w:spacing w:line="360" w:lineRule="auto"/>
              <w:rPr>
                <w:rFonts w:ascii="宋体" w:hAnsi="宋体" w:cs="宋体"/>
                <w:bCs/>
                <w:szCs w:val="21"/>
                <w:highlight w:val="none"/>
              </w:rPr>
            </w:pPr>
            <w:r>
              <w:rPr>
                <w:rFonts w:hint="eastAsia" w:ascii="宋体" w:hAnsi="宋体" w:cs="宋体"/>
                <w:bCs/>
                <w:szCs w:val="21"/>
                <w:highlight w:val="none"/>
              </w:rPr>
              <w:t>对雨雪等灾害性天气，突击任务、应急处理事件中保障不利，发生一次扣3分。</w:t>
            </w:r>
          </w:p>
        </w:tc>
        <w:tc>
          <w:tcPr>
            <w:tcW w:w="563" w:type="dxa"/>
            <w:vAlign w:val="center"/>
          </w:tcPr>
          <w:p w14:paraId="73D3546B">
            <w:pPr>
              <w:spacing w:line="360" w:lineRule="auto"/>
              <w:rPr>
                <w:rFonts w:ascii="宋体" w:hAnsi="宋体" w:cs="宋体"/>
                <w:bCs/>
                <w:szCs w:val="21"/>
                <w:highlight w:val="none"/>
              </w:rPr>
            </w:pPr>
          </w:p>
        </w:tc>
        <w:tc>
          <w:tcPr>
            <w:tcW w:w="567" w:type="dxa"/>
            <w:gridSpan w:val="3"/>
            <w:vMerge w:val="restart"/>
            <w:vAlign w:val="center"/>
          </w:tcPr>
          <w:p w14:paraId="5EC7142F">
            <w:pPr>
              <w:spacing w:line="360" w:lineRule="auto"/>
              <w:rPr>
                <w:rFonts w:ascii="宋体" w:hAnsi="宋体" w:cs="宋体"/>
                <w:bCs/>
                <w:szCs w:val="21"/>
                <w:highlight w:val="none"/>
              </w:rPr>
            </w:pPr>
          </w:p>
        </w:tc>
      </w:tr>
      <w:tr w14:paraId="5E65B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cantSplit/>
          <w:trHeight w:val="690" w:hRule="atLeast"/>
        </w:trPr>
        <w:tc>
          <w:tcPr>
            <w:tcW w:w="760" w:type="dxa"/>
            <w:vMerge w:val="continue"/>
            <w:tcBorders>
              <w:left w:val="single" w:color="auto" w:sz="4" w:space="0"/>
              <w:right w:val="single" w:color="auto" w:sz="4" w:space="0"/>
            </w:tcBorders>
          </w:tcPr>
          <w:p w14:paraId="674418AD">
            <w:pPr>
              <w:spacing w:line="360" w:lineRule="auto"/>
              <w:jc w:val="left"/>
              <w:rPr>
                <w:rFonts w:ascii="宋体" w:hAnsi="宋体" w:cs="宋体"/>
                <w:b/>
                <w:bCs/>
                <w:szCs w:val="21"/>
                <w:highlight w:val="none"/>
              </w:rPr>
            </w:pPr>
          </w:p>
        </w:tc>
        <w:tc>
          <w:tcPr>
            <w:tcW w:w="1134" w:type="dxa"/>
            <w:vMerge w:val="continue"/>
            <w:tcBorders>
              <w:left w:val="single" w:color="auto" w:sz="4" w:space="0"/>
              <w:right w:val="single" w:color="auto" w:sz="4" w:space="0"/>
            </w:tcBorders>
          </w:tcPr>
          <w:p w14:paraId="77685098">
            <w:pPr>
              <w:spacing w:line="360" w:lineRule="auto"/>
              <w:jc w:val="left"/>
              <w:rPr>
                <w:rFonts w:ascii="宋体" w:hAnsi="宋体" w:cs="宋体"/>
                <w:b/>
                <w:bCs/>
                <w:szCs w:val="21"/>
                <w:highlight w:val="none"/>
              </w:rPr>
            </w:pPr>
          </w:p>
        </w:tc>
        <w:tc>
          <w:tcPr>
            <w:tcW w:w="6693" w:type="dxa"/>
            <w:gridSpan w:val="3"/>
            <w:vAlign w:val="center"/>
          </w:tcPr>
          <w:p w14:paraId="3208845F">
            <w:pPr>
              <w:spacing w:line="360" w:lineRule="auto"/>
              <w:rPr>
                <w:rFonts w:ascii="宋体" w:hAnsi="宋体" w:cs="宋体"/>
                <w:bCs/>
                <w:szCs w:val="21"/>
                <w:highlight w:val="none"/>
              </w:rPr>
            </w:pPr>
            <w:r>
              <w:rPr>
                <w:rFonts w:hint="eastAsia" w:ascii="宋体" w:hAnsi="宋体" w:cs="宋体"/>
                <w:bCs/>
                <w:szCs w:val="21"/>
                <w:highlight w:val="none"/>
              </w:rPr>
              <w:t>发生有责投诉或遭新闻媒体曝光，发现一次扣2分。</w:t>
            </w:r>
          </w:p>
        </w:tc>
        <w:tc>
          <w:tcPr>
            <w:tcW w:w="563" w:type="dxa"/>
            <w:vAlign w:val="center"/>
          </w:tcPr>
          <w:p w14:paraId="18A9B92F">
            <w:pPr>
              <w:spacing w:line="360" w:lineRule="auto"/>
              <w:rPr>
                <w:rFonts w:ascii="宋体" w:hAnsi="宋体" w:cs="宋体"/>
                <w:bCs/>
                <w:szCs w:val="21"/>
                <w:highlight w:val="none"/>
              </w:rPr>
            </w:pPr>
          </w:p>
        </w:tc>
        <w:tc>
          <w:tcPr>
            <w:tcW w:w="567" w:type="dxa"/>
            <w:gridSpan w:val="3"/>
            <w:vMerge w:val="continue"/>
            <w:vAlign w:val="center"/>
          </w:tcPr>
          <w:p w14:paraId="5CFE6DC4">
            <w:pPr>
              <w:spacing w:line="360" w:lineRule="auto"/>
              <w:rPr>
                <w:rFonts w:ascii="宋体" w:hAnsi="宋体" w:cs="宋体"/>
                <w:bCs/>
                <w:szCs w:val="21"/>
                <w:highlight w:val="none"/>
              </w:rPr>
            </w:pPr>
          </w:p>
        </w:tc>
      </w:tr>
      <w:tr w14:paraId="79E96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cantSplit/>
          <w:trHeight w:val="690" w:hRule="atLeast"/>
        </w:trPr>
        <w:tc>
          <w:tcPr>
            <w:tcW w:w="760" w:type="dxa"/>
            <w:vMerge w:val="continue"/>
            <w:tcBorders>
              <w:left w:val="single" w:color="auto" w:sz="4" w:space="0"/>
              <w:right w:val="single" w:color="auto" w:sz="4" w:space="0"/>
            </w:tcBorders>
          </w:tcPr>
          <w:p w14:paraId="2E5467FF">
            <w:pPr>
              <w:spacing w:line="360" w:lineRule="auto"/>
              <w:jc w:val="left"/>
              <w:rPr>
                <w:rFonts w:ascii="宋体" w:hAnsi="宋体" w:cs="宋体"/>
                <w:b/>
                <w:bCs/>
                <w:szCs w:val="21"/>
                <w:highlight w:val="none"/>
              </w:rPr>
            </w:pPr>
          </w:p>
        </w:tc>
        <w:tc>
          <w:tcPr>
            <w:tcW w:w="1134" w:type="dxa"/>
            <w:vMerge w:val="continue"/>
            <w:tcBorders>
              <w:left w:val="single" w:color="auto" w:sz="4" w:space="0"/>
              <w:right w:val="single" w:color="auto" w:sz="4" w:space="0"/>
            </w:tcBorders>
          </w:tcPr>
          <w:p w14:paraId="23127BC3">
            <w:pPr>
              <w:spacing w:line="360" w:lineRule="auto"/>
              <w:jc w:val="left"/>
              <w:rPr>
                <w:rFonts w:ascii="宋体" w:hAnsi="宋体" w:cs="宋体"/>
                <w:b/>
                <w:bCs/>
                <w:szCs w:val="21"/>
                <w:highlight w:val="none"/>
              </w:rPr>
            </w:pPr>
          </w:p>
        </w:tc>
        <w:tc>
          <w:tcPr>
            <w:tcW w:w="6693" w:type="dxa"/>
            <w:gridSpan w:val="3"/>
            <w:vAlign w:val="center"/>
          </w:tcPr>
          <w:p w14:paraId="7C128A64">
            <w:pPr>
              <w:spacing w:line="360" w:lineRule="auto"/>
              <w:rPr>
                <w:rFonts w:ascii="宋体" w:hAnsi="宋体" w:cs="宋体"/>
                <w:bCs/>
                <w:szCs w:val="21"/>
                <w:highlight w:val="none"/>
              </w:rPr>
            </w:pPr>
            <w:r>
              <w:rPr>
                <w:rFonts w:hint="eastAsia" w:ascii="宋体" w:hAnsi="宋体" w:cs="宋体"/>
                <w:bCs/>
                <w:szCs w:val="21"/>
                <w:highlight w:val="none"/>
              </w:rPr>
              <w:t>在水利局检查通报中被点名批评，通报一次扣2分。</w:t>
            </w:r>
          </w:p>
        </w:tc>
        <w:tc>
          <w:tcPr>
            <w:tcW w:w="563" w:type="dxa"/>
            <w:vAlign w:val="center"/>
          </w:tcPr>
          <w:p w14:paraId="1E863E60">
            <w:pPr>
              <w:spacing w:line="360" w:lineRule="auto"/>
              <w:rPr>
                <w:rFonts w:ascii="宋体" w:hAnsi="宋体" w:cs="宋体"/>
                <w:bCs/>
                <w:szCs w:val="21"/>
                <w:highlight w:val="none"/>
              </w:rPr>
            </w:pPr>
          </w:p>
        </w:tc>
        <w:tc>
          <w:tcPr>
            <w:tcW w:w="567" w:type="dxa"/>
            <w:gridSpan w:val="3"/>
            <w:vMerge w:val="continue"/>
            <w:vAlign w:val="center"/>
          </w:tcPr>
          <w:p w14:paraId="5B836E34">
            <w:pPr>
              <w:spacing w:line="360" w:lineRule="auto"/>
              <w:rPr>
                <w:rFonts w:ascii="宋体" w:hAnsi="宋体" w:cs="宋体"/>
                <w:bCs/>
                <w:szCs w:val="21"/>
                <w:highlight w:val="none"/>
              </w:rPr>
            </w:pPr>
          </w:p>
        </w:tc>
      </w:tr>
      <w:tr w14:paraId="0E5C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cantSplit/>
          <w:trHeight w:val="690" w:hRule="atLeast"/>
        </w:trPr>
        <w:tc>
          <w:tcPr>
            <w:tcW w:w="760" w:type="dxa"/>
            <w:vMerge w:val="continue"/>
            <w:tcBorders>
              <w:left w:val="single" w:color="auto" w:sz="4" w:space="0"/>
              <w:right w:val="single" w:color="auto" w:sz="4" w:space="0"/>
            </w:tcBorders>
          </w:tcPr>
          <w:p w14:paraId="504376EB">
            <w:pPr>
              <w:spacing w:line="360" w:lineRule="auto"/>
              <w:jc w:val="left"/>
              <w:rPr>
                <w:rFonts w:ascii="宋体" w:hAnsi="宋体" w:cs="宋体"/>
                <w:b/>
                <w:bCs/>
                <w:szCs w:val="21"/>
                <w:highlight w:val="none"/>
              </w:rPr>
            </w:pPr>
          </w:p>
        </w:tc>
        <w:tc>
          <w:tcPr>
            <w:tcW w:w="1134" w:type="dxa"/>
            <w:vMerge w:val="continue"/>
            <w:tcBorders>
              <w:left w:val="single" w:color="auto" w:sz="4" w:space="0"/>
              <w:right w:val="single" w:color="auto" w:sz="4" w:space="0"/>
            </w:tcBorders>
          </w:tcPr>
          <w:p w14:paraId="53B2CF5E">
            <w:pPr>
              <w:spacing w:line="360" w:lineRule="auto"/>
              <w:jc w:val="left"/>
              <w:rPr>
                <w:rFonts w:ascii="宋体" w:hAnsi="宋体" w:cs="宋体"/>
                <w:b/>
                <w:bCs/>
                <w:szCs w:val="21"/>
                <w:highlight w:val="none"/>
              </w:rPr>
            </w:pPr>
          </w:p>
        </w:tc>
        <w:tc>
          <w:tcPr>
            <w:tcW w:w="6693" w:type="dxa"/>
            <w:gridSpan w:val="3"/>
            <w:vAlign w:val="center"/>
          </w:tcPr>
          <w:p w14:paraId="459C0505">
            <w:pPr>
              <w:spacing w:line="360" w:lineRule="auto"/>
              <w:rPr>
                <w:rFonts w:ascii="宋体" w:hAnsi="宋体" w:cs="宋体"/>
                <w:bCs/>
                <w:szCs w:val="21"/>
                <w:highlight w:val="none"/>
              </w:rPr>
            </w:pPr>
            <w:r>
              <w:rPr>
                <w:rFonts w:hint="eastAsia" w:ascii="宋体" w:hAnsi="宋体" w:cs="宋体"/>
                <w:bCs/>
                <w:szCs w:val="21"/>
                <w:highlight w:val="none"/>
              </w:rPr>
              <w:t>工程实施过程中出现安全事故，经交警部门鉴定为承包人责任的，由承包人自行承担责任，并扣3分/次。</w:t>
            </w:r>
          </w:p>
        </w:tc>
        <w:tc>
          <w:tcPr>
            <w:tcW w:w="563" w:type="dxa"/>
            <w:vAlign w:val="center"/>
          </w:tcPr>
          <w:p w14:paraId="08451600">
            <w:pPr>
              <w:spacing w:line="360" w:lineRule="auto"/>
              <w:rPr>
                <w:rFonts w:ascii="宋体" w:hAnsi="宋体" w:cs="宋体"/>
                <w:bCs/>
                <w:szCs w:val="21"/>
                <w:highlight w:val="none"/>
              </w:rPr>
            </w:pPr>
          </w:p>
        </w:tc>
        <w:tc>
          <w:tcPr>
            <w:tcW w:w="567" w:type="dxa"/>
            <w:gridSpan w:val="3"/>
            <w:vMerge w:val="continue"/>
            <w:vAlign w:val="center"/>
          </w:tcPr>
          <w:p w14:paraId="3A51D7CA">
            <w:pPr>
              <w:spacing w:line="360" w:lineRule="auto"/>
              <w:rPr>
                <w:rFonts w:ascii="宋体" w:hAnsi="宋体" w:cs="宋体"/>
                <w:bCs/>
                <w:szCs w:val="21"/>
                <w:highlight w:val="none"/>
              </w:rPr>
            </w:pPr>
          </w:p>
        </w:tc>
      </w:tr>
      <w:tr w14:paraId="7E96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cantSplit/>
          <w:trHeight w:val="690" w:hRule="atLeast"/>
        </w:trPr>
        <w:tc>
          <w:tcPr>
            <w:tcW w:w="760" w:type="dxa"/>
            <w:vMerge w:val="continue"/>
            <w:tcBorders>
              <w:left w:val="single" w:color="auto" w:sz="4" w:space="0"/>
              <w:right w:val="single" w:color="auto" w:sz="4" w:space="0"/>
            </w:tcBorders>
          </w:tcPr>
          <w:p w14:paraId="0D53446A">
            <w:pPr>
              <w:spacing w:line="360" w:lineRule="auto"/>
              <w:jc w:val="left"/>
              <w:rPr>
                <w:rFonts w:ascii="宋体" w:hAnsi="宋体" w:cs="宋体"/>
                <w:b/>
                <w:bCs/>
                <w:szCs w:val="21"/>
                <w:highlight w:val="none"/>
              </w:rPr>
            </w:pPr>
          </w:p>
        </w:tc>
        <w:tc>
          <w:tcPr>
            <w:tcW w:w="1134" w:type="dxa"/>
            <w:vMerge w:val="continue"/>
            <w:tcBorders>
              <w:left w:val="single" w:color="auto" w:sz="4" w:space="0"/>
              <w:right w:val="single" w:color="auto" w:sz="4" w:space="0"/>
            </w:tcBorders>
          </w:tcPr>
          <w:p w14:paraId="04E3599D">
            <w:pPr>
              <w:spacing w:line="360" w:lineRule="auto"/>
              <w:jc w:val="left"/>
              <w:rPr>
                <w:rFonts w:ascii="宋体" w:hAnsi="宋体" w:cs="宋体"/>
                <w:b/>
                <w:bCs/>
                <w:szCs w:val="21"/>
                <w:highlight w:val="none"/>
              </w:rPr>
            </w:pPr>
          </w:p>
        </w:tc>
        <w:tc>
          <w:tcPr>
            <w:tcW w:w="6693" w:type="dxa"/>
            <w:gridSpan w:val="3"/>
            <w:vAlign w:val="center"/>
          </w:tcPr>
          <w:p w14:paraId="4411D6ED">
            <w:pPr>
              <w:spacing w:line="360" w:lineRule="auto"/>
              <w:rPr>
                <w:rFonts w:ascii="宋体" w:hAnsi="宋体" w:cs="宋体"/>
                <w:bCs/>
                <w:szCs w:val="21"/>
                <w:highlight w:val="none"/>
              </w:rPr>
            </w:pPr>
            <w:r>
              <w:rPr>
                <w:rFonts w:hint="eastAsia" w:ascii="宋体" w:hAnsi="宋体" w:cs="宋体"/>
                <w:bCs/>
                <w:szCs w:val="21"/>
                <w:highlight w:val="none"/>
              </w:rPr>
              <w:t>承包人需积极响应发包人对人员及设备的统一调配，若不予服从，发生一次扣5分；</w:t>
            </w:r>
          </w:p>
          <w:p w14:paraId="219CFE59">
            <w:pPr>
              <w:spacing w:line="360" w:lineRule="auto"/>
              <w:rPr>
                <w:rFonts w:ascii="宋体" w:hAnsi="宋体" w:cs="宋体"/>
                <w:bCs/>
                <w:szCs w:val="21"/>
                <w:highlight w:val="none"/>
              </w:rPr>
            </w:pPr>
            <w:r>
              <w:rPr>
                <w:rFonts w:hint="eastAsia" w:ascii="宋体" w:hAnsi="宋体" w:cs="宋体"/>
                <w:bCs/>
                <w:szCs w:val="21"/>
                <w:highlight w:val="none"/>
              </w:rPr>
              <w:t>对重点环节如小区内的排涝、重大节日活动的实施配合等不予配合造成恶劣影响的，发包人有权取消该承包人的承包资格。</w:t>
            </w:r>
          </w:p>
        </w:tc>
        <w:tc>
          <w:tcPr>
            <w:tcW w:w="563" w:type="dxa"/>
            <w:vAlign w:val="center"/>
          </w:tcPr>
          <w:p w14:paraId="613AA9A3">
            <w:pPr>
              <w:spacing w:line="360" w:lineRule="auto"/>
              <w:rPr>
                <w:rFonts w:ascii="宋体" w:hAnsi="宋体" w:cs="宋体"/>
                <w:bCs/>
                <w:szCs w:val="21"/>
                <w:highlight w:val="none"/>
              </w:rPr>
            </w:pPr>
          </w:p>
        </w:tc>
        <w:tc>
          <w:tcPr>
            <w:tcW w:w="567" w:type="dxa"/>
            <w:gridSpan w:val="3"/>
            <w:vMerge w:val="continue"/>
            <w:vAlign w:val="center"/>
          </w:tcPr>
          <w:p w14:paraId="79252418">
            <w:pPr>
              <w:spacing w:line="360" w:lineRule="auto"/>
              <w:rPr>
                <w:rFonts w:ascii="宋体" w:hAnsi="宋体" w:cs="宋体"/>
                <w:bCs/>
                <w:szCs w:val="21"/>
                <w:highlight w:val="none"/>
              </w:rPr>
            </w:pPr>
          </w:p>
        </w:tc>
      </w:tr>
      <w:tr w14:paraId="781BE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 w:type="dxa"/>
          <w:cantSplit/>
          <w:trHeight w:val="690" w:hRule="atLeast"/>
        </w:trPr>
        <w:tc>
          <w:tcPr>
            <w:tcW w:w="760" w:type="dxa"/>
            <w:vMerge w:val="continue"/>
            <w:tcBorders>
              <w:left w:val="single" w:color="auto" w:sz="4" w:space="0"/>
              <w:right w:val="single" w:color="auto" w:sz="4" w:space="0"/>
            </w:tcBorders>
          </w:tcPr>
          <w:p w14:paraId="161036FC">
            <w:pPr>
              <w:spacing w:line="360" w:lineRule="auto"/>
              <w:jc w:val="left"/>
              <w:rPr>
                <w:rFonts w:ascii="宋体" w:hAnsi="宋体" w:cs="宋体"/>
                <w:b/>
                <w:bCs/>
                <w:szCs w:val="21"/>
                <w:highlight w:val="none"/>
              </w:rPr>
            </w:pPr>
          </w:p>
        </w:tc>
        <w:tc>
          <w:tcPr>
            <w:tcW w:w="1134" w:type="dxa"/>
            <w:vMerge w:val="continue"/>
            <w:tcBorders>
              <w:left w:val="single" w:color="auto" w:sz="4" w:space="0"/>
              <w:right w:val="single" w:color="auto" w:sz="4" w:space="0"/>
            </w:tcBorders>
          </w:tcPr>
          <w:p w14:paraId="4CC92F6B">
            <w:pPr>
              <w:spacing w:line="360" w:lineRule="auto"/>
              <w:jc w:val="left"/>
              <w:rPr>
                <w:rFonts w:ascii="宋体" w:hAnsi="宋体" w:cs="宋体"/>
                <w:b/>
                <w:bCs/>
                <w:szCs w:val="21"/>
                <w:highlight w:val="none"/>
              </w:rPr>
            </w:pPr>
          </w:p>
        </w:tc>
        <w:tc>
          <w:tcPr>
            <w:tcW w:w="6693" w:type="dxa"/>
            <w:gridSpan w:val="3"/>
            <w:vAlign w:val="center"/>
          </w:tcPr>
          <w:p w14:paraId="2CC578BD">
            <w:pPr>
              <w:spacing w:line="360" w:lineRule="auto"/>
              <w:rPr>
                <w:rFonts w:ascii="宋体" w:hAnsi="宋体" w:cs="宋体"/>
                <w:bCs/>
                <w:szCs w:val="21"/>
                <w:highlight w:val="none"/>
              </w:rPr>
            </w:pPr>
            <w:r>
              <w:rPr>
                <w:rFonts w:hint="eastAsia" w:ascii="宋体" w:hAnsi="宋体" w:cs="宋体"/>
                <w:bCs/>
                <w:szCs w:val="21"/>
                <w:highlight w:val="none"/>
              </w:rPr>
              <w:t>针对养护区域内的养护管理提出合理化建议并被采纳的，每条加2分。</w:t>
            </w:r>
          </w:p>
        </w:tc>
        <w:tc>
          <w:tcPr>
            <w:tcW w:w="563" w:type="dxa"/>
            <w:vAlign w:val="center"/>
          </w:tcPr>
          <w:p w14:paraId="1504E749">
            <w:pPr>
              <w:spacing w:line="360" w:lineRule="auto"/>
              <w:rPr>
                <w:rFonts w:ascii="宋体" w:hAnsi="宋体" w:cs="宋体"/>
                <w:bCs/>
                <w:szCs w:val="21"/>
                <w:highlight w:val="none"/>
              </w:rPr>
            </w:pPr>
          </w:p>
        </w:tc>
        <w:tc>
          <w:tcPr>
            <w:tcW w:w="567" w:type="dxa"/>
            <w:gridSpan w:val="3"/>
            <w:vMerge w:val="continue"/>
            <w:vAlign w:val="center"/>
          </w:tcPr>
          <w:p w14:paraId="7325411C">
            <w:pPr>
              <w:spacing w:line="360" w:lineRule="auto"/>
              <w:rPr>
                <w:rFonts w:ascii="宋体" w:hAnsi="宋体" w:cs="宋体"/>
                <w:bCs/>
                <w:szCs w:val="21"/>
                <w:highlight w:val="none"/>
              </w:rPr>
            </w:pPr>
          </w:p>
        </w:tc>
      </w:tr>
      <w:tr w14:paraId="0D86B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0" w:hRule="atLeast"/>
        </w:trPr>
        <w:tc>
          <w:tcPr>
            <w:tcW w:w="760" w:type="dxa"/>
            <w:vAlign w:val="center"/>
          </w:tcPr>
          <w:p w14:paraId="5F9CB669">
            <w:pPr>
              <w:spacing w:line="360" w:lineRule="auto"/>
              <w:jc w:val="center"/>
              <w:rPr>
                <w:rFonts w:ascii="宋体" w:hAnsi="宋体" w:cs="宋体"/>
                <w:b/>
                <w:bCs/>
                <w:szCs w:val="21"/>
                <w:highlight w:val="none"/>
              </w:rPr>
            </w:pPr>
            <w:r>
              <w:rPr>
                <w:rFonts w:hint="eastAsia" w:ascii="宋体" w:hAnsi="宋体" w:cs="宋体"/>
                <w:b/>
                <w:bCs/>
                <w:szCs w:val="21"/>
                <w:highlight w:val="none"/>
              </w:rPr>
              <w:t>6</w:t>
            </w:r>
          </w:p>
        </w:tc>
        <w:tc>
          <w:tcPr>
            <w:tcW w:w="1134" w:type="dxa"/>
            <w:vAlign w:val="center"/>
          </w:tcPr>
          <w:p w14:paraId="440EE76A">
            <w:pPr>
              <w:spacing w:line="360" w:lineRule="auto"/>
              <w:jc w:val="center"/>
              <w:rPr>
                <w:rFonts w:ascii="宋体" w:hAnsi="宋体" w:cs="宋体"/>
                <w:b/>
                <w:bCs/>
                <w:szCs w:val="21"/>
                <w:highlight w:val="none"/>
              </w:rPr>
            </w:pPr>
            <w:r>
              <w:rPr>
                <w:rFonts w:hint="eastAsia" w:ascii="宋体" w:hAnsi="宋体" w:cs="宋体"/>
                <w:b/>
                <w:bCs/>
                <w:szCs w:val="21"/>
                <w:highlight w:val="none"/>
              </w:rPr>
              <w:t>考核意见</w:t>
            </w:r>
          </w:p>
        </w:tc>
        <w:tc>
          <w:tcPr>
            <w:tcW w:w="7833" w:type="dxa"/>
            <w:gridSpan w:val="8"/>
            <w:vAlign w:val="center"/>
          </w:tcPr>
          <w:p w14:paraId="19053974">
            <w:pPr>
              <w:spacing w:line="360" w:lineRule="auto"/>
              <w:rPr>
                <w:rFonts w:ascii="宋体" w:hAnsi="宋体" w:cs="宋体"/>
                <w:bCs/>
                <w:szCs w:val="21"/>
                <w:highlight w:val="none"/>
              </w:rPr>
            </w:pPr>
            <w:r>
              <w:rPr>
                <w:rFonts w:hint="eastAsia" w:ascii="宋体" w:hAnsi="宋体" w:cs="宋体"/>
                <w:bCs/>
                <w:szCs w:val="21"/>
                <w:highlight w:val="none"/>
              </w:rPr>
              <w:t xml:space="preserve">                                                    总得分：</w:t>
            </w:r>
          </w:p>
          <w:p w14:paraId="06D7DC72">
            <w:pPr>
              <w:spacing w:line="360" w:lineRule="auto"/>
              <w:rPr>
                <w:rFonts w:ascii="宋体" w:hAnsi="宋体" w:cs="宋体"/>
                <w:bCs/>
                <w:szCs w:val="21"/>
                <w:highlight w:val="none"/>
              </w:rPr>
            </w:pPr>
          </w:p>
          <w:p w14:paraId="209A1860">
            <w:pPr>
              <w:spacing w:line="360" w:lineRule="auto"/>
              <w:rPr>
                <w:rFonts w:ascii="宋体" w:hAnsi="宋体" w:cs="宋体"/>
                <w:bCs/>
                <w:szCs w:val="21"/>
                <w:highlight w:val="none"/>
              </w:rPr>
            </w:pPr>
            <w:r>
              <w:rPr>
                <w:rFonts w:hint="eastAsia" w:ascii="宋体" w:hAnsi="宋体" w:cs="宋体"/>
                <w:bCs/>
                <w:szCs w:val="21"/>
                <w:highlight w:val="none"/>
              </w:rPr>
              <w:t xml:space="preserve">                                      考核人员（签字）：</w:t>
            </w:r>
          </w:p>
          <w:p w14:paraId="3249CE8A">
            <w:pPr>
              <w:spacing w:line="360" w:lineRule="auto"/>
              <w:rPr>
                <w:rFonts w:ascii="宋体" w:hAnsi="宋体" w:cs="宋体"/>
                <w:bCs/>
                <w:szCs w:val="21"/>
                <w:highlight w:val="none"/>
              </w:rPr>
            </w:pPr>
          </w:p>
          <w:p w14:paraId="7589965B">
            <w:pPr>
              <w:spacing w:line="360" w:lineRule="auto"/>
              <w:rPr>
                <w:rFonts w:ascii="宋体" w:hAnsi="宋体" w:cs="宋体"/>
                <w:bCs/>
                <w:szCs w:val="21"/>
                <w:highlight w:val="none"/>
              </w:rPr>
            </w:pPr>
            <w:r>
              <w:rPr>
                <w:rFonts w:hint="eastAsia" w:ascii="宋体" w:hAnsi="宋体" w:cs="宋体"/>
                <w:bCs/>
                <w:szCs w:val="21"/>
                <w:highlight w:val="none"/>
              </w:rPr>
              <w:t xml:space="preserve">                                      考核单位（盖章）</w:t>
            </w:r>
          </w:p>
        </w:tc>
      </w:tr>
    </w:tbl>
    <w:p w14:paraId="26E6F09C">
      <w:pPr>
        <w:rPr>
          <w:highlight w:val="none"/>
        </w:rPr>
      </w:pPr>
      <w:r>
        <w:rPr>
          <w:highlight w:val="none"/>
        </w:rPr>
        <w:br w:type="page"/>
      </w:r>
    </w:p>
    <w:p w14:paraId="154A7093">
      <w:pPr>
        <w:pStyle w:val="7"/>
        <w:rPr>
          <w:highlight w:val="none"/>
        </w:rPr>
      </w:pPr>
      <w:r>
        <w:rPr>
          <w:rFonts w:hint="eastAsia"/>
          <w:highlight w:val="none"/>
        </w:rPr>
        <w:t>3、陆家镇河道长效管理考核细则</w:t>
      </w:r>
    </w:p>
    <w:p w14:paraId="4E532735">
      <w:pPr>
        <w:snapToGrid w:val="0"/>
        <w:spacing w:line="360" w:lineRule="auto"/>
        <w:jc w:val="left"/>
        <w:rPr>
          <w:rFonts w:ascii="宋体" w:hAnsi="宋体" w:cs="宋体"/>
          <w:b/>
          <w:bCs/>
          <w:sz w:val="24"/>
          <w:highlight w:val="none"/>
        </w:rPr>
      </w:pPr>
    </w:p>
    <w:p w14:paraId="25A3EC40">
      <w:pPr>
        <w:snapToGrid w:val="0"/>
        <w:spacing w:line="360" w:lineRule="auto"/>
        <w:ind w:firstLine="422" w:firstLineChars="200"/>
        <w:jc w:val="left"/>
        <w:rPr>
          <w:rFonts w:ascii="宋体" w:hAnsi="宋体" w:cs="宋体"/>
          <w:b/>
          <w:bCs/>
          <w:szCs w:val="21"/>
          <w:highlight w:val="none"/>
        </w:rPr>
      </w:pPr>
      <w:r>
        <w:rPr>
          <w:rFonts w:hint="eastAsia" w:ascii="宋体" w:hAnsi="宋体" w:cs="宋体"/>
          <w:b/>
          <w:bCs/>
          <w:szCs w:val="21"/>
          <w:highlight w:val="none"/>
        </w:rPr>
        <w:t>1. 服务费结算方式</w:t>
      </w:r>
    </w:p>
    <w:p w14:paraId="355C4CB1">
      <w:pPr>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1.1 月服务经费支付与考核单位考核成绩挂钩，每月考核一次。按照实际得分实行梯度处罚，分值为100分，全额拨付当月承包经费：分值在90分到99分之间(含90分)，每扣1分扣合同金额0.1%:分值在80分到89分之间(含80分)，每扣1分扣合同金额0.5%:分值在70分到80分之间（含70分），每扣1分扣合同金额2%:分值在70分以下的，扣除当月承包经费的50%。情况特别严重的，可终止合同。</w:t>
      </w:r>
    </w:p>
    <w:p w14:paraId="5831975B">
      <w:pPr>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2. 因承包单位管理不善，造成保洁范围内的设施、设备、景观等损坏的，由承包单位负责赔偿。</w:t>
      </w:r>
    </w:p>
    <w:p w14:paraId="304C8E87">
      <w:pPr>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3. 若承包单位在保洁服务管理期间，违反下列规定将被解除保洁服务合同：</w:t>
      </w:r>
    </w:p>
    <w:p w14:paraId="4F0CA15A">
      <w:pPr>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(1)本方案的有关规定。</w:t>
      </w:r>
    </w:p>
    <w:p w14:paraId="094642A5">
      <w:pPr>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(2)出现重大问题。</w:t>
      </w:r>
    </w:p>
    <w:p w14:paraId="5A171FE2">
      <w:pPr>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4. 退出机制。连续两次月考核低于70分、媒体连续二次曝光，拖欠保洁员工资、发生重大安全作业事故等违规现象之一的承包者，中止承包合同。承包单位响应招标文件要求，予以退出，并列入陆家镇河道保洁服务承包单位黑名单。</w:t>
      </w:r>
    </w:p>
    <w:p w14:paraId="4CD3B412">
      <w:pPr>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5.安全事故：</w:t>
      </w:r>
    </w:p>
    <w:p w14:paraId="797DC804">
      <w:pPr>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①发生一般安全作业事故，仅人员轻伤的，每发生一次在考核结果基础上再扣除当月作业经费的 5%；</w:t>
      </w:r>
    </w:p>
    <w:p w14:paraId="48E33133">
      <w:pPr>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②发生重大安全作业事故，出现人员重伤或死亡的，每发生一次在考核结果基础上再扣除当月作业经费的20%，且甲方有权终止合同。</w:t>
      </w:r>
    </w:p>
    <w:p w14:paraId="32412888">
      <w:pPr>
        <w:snapToGrid w:val="0"/>
        <w:spacing w:line="360" w:lineRule="auto"/>
        <w:ind w:firstLine="420" w:firstLineChars="200"/>
        <w:jc w:val="left"/>
        <w:rPr>
          <w:rFonts w:ascii="宋体" w:hAnsi="宋体" w:cs="宋体"/>
          <w:szCs w:val="21"/>
          <w:highlight w:val="none"/>
        </w:rPr>
      </w:pPr>
      <w:r>
        <w:rPr>
          <w:rFonts w:ascii="宋体" w:hAnsi="宋体" w:cs="宋体"/>
          <w:szCs w:val="21"/>
          <w:highlight w:val="none"/>
        </w:rPr>
        <w:t>6.</w:t>
      </w:r>
      <w:r>
        <w:rPr>
          <w:rFonts w:hint="eastAsia" w:ascii="宋体" w:hAnsi="宋体" w:cs="宋体"/>
          <w:szCs w:val="21"/>
          <w:highlight w:val="none"/>
        </w:rPr>
        <w:t>人员缺席：人员配置不符合采购文件最低人员配置数量要求的，每发现一次，扣5000元/人。</w:t>
      </w:r>
    </w:p>
    <w:p w14:paraId="45B7762A">
      <w:pPr>
        <w:snapToGrid w:val="0"/>
        <w:spacing w:line="360" w:lineRule="auto"/>
        <w:ind w:firstLine="420" w:firstLineChars="200"/>
        <w:jc w:val="left"/>
        <w:rPr>
          <w:rFonts w:ascii="宋体" w:hAnsi="宋体" w:cs="宋体"/>
          <w:szCs w:val="21"/>
          <w:highlight w:val="none"/>
        </w:rPr>
      </w:pPr>
      <w:r>
        <w:rPr>
          <w:rFonts w:ascii="宋体" w:hAnsi="宋体" w:cs="宋体"/>
          <w:szCs w:val="21"/>
          <w:highlight w:val="none"/>
        </w:rPr>
        <w:t>7.</w:t>
      </w:r>
      <w:r>
        <w:rPr>
          <w:rFonts w:hint="eastAsia" w:ascii="宋体" w:hAnsi="宋体" w:cs="宋体"/>
          <w:szCs w:val="21"/>
          <w:highlight w:val="none"/>
        </w:rPr>
        <w:t>防汛、防台风应急响应生效期间，河道保洁项目负责人（项目经理或现场负责人）必须到昆山市水事综合管理中心陆家管理站在岗值班值守，落实应急值班职责，做好河道垃圾水生植物等清理工作，确保河道行洪畅通。</w:t>
      </w:r>
    </w:p>
    <w:p w14:paraId="3C7ED679">
      <w:pPr>
        <w:pStyle w:val="8"/>
        <w:ind w:left="0" w:firstLine="0"/>
        <w:rPr>
          <w:rFonts w:ascii="宋体" w:hAnsi="宋体" w:eastAsia="宋体"/>
          <w:b/>
          <w:bCs/>
          <w:kern w:val="2"/>
          <w:sz w:val="21"/>
          <w:szCs w:val="21"/>
          <w:highlight w:val="none"/>
        </w:rPr>
      </w:pPr>
      <w:r>
        <w:rPr>
          <w:rFonts w:hint="eastAsia" w:ascii="宋体" w:hAnsi="宋体" w:eastAsia="宋体" w:cs="宋体"/>
          <w:b/>
          <w:bCs/>
          <w:sz w:val="24"/>
          <w:szCs w:val="24"/>
          <w:highlight w:val="none"/>
        </w:rPr>
        <w:br w:type="page"/>
      </w:r>
      <w:r>
        <w:rPr>
          <w:rFonts w:hint="eastAsia" w:ascii="宋体" w:hAnsi="宋体" w:eastAsia="宋体"/>
          <w:b/>
          <w:bCs/>
          <w:kern w:val="2"/>
          <w:sz w:val="21"/>
          <w:szCs w:val="21"/>
          <w:highlight w:val="none"/>
        </w:rPr>
        <w:t>2.河道保洁服务考核表</w:t>
      </w:r>
    </w:p>
    <w:tbl>
      <w:tblPr>
        <w:tblStyle w:val="9"/>
        <w:tblpPr w:leftFromText="180" w:rightFromText="180" w:vertAnchor="text" w:horzAnchor="page" w:tblpX="1134" w:tblpY="293"/>
        <w:tblOverlap w:val="never"/>
        <w:tblW w:w="10095" w:type="dxa"/>
        <w:tblInd w:w="0" w:type="dxa"/>
        <w:tblLayout w:type="autofit"/>
        <w:tblCellMar>
          <w:top w:w="0" w:type="dxa"/>
          <w:left w:w="108" w:type="dxa"/>
          <w:bottom w:w="0" w:type="dxa"/>
          <w:right w:w="108" w:type="dxa"/>
        </w:tblCellMar>
      </w:tblPr>
      <w:tblGrid>
        <w:gridCol w:w="10179"/>
      </w:tblGrid>
      <w:tr w14:paraId="56B0BB4C">
        <w:tblPrEx>
          <w:tblCellMar>
            <w:top w:w="0" w:type="dxa"/>
            <w:left w:w="108" w:type="dxa"/>
            <w:bottom w:w="0" w:type="dxa"/>
            <w:right w:w="108" w:type="dxa"/>
          </w:tblCellMar>
        </w:tblPrEx>
        <w:trPr>
          <w:trHeight w:val="11482" w:hRule="atLeast"/>
        </w:trPr>
        <w:tc>
          <w:tcPr>
            <w:tcW w:w="10095" w:type="dxa"/>
            <w:tcBorders>
              <w:top w:val="nil"/>
              <w:left w:val="nil"/>
              <w:bottom w:val="nil"/>
              <w:right w:val="nil"/>
            </w:tcBorders>
            <w:vAlign w:val="center"/>
          </w:tcPr>
          <w:p w14:paraId="2BC97C42">
            <w:pPr>
              <w:snapToGrid w:val="0"/>
              <w:jc w:val="center"/>
              <w:rPr>
                <w:rFonts w:ascii="宋体" w:hAnsi="宋体" w:cs="宋体"/>
                <w:sz w:val="24"/>
                <w:highlight w:val="none"/>
              </w:rPr>
            </w:pPr>
            <w:r>
              <w:rPr>
                <w:rFonts w:hint="eastAsia" w:ascii="宋体" w:hAnsi="宋体" w:cs="宋体"/>
                <w:b/>
                <w:bCs/>
                <w:sz w:val="24"/>
                <w:highlight w:val="none"/>
              </w:rPr>
              <w:t>河道保洁服务考核表</w:t>
            </w:r>
          </w:p>
          <w:p w14:paraId="5BB99FC9">
            <w:pPr>
              <w:snapToGrid w:val="0"/>
              <w:jc w:val="left"/>
              <w:rPr>
                <w:rFonts w:ascii="宋体" w:hAnsi="宋体" w:cs="宋体"/>
                <w:sz w:val="24"/>
                <w:highlight w:val="none"/>
              </w:rPr>
            </w:pPr>
            <w:r>
              <w:rPr>
                <w:rFonts w:hint="eastAsia" w:ascii="宋体" w:hAnsi="宋体" w:cs="宋体"/>
                <w:sz w:val="24"/>
                <w:highlight w:val="none"/>
              </w:rPr>
              <w:t>考核时间：    年     月      日</w:t>
            </w:r>
          </w:p>
          <w:tbl>
            <w:tblPr>
              <w:tblStyle w:val="9"/>
              <w:tblW w:w="99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7"/>
              <w:gridCol w:w="1978"/>
              <w:gridCol w:w="4006"/>
              <w:gridCol w:w="646"/>
              <w:gridCol w:w="1161"/>
              <w:gridCol w:w="855"/>
            </w:tblGrid>
            <w:tr w14:paraId="3166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vAlign w:val="center"/>
                </w:tcPr>
                <w:p w14:paraId="6D926BA1">
                  <w:pPr>
                    <w:snapToGrid w:val="0"/>
                    <w:spacing w:line="360" w:lineRule="auto"/>
                    <w:jc w:val="center"/>
                    <w:rPr>
                      <w:rFonts w:ascii="宋体" w:hAnsi="宋体" w:cs="宋体"/>
                      <w:szCs w:val="21"/>
                      <w:highlight w:val="none"/>
                    </w:rPr>
                  </w:pPr>
                  <w:r>
                    <w:rPr>
                      <w:rFonts w:hint="eastAsia" w:ascii="宋体" w:hAnsi="宋体" w:cs="宋体"/>
                      <w:szCs w:val="21"/>
                      <w:highlight w:val="none"/>
                    </w:rPr>
                    <w:t>考核项目</w:t>
                  </w:r>
                </w:p>
              </w:tc>
              <w:tc>
                <w:tcPr>
                  <w:tcW w:w="1978" w:type="dxa"/>
                  <w:vAlign w:val="center"/>
                </w:tcPr>
                <w:p w14:paraId="2A8AAA9E">
                  <w:pPr>
                    <w:snapToGrid w:val="0"/>
                    <w:spacing w:line="360" w:lineRule="auto"/>
                    <w:jc w:val="center"/>
                    <w:rPr>
                      <w:rFonts w:ascii="宋体" w:hAnsi="宋体" w:cs="宋体"/>
                      <w:szCs w:val="21"/>
                      <w:highlight w:val="none"/>
                    </w:rPr>
                  </w:pPr>
                  <w:r>
                    <w:rPr>
                      <w:rFonts w:hint="eastAsia" w:ascii="宋体" w:hAnsi="宋体" w:cs="宋体"/>
                      <w:szCs w:val="21"/>
                      <w:highlight w:val="none"/>
                    </w:rPr>
                    <w:t>标准要求</w:t>
                  </w:r>
                </w:p>
              </w:tc>
              <w:tc>
                <w:tcPr>
                  <w:tcW w:w="4006" w:type="dxa"/>
                  <w:vAlign w:val="center"/>
                </w:tcPr>
                <w:p w14:paraId="18716492">
                  <w:pPr>
                    <w:snapToGrid w:val="0"/>
                    <w:spacing w:line="360" w:lineRule="auto"/>
                    <w:jc w:val="center"/>
                    <w:rPr>
                      <w:rFonts w:ascii="宋体" w:hAnsi="宋体" w:cs="宋体"/>
                      <w:szCs w:val="21"/>
                      <w:highlight w:val="none"/>
                    </w:rPr>
                  </w:pPr>
                  <w:r>
                    <w:rPr>
                      <w:rFonts w:hint="eastAsia" w:ascii="宋体" w:hAnsi="宋体" w:cs="宋体"/>
                      <w:szCs w:val="21"/>
                      <w:highlight w:val="none"/>
                    </w:rPr>
                    <w:t>扣分细则</w:t>
                  </w:r>
                </w:p>
              </w:tc>
              <w:tc>
                <w:tcPr>
                  <w:tcW w:w="646" w:type="dxa"/>
                  <w:vAlign w:val="center"/>
                </w:tcPr>
                <w:p w14:paraId="6AFD4E24">
                  <w:pPr>
                    <w:snapToGrid w:val="0"/>
                    <w:spacing w:line="360" w:lineRule="auto"/>
                    <w:jc w:val="center"/>
                    <w:rPr>
                      <w:rFonts w:ascii="宋体" w:hAnsi="宋体" w:cs="宋体"/>
                      <w:szCs w:val="21"/>
                      <w:highlight w:val="none"/>
                    </w:rPr>
                  </w:pPr>
                  <w:r>
                    <w:rPr>
                      <w:rFonts w:hint="eastAsia" w:ascii="宋体" w:hAnsi="宋体" w:cs="宋体"/>
                      <w:szCs w:val="21"/>
                      <w:highlight w:val="none"/>
                    </w:rPr>
                    <w:t>分值</w:t>
                  </w:r>
                </w:p>
              </w:tc>
              <w:tc>
                <w:tcPr>
                  <w:tcW w:w="1161" w:type="dxa"/>
                  <w:vAlign w:val="center"/>
                </w:tcPr>
                <w:p w14:paraId="77FA15C4">
                  <w:pPr>
                    <w:snapToGrid w:val="0"/>
                    <w:spacing w:line="360" w:lineRule="auto"/>
                    <w:jc w:val="center"/>
                    <w:rPr>
                      <w:rFonts w:ascii="宋体" w:hAnsi="宋体" w:cs="宋体"/>
                      <w:szCs w:val="21"/>
                      <w:highlight w:val="none"/>
                    </w:rPr>
                  </w:pPr>
                  <w:r>
                    <w:rPr>
                      <w:rFonts w:hint="eastAsia" w:ascii="宋体" w:hAnsi="宋体" w:cs="宋体"/>
                      <w:szCs w:val="21"/>
                      <w:highlight w:val="none"/>
                    </w:rPr>
                    <w:t>考核得分</w:t>
                  </w:r>
                </w:p>
              </w:tc>
              <w:tc>
                <w:tcPr>
                  <w:tcW w:w="855" w:type="dxa"/>
                  <w:vAlign w:val="center"/>
                </w:tcPr>
                <w:p w14:paraId="2FECF0BD">
                  <w:pPr>
                    <w:snapToGrid w:val="0"/>
                    <w:spacing w:line="360" w:lineRule="auto"/>
                    <w:jc w:val="center"/>
                    <w:rPr>
                      <w:rFonts w:ascii="宋体" w:hAnsi="宋体" w:cs="宋体"/>
                      <w:szCs w:val="21"/>
                      <w:highlight w:val="none"/>
                    </w:rPr>
                  </w:pPr>
                  <w:r>
                    <w:rPr>
                      <w:rFonts w:hint="eastAsia" w:ascii="宋体" w:hAnsi="宋体" w:cs="宋体"/>
                      <w:szCs w:val="21"/>
                      <w:highlight w:val="none"/>
                    </w:rPr>
                    <w:t>备注</w:t>
                  </w:r>
                </w:p>
              </w:tc>
            </w:tr>
            <w:tr w14:paraId="37156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vAlign w:val="center"/>
                </w:tcPr>
                <w:p w14:paraId="61209984">
                  <w:pPr>
                    <w:snapToGrid w:val="0"/>
                    <w:spacing w:line="360" w:lineRule="auto"/>
                    <w:jc w:val="center"/>
                    <w:rPr>
                      <w:rFonts w:ascii="宋体" w:hAnsi="宋体" w:cs="宋体"/>
                      <w:szCs w:val="21"/>
                      <w:highlight w:val="none"/>
                    </w:rPr>
                  </w:pPr>
                  <w:r>
                    <w:rPr>
                      <w:rFonts w:hint="eastAsia" w:ascii="宋体" w:hAnsi="宋体" w:cs="宋体"/>
                      <w:szCs w:val="21"/>
                      <w:highlight w:val="none"/>
                    </w:rPr>
                    <w:t>管理水平</w:t>
                  </w:r>
                </w:p>
              </w:tc>
              <w:tc>
                <w:tcPr>
                  <w:tcW w:w="1978" w:type="dxa"/>
                  <w:vAlign w:val="center"/>
                </w:tcPr>
                <w:p w14:paraId="3D9B40E2">
                  <w:pPr>
                    <w:snapToGrid w:val="0"/>
                    <w:spacing w:line="360" w:lineRule="auto"/>
                    <w:jc w:val="center"/>
                    <w:rPr>
                      <w:rFonts w:ascii="宋体" w:hAnsi="宋体" w:cs="宋体"/>
                      <w:szCs w:val="21"/>
                      <w:highlight w:val="none"/>
                    </w:rPr>
                  </w:pPr>
                  <w:r>
                    <w:rPr>
                      <w:rFonts w:hint="eastAsia" w:ascii="宋体" w:hAnsi="宋体" w:cs="宋体"/>
                      <w:szCs w:val="21"/>
                      <w:highlight w:val="none"/>
                    </w:rPr>
                    <w:t>1.保洁员信息更新及时；按时召开会议；及时提供台账和各类数据</w:t>
                  </w:r>
                </w:p>
              </w:tc>
              <w:tc>
                <w:tcPr>
                  <w:tcW w:w="4006" w:type="dxa"/>
                  <w:vAlign w:val="center"/>
                </w:tcPr>
                <w:p w14:paraId="5A3A2500">
                  <w:pPr>
                    <w:snapToGrid w:val="0"/>
                    <w:spacing w:line="360" w:lineRule="auto"/>
                    <w:jc w:val="left"/>
                    <w:rPr>
                      <w:rFonts w:ascii="宋体" w:hAnsi="宋体" w:cs="宋体"/>
                      <w:szCs w:val="21"/>
                      <w:highlight w:val="none"/>
                    </w:rPr>
                  </w:pPr>
                  <w:r>
                    <w:rPr>
                      <w:rFonts w:hint="eastAsia" w:ascii="宋体" w:hAnsi="宋体" w:cs="宋体"/>
                      <w:szCs w:val="21"/>
                      <w:highlight w:val="none"/>
                    </w:rPr>
                    <w:t>保洁员信息、保险及时更新，人员不到位每人次扣5分；应急防汛不到位，每次扣5分；每月未召开会议的1次扣5分；未及时提供台账的每次扣5分；提供台账有缺失的每项扣2分。</w:t>
                  </w:r>
                </w:p>
              </w:tc>
              <w:tc>
                <w:tcPr>
                  <w:tcW w:w="646" w:type="dxa"/>
                  <w:vAlign w:val="center"/>
                </w:tcPr>
                <w:p w14:paraId="0057262E">
                  <w:pPr>
                    <w:snapToGrid w:val="0"/>
                    <w:spacing w:line="360" w:lineRule="auto"/>
                    <w:jc w:val="center"/>
                    <w:rPr>
                      <w:rFonts w:ascii="宋体" w:hAnsi="宋体" w:cs="宋体"/>
                      <w:szCs w:val="21"/>
                      <w:highlight w:val="none"/>
                    </w:rPr>
                  </w:pPr>
                  <w:r>
                    <w:rPr>
                      <w:rFonts w:hint="eastAsia" w:ascii="宋体" w:hAnsi="宋体" w:cs="宋体"/>
                      <w:szCs w:val="21"/>
                      <w:highlight w:val="none"/>
                    </w:rPr>
                    <w:t>10</w:t>
                  </w:r>
                </w:p>
              </w:tc>
              <w:tc>
                <w:tcPr>
                  <w:tcW w:w="1161" w:type="dxa"/>
                  <w:vAlign w:val="center"/>
                </w:tcPr>
                <w:p w14:paraId="449BE3A0">
                  <w:pPr>
                    <w:snapToGrid w:val="0"/>
                    <w:spacing w:line="360" w:lineRule="auto"/>
                    <w:jc w:val="center"/>
                    <w:rPr>
                      <w:rFonts w:ascii="宋体" w:hAnsi="宋体" w:cs="宋体"/>
                      <w:szCs w:val="21"/>
                      <w:highlight w:val="none"/>
                    </w:rPr>
                  </w:pPr>
                </w:p>
              </w:tc>
              <w:tc>
                <w:tcPr>
                  <w:tcW w:w="855" w:type="dxa"/>
                </w:tcPr>
                <w:p w14:paraId="43FD961D">
                  <w:pPr>
                    <w:snapToGrid w:val="0"/>
                    <w:spacing w:line="360" w:lineRule="auto"/>
                    <w:jc w:val="center"/>
                    <w:rPr>
                      <w:rFonts w:ascii="宋体" w:hAnsi="宋体" w:cs="宋体"/>
                      <w:szCs w:val="21"/>
                      <w:highlight w:val="none"/>
                    </w:rPr>
                  </w:pPr>
                </w:p>
              </w:tc>
            </w:tr>
            <w:tr w14:paraId="651E6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vMerge w:val="restart"/>
                  <w:vAlign w:val="center"/>
                </w:tcPr>
                <w:p w14:paraId="3585D485">
                  <w:pPr>
                    <w:snapToGrid w:val="0"/>
                    <w:spacing w:line="360" w:lineRule="auto"/>
                    <w:jc w:val="center"/>
                    <w:rPr>
                      <w:rFonts w:ascii="宋体" w:hAnsi="宋体" w:cs="宋体"/>
                      <w:szCs w:val="21"/>
                      <w:highlight w:val="none"/>
                    </w:rPr>
                  </w:pPr>
                  <w:r>
                    <w:rPr>
                      <w:rFonts w:hint="eastAsia" w:ascii="宋体" w:hAnsi="宋体" w:cs="宋体"/>
                      <w:szCs w:val="21"/>
                      <w:highlight w:val="none"/>
                    </w:rPr>
                    <w:t>保洁质量</w:t>
                  </w:r>
                </w:p>
              </w:tc>
              <w:tc>
                <w:tcPr>
                  <w:tcW w:w="1978" w:type="dxa"/>
                  <w:vAlign w:val="center"/>
                </w:tcPr>
                <w:p w14:paraId="7EA5ACF4">
                  <w:pPr>
                    <w:snapToGrid w:val="0"/>
                    <w:spacing w:line="360" w:lineRule="auto"/>
                    <w:jc w:val="center"/>
                    <w:rPr>
                      <w:rFonts w:ascii="宋体" w:hAnsi="宋体" w:cs="宋体"/>
                      <w:szCs w:val="21"/>
                      <w:highlight w:val="none"/>
                    </w:rPr>
                  </w:pPr>
                  <w:r>
                    <w:rPr>
                      <w:rFonts w:hint="eastAsia" w:ascii="宋体" w:hAnsi="宋体" w:cs="宋体"/>
                      <w:szCs w:val="21"/>
                      <w:highlight w:val="none"/>
                    </w:rPr>
                    <w:t>2.水面干净整洁，无漂浮垃圾集聚</w:t>
                  </w:r>
                </w:p>
              </w:tc>
              <w:tc>
                <w:tcPr>
                  <w:tcW w:w="4006" w:type="dxa"/>
                  <w:vAlign w:val="center"/>
                </w:tcPr>
                <w:p w14:paraId="2C85FB33">
                  <w:pPr>
                    <w:snapToGrid w:val="0"/>
                    <w:spacing w:line="360" w:lineRule="auto"/>
                    <w:jc w:val="left"/>
                    <w:rPr>
                      <w:rFonts w:ascii="宋体" w:hAnsi="宋体" w:cs="宋体"/>
                      <w:szCs w:val="21"/>
                      <w:highlight w:val="none"/>
                    </w:rPr>
                  </w:pPr>
                  <w:r>
                    <w:rPr>
                      <w:rFonts w:hint="eastAsia" w:ascii="宋体" w:hAnsi="宋体" w:cs="宋体"/>
                      <w:szCs w:val="21"/>
                      <w:highlight w:val="none"/>
                    </w:rPr>
                    <w:t>存在白色垃圾的每个扣0.5分；白色垃圾集聚的每次扣1-2分；落叶集聚0.5 m²以上每次扣1-2分；昆山河湖系统巡查发现每次扣1分</w:t>
                  </w:r>
                  <w:bookmarkStart w:id="1" w:name="OLE_LINK4"/>
                  <w:r>
                    <w:rPr>
                      <w:rFonts w:hint="eastAsia" w:ascii="宋体" w:hAnsi="宋体" w:cs="宋体"/>
                      <w:szCs w:val="21"/>
                      <w:highlight w:val="none"/>
                    </w:rPr>
                    <w:t>，未及时处理的加扣2分</w:t>
                  </w:r>
                  <w:bookmarkEnd w:id="1"/>
                  <w:r>
                    <w:rPr>
                      <w:rFonts w:hint="eastAsia" w:ascii="宋体" w:hAnsi="宋体" w:cs="宋体"/>
                      <w:szCs w:val="21"/>
                      <w:highlight w:val="none"/>
                    </w:rPr>
                    <w:t>；民生110投诉核实的每次扣2分</w:t>
                  </w:r>
                  <w:bookmarkStart w:id="2" w:name="OLE_LINK5"/>
                  <w:r>
                    <w:rPr>
                      <w:rFonts w:hint="eastAsia" w:ascii="宋体" w:hAnsi="宋体" w:cs="宋体"/>
                      <w:szCs w:val="21"/>
                      <w:highlight w:val="none"/>
                    </w:rPr>
                    <w:t>，未及时处理的加扣2分。</w:t>
                  </w:r>
                  <w:bookmarkEnd w:id="2"/>
                  <w:r>
                    <w:rPr>
                      <w:rFonts w:hint="eastAsia" w:ascii="宋体" w:hAnsi="宋体" w:cs="宋体"/>
                      <w:szCs w:val="21"/>
                      <w:highlight w:val="none"/>
                    </w:rPr>
                    <w:t>被上级部门检查发现交办的河道保洁问题每个扣5分。</w:t>
                  </w:r>
                </w:p>
              </w:tc>
              <w:tc>
                <w:tcPr>
                  <w:tcW w:w="646" w:type="dxa"/>
                  <w:vMerge w:val="restart"/>
                  <w:vAlign w:val="center"/>
                </w:tcPr>
                <w:p w14:paraId="55733871">
                  <w:pPr>
                    <w:snapToGrid w:val="0"/>
                    <w:spacing w:line="360" w:lineRule="auto"/>
                    <w:jc w:val="center"/>
                    <w:rPr>
                      <w:rFonts w:ascii="宋体" w:hAnsi="宋体" w:cs="宋体"/>
                      <w:szCs w:val="21"/>
                      <w:highlight w:val="none"/>
                    </w:rPr>
                  </w:pPr>
                  <w:r>
                    <w:rPr>
                      <w:rFonts w:hint="eastAsia" w:ascii="宋体" w:hAnsi="宋体" w:cs="宋体"/>
                      <w:szCs w:val="21"/>
                      <w:highlight w:val="none"/>
                    </w:rPr>
                    <w:t>45</w:t>
                  </w:r>
                </w:p>
              </w:tc>
              <w:tc>
                <w:tcPr>
                  <w:tcW w:w="1161" w:type="dxa"/>
                  <w:vAlign w:val="center"/>
                </w:tcPr>
                <w:p w14:paraId="36E31C8D">
                  <w:pPr>
                    <w:snapToGrid w:val="0"/>
                    <w:spacing w:line="360" w:lineRule="auto"/>
                    <w:jc w:val="center"/>
                    <w:rPr>
                      <w:rFonts w:ascii="宋体" w:hAnsi="宋体" w:cs="宋体"/>
                      <w:szCs w:val="21"/>
                      <w:highlight w:val="none"/>
                    </w:rPr>
                  </w:pPr>
                </w:p>
              </w:tc>
              <w:tc>
                <w:tcPr>
                  <w:tcW w:w="855" w:type="dxa"/>
                </w:tcPr>
                <w:p w14:paraId="6CD04E9B">
                  <w:pPr>
                    <w:snapToGrid w:val="0"/>
                    <w:spacing w:line="360" w:lineRule="auto"/>
                    <w:jc w:val="center"/>
                    <w:rPr>
                      <w:rFonts w:ascii="宋体" w:hAnsi="宋体" w:cs="宋体"/>
                      <w:szCs w:val="21"/>
                      <w:highlight w:val="none"/>
                    </w:rPr>
                  </w:pPr>
                </w:p>
              </w:tc>
            </w:tr>
            <w:tr w14:paraId="40DC4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vMerge w:val="continue"/>
                </w:tcPr>
                <w:p w14:paraId="1D3BB38C">
                  <w:pPr>
                    <w:snapToGrid w:val="0"/>
                    <w:spacing w:line="360" w:lineRule="auto"/>
                    <w:jc w:val="center"/>
                    <w:rPr>
                      <w:rFonts w:ascii="宋体" w:hAnsi="宋体" w:cs="宋体"/>
                      <w:szCs w:val="21"/>
                      <w:highlight w:val="none"/>
                    </w:rPr>
                  </w:pPr>
                </w:p>
              </w:tc>
              <w:tc>
                <w:tcPr>
                  <w:tcW w:w="1978" w:type="dxa"/>
                  <w:vAlign w:val="center"/>
                </w:tcPr>
                <w:p w14:paraId="5B663351">
                  <w:pPr>
                    <w:snapToGrid w:val="0"/>
                    <w:spacing w:line="360" w:lineRule="auto"/>
                    <w:jc w:val="center"/>
                    <w:rPr>
                      <w:rFonts w:ascii="宋体" w:hAnsi="宋体" w:cs="宋体"/>
                      <w:szCs w:val="21"/>
                      <w:highlight w:val="none"/>
                    </w:rPr>
                  </w:pPr>
                  <w:r>
                    <w:rPr>
                      <w:rFonts w:hint="eastAsia" w:ascii="宋体" w:hAnsi="宋体" w:cs="宋体"/>
                      <w:szCs w:val="21"/>
                      <w:highlight w:val="none"/>
                    </w:rPr>
                    <w:t>3.河坡干净整洁，无杂物垃圾堆放</w:t>
                  </w:r>
                </w:p>
              </w:tc>
              <w:tc>
                <w:tcPr>
                  <w:tcW w:w="4006" w:type="dxa"/>
                  <w:vAlign w:val="center"/>
                </w:tcPr>
                <w:p w14:paraId="31DA8117">
                  <w:pPr>
                    <w:snapToGrid w:val="0"/>
                    <w:spacing w:line="360" w:lineRule="auto"/>
                    <w:jc w:val="left"/>
                    <w:rPr>
                      <w:rFonts w:ascii="宋体" w:hAnsi="宋体" w:cs="宋体"/>
                      <w:szCs w:val="21"/>
                      <w:highlight w:val="none"/>
                    </w:rPr>
                  </w:pPr>
                  <w:r>
                    <w:rPr>
                      <w:rFonts w:hint="eastAsia" w:ascii="宋体" w:hAnsi="宋体" w:cs="宋体"/>
                      <w:szCs w:val="21"/>
                      <w:highlight w:val="none"/>
                    </w:rPr>
                    <w:t>乱堆乱放的每次扣1分，每超过0.5m²加扣1分。未及时清理的每次扣1分。</w:t>
                  </w:r>
                </w:p>
              </w:tc>
              <w:tc>
                <w:tcPr>
                  <w:tcW w:w="646" w:type="dxa"/>
                  <w:vMerge w:val="continue"/>
                  <w:vAlign w:val="center"/>
                </w:tcPr>
                <w:p w14:paraId="53891617">
                  <w:pPr>
                    <w:snapToGrid w:val="0"/>
                    <w:spacing w:line="360" w:lineRule="auto"/>
                    <w:jc w:val="center"/>
                    <w:rPr>
                      <w:rFonts w:ascii="宋体" w:hAnsi="宋体" w:cs="宋体"/>
                      <w:szCs w:val="21"/>
                      <w:highlight w:val="none"/>
                    </w:rPr>
                  </w:pPr>
                </w:p>
              </w:tc>
              <w:tc>
                <w:tcPr>
                  <w:tcW w:w="1161" w:type="dxa"/>
                  <w:vAlign w:val="center"/>
                </w:tcPr>
                <w:p w14:paraId="4A17C520">
                  <w:pPr>
                    <w:snapToGrid w:val="0"/>
                    <w:spacing w:line="360" w:lineRule="auto"/>
                    <w:jc w:val="center"/>
                    <w:rPr>
                      <w:rFonts w:ascii="宋体" w:hAnsi="宋体" w:cs="宋体"/>
                      <w:szCs w:val="21"/>
                      <w:highlight w:val="none"/>
                    </w:rPr>
                  </w:pPr>
                </w:p>
              </w:tc>
              <w:tc>
                <w:tcPr>
                  <w:tcW w:w="855" w:type="dxa"/>
                </w:tcPr>
                <w:p w14:paraId="0946790E">
                  <w:pPr>
                    <w:snapToGrid w:val="0"/>
                    <w:spacing w:line="360" w:lineRule="auto"/>
                    <w:jc w:val="center"/>
                    <w:rPr>
                      <w:rFonts w:ascii="宋体" w:hAnsi="宋体" w:cs="宋体"/>
                      <w:szCs w:val="21"/>
                      <w:highlight w:val="none"/>
                    </w:rPr>
                  </w:pPr>
                </w:p>
              </w:tc>
            </w:tr>
            <w:tr w14:paraId="322F5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vMerge w:val="continue"/>
                </w:tcPr>
                <w:p w14:paraId="31927A5B">
                  <w:pPr>
                    <w:snapToGrid w:val="0"/>
                    <w:spacing w:line="360" w:lineRule="auto"/>
                    <w:jc w:val="center"/>
                    <w:rPr>
                      <w:rFonts w:ascii="宋体" w:hAnsi="宋体" w:cs="宋体"/>
                      <w:szCs w:val="21"/>
                      <w:highlight w:val="none"/>
                    </w:rPr>
                  </w:pPr>
                </w:p>
              </w:tc>
              <w:tc>
                <w:tcPr>
                  <w:tcW w:w="1978" w:type="dxa"/>
                  <w:vAlign w:val="center"/>
                </w:tcPr>
                <w:p w14:paraId="67F41EDD">
                  <w:pPr>
                    <w:snapToGrid w:val="0"/>
                    <w:spacing w:line="360" w:lineRule="auto"/>
                    <w:jc w:val="center"/>
                    <w:rPr>
                      <w:rFonts w:ascii="宋体" w:hAnsi="宋体" w:cs="宋体"/>
                      <w:szCs w:val="21"/>
                      <w:highlight w:val="none"/>
                    </w:rPr>
                  </w:pPr>
                  <w:r>
                    <w:rPr>
                      <w:rFonts w:hint="eastAsia" w:ascii="宋体" w:hAnsi="宋体" w:cs="宋体"/>
                      <w:szCs w:val="21"/>
                      <w:highlight w:val="none"/>
                    </w:rPr>
                    <w:t>4.河道管理范围内无乱垦乱种</w:t>
                  </w:r>
                </w:p>
              </w:tc>
              <w:tc>
                <w:tcPr>
                  <w:tcW w:w="4006" w:type="dxa"/>
                  <w:vAlign w:val="center"/>
                </w:tcPr>
                <w:p w14:paraId="693680DE">
                  <w:pPr>
                    <w:snapToGrid w:val="0"/>
                    <w:spacing w:line="360" w:lineRule="auto"/>
                    <w:jc w:val="left"/>
                    <w:rPr>
                      <w:rFonts w:ascii="宋体" w:hAnsi="宋体" w:cs="宋体"/>
                      <w:szCs w:val="21"/>
                      <w:highlight w:val="none"/>
                    </w:rPr>
                  </w:pPr>
                  <w:r>
                    <w:rPr>
                      <w:rFonts w:hint="eastAsia" w:ascii="宋体" w:hAnsi="宋体" w:cs="宋体"/>
                      <w:szCs w:val="21"/>
                      <w:highlight w:val="none"/>
                    </w:rPr>
                    <w:t>河道管理范围内存在乱垦种现象的扣5分；未按时处理的加扣5分。</w:t>
                  </w:r>
                </w:p>
              </w:tc>
              <w:tc>
                <w:tcPr>
                  <w:tcW w:w="646" w:type="dxa"/>
                  <w:vMerge w:val="continue"/>
                  <w:vAlign w:val="center"/>
                </w:tcPr>
                <w:p w14:paraId="36B68DCC">
                  <w:pPr>
                    <w:snapToGrid w:val="0"/>
                    <w:spacing w:line="360" w:lineRule="auto"/>
                    <w:jc w:val="center"/>
                    <w:rPr>
                      <w:rFonts w:ascii="宋体" w:hAnsi="宋体" w:cs="宋体"/>
                      <w:szCs w:val="21"/>
                      <w:highlight w:val="none"/>
                    </w:rPr>
                  </w:pPr>
                </w:p>
              </w:tc>
              <w:tc>
                <w:tcPr>
                  <w:tcW w:w="1161" w:type="dxa"/>
                  <w:vAlign w:val="center"/>
                </w:tcPr>
                <w:p w14:paraId="0A0D71CC">
                  <w:pPr>
                    <w:snapToGrid w:val="0"/>
                    <w:spacing w:line="360" w:lineRule="auto"/>
                    <w:jc w:val="center"/>
                    <w:rPr>
                      <w:rFonts w:ascii="宋体" w:hAnsi="宋体" w:cs="宋体"/>
                      <w:szCs w:val="21"/>
                      <w:highlight w:val="none"/>
                    </w:rPr>
                  </w:pPr>
                </w:p>
              </w:tc>
              <w:tc>
                <w:tcPr>
                  <w:tcW w:w="855" w:type="dxa"/>
                </w:tcPr>
                <w:p w14:paraId="18890FFD">
                  <w:pPr>
                    <w:snapToGrid w:val="0"/>
                    <w:spacing w:line="360" w:lineRule="auto"/>
                    <w:jc w:val="center"/>
                    <w:rPr>
                      <w:rFonts w:ascii="宋体" w:hAnsi="宋体" w:cs="宋体"/>
                      <w:szCs w:val="21"/>
                      <w:highlight w:val="none"/>
                    </w:rPr>
                  </w:pPr>
                </w:p>
              </w:tc>
            </w:tr>
            <w:tr w14:paraId="5E58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vMerge w:val="continue"/>
                </w:tcPr>
                <w:p w14:paraId="72939765">
                  <w:pPr>
                    <w:snapToGrid w:val="0"/>
                    <w:spacing w:line="360" w:lineRule="auto"/>
                    <w:jc w:val="center"/>
                    <w:rPr>
                      <w:rFonts w:ascii="宋体" w:hAnsi="宋体" w:cs="宋体"/>
                      <w:szCs w:val="21"/>
                      <w:highlight w:val="none"/>
                    </w:rPr>
                  </w:pPr>
                </w:p>
              </w:tc>
              <w:tc>
                <w:tcPr>
                  <w:tcW w:w="1978" w:type="dxa"/>
                  <w:vAlign w:val="center"/>
                </w:tcPr>
                <w:p w14:paraId="1C2540F4">
                  <w:pPr>
                    <w:snapToGrid w:val="0"/>
                    <w:spacing w:line="360" w:lineRule="auto"/>
                    <w:jc w:val="center"/>
                    <w:rPr>
                      <w:rFonts w:ascii="宋体" w:hAnsi="宋体" w:cs="宋体"/>
                      <w:szCs w:val="21"/>
                      <w:highlight w:val="none"/>
                    </w:rPr>
                  </w:pPr>
                  <w:r>
                    <w:rPr>
                      <w:rFonts w:hint="eastAsia" w:ascii="宋体" w:hAnsi="宋体" w:cs="宋体"/>
                      <w:szCs w:val="21"/>
                      <w:highlight w:val="none"/>
                    </w:rPr>
                    <w:t>5.巡查到位</w:t>
                  </w:r>
                </w:p>
              </w:tc>
              <w:tc>
                <w:tcPr>
                  <w:tcW w:w="4006" w:type="dxa"/>
                  <w:vAlign w:val="center"/>
                </w:tcPr>
                <w:p w14:paraId="05777FD4">
                  <w:pPr>
                    <w:snapToGrid w:val="0"/>
                    <w:spacing w:line="360" w:lineRule="auto"/>
                    <w:jc w:val="left"/>
                    <w:rPr>
                      <w:rFonts w:ascii="宋体" w:hAnsi="宋体" w:cs="宋体"/>
                      <w:szCs w:val="21"/>
                      <w:highlight w:val="none"/>
                    </w:rPr>
                  </w:pPr>
                  <w:r>
                    <w:rPr>
                      <w:rFonts w:hint="eastAsia" w:ascii="宋体" w:hAnsi="宋体" w:cs="宋体"/>
                      <w:szCs w:val="21"/>
                      <w:highlight w:val="none"/>
                    </w:rPr>
                    <w:t>上传信息数据每月不得少于200条次，每少一条扣1分。</w:t>
                  </w:r>
                </w:p>
              </w:tc>
              <w:tc>
                <w:tcPr>
                  <w:tcW w:w="646" w:type="dxa"/>
                  <w:vMerge w:val="continue"/>
                  <w:vAlign w:val="center"/>
                </w:tcPr>
                <w:p w14:paraId="6B8AC67C">
                  <w:pPr>
                    <w:snapToGrid w:val="0"/>
                    <w:spacing w:line="360" w:lineRule="auto"/>
                    <w:jc w:val="center"/>
                    <w:rPr>
                      <w:rFonts w:ascii="宋体" w:hAnsi="宋体" w:cs="宋体"/>
                      <w:szCs w:val="21"/>
                      <w:highlight w:val="none"/>
                    </w:rPr>
                  </w:pPr>
                </w:p>
              </w:tc>
              <w:tc>
                <w:tcPr>
                  <w:tcW w:w="1161" w:type="dxa"/>
                  <w:vAlign w:val="center"/>
                </w:tcPr>
                <w:p w14:paraId="38FE906E">
                  <w:pPr>
                    <w:snapToGrid w:val="0"/>
                    <w:spacing w:line="360" w:lineRule="auto"/>
                    <w:jc w:val="center"/>
                    <w:rPr>
                      <w:rFonts w:ascii="宋体" w:hAnsi="宋体" w:cs="宋体"/>
                      <w:szCs w:val="21"/>
                      <w:highlight w:val="none"/>
                    </w:rPr>
                  </w:pPr>
                </w:p>
              </w:tc>
              <w:tc>
                <w:tcPr>
                  <w:tcW w:w="855" w:type="dxa"/>
                </w:tcPr>
                <w:p w14:paraId="06BA9A2F">
                  <w:pPr>
                    <w:snapToGrid w:val="0"/>
                    <w:spacing w:line="360" w:lineRule="auto"/>
                    <w:jc w:val="center"/>
                    <w:rPr>
                      <w:rFonts w:ascii="宋体" w:hAnsi="宋体" w:cs="宋体"/>
                      <w:szCs w:val="21"/>
                      <w:highlight w:val="none"/>
                    </w:rPr>
                  </w:pPr>
                </w:p>
              </w:tc>
            </w:tr>
            <w:tr w14:paraId="37792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vMerge w:val="restart"/>
                  <w:vAlign w:val="center"/>
                </w:tcPr>
                <w:p w14:paraId="39473ED8">
                  <w:pPr>
                    <w:snapToGrid w:val="0"/>
                    <w:spacing w:line="360" w:lineRule="auto"/>
                    <w:jc w:val="center"/>
                    <w:rPr>
                      <w:rFonts w:ascii="宋体" w:hAnsi="宋体" w:cs="宋体"/>
                      <w:szCs w:val="21"/>
                      <w:highlight w:val="none"/>
                    </w:rPr>
                  </w:pPr>
                  <w:r>
                    <w:rPr>
                      <w:rFonts w:hint="eastAsia" w:ascii="宋体" w:hAnsi="宋体" w:cs="宋体"/>
                      <w:szCs w:val="21"/>
                      <w:highlight w:val="none"/>
                    </w:rPr>
                    <w:t>安全生产</w:t>
                  </w:r>
                </w:p>
              </w:tc>
              <w:tc>
                <w:tcPr>
                  <w:tcW w:w="1978" w:type="dxa"/>
                  <w:vAlign w:val="center"/>
                </w:tcPr>
                <w:p w14:paraId="64D37157">
                  <w:pPr>
                    <w:snapToGrid w:val="0"/>
                    <w:spacing w:line="360" w:lineRule="auto"/>
                    <w:jc w:val="center"/>
                    <w:rPr>
                      <w:rFonts w:ascii="宋体" w:hAnsi="宋体" w:cs="宋体"/>
                      <w:szCs w:val="21"/>
                      <w:highlight w:val="none"/>
                    </w:rPr>
                  </w:pPr>
                  <w:r>
                    <w:rPr>
                      <w:rFonts w:hint="eastAsia" w:ascii="宋体" w:hAnsi="宋体" w:cs="宋体"/>
                      <w:szCs w:val="21"/>
                      <w:highlight w:val="none"/>
                    </w:rPr>
                    <w:t>6.及时报告乱占河道、堤防现象，及时报告水质异常问题</w:t>
                  </w:r>
                </w:p>
              </w:tc>
              <w:tc>
                <w:tcPr>
                  <w:tcW w:w="4006" w:type="dxa"/>
                  <w:vAlign w:val="center"/>
                </w:tcPr>
                <w:p w14:paraId="20C1C18A">
                  <w:pPr>
                    <w:snapToGrid w:val="0"/>
                    <w:spacing w:line="360" w:lineRule="auto"/>
                    <w:jc w:val="left"/>
                    <w:rPr>
                      <w:rFonts w:ascii="宋体" w:hAnsi="宋体" w:cs="宋体"/>
                      <w:szCs w:val="21"/>
                      <w:highlight w:val="none"/>
                    </w:rPr>
                  </w:pPr>
                  <w:r>
                    <w:rPr>
                      <w:rFonts w:hint="eastAsia" w:ascii="宋体" w:hAnsi="宋体" w:cs="宋体"/>
                      <w:szCs w:val="21"/>
                      <w:highlight w:val="none"/>
                    </w:rPr>
                    <w:t>未及时发现并报告占、填、堵河道行为的每次扣5分；未及时报告水质异常的每次扣2分。未及时上报各类河道公示牌损坏而被检查发现的每次扣2分。</w:t>
                  </w:r>
                </w:p>
              </w:tc>
              <w:tc>
                <w:tcPr>
                  <w:tcW w:w="646" w:type="dxa"/>
                  <w:vMerge w:val="restart"/>
                  <w:vAlign w:val="center"/>
                </w:tcPr>
                <w:p w14:paraId="0F4D000C">
                  <w:pPr>
                    <w:snapToGrid w:val="0"/>
                    <w:spacing w:line="360" w:lineRule="auto"/>
                    <w:jc w:val="center"/>
                    <w:rPr>
                      <w:rFonts w:ascii="宋体" w:hAnsi="宋体" w:cs="宋体"/>
                      <w:szCs w:val="21"/>
                      <w:highlight w:val="none"/>
                    </w:rPr>
                  </w:pPr>
                  <w:r>
                    <w:rPr>
                      <w:rFonts w:hint="eastAsia" w:ascii="宋体" w:hAnsi="宋体" w:cs="宋体"/>
                      <w:szCs w:val="21"/>
                      <w:highlight w:val="none"/>
                    </w:rPr>
                    <w:t>30</w:t>
                  </w:r>
                </w:p>
              </w:tc>
              <w:tc>
                <w:tcPr>
                  <w:tcW w:w="1161" w:type="dxa"/>
                  <w:vAlign w:val="center"/>
                </w:tcPr>
                <w:p w14:paraId="7CC142E4">
                  <w:pPr>
                    <w:snapToGrid w:val="0"/>
                    <w:spacing w:line="360" w:lineRule="auto"/>
                    <w:jc w:val="center"/>
                    <w:rPr>
                      <w:rFonts w:ascii="宋体" w:hAnsi="宋体" w:cs="宋体"/>
                      <w:szCs w:val="21"/>
                      <w:highlight w:val="none"/>
                    </w:rPr>
                  </w:pPr>
                </w:p>
              </w:tc>
              <w:tc>
                <w:tcPr>
                  <w:tcW w:w="855" w:type="dxa"/>
                </w:tcPr>
                <w:p w14:paraId="56137BB2">
                  <w:pPr>
                    <w:snapToGrid w:val="0"/>
                    <w:spacing w:line="360" w:lineRule="auto"/>
                    <w:jc w:val="center"/>
                    <w:rPr>
                      <w:rFonts w:ascii="宋体" w:hAnsi="宋体" w:cs="宋体"/>
                      <w:szCs w:val="21"/>
                      <w:highlight w:val="none"/>
                    </w:rPr>
                  </w:pPr>
                </w:p>
              </w:tc>
            </w:tr>
            <w:tr w14:paraId="5B745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vMerge w:val="continue"/>
                </w:tcPr>
                <w:p w14:paraId="06F6F0F4">
                  <w:pPr>
                    <w:snapToGrid w:val="0"/>
                    <w:spacing w:line="360" w:lineRule="auto"/>
                    <w:jc w:val="center"/>
                    <w:rPr>
                      <w:rFonts w:ascii="宋体" w:hAnsi="宋体" w:cs="宋体"/>
                      <w:szCs w:val="21"/>
                      <w:highlight w:val="none"/>
                    </w:rPr>
                  </w:pPr>
                </w:p>
              </w:tc>
              <w:tc>
                <w:tcPr>
                  <w:tcW w:w="1978" w:type="dxa"/>
                  <w:vAlign w:val="center"/>
                </w:tcPr>
                <w:p w14:paraId="53E6F6D2">
                  <w:pPr>
                    <w:snapToGrid w:val="0"/>
                    <w:spacing w:line="360" w:lineRule="auto"/>
                    <w:jc w:val="center"/>
                    <w:rPr>
                      <w:rFonts w:ascii="宋体" w:hAnsi="宋体" w:cs="宋体"/>
                      <w:szCs w:val="21"/>
                      <w:highlight w:val="none"/>
                    </w:rPr>
                  </w:pPr>
                  <w:r>
                    <w:rPr>
                      <w:rFonts w:hint="eastAsia" w:ascii="宋体" w:hAnsi="宋体" w:cs="宋体"/>
                      <w:szCs w:val="21"/>
                      <w:highlight w:val="none"/>
                    </w:rPr>
                    <w:t>7.作业人员规范管理</w:t>
                  </w:r>
                </w:p>
              </w:tc>
              <w:tc>
                <w:tcPr>
                  <w:tcW w:w="4006" w:type="dxa"/>
                  <w:vAlign w:val="center"/>
                </w:tcPr>
                <w:p w14:paraId="7EA77ECA">
                  <w:pPr>
                    <w:snapToGrid w:val="0"/>
                    <w:spacing w:line="360" w:lineRule="auto"/>
                    <w:jc w:val="center"/>
                    <w:rPr>
                      <w:rFonts w:ascii="宋体" w:hAnsi="宋体" w:cs="宋体"/>
                      <w:szCs w:val="21"/>
                      <w:highlight w:val="none"/>
                    </w:rPr>
                  </w:pPr>
                  <w:r>
                    <w:rPr>
                      <w:rFonts w:hint="eastAsia" w:ascii="宋体" w:hAnsi="宋体" w:cs="宋体"/>
                      <w:szCs w:val="21"/>
                      <w:highlight w:val="none"/>
                    </w:rPr>
                    <w:t>未着救生衣作业每人次扣10分，未2人一组开展工作的每次扣5分</w:t>
                  </w:r>
                </w:p>
              </w:tc>
              <w:tc>
                <w:tcPr>
                  <w:tcW w:w="646" w:type="dxa"/>
                  <w:vMerge w:val="continue"/>
                </w:tcPr>
                <w:p w14:paraId="38324EC3">
                  <w:pPr>
                    <w:snapToGrid w:val="0"/>
                    <w:spacing w:line="360" w:lineRule="auto"/>
                    <w:jc w:val="center"/>
                    <w:rPr>
                      <w:rFonts w:ascii="宋体" w:hAnsi="宋体" w:cs="宋体"/>
                      <w:szCs w:val="21"/>
                      <w:highlight w:val="none"/>
                    </w:rPr>
                  </w:pPr>
                </w:p>
              </w:tc>
              <w:tc>
                <w:tcPr>
                  <w:tcW w:w="1161" w:type="dxa"/>
                </w:tcPr>
                <w:p w14:paraId="29EAF646">
                  <w:pPr>
                    <w:snapToGrid w:val="0"/>
                    <w:spacing w:line="360" w:lineRule="auto"/>
                    <w:rPr>
                      <w:rFonts w:ascii="宋体" w:hAnsi="宋体" w:cs="宋体"/>
                      <w:szCs w:val="21"/>
                      <w:highlight w:val="none"/>
                    </w:rPr>
                  </w:pPr>
                </w:p>
                <w:p w14:paraId="0C75C351">
                  <w:pPr>
                    <w:snapToGrid w:val="0"/>
                    <w:spacing w:line="360" w:lineRule="auto"/>
                    <w:rPr>
                      <w:rFonts w:ascii="宋体" w:hAnsi="宋体" w:cs="宋体"/>
                      <w:szCs w:val="21"/>
                      <w:highlight w:val="none"/>
                    </w:rPr>
                  </w:pPr>
                </w:p>
              </w:tc>
              <w:tc>
                <w:tcPr>
                  <w:tcW w:w="855" w:type="dxa"/>
                </w:tcPr>
                <w:p w14:paraId="634CB3EF">
                  <w:pPr>
                    <w:snapToGrid w:val="0"/>
                    <w:spacing w:line="360" w:lineRule="auto"/>
                    <w:jc w:val="center"/>
                    <w:rPr>
                      <w:rFonts w:ascii="宋体" w:hAnsi="宋体" w:cs="宋体"/>
                      <w:szCs w:val="21"/>
                      <w:highlight w:val="none"/>
                    </w:rPr>
                  </w:pPr>
                </w:p>
              </w:tc>
            </w:tr>
            <w:tr w14:paraId="7DB2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vMerge w:val="continue"/>
                </w:tcPr>
                <w:p w14:paraId="0B3F4B6E">
                  <w:pPr>
                    <w:snapToGrid w:val="0"/>
                    <w:spacing w:line="360" w:lineRule="auto"/>
                    <w:jc w:val="center"/>
                    <w:rPr>
                      <w:rFonts w:ascii="宋体" w:hAnsi="宋体" w:cs="宋体"/>
                      <w:szCs w:val="21"/>
                      <w:highlight w:val="none"/>
                    </w:rPr>
                  </w:pPr>
                </w:p>
              </w:tc>
              <w:tc>
                <w:tcPr>
                  <w:tcW w:w="1978" w:type="dxa"/>
                  <w:vAlign w:val="center"/>
                </w:tcPr>
                <w:p w14:paraId="736E76F8">
                  <w:pPr>
                    <w:snapToGrid w:val="0"/>
                    <w:spacing w:line="360" w:lineRule="auto"/>
                    <w:jc w:val="center"/>
                    <w:rPr>
                      <w:rFonts w:ascii="宋体" w:hAnsi="宋体" w:cs="宋体"/>
                      <w:szCs w:val="21"/>
                      <w:highlight w:val="none"/>
                    </w:rPr>
                  </w:pPr>
                  <w:r>
                    <w:rPr>
                      <w:rFonts w:hint="eastAsia" w:ascii="宋体" w:hAnsi="宋体" w:cs="宋体"/>
                      <w:szCs w:val="21"/>
                      <w:highlight w:val="none"/>
                    </w:rPr>
                    <w:t>8.作业船只规范管理</w:t>
                  </w:r>
                </w:p>
              </w:tc>
              <w:tc>
                <w:tcPr>
                  <w:tcW w:w="4006" w:type="dxa"/>
                  <w:vAlign w:val="center"/>
                </w:tcPr>
                <w:p w14:paraId="37F8D481">
                  <w:pPr>
                    <w:snapToGrid w:val="0"/>
                    <w:spacing w:line="360" w:lineRule="auto"/>
                    <w:jc w:val="center"/>
                    <w:rPr>
                      <w:rFonts w:ascii="宋体" w:hAnsi="宋体" w:cs="宋体"/>
                      <w:szCs w:val="21"/>
                      <w:highlight w:val="none"/>
                    </w:rPr>
                  </w:pPr>
                  <w:r>
                    <w:rPr>
                      <w:rFonts w:hint="eastAsia" w:ascii="宋体" w:hAnsi="宋体" w:cs="宋体"/>
                      <w:szCs w:val="21"/>
                      <w:highlight w:val="none"/>
                    </w:rPr>
                    <w:t>未定点停放每次扣5分；未停放加锁的每次扣5分；未按要求开展清洁保养的每次3分。</w:t>
                  </w:r>
                </w:p>
              </w:tc>
              <w:tc>
                <w:tcPr>
                  <w:tcW w:w="646" w:type="dxa"/>
                  <w:vMerge w:val="continue"/>
                </w:tcPr>
                <w:p w14:paraId="395795D3">
                  <w:pPr>
                    <w:snapToGrid w:val="0"/>
                    <w:spacing w:line="360" w:lineRule="auto"/>
                    <w:jc w:val="center"/>
                    <w:rPr>
                      <w:rFonts w:ascii="宋体" w:hAnsi="宋体" w:cs="宋体"/>
                      <w:szCs w:val="21"/>
                      <w:highlight w:val="none"/>
                    </w:rPr>
                  </w:pPr>
                </w:p>
              </w:tc>
              <w:tc>
                <w:tcPr>
                  <w:tcW w:w="1161" w:type="dxa"/>
                </w:tcPr>
                <w:p w14:paraId="716C8F1D">
                  <w:pPr>
                    <w:snapToGrid w:val="0"/>
                    <w:spacing w:line="360" w:lineRule="auto"/>
                    <w:jc w:val="center"/>
                    <w:rPr>
                      <w:rFonts w:ascii="宋体" w:hAnsi="宋体" w:cs="宋体"/>
                      <w:szCs w:val="21"/>
                      <w:highlight w:val="none"/>
                    </w:rPr>
                  </w:pPr>
                </w:p>
                <w:p w14:paraId="4A8FECB2">
                  <w:pPr>
                    <w:snapToGrid w:val="0"/>
                    <w:spacing w:line="360" w:lineRule="auto"/>
                    <w:jc w:val="center"/>
                    <w:rPr>
                      <w:rFonts w:ascii="宋体" w:hAnsi="宋体" w:cs="宋体"/>
                      <w:szCs w:val="21"/>
                      <w:highlight w:val="none"/>
                    </w:rPr>
                  </w:pPr>
                </w:p>
              </w:tc>
              <w:tc>
                <w:tcPr>
                  <w:tcW w:w="855" w:type="dxa"/>
                </w:tcPr>
                <w:p w14:paraId="2A3D8B0D">
                  <w:pPr>
                    <w:snapToGrid w:val="0"/>
                    <w:spacing w:line="360" w:lineRule="auto"/>
                    <w:jc w:val="center"/>
                    <w:rPr>
                      <w:rFonts w:ascii="宋体" w:hAnsi="宋体" w:cs="宋体"/>
                      <w:szCs w:val="21"/>
                      <w:highlight w:val="none"/>
                    </w:rPr>
                  </w:pPr>
                </w:p>
              </w:tc>
            </w:tr>
            <w:tr w14:paraId="2D12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vAlign w:val="center"/>
                </w:tcPr>
                <w:p w14:paraId="4F88CBD4">
                  <w:pPr>
                    <w:snapToGrid w:val="0"/>
                    <w:spacing w:line="360" w:lineRule="auto"/>
                    <w:jc w:val="center"/>
                    <w:rPr>
                      <w:rFonts w:ascii="宋体" w:hAnsi="宋体" w:cs="宋体"/>
                      <w:szCs w:val="21"/>
                      <w:highlight w:val="none"/>
                    </w:rPr>
                  </w:pPr>
                  <w:r>
                    <w:rPr>
                      <w:rFonts w:hint="eastAsia" w:ascii="宋体" w:hAnsi="宋体" w:cs="宋体"/>
                      <w:szCs w:val="21"/>
                      <w:highlight w:val="none"/>
                    </w:rPr>
                    <w:t>服务响应</w:t>
                  </w:r>
                </w:p>
              </w:tc>
              <w:tc>
                <w:tcPr>
                  <w:tcW w:w="1978" w:type="dxa"/>
                  <w:vAlign w:val="center"/>
                </w:tcPr>
                <w:p w14:paraId="2F6B4B65">
                  <w:pPr>
                    <w:snapToGrid w:val="0"/>
                    <w:spacing w:line="360" w:lineRule="auto"/>
                    <w:jc w:val="center"/>
                    <w:rPr>
                      <w:rFonts w:ascii="宋体" w:hAnsi="宋体" w:cs="宋体"/>
                      <w:szCs w:val="21"/>
                      <w:highlight w:val="none"/>
                    </w:rPr>
                  </w:pPr>
                  <w:r>
                    <w:rPr>
                      <w:rFonts w:hint="eastAsia" w:ascii="宋体" w:hAnsi="宋体" w:cs="宋体"/>
                      <w:szCs w:val="21"/>
                      <w:highlight w:val="none"/>
                    </w:rPr>
                    <w:t>9.服务响应速度快、积极、主动</w:t>
                  </w:r>
                </w:p>
              </w:tc>
              <w:tc>
                <w:tcPr>
                  <w:tcW w:w="4006" w:type="dxa"/>
                  <w:vAlign w:val="center"/>
                </w:tcPr>
                <w:p w14:paraId="7BAAF08F">
                  <w:pPr>
                    <w:snapToGrid w:val="0"/>
                    <w:spacing w:line="360" w:lineRule="auto"/>
                    <w:jc w:val="center"/>
                    <w:rPr>
                      <w:rFonts w:ascii="宋体" w:hAnsi="宋体" w:cs="宋体"/>
                      <w:szCs w:val="21"/>
                      <w:highlight w:val="none"/>
                    </w:rPr>
                  </w:pPr>
                  <w:r>
                    <w:rPr>
                      <w:rFonts w:hint="eastAsia" w:ascii="宋体" w:hAnsi="宋体" w:cs="宋体"/>
                      <w:szCs w:val="21"/>
                      <w:highlight w:val="none"/>
                    </w:rPr>
                    <w:t>未按要求回复并及时处理的每次扣3分。</w:t>
                  </w:r>
                </w:p>
              </w:tc>
              <w:tc>
                <w:tcPr>
                  <w:tcW w:w="646" w:type="dxa"/>
                </w:tcPr>
                <w:p w14:paraId="32B53282">
                  <w:pPr>
                    <w:snapToGrid w:val="0"/>
                    <w:spacing w:line="360" w:lineRule="auto"/>
                    <w:jc w:val="center"/>
                    <w:rPr>
                      <w:rFonts w:ascii="宋体" w:hAnsi="宋体" w:cs="宋体"/>
                      <w:szCs w:val="21"/>
                      <w:highlight w:val="none"/>
                    </w:rPr>
                  </w:pPr>
                </w:p>
                <w:p w14:paraId="770DB587">
                  <w:pPr>
                    <w:snapToGrid w:val="0"/>
                    <w:spacing w:line="360" w:lineRule="auto"/>
                    <w:jc w:val="center"/>
                    <w:rPr>
                      <w:rFonts w:ascii="宋体" w:hAnsi="宋体" w:cs="宋体"/>
                      <w:szCs w:val="21"/>
                      <w:highlight w:val="none"/>
                    </w:rPr>
                  </w:pPr>
                  <w:r>
                    <w:rPr>
                      <w:rFonts w:hint="eastAsia" w:ascii="宋体" w:hAnsi="宋体" w:cs="宋体"/>
                      <w:szCs w:val="21"/>
                      <w:highlight w:val="none"/>
                    </w:rPr>
                    <w:t>15</w:t>
                  </w:r>
                </w:p>
              </w:tc>
              <w:tc>
                <w:tcPr>
                  <w:tcW w:w="1161" w:type="dxa"/>
                </w:tcPr>
                <w:p w14:paraId="592B2EBC">
                  <w:pPr>
                    <w:snapToGrid w:val="0"/>
                    <w:spacing w:line="360" w:lineRule="auto"/>
                    <w:jc w:val="center"/>
                    <w:rPr>
                      <w:rFonts w:ascii="宋体" w:hAnsi="宋体" w:cs="宋体"/>
                      <w:szCs w:val="21"/>
                      <w:highlight w:val="none"/>
                    </w:rPr>
                  </w:pPr>
                </w:p>
                <w:p w14:paraId="0E109D66">
                  <w:pPr>
                    <w:snapToGrid w:val="0"/>
                    <w:spacing w:line="360" w:lineRule="auto"/>
                    <w:jc w:val="center"/>
                    <w:rPr>
                      <w:rFonts w:ascii="宋体" w:hAnsi="宋体" w:cs="宋体"/>
                      <w:szCs w:val="21"/>
                      <w:highlight w:val="none"/>
                    </w:rPr>
                  </w:pPr>
                </w:p>
              </w:tc>
              <w:tc>
                <w:tcPr>
                  <w:tcW w:w="855" w:type="dxa"/>
                </w:tcPr>
                <w:p w14:paraId="6CE46AE5">
                  <w:pPr>
                    <w:snapToGrid w:val="0"/>
                    <w:spacing w:line="360" w:lineRule="auto"/>
                    <w:jc w:val="center"/>
                    <w:rPr>
                      <w:rFonts w:ascii="宋体" w:hAnsi="宋体" w:cs="宋体"/>
                      <w:szCs w:val="21"/>
                      <w:highlight w:val="none"/>
                    </w:rPr>
                  </w:pPr>
                </w:p>
              </w:tc>
            </w:tr>
            <w:tr w14:paraId="396BE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vAlign w:val="center"/>
                </w:tcPr>
                <w:p w14:paraId="6AA29A79">
                  <w:pPr>
                    <w:snapToGrid w:val="0"/>
                    <w:spacing w:line="360" w:lineRule="auto"/>
                    <w:jc w:val="center"/>
                    <w:rPr>
                      <w:rFonts w:ascii="宋体" w:hAnsi="宋体" w:cs="宋体"/>
                      <w:szCs w:val="21"/>
                      <w:highlight w:val="none"/>
                    </w:rPr>
                  </w:pPr>
                  <w:r>
                    <w:rPr>
                      <w:rFonts w:hint="eastAsia" w:ascii="宋体" w:hAnsi="宋体" w:cs="宋体"/>
                      <w:szCs w:val="21"/>
                      <w:highlight w:val="none"/>
                    </w:rPr>
                    <w:t>总得分</w:t>
                  </w:r>
                </w:p>
              </w:tc>
              <w:tc>
                <w:tcPr>
                  <w:tcW w:w="1978" w:type="dxa"/>
                  <w:vAlign w:val="center"/>
                </w:tcPr>
                <w:p w14:paraId="1B694B74">
                  <w:pPr>
                    <w:snapToGrid w:val="0"/>
                    <w:spacing w:line="360" w:lineRule="auto"/>
                    <w:jc w:val="center"/>
                    <w:rPr>
                      <w:rFonts w:ascii="宋体" w:hAnsi="宋体" w:cs="宋体"/>
                      <w:szCs w:val="21"/>
                      <w:highlight w:val="none"/>
                    </w:rPr>
                  </w:pPr>
                </w:p>
              </w:tc>
              <w:tc>
                <w:tcPr>
                  <w:tcW w:w="4006" w:type="dxa"/>
                  <w:vAlign w:val="center"/>
                </w:tcPr>
                <w:p w14:paraId="6484D667">
                  <w:pPr>
                    <w:snapToGrid w:val="0"/>
                    <w:spacing w:line="360" w:lineRule="auto"/>
                    <w:jc w:val="center"/>
                    <w:rPr>
                      <w:rFonts w:ascii="宋体" w:hAnsi="宋体" w:cs="宋体"/>
                      <w:szCs w:val="21"/>
                      <w:highlight w:val="none"/>
                    </w:rPr>
                  </w:pPr>
                </w:p>
              </w:tc>
              <w:tc>
                <w:tcPr>
                  <w:tcW w:w="646" w:type="dxa"/>
                </w:tcPr>
                <w:p w14:paraId="43D85F26">
                  <w:pPr>
                    <w:snapToGrid w:val="0"/>
                    <w:spacing w:line="360" w:lineRule="auto"/>
                    <w:jc w:val="center"/>
                    <w:rPr>
                      <w:rFonts w:ascii="宋体" w:hAnsi="宋体" w:cs="宋体"/>
                      <w:szCs w:val="21"/>
                      <w:highlight w:val="none"/>
                    </w:rPr>
                  </w:pPr>
                  <w:r>
                    <w:rPr>
                      <w:rFonts w:hint="eastAsia" w:ascii="宋体" w:hAnsi="宋体" w:cs="宋体"/>
                      <w:szCs w:val="21"/>
                      <w:highlight w:val="none"/>
                    </w:rPr>
                    <w:t>100</w:t>
                  </w:r>
                </w:p>
              </w:tc>
              <w:tc>
                <w:tcPr>
                  <w:tcW w:w="1161" w:type="dxa"/>
                </w:tcPr>
                <w:p w14:paraId="5D9536C9">
                  <w:pPr>
                    <w:snapToGrid w:val="0"/>
                    <w:spacing w:line="360" w:lineRule="auto"/>
                    <w:jc w:val="center"/>
                    <w:rPr>
                      <w:rFonts w:ascii="宋体" w:hAnsi="宋体" w:cs="宋体"/>
                      <w:szCs w:val="21"/>
                      <w:highlight w:val="none"/>
                    </w:rPr>
                  </w:pPr>
                </w:p>
              </w:tc>
              <w:tc>
                <w:tcPr>
                  <w:tcW w:w="855" w:type="dxa"/>
                </w:tcPr>
                <w:p w14:paraId="5DB1B614">
                  <w:pPr>
                    <w:snapToGrid w:val="0"/>
                    <w:spacing w:line="360" w:lineRule="auto"/>
                    <w:jc w:val="center"/>
                    <w:rPr>
                      <w:rFonts w:ascii="宋体" w:hAnsi="宋体" w:cs="宋体"/>
                      <w:szCs w:val="21"/>
                      <w:highlight w:val="none"/>
                    </w:rPr>
                  </w:pPr>
                </w:p>
              </w:tc>
            </w:tr>
          </w:tbl>
          <w:p w14:paraId="06421F61">
            <w:pPr>
              <w:snapToGrid w:val="0"/>
              <w:jc w:val="center"/>
              <w:rPr>
                <w:rFonts w:ascii="宋体" w:hAnsi="宋体" w:cs="宋体"/>
                <w:sz w:val="24"/>
                <w:highlight w:val="none"/>
              </w:rPr>
            </w:pPr>
          </w:p>
        </w:tc>
      </w:tr>
    </w:tbl>
    <w:p w14:paraId="29DD3FF7">
      <w:pPr>
        <w:spacing w:before="120" w:after="120" w:line="288" w:lineRule="auto"/>
        <w:jc w:val="left"/>
        <w:rPr>
          <w:rFonts w:ascii="宋体" w:hAnsi="宋体" w:cs="宋体"/>
          <w:sz w:val="24"/>
          <w:highlight w:val="none"/>
        </w:rPr>
      </w:pPr>
      <w:r>
        <w:rPr>
          <w:rFonts w:hint="eastAsia" w:ascii="宋体" w:hAnsi="宋体" w:cs="宋体"/>
          <w:sz w:val="24"/>
          <w:highlight w:val="none"/>
        </w:rPr>
        <w:t xml:space="preserve">  考核人：                      被考核人：                                       </w:t>
      </w:r>
    </w:p>
    <w:p w14:paraId="131D6FE7">
      <w:pPr>
        <w:rPr>
          <w:highlight w:val="none"/>
        </w:rPr>
      </w:pPr>
      <w:r>
        <w:rPr>
          <w:highlight w:val="none"/>
        </w:rPr>
        <w:br w:type="page"/>
      </w:r>
    </w:p>
    <w:p w14:paraId="58194E98">
      <w:pPr>
        <w:pStyle w:val="7"/>
        <w:rPr>
          <w:highlight w:val="none"/>
        </w:rPr>
      </w:pPr>
      <w:r>
        <w:rPr>
          <w:rFonts w:hint="eastAsia"/>
          <w:highlight w:val="none"/>
        </w:rPr>
        <w:t>4、陆家镇绿地常规养护管理考核办法</w:t>
      </w:r>
    </w:p>
    <w:p w14:paraId="5DE8F017">
      <w:pPr>
        <w:adjustRightInd w:val="0"/>
        <w:snapToGrid w:val="0"/>
        <w:spacing w:line="440" w:lineRule="exact"/>
        <w:ind w:firstLine="567"/>
        <w:rPr>
          <w:rFonts w:ascii="宋体" w:hAnsi="宋体" w:cs="宋体"/>
          <w:kern w:val="0"/>
          <w:sz w:val="28"/>
          <w:szCs w:val="28"/>
          <w:highlight w:val="none"/>
        </w:rPr>
      </w:pPr>
    </w:p>
    <w:p w14:paraId="4C4F7826">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为巩固绿化建设成果，全面提高绿地养护管理整体水平，努力促进陆家绿化管护工作再上新台阶，特制定本办法：</w:t>
      </w:r>
    </w:p>
    <w:p w14:paraId="1FC122D2">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一、考核依据</w:t>
      </w:r>
    </w:p>
    <w:p w14:paraId="4F61A409">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陆家绿地考核验收的依据上级部门有关规定及绿化管护合同中有关规定的条款。</w:t>
      </w:r>
    </w:p>
    <w:p w14:paraId="6FDECDA0">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二、考核内容</w:t>
      </w:r>
    </w:p>
    <w:p w14:paraId="51836397">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1、绿地中的行道树、各类绿地、草花、景观设施等的养护质量。2、各类绿地的环境卫生质量。3、养护队伍的管理和安全生产情况。4、其他相关规定的执行情况。</w:t>
      </w:r>
    </w:p>
    <w:p w14:paraId="38908A6C">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三、养护单位管理要求</w:t>
      </w:r>
    </w:p>
    <w:p w14:paraId="1C1B20A9">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1、养护单位须建立健全每日巡视制度。发现并处理养护区域内出现的问题，做好每日巡视记录。</w:t>
      </w:r>
    </w:p>
    <w:p w14:paraId="57C0BB8D">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2、甲方和监理将定期或不定期的检查各养护单位出勤情况和每日巡视记录，养护期内无故停工的，第一次罚1000元，第二次罚2000元，第三次罚4000元，并在相应的养护考核中扣分；记录不完善，第一次罚500元，第二次罚1000元，第三次罚2000元，并在相应的养护考核中扣分。</w:t>
      </w:r>
    </w:p>
    <w:p w14:paraId="17E7E6FE">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3、人员到位，统一着装。养护单位应自觉做好各项养护工作，养护人员及设备配足配齐。甲方和监理方有权视工作需要要求养护单位临时性增加养护人员；所有养护单位必须配备洒水车、割灌机、割草机、水泵等相关设备。如人员、机械设备不到位，按500-5000元/天处罚，处罚后两天时间及时整改，第三天对整改结果进行跟踪，若未整改到位，在原有处罚金额的基础上，每次加重500-5000元的处罚，并扣考评分。若养护人员、机械长期不到位导致养护工作不能有效开展，造成苗木缺损、景观被破坏等严重事故，甲方将终止其养护合同，所造成的损失由服务单位承担。</w:t>
      </w:r>
    </w:p>
    <w:p w14:paraId="36955ECA">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为便于管理，要求养护单位养护人员工作时须穿戴印有明显标识的统一制服，如日常检查中发现养护人员无故未按统一着装的养护人员作缺勤处理（500元/人）。</w:t>
      </w:r>
    </w:p>
    <w:p w14:paraId="1B622DEC">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4、养护单位应积极配合甲方和监理方的工作，服从甲方和监理的管理要求。如养护单位不能积极配合甲方及监理方的工作，不服从整改要求，先予以书面警告，仍达不到要求的将进行处罚，第一次罚5000元，第二次罚10000元，第三次罚20000元，若仍不整改将终止其养护合同，所造成的损失由服务单位承担。工作中要发扬团结协作的作风，遇有重大活动、节日庆典、金秋经贸招商等特殊情况，甲方对所有管理人员进行调配，各养护单位应积极配合，如不配合的扣考评分。</w:t>
      </w:r>
    </w:p>
    <w:p w14:paraId="2088759A">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承包方若不能及时或不能按标准完成承包范围内的养护工作则将进行处罚，第一次罚5000元，第二次罚10000元，第三次罚20000元，仍不能完成，甲方有权安排第三方进行养护，所发生的费用，从承包方的养护费中扣除。养护期树木花草如有养护不力造成的死亡，承包方必须按同规格的苗木及时补植，涉及到的一切费用由服务单位承担。承包方养护期间，如未按协议进行养护或未经甲方批准，进行项目违法分包、转包，甲方有权单方面终止协议，所有损失由承包方承担，并把此企业上报市局备案，并停止该企业3年内参与陆家相关投标活动的资格。</w:t>
      </w:r>
    </w:p>
    <w:p w14:paraId="2E1457A2">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5、因养护单位疏于管理，养护工作不力，造成养护标段内苗木、花草死亡、病虫害疫情暴发、景观被破坏等，甲方将视情况给予5000至10000元不等的罚款，情节严重的，处罚则加倍，同时将缩小其养护面积，直至终止养护合同，所造成的损失由养护单位承担。</w:t>
      </w:r>
    </w:p>
    <w:p w14:paraId="5D72AEA7">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管护期间如发生重大责任事故的，经核查属实后按事故赔偿费用的100%进行处罚。管护单位应配合甲方及时处理自身养护标段内数字城管监督指挥中心派遣的案件，未能在案件处理时效内处理的（延期的除外），处罚1000元/张，甲方有权安排第三方处理，处理事件所发生的费用将根据案件处理实际发生的费用双倍从养护费中扣除。在接待上级领导参观考察期间，若承包方的管护区域发生无报备问题，处罚5000元，并考核扣分。</w:t>
      </w:r>
    </w:p>
    <w:p w14:paraId="13A31D7A">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6、为加强常规养护的管理和协调工作，甲方定于每月定期或不定期组织现场考核打分。各养护单位须认真、准时参加每次养护会议，通知到的人员如有无故迟者,处罚1000元（一次）;无故缺席者，处罚2000元（一次），罚金在结算时直接扣除，重大会议必须由公司负责人参加。</w:t>
      </w:r>
    </w:p>
    <w:p w14:paraId="73AE9EDE">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7、养护单位须认真保护所承担养护区域的绿地及绿化材料。如遇第三方开挖，应主动检查其开挖证明，并跟踪其开挖活动，避免绿化材料缺损；如开挖方无法出具有效的开挖证明，养护单位应及时制止其开挖行为并及时通知甲方、城管、派出所等单位，否则按养护单位不作为处理，造成的苗木缺损、死亡等一切后果由养护单位承担，并扣当月考评分，将视情况处罚5000至10000元/处，同时将缩小其养护面积，直至终止其养护合同，所造成的一切损失由施工单位承担。禁止监守自盗行为，如若发生养护范围内私自苗木买卖现象或故意损坏现象，甲方一经核实将严格处罚，以苗木价值的5-10倍处罚，同时扣除当年全部养护费用，立即终止合约并移送执法部门处置，并把此企业上报市局，并停止该企业3年内参与陆家相关投标活动的资格。</w:t>
      </w:r>
    </w:p>
    <w:p w14:paraId="0D11AAC7">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8、需要见证的事项必须提前一天通知甲方和监理，提交相关资料并建立相关的工作台帐，否则发生的工程量不予计量。若发生药害、肥害现象，则将视情节处罚，轻的5000元/处，重的10000元/处。</w:t>
      </w:r>
    </w:p>
    <w:p w14:paraId="79D15EFE">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9、承担养护的项目负责人在养护期内须常驻昆山，并保持通信畅通，有事外出（跨市）须请假。否则，第一次处罚1000元，第二次处罚2000元，第三次处罚4000元，三次以上甲方有权更换项目责任人并上报市局，并三年内不得参与陆家相关项目的招投标。甲方代表或是养护监理工程师下发的通知单，须在规定的日期内回复，否则，第一次处罚2000元，第二次处罚3000元，第三次处罚5000元。</w:t>
      </w:r>
    </w:p>
    <w:p w14:paraId="70363A25">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10、养护单位应确保养护绿地内无绿化废弃物等，联合环卫共同维护，因养护不力导致影响绿地景观，并整改无效的，视情况给予扣考核分，并处罚3000至5000元。</w:t>
      </w:r>
    </w:p>
    <w:p w14:paraId="6B6191A7">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11、养护单位应加强工作人员的安全生产教育，采取有效措施确保安全生产。如果在日常生产活动中发现养护单位存在安全隐患，甲方和监理方有权要求立即停止生产活动并进行整改。如有不服从整改要求的将依据第4条处理。</w:t>
      </w:r>
    </w:p>
    <w:p w14:paraId="191DA962">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四、考核办法</w:t>
      </w:r>
    </w:p>
    <w:p w14:paraId="21F7D5DE">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 xml:space="preserve">考核检查由甲方组织，按考核评分表分项考核，考核采取百分制，每月考核汇总一次。考核结果作为承包经费发放及扣除的依据。主要采用以下方法考核： </w:t>
      </w:r>
    </w:p>
    <w:p w14:paraId="3BD46124">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1、采用定期和不定期相结合的办法，平时每日由建设管理人员、监理人员到各承包绿地进行巡查，每月由建设单位、监理单位及养护单位相关人员按实际养护情况对照考核细则现场考核评分，与建设管理人员和监理人员日常巡查相结合。</w:t>
      </w:r>
    </w:p>
    <w:p w14:paraId="5D9F8475">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2、采取重点工作、重点地块必查和日常工作、一般地段抽查相结合的办法。既促进各责任人按质按量按时完成相关重点工作，又兼顾其他日常管护。</w:t>
      </w:r>
    </w:p>
    <w:p w14:paraId="4BA9694D">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3、对考核中发现的问题通过现场打分、现场照相、现场指正等方式及时记录、打分。监理形成书面材料，并落实监督整改。</w:t>
      </w:r>
    </w:p>
    <w:p w14:paraId="3D397EEC">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4、甲方根据日常台帐资料及现场检查进行综合考核。</w:t>
      </w:r>
    </w:p>
    <w:p w14:paraId="61C6F64E">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5、考核打分。每月得分90分及以上的，不奖不罚；低于90分，每低一分扣该季度固定养护费总额的1.5%。对连续三个月得分低于85分或连续两个月得分低于80分或单月得分低于75分，甲方有权终止合同。</w:t>
      </w:r>
    </w:p>
    <w:p w14:paraId="28E3EE9F">
      <w:pPr>
        <w:adjustRightInd w:val="0"/>
        <w:snapToGrid w:val="0"/>
        <w:spacing w:line="440" w:lineRule="exact"/>
        <w:ind w:firstLine="420"/>
        <w:rPr>
          <w:rFonts w:ascii="宋体" w:hAnsi="宋体" w:cs="宋体"/>
          <w:kern w:val="0"/>
          <w:szCs w:val="21"/>
          <w:highlight w:val="none"/>
        </w:rPr>
      </w:pPr>
      <w:r>
        <w:rPr>
          <w:rFonts w:hint="eastAsia" w:ascii="宋体" w:hAnsi="宋体" w:cs="宋体"/>
          <w:kern w:val="0"/>
          <w:szCs w:val="21"/>
          <w:highlight w:val="none"/>
        </w:rPr>
        <w:t>五、考核评分表</w:t>
      </w:r>
    </w:p>
    <w:p w14:paraId="4B460CE6">
      <w:pPr>
        <w:adjustRightInd w:val="0"/>
        <w:snapToGrid w:val="0"/>
        <w:spacing w:line="440" w:lineRule="exact"/>
        <w:rPr>
          <w:rFonts w:ascii="宋体" w:hAnsi="宋体" w:cs="宋体"/>
          <w:b/>
          <w:kern w:val="0"/>
          <w:sz w:val="28"/>
          <w:szCs w:val="28"/>
          <w:highlight w:val="none"/>
        </w:rPr>
      </w:pPr>
    </w:p>
    <w:tbl>
      <w:tblPr>
        <w:tblStyle w:val="9"/>
        <w:tblW w:w="16810" w:type="dxa"/>
        <w:tblInd w:w="-91" w:type="dxa"/>
        <w:tblLayout w:type="fixed"/>
        <w:tblCellMar>
          <w:top w:w="0" w:type="dxa"/>
          <w:left w:w="108" w:type="dxa"/>
          <w:bottom w:w="0" w:type="dxa"/>
          <w:right w:w="108" w:type="dxa"/>
        </w:tblCellMar>
      </w:tblPr>
      <w:tblGrid>
        <w:gridCol w:w="441"/>
        <w:gridCol w:w="708"/>
        <w:gridCol w:w="426"/>
        <w:gridCol w:w="3144"/>
        <w:gridCol w:w="600"/>
        <w:gridCol w:w="2336"/>
        <w:gridCol w:w="354"/>
        <w:gridCol w:w="1001"/>
        <w:gridCol w:w="726"/>
        <w:gridCol w:w="64"/>
        <w:gridCol w:w="4860"/>
        <w:gridCol w:w="2150"/>
      </w:tblGrid>
      <w:tr w14:paraId="44BDDDEB">
        <w:tblPrEx>
          <w:tblCellMar>
            <w:top w:w="0" w:type="dxa"/>
            <w:left w:w="108" w:type="dxa"/>
            <w:bottom w:w="0" w:type="dxa"/>
            <w:right w:w="108" w:type="dxa"/>
          </w:tblCellMar>
        </w:tblPrEx>
        <w:trPr>
          <w:gridAfter w:val="3"/>
          <w:wAfter w:w="7074" w:type="dxa"/>
          <w:trHeight w:val="598" w:hRule="atLeast"/>
        </w:trPr>
        <w:tc>
          <w:tcPr>
            <w:tcW w:w="9736" w:type="dxa"/>
            <w:gridSpan w:val="9"/>
            <w:tcBorders>
              <w:top w:val="nil"/>
              <w:left w:val="nil"/>
              <w:bottom w:val="nil"/>
              <w:right w:val="nil"/>
            </w:tcBorders>
            <w:noWrap/>
          </w:tcPr>
          <w:p w14:paraId="5969A3CD">
            <w:pPr>
              <w:widowControl/>
              <w:spacing w:line="360" w:lineRule="auto"/>
              <w:jc w:val="center"/>
              <w:textAlignment w:val="top"/>
              <w:rPr>
                <w:rFonts w:ascii="宋体" w:hAnsi="宋体" w:cs="宋体"/>
                <w:color w:val="000000"/>
                <w:szCs w:val="21"/>
                <w:highlight w:val="none"/>
              </w:rPr>
            </w:pPr>
            <w:r>
              <w:rPr>
                <w:rFonts w:hint="eastAsia" w:ascii="宋体" w:hAnsi="宋体" w:cs="宋体"/>
                <w:color w:val="000000"/>
                <w:kern w:val="0"/>
                <w:szCs w:val="21"/>
                <w:highlight w:val="none"/>
                <w:lang w:bidi="ar"/>
              </w:rPr>
              <w:t>绿地养护管理现场质量考核评分表</w:t>
            </w:r>
          </w:p>
        </w:tc>
      </w:tr>
      <w:tr w14:paraId="4B1FF357">
        <w:tblPrEx>
          <w:tblCellMar>
            <w:top w:w="0" w:type="dxa"/>
            <w:left w:w="108" w:type="dxa"/>
            <w:bottom w:w="0" w:type="dxa"/>
            <w:right w:w="108" w:type="dxa"/>
          </w:tblCellMar>
        </w:tblPrEx>
        <w:trPr>
          <w:gridAfter w:val="3"/>
          <w:wAfter w:w="7074" w:type="dxa"/>
          <w:trHeight w:val="416" w:hRule="atLeast"/>
        </w:trPr>
        <w:tc>
          <w:tcPr>
            <w:tcW w:w="1575" w:type="dxa"/>
            <w:gridSpan w:val="3"/>
            <w:tcBorders>
              <w:top w:val="nil"/>
              <w:left w:val="nil"/>
              <w:bottom w:val="single" w:color="000000" w:sz="4" w:space="0"/>
              <w:right w:val="nil"/>
            </w:tcBorders>
            <w:noWrap/>
            <w:vAlign w:val="center"/>
          </w:tcPr>
          <w:p w14:paraId="42F7502B">
            <w:pPr>
              <w:widowControl/>
              <w:spacing w:line="360" w:lineRule="auto"/>
              <w:jc w:val="center"/>
              <w:textAlignment w:val="center"/>
              <w:rPr>
                <w:rFonts w:ascii="宋体" w:hAnsi="宋体" w:cs="宋体"/>
                <w:b/>
                <w:bCs/>
                <w:color w:val="000000"/>
                <w:szCs w:val="21"/>
                <w:highlight w:val="none"/>
              </w:rPr>
            </w:pPr>
            <w:r>
              <w:rPr>
                <w:rFonts w:hint="eastAsia" w:ascii="宋体" w:hAnsi="宋体" w:cs="宋体"/>
                <w:b/>
                <w:bCs/>
                <w:color w:val="000000"/>
                <w:kern w:val="0"/>
                <w:szCs w:val="21"/>
                <w:highlight w:val="none"/>
                <w:lang w:bidi="ar"/>
              </w:rPr>
              <w:t>养护单位：</w:t>
            </w:r>
          </w:p>
        </w:tc>
        <w:tc>
          <w:tcPr>
            <w:tcW w:w="3744" w:type="dxa"/>
            <w:gridSpan w:val="2"/>
            <w:tcBorders>
              <w:top w:val="nil"/>
              <w:left w:val="nil"/>
              <w:bottom w:val="single" w:color="000000" w:sz="4" w:space="0"/>
              <w:right w:val="nil"/>
            </w:tcBorders>
            <w:noWrap/>
            <w:vAlign w:val="center"/>
          </w:tcPr>
          <w:p w14:paraId="24CB6C9F">
            <w:pPr>
              <w:widowControl/>
              <w:spacing w:line="360" w:lineRule="auto"/>
              <w:jc w:val="center"/>
              <w:textAlignment w:val="center"/>
              <w:rPr>
                <w:rFonts w:ascii="宋体" w:hAnsi="宋体" w:cs="宋体"/>
                <w:b/>
                <w:bCs/>
                <w:color w:val="000000"/>
                <w:szCs w:val="21"/>
                <w:highlight w:val="none"/>
              </w:rPr>
            </w:pPr>
            <w:r>
              <w:rPr>
                <w:rFonts w:hint="eastAsia" w:ascii="宋体" w:hAnsi="宋体" w:cs="宋体"/>
                <w:b/>
                <w:bCs/>
                <w:color w:val="000000"/>
                <w:kern w:val="0"/>
                <w:szCs w:val="21"/>
                <w:highlight w:val="none"/>
                <w:lang w:bidi="ar"/>
              </w:rPr>
              <w:t xml:space="preserve">      </w:t>
            </w:r>
          </w:p>
        </w:tc>
        <w:tc>
          <w:tcPr>
            <w:tcW w:w="2336" w:type="dxa"/>
            <w:tcBorders>
              <w:top w:val="nil"/>
              <w:left w:val="nil"/>
              <w:bottom w:val="nil"/>
              <w:right w:val="nil"/>
            </w:tcBorders>
            <w:noWrap/>
            <w:vAlign w:val="center"/>
          </w:tcPr>
          <w:p w14:paraId="2B12D1ED">
            <w:pPr>
              <w:widowControl/>
              <w:spacing w:line="360" w:lineRule="auto"/>
              <w:jc w:val="center"/>
              <w:textAlignment w:val="center"/>
              <w:rPr>
                <w:rFonts w:ascii="宋体" w:hAnsi="宋体" w:cs="宋体"/>
                <w:b/>
                <w:bCs/>
                <w:color w:val="000000"/>
                <w:szCs w:val="21"/>
                <w:highlight w:val="none"/>
              </w:rPr>
            </w:pPr>
          </w:p>
        </w:tc>
        <w:tc>
          <w:tcPr>
            <w:tcW w:w="2081" w:type="dxa"/>
            <w:gridSpan w:val="3"/>
            <w:tcBorders>
              <w:top w:val="nil"/>
              <w:left w:val="nil"/>
              <w:bottom w:val="single" w:color="000000" w:sz="4" w:space="0"/>
              <w:right w:val="nil"/>
            </w:tcBorders>
            <w:noWrap/>
            <w:vAlign w:val="center"/>
          </w:tcPr>
          <w:p w14:paraId="0C0C337D">
            <w:pPr>
              <w:widowControl/>
              <w:spacing w:line="360" w:lineRule="auto"/>
              <w:jc w:val="left"/>
              <w:textAlignment w:val="center"/>
              <w:rPr>
                <w:rFonts w:ascii="宋体" w:hAnsi="宋体" w:cs="宋体"/>
                <w:color w:val="000000"/>
                <w:szCs w:val="21"/>
                <w:highlight w:val="none"/>
              </w:rPr>
            </w:pPr>
            <w:r>
              <w:rPr>
                <w:rFonts w:hint="eastAsia" w:ascii="宋体" w:hAnsi="宋体" w:cs="宋体"/>
                <w:b/>
                <w:bCs/>
                <w:color w:val="000000"/>
                <w:kern w:val="0"/>
                <w:szCs w:val="21"/>
                <w:highlight w:val="none"/>
                <w:lang w:bidi="ar"/>
              </w:rPr>
              <w:t>得分：</w:t>
            </w:r>
          </w:p>
        </w:tc>
      </w:tr>
      <w:tr w14:paraId="61306B0F">
        <w:tblPrEx>
          <w:tblCellMar>
            <w:top w:w="0" w:type="dxa"/>
            <w:left w:w="108" w:type="dxa"/>
            <w:bottom w:w="0" w:type="dxa"/>
            <w:right w:w="108" w:type="dxa"/>
          </w:tblCellMar>
        </w:tblPrEx>
        <w:trPr>
          <w:gridAfter w:val="2"/>
          <w:wAfter w:w="7010" w:type="dxa"/>
          <w:trHeight w:val="412" w:hRule="atLeast"/>
        </w:trPr>
        <w:tc>
          <w:tcPr>
            <w:tcW w:w="441" w:type="dxa"/>
            <w:tcBorders>
              <w:top w:val="single" w:color="000000" w:sz="4" w:space="0"/>
              <w:left w:val="single" w:color="000000" w:sz="4" w:space="0"/>
              <w:bottom w:val="single" w:color="000000" w:sz="4" w:space="0"/>
              <w:right w:val="single" w:color="000000" w:sz="4" w:space="0"/>
            </w:tcBorders>
            <w:noWrap/>
            <w:vAlign w:val="center"/>
          </w:tcPr>
          <w:p w14:paraId="23C71B89">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序号</w:t>
            </w:r>
          </w:p>
        </w:tc>
        <w:tc>
          <w:tcPr>
            <w:tcW w:w="708" w:type="dxa"/>
            <w:tcBorders>
              <w:top w:val="single" w:color="000000" w:sz="4" w:space="0"/>
              <w:left w:val="single" w:color="000000" w:sz="4" w:space="0"/>
              <w:bottom w:val="single" w:color="000000" w:sz="4" w:space="0"/>
              <w:right w:val="single" w:color="000000" w:sz="4" w:space="0"/>
            </w:tcBorders>
            <w:noWrap/>
            <w:vAlign w:val="center"/>
          </w:tcPr>
          <w:p w14:paraId="287822D3">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分项</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23DCBA24">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条目</w:t>
            </w:r>
          </w:p>
        </w:tc>
        <w:tc>
          <w:tcPr>
            <w:tcW w:w="3144" w:type="dxa"/>
            <w:tcBorders>
              <w:top w:val="single" w:color="000000" w:sz="4" w:space="0"/>
              <w:left w:val="single" w:color="000000" w:sz="4" w:space="0"/>
              <w:bottom w:val="single" w:color="000000" w:sz="4" w:space="0"/>
              <w:right w:val="single" w:color="000000" w:sz="4" w:space="0"/>
            </w:tcBorders>
            <w:vAlign w:val="center"/>
          </w:tcPr>
          <w:p w14:paraId="65DDC779">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考核内容及管护要求</w:t>
            </w:r>
          </w:p>
        </w:tc>
        <w:tc>
          <w:tcPr>
            <w:tcW w:w="3290" w:type="dxa"/>
            <w:gridSpan w:val="3"/>
            <w:tcBorders>
              <w:top w:val="single" w:color="000000" w:sz="4" w:space="0"/>
              <w:left w:val="single" w:color="000000" w:sz="4" w:space="0"/>
              <w:bottom w:val="single" w:color="000000" w:sz="4" w:space="0"/>
              <w:right w:val="single" w:color="000000" w:sz="4" w:space="0"/>
            </w:tcBorders>
            <w:noWrap/>
            <w:vAlign w:val="center"/>
          </w:tcPr>
          <w:p w14:paraId="083A6957">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扣分细则</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43E7F629">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扣分原因</w:t>
            </w: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34DB6EA4">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得分</w:t>
            </w:r>
          </w:p>
        </w:tc>
      </w:tr>
      <w:tr w14:paraId="1B95020B">
        <w:tblPrEx>
          <w:tblCellMar>
            <w:top w:w="0" w:type="dxa"/>
            <w:left w:w="108" w:type="dxa"/>
            <w:bottom w:w="0" w:type="dxa"/>
            <w:right w:w="108" w:type="dxa"/>
          </w:tblCellMar>
        </w:tblPrEx>
        <w:trPr>
          <w:gridAfter w:val="2"/>
          <w:wAfter w:w="7010" w:type="dxa"/>
          <w:trHeight w:val="458" w:hRule="atLeast"/>
        </w:trPr>
        <w:tc>
          <w:tcPr>
            <w:tcW w:w="441" w:type="dxa"/>
            <w:vMerge w:val="restart"/>
            <w:tcBorders>
              <w:top w:val="single" w:color="000000" w:sz="4" w:space="0"/>
              <w:left w:val="single" w:color="000000" w:sz="4" w:space="0"/>
              <w:bottom w:val="single" w:color="000000" w:sz="4" w:space="0"/>
              <w:right w:val="single" w:color="000000" w:sz="4" w:space="0"/>
            </w:tcBorders>
            <w:noWrap/>
            <w:vAlign w:val="center"/>
          </w:tcPr>
          <w:p w14:paraId="1988045B">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1</w:t>
            </w:r>
          </w:p>
        </w:tc>
        <w:tc>
          <w:tcPr>
            <w:tcW w:w="708" w:type="dxa"/>
            <w:vMerge w:val="restart"/>
            <w:tcBorders>
              <w:top w:val="single" w:color="000000" w:sz="4" w:space="0"/>
              <w:left w:val="single" w:color="000000" w:sz="4" w:space="0"/>
              <w:bottom w:val="single" w:color="000000" w:sz="4" w:space="0"/>
              <w:right w:val="single" w:color="000000" w:sz="4" w:space="0"/>
            </w:tcBorders>
            <w:vAlign w:val="center"/>
          </w:tcPr>
          <w:p w14:paraId="121BCBBC">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绿地环境 10分</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4F63B95F">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1</w:t>
            </w:r>
          </w:p>
        </w:tc>
        <w:tc>
          <w:tcPr>
            <w:tcW w:w="3144" w:type="dxa"/>
            <w:tcBorders>
              <w:top w:val="single" w:color="000000" w:sz="4" w:space="0"/>
              <w:left w:val="single" w:color="000000" w:sz="4" w:space="0"/>
              <w:bottom w:val="single" w:color="000000" w:sz="4" w:space="0"/>
              <w:right w:val="single" w:color="000000" w:sz="4" w:space="0"/>
            </w:tcBorders>
            <w:vAlign w:val="center"/>
          </w:tcPr>
          <w:p w14:paraId="3FCB55B1">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绿地整洁，无废弃物，植物叶面无陈旧积尘。</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76A33B84">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有一处扣1分，扣完为止。</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6F2F3D72">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0255406B">
            <w:pPr>
              <w:spacing w:line="360" w:lineRule="auto"/>
              <w:rPr>
                <w:rFonts w:ascii="宋体" w:hAnsi="宋体" w:cs="宋体"/>
                <w:color w:val="000000"/>
                <w:szCs w:val="21"/>
                <w:highlight w:val="none"/>
              </w:rPr>
            </w:pPr>
          </w:p>
        </w:tc>
      </w:tr>
      <w:tr w14:paraId="53103886">
        <w:tblPrEx>
          <w:tblCellMar>
            <w:top w:w="0" w:type="dxa"/>
            <w:left w:w="108" w:type="dxa"/>
            <w:bottom w:w="0" w:type="dxa"/>
            <w:right w:w="108" w:type="dxa"/>
          </w:tblCellMar>
        </w:tblPrEx>
        <w:trPr>
          <w:gridAfter w:val="2"/>
          <w:wAfter w:w="7010" w:type="dxa"/>
          <w:trHeight w:val="464"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3E7C2A2E">
            <w:pPr>
              <w:spacing w:line="360" w:lineRule="auto"/>
              <w:jc w:val="center"/>
              <w:rPr>
                <w:rFonts w:ascii="宋体" w:hAnsi="宋体" w:cs="宋体"/>
                <w:color w:val="000000"/>
                <w:szCs w:val="21"/>
                <w:highlight w:val="none"/>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3C6AEA72">
            <w:pPr>
              <w:spacing w:line="360" w:lineRule="auto"/>
              <w:jc w:val="center"/>
              <w:rPr>
                <w:rFonts w:ascii="宋体" w:hAnsi="宋体" w:cs="宋体"/>
                <w:color w:val="000000"/>
                <w:szCs w:val="21"/>
                <w:highlight w:val="none"/>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6CB0F90B">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2</w:t>
            </w:r>
          </w:p>
        </w:tc>
        <w:tc>
          <w:tcPr>
            <w:tcW w:w="3144" w:type="dxa"/>
            <w:tcBorders>
              <w:top w:val="single" w:color="000000" w:sz="4" w:space="0"/>
              <w:left w:val="single" w:color="000000" w:sz="4" w:space="0"/>
              <w:bottom w:val="single" w:color="000000" w:sz="4" w:space="0"/>
              <w:right w:val="single" w:color="000000" w:sz="4" w:space="0"/>
            </w:tcBorders>
            <w:vAlign w:val="center"/>
          </w:tcPr>
          <w:p w14:paraId="5C4F0ED5">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绿化生产垃圾（树枝、树叶、草屑等），日产日清。</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5FF8FA89">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有一项扣1分，扣完为止。</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6DB04EF4">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1FD1EA24">
            <w:pPr>
              <w:spacing w:line="360" w:lineRule="auto"/>
              <w:rPr>
                <w:rFonts w:ascii="宋体" w:hAnsi="宋体" w:cs="宋体"/>
                <w:color w:val="000000"/>
                <w:szCs w:val="21"/>
                <w:highlight w:val="none"/>
              </w:rPr>
            </w:pPr>
          </w:p>
        </w:tc>
      </w:tr>
      <w:tr w14:paraId="401856DC">
        <w:tblPrEx>
          <w:tblCellMar>
            <w:top w:w="0" w:type="dxa"/>
            <w:left w:w="108" w:type="dxa"/>
            <w:bottom w:w="0" w:type="dxa"/>
            <w:right w:w="108" w:type="dxa"/>
          </w:tblCellMar>
        </w:tblPrEx>
        <w:trPr>
          <w:gridAfter w:val="2"/>
          <w:wAfter w:w="7010" w:type="dxa"/>
          <w:trHeight w:val="683" w:hRule="atLeast"/>
        </w:trPr>
        <w:tc>
          <w:tcPr>
            <w:tcW w:w="441" w:type="dxa"/>
            <w:vMerge w:val="restart"/>
            <w:tcBorders>
              <w:top w:val="single" w:color="000000" w:sz="4" w:space="0"/>
              <w:left w:val="single" w:color="000000" w:sz="4" w:space="0"/>
              <w:bottom w:val="single" w:color="000000" w:sz="4" w:space="0"/>
              <w:right w:val="single" w:color="000000" w:sz="4" w:space="0"/>
            </w:tcBorders>
            <w:noWrap/>
            <w:vAlign w:val="center"/>
          </w:tcPr>
          <w:p w14:paraId="30555787">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2</w:t>
            </w:r>
          </w:p>
        </w:tc>
        <w:tc>
          <w:tcPr>
            <w:tcW w:w="708" w:type="dxa"/>
            <w:vMerge w:val="restart"/>
            <w:tcBorders>
              <w:top w:val="single" w:color="000000" w:sz="4" w:space="0"/>
              <w:left w:val="single" w:color="000000" w:sz="4" w:space="0"/>
              <w:bottom w:val="single" w:color="000000" w:sz="4" w:space="0"/>
              <w:right w:val="single" w:color="000000" w:sz="4" w:space="0"/>
            </w:tcBorders>
            <w:vAlign w:val="center"/>
          </w:tcPr>
          <w:p w14:paraId="550BB0A1">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设施维护 4分</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3C84017B">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3</w:t>
            </w:r>
          </w:p>
        </w:tc>
        <w:tc>
          <w:tcPr>
            <w:tcW w:w="3144" w:type="dxa"/>
            <w:tcBorders>
              <w:top w:val="single" w:color="000000" w:sz="4" w:space="0"/>
              <w:left w:val="single" w:color="000000" w:sz="4" w:space="0"/>
              <w:bottom w:val="single" w:color="000000" w:sz="4" w:space="0"/>
              <w:right w:val="single" w:color="000000" w:sz="4" w:space="0"/>
            </w:tcBorders>
            <w:vAlign w:val="center"/>
          </w:tcPr>
          <w:p w14:paraId="2F39A23A">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绿化景点标志指示牌、坐椅、灯箱、庭院灯、栏杆、垃圾箱及园林建筑小品等设施整洁完好，维护及时。</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51115D0B">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发现一处扣1分，扣完为止。</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222B3DE6">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6FF25E4B">
            <w:pPr>
              <w:spacing w:line="360" w:lineRule="auto"/>
              <w:rPr>
                <w:rFonts w:ascii="宋体" w:hAnsi="宋体" w:cs="宋体"/>
                <w:color w:val="000000"/>
                <w:szCs w:val="21"/>
                <w:highlight w:val="none"/>
              </w:rPr>
            </w:pPr>
          </w:p>
        </w:tc>
      </w:tr>
      <w:tr w14:paraId="1581CE0B">
        <w:tblPrEx>
          <w:tblCellMar>
            <w:top w:w="0" w:type="dxa"/>
            <w:left w:w="108" w:type="dxa"/>
            <w:bottom w:w="0" w:type="dxa"/>
            <w:right w:w="108" w:type="dxa"/>
          </w:tblCellMar>
        </w:tblPrEx>
        <w:trPr>
          <w:gridAfter w:val="2"/>
          <w:wAfter w:w="7010" w:type="dxa"/>
          <w:trHeight w:val="321"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00C91A41">
            <w:pPr>
              <w:spacing w:line="360" w:lineRule="auto"/>
              <w:jc w:val="center"/>
              <w:rPr>
                <w:rFonts w:ascii="宋体" w:hAnsi="宋体" w:cs="宋体"/>
                <w:color w:val="000000"/>
                <w:szCs w:val="21"/>
                <w:highlight w:val="none"/>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3E00EB68">
            <w:pPr>
              <w:spacing w:line="360" w:lineRule="auto"/>
              <w:jc w:val="center"/>
              <w:rPr>
                <w:rFonts w:ascii="宋体" w:hAnsi="宋体" w:cs="宋体"/>
                <w:color w:val="000000"/>
                <w:szCs w:val="21"/>
                <w:highlight w:val="none"/>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4453CCAC">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4</w:t>
            </w:r>
          </w:p>
        </w:tc>
        <w:tc>
          <w:tcPr>
            <w:tcW w:w="3144" w:type="dxa"/>
            <w:tcBorders>
              <w:top w:val="single" w:color="000000" w:sz="4" w:space="0"/>
              <w:left w:val="single" w:color="000000" w:sz="4" w:space="0"/>
              <w:bottom w:val="single" w:color="000000" w:sz="4" w:space="0"/>
              <w:right w:val="single" w:color="000000" w:sz="4" w:space="0"/>
            </w:tcBorders>
            <w:vAlign w:val="center"/>
          </w:tcPr>
          <w:p w14:paraId="5DDFCA42">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水池定期清理换水，喷泉按要求开放。</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6D5F35C4">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不符合要求扣1分。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789EA0B4">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78880702">
            <w:pPr>
              <w:spacing w:line="360" w:lineRule="auto"/>
              <w:rPr>
                <w:rFonts w:ascii="宋体" w:hAnsi="宋体" w:cs="宋体"/>
                <w:color w:val="000000"/>
                <w:szCs w:val="21"/>
                <w:highlight w:val="none"/>
              </w:rPr>
            </w:pPr>
          </w:p>
        </w:tc>
      </w:tr>
      <w:tr w14:paraId="286C6816">
        <w:tblPrEx>
          <w:tblCellMar>
            <w:top w:w="0" w:type="dxa"/>
            <w:left w:w="108" w:type="dxa"/>
            <w:bottom w:w="0" w:type="dxa"/>
            <w:right w:w="108" w:type="dxa"/>
          </w:tblCellMar>
        </w:tblPrEx>
        <w:trPr>
          <w:gridAfter w:val="2"/>
          <w:wAfter w:w="7010" w:type="dxa"/>
          <w:trHeight w:val="321"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2FCA2848">
            <w:pPr>
              <w:spacing w:line="360" w:lineRule="auto"/>
              <w:jc w:val="center"/>
              <w:rPr>
                <w:rFonts w:ascii="宋体" w:hAnsi="宋体" w:cs="宋体"/>
                <w:color w:val="000000"/>
                <w:szCs w:val="21"/>
                <w:highlight w:val="none"/>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7978130A">
            <w:pPr>
              <w:spacing w:line="360" w:lineRule="auto"/>
              <w:jc w:val="center"/>
              <w:rPr>
                <w:rFonts w:ascii="宋体" w:hAnsi="宋体" w:cs="宋体"/>
                <w:color w:val="000000"/>
                <w:szCs w:val="21"/>
                <w:highlight w:val="none"/>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0E7F7261">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5</w:t>
            </w:r>
          </w:p>
        </w:tc>
        <w:tc>
          <w:tcPr>
            <w:tcW w:w="3144" w:type="dxa"/>
            <w:tcBorders>
              <w:top w:val="single" w:color="000000" w:sz="4" w:space="0"/>
              <w:left w:val="single" w:color="000000" w:sz="4" w:space="0"/>
              <w:bottom w:val="single" w:color="000000" w:sz="4" w:space="0"/>
              <w:right w:val="single" w:color="000000" w:sz="4" w:space="0"/>
            </w:tcBorders>
            <w:vAlign w:val="center"/>
          </w:tcPr>
          <w:p w14:paraId="4A539D93">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树木支撑规范，扎缚有效。</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04D0DBEF">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发现1株扣1分，扣完为止。</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5B9216E5">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0E853C71">
            <w:pPr>
              <w:spacing w:line="360" w:lineRule="auto"/>
              <w:rPr>
                <w:rFonts w:ascii="宋体" w:hAnsi="宋体" w:cs="宋体"/>
                <w:color w:val="000000"/>
                <w:szCs w:val="21"/>
                <w:highlight w:val="none"/>
              </w:rPr>
            </w:pPr>
          </w:p>
        </w:tc>
      </w:tr>
      <w:tr w14:paraId="6E3ADC95">
        <w:tblPrEx>
          <w:tblCellMar>
            <w:top w:w="0" w:type="dxa"/>
            <w:left w:w="108" w:type="dxa"/>
            <w:bottom w:w="0" w:type="dxa"/>
            <w:right w:w="108" w:type="dxa"/>
          </w:tblCellMar>
        </w:tblPrEx>
        <w:trPr>
          <w:gridAfter w:val="2"/>
          <w:wAfter w:w="7010" w:type="dxa"/>
          <w:trHeight w:val="683" w:hRule="atLeast"/>
        </w:trPr>
        <w:tc>
          <w:tcPr>
            <w:tcW w:w="441" w:type="dxa"/>
            <w:vMerge w:val="restart"/>
            <w:tcBorders>
              <w:top w:val="single" w:color="000000" w:sz="4" w:space="0"/>
              <w:left w:val="single" w:color="000000" w:sz="4" w:space="0"/>
              <w:bottom w:val="single" w:color="000000" w:sz="4" w:space="0"/>
              <w:right w:val="single" w:color="000000" w:sz="4" w:space="0"/>
            </w:tcBorders>
            <w:noWrap/>
            <w:vAlign w:val="center"/>
          </w:tcPr>
          <w:p w14:paraId="61E1CDD6">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3</w:t>
            </w:r>
          </w:p>
        </w:tc>
        <w:tc>
          <w:tcPr>
            <w:tcW w:w="708" w:type="dxa"/>
            <w:vMerge w:val="restart"/>
            <w:tcBorders>
              <w:top w:val="single" w:color="000000" w:sz="4" w:space="0"/>
              <w:left w:val="single" w:color="000000" w:sz="4" w:space="0"/>
              <w:bottom w:val="single" w:color="000000" w:sz="4" w:space="0"/>
              <w:right w:val="single" w:color="000000" w:sz="4" w:space="0"/>
            </w:tcBorders>
            <w:vAlign w:val="center"/>
          </w:tcPr>
          <w:p w14:paraId="2EA26D46">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松土除草12分</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2846EACD">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6</w:t>
            </w:r>
          </w:p>
        </w:tc>
        <w:tc>
          <w:tcPr>
            <w:tcW w:w="3144" w:type="dxa"/>
            <w:tcBorders>
              <w:top w:val="single" w:color="000000" w:sz="4" w:space="0"/>
              <w:left w:val="single" w:color="000000" w:sz="4" w:space="0"/>
              <w:bottom w:val="single" w:color="000000" w:sz="4" w:space="0"/>
              <w:right w:val="single" w:color="000000" w:sz="4" w:space="0"/>
            </w:tcBorders>
            <w:vAlign w:val="center"/>
          </w:tcPr>
          <w:p w14:paraId="43AA822E">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绿地及时松土除草，保持土壤疏松，松土深度不伤根系。</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7F50F207">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树穴、地被土壤板结，长期不疏松，扣1分/处。发现有杂草、杂树（高于地面10CM或影响景观）扣1分/处。</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5F61F625">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4C2CD02B">
            <w:pPr>
              <w:spacing w:line="360" w:lineRule="auto"/>
              <w:rPr>
                <w:rFonts w:ascii="宋体" w:hAnsi="宋体" w:cs="宋体"/>
                <w:color w:val="000000"/>
                <w:szCs w:val="21"/>
                <w:highlight w:val="none"/>
              </w:rPr>
            </w:pPr>
          </w:p>
        </w:tc>
      </w:tr>
      <w:tr w14:paraId="68C690C1">
        <w:tblPrEx>
          <w:tblCellMar>
            <w:top w:w="0" w:type="dxa"/>
            <w:left w:w="108" w:type="dxa"/>
            <w:bottom w:w="0" w:type="dxa"/>
            <w:right w:w="108" w:type="dxa"/>
          </w:tblCellMar>
        </w:tblPrEx>
        <w:trPr>
          <w:gridAfter w:val="2"/>
          <w:wAfter w:w="7010" w:type="dxa"/>
          <w:trHeight w:val="503"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632D2D99">
            <w:pPr>
              <w:spacing w:line="360" w:lineRule="auto"/>
              <w:jc w:val="center"/>
              <w:rPr>
                <w:rFonts w:ascii="宋体" w:hAnsi="宋体" w:cs="宋体"/>
                <w:color w:val="000000"/>
                <w:szCs w:val="21"/>
                <w:highlight w:val="none"/>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573B2EF5">
            <w:pPr>
              <w:spacing w:line="360" w:lineRule="auto"/>
              <w:jc w:val="center"/>
              <w:rPr>
                <w:rFonts w:ascii="宋体" w:hAnsi="宋体" w:cs="宋体"/>
                <w:color w:val="000000"/>
                <w:szCs w:val="21"/>
                <w:highlight w:val="none"/>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148547D2">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7</w:t>
            </w:r>
          </w:p>
        </w:tc>
        <w:tc>
          <w:tcPr>
            <w:tcW w:w="3144" w:type="dxa"/>
            <w:tcBorders>
              <w:top w:val="single" w:color="000000" w:sz="4" w:space="0"/>
              <w:left w:val="single" w:color="000000" w:sz="4" w:space="0"/>
              <w:bottom w:val="single" w:color="000000" w:sz="4" w:space="0"/>
              <w:right w:val="single" w:color="000000" w:sz="4" w:space="0"/>
            </w:tcBorders>
            <w:vAlign w:val="center"/>
          </w:tcPr>
          <w:p w14:paraId="5820FC75">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树穴整修，草坪内树穴与绿篱及时切边，草坪与树木、绿篱、草花应有分隔沟。</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0482050D">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树穴、绿篱等不及时切边，草坪与树木、绿篱、草花等无明显分隔沟扣1分/处。</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0B087075">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5DCEFCD6">
            <w:pPr>
              <w:spacing w:line="360" w:lineRule="auto"/>
              <w:rPr>
                <w:rFonts w:ascii="宋体" w:hAnsi="宋体" w:cs="宋体"/>
                <w:color w:val="000000"/>
                <w:szCs w:val="21"/>
                <w:highlight w:val="none"/>
              </w:rPr>
            </w:pPr>
          </w:p>
        </w:tc>
      </w:tr>
      <w:tr w14:paraId="5F7C4D33">
        <w:tblPrEx>
          <w:tblCellMar>
            <w:top w:w="0" w:type="dxa"/>
            <w:left w:w="108" w:type="dxa"/>
            <w:bottom w:w="0" w:type="dxa"/>
            <w:right w:w="108" w:type="dxa"/>
          </w:tblCellMar>
        </w:tblPrEx>
        <w:trPr>
          <w:gridAfter w:val="2"/>
          <w:wAfter w:w="7010" w:type="dxa"/>
          <w:trHeight w:val="458"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24AC3559">
            <w:pPr>
              <w:spacing w:line="360" w:lineRule="auto"/>
              <w:jc w:val="center"/>
              <w:rPr>
                <w:rFonts w:ascii="宋体" w:hAnsi="宋体" w:cs="宋体"/>
                <w:color w:val="000000"/>
                <w:szCs w:val="21"/>
                <w:highlight w:val="none"/>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7D876D1F">
            <w:pPr>
              <w:spacing w:line="360" w:lineRule="auto"/>
              <w:jc w:val="center"/>
              <w:rPr>
                <w:rFonts w:ascii="宋体" w:hAnsi="宋体" w:cs="宋体"/>
                <w:color w:val="000000"/>
                <w:szCs w:val="21"/>
                <w:highlight w:val="none"/>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4F723DA4">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8</w:t>
            </w:r>
          </w:p>
        </w:tc>
        <w:tc>
          <w:tcPr>
            <w:tcW w:w="3144" w:type="dxa"/>
            <w:tcBorders>
              <w:top w:val="single" w:color="000000" w:sz="4" w:space="0"/>
              <w:left w:val="single" w:color="000000" w:sz="4" w:space="0"/>
              <w:bottom w:val="single" w:color="000000" w:sz="4" w:space="0"/>
              <w:right w:val="single" w:color="000000" w:sz="4" w:space="0"/>
            </w:tcBorders>
            <w:vAlign w:val="center"/>
          </w:tcPr>
          <w:p w14:paraId="6CB38E53">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经同意使用除草剂须保证园林植物的安全，确保不发生药害。</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3F67E683">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发现一处药害不得分。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1002F9B2">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5D31EDCA">
            <w:pPr>
              <w:spacing w:line="360" w:lineRule="auto"/>
              <w:rPr>
                <w:rFonts w:ascii="宋体" w:hAnsi="宋体" w:cs="宋体"/>
                <w:color w:val="000000"/>
                <w:szCs w:val="21"/>
                <w:highlight w:val="none"/>
              </w:rPr>
            </w:pPr>
          </w:p>
        </w:tc>
      </w:tr>
      <w:tr w14:paraId="63068FAA">
        <w:tblPrEx>
          <w:tblCellMar>
            <w:top w:w="0" w:type="dxa"/>
            <w:left w:w="108" w:type="dxa"/>
            <w:bottom w:w="0" w:type="dxa"/>
            <w:right w:w="108" w:type="dxa"/>
          </w:tblCellMar>
        </w:tblPrEx>
        <w:trPr>
          <w:gridAfter w:val="2"/>
          <w:wAfter w:w="7010" w:type="dxa"/>
          <w:trHeight w:val="529" w:hRule="atLeast"/>
        </w:trPr>
        <w:tc>
          <w:tcPr>
            <w:tcW w:w="441" w:type="dxa"/>
            <w:vMerge w:val="restart"/>
            <w:tcBorders>
              <w:top w:val="single" w:color="000000" w:sz="4" w:space="0"/>
              <w:left w:val="single" w:color="000000" w:sz="4" w:space="0"/>
              <w:bottom w:val="single" w:color="000000" w:sz="4" w:space="0"/>
              <w:right w:val="single" w:color="000000" w:sz="4" w:space="0"/>
            </w:tcBorders>
            <w:noWrap/>
            <w:vAlign w:val="center"/>
          </w:tcPr>
          <w:p w14:paraId="3EAA902B">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4</w:t>
            </w:r>
          </w:p>
        </w:tc>
        <w:tc>
          <w:tcPr>
            <w:tcW w:w="708" w:type="dxa"/>
            <w:vMerge w:val="restart"/>
            <w:tcBorders>
              <w:top w:val="single" w:color="000000" w:sz="4" w:space="0"/>
              <w:left w:val="single" w:color="000000" w:sz="4" w:space="0"/>
              <w:bottom w:val="single" w:color="000000" w:sz="4" w:space="0"/>
              <w:right w:val="single" w:color="000000" w:sz="4" w:space="0"/>
            </w:tcBorders>
            <w:vAlign w:val="center"/>
          </w:tcPr>
          <w:p w14:paraId="30699804">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浇灌排水 6分</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5DF9957D">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9</w:t>
            </w:r>
          </w:p>
        </w:tc>
        <w:tc>
          <w:tcPr>
            <w:tcW w:w="3144" w:type="dxa"/>
            <w:tcBorders>
              <w:top w:val="single" w:color="000000" w:sz="4" w:space="0"/>
              <w:left w:val="single" w:color="000000" w:sz="4" w:space="0"/>
              <w:bottom w:val="single" w:color="000000" w:sz="4" w:space="0"/>
              <w:right w:val="single" w:color="000000" w:sz="4" w:space="0"/>
            </w:tcBorders>
            <w:vAlign w:val="center"/>
          </w:tcPr>
          <w:p w14:paraId="4AE8B38D">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根据实际，对绿化树木及草坪进行适期适量浇水、喷水，及时抗旱，确保正常生长。</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5C3D0B94">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未及时浇灌，致使绿地植物生长不良，树木扣0.2分/株，草坪扣0.5分/M</w:t>
            </w:r>
            <w:r>
              <w:rPr>
                <w:rFonts w:hint="eastAsia" w:ascii="宋体" w:hAnsi="宋体" w:cs="宋体"/>
                <w:color w:val="000000"/>
                <w:kern w:val="0"/>
                <w:szCs w:val="21"/>
                <w:highlight w:val="none"/>
                <w:vertAlign w:val="superscript"/>
                <w:lang w:bidi="ar"/>
              </w:rPr>
              <w:t>2</w:t>
            </w:r>
            <w:r>
              <w:rPr>
                <w:rFonts w:hint="eastAsia" w:ascii="宋体" w:hAnsi="宋体" w:cs="宋体"/>
                <w:color w:val="000000"/>
                <w:kern w:val="0"/>
                <w:szCs w:val="21"/>
                <w:highlight w:val="none"/>
                <w:lang w:bidi="ar"/>
              </w:rPr>
              <w:t>,致植物枯死加倍扣分。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2CF20110">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5B1F838D">
            <w:pPr>
              <w:spacing w:line="360" w:lineRule="auto"/>
              <w:rPr>
                <w:rFonts w:ascii="宋体" w:hAnsi="宋体" w:cs="宋体"/>
                <w:color w:val="000000"/>
                <w:szCs w:val="21"/>
                <w:highlight w:val="none"/>
              </w:rPr>
            </w:pPr>
          </w:p>
        </w:tc>
      </w:tr>
      <w:tr w14:paraId="6C5D66F4">
        <w:tblPrEx>
          <w:tblCellMar>
            <w:top w:w="0" w:type="dxa"/>
            <w:left w:w="108" w:type="dxa"/>
            <w:bottom w:w="0" w:type="dxa"/>
            <w:right w:w="108" w:type="dxa"/>
          </w:tblCellMar>
        </w:tblPrEx>
        <w:trPr>
          <w:gridAfter w:val="2"/>
          <w:wAfter w:w="7010" w:type="dxa"/>
          <w:trHeight w:val="458"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0DC245A0">
            <w:pPr>
              <w:spacing w:line="360" w:lineRule="auto"/>
              <w:jc w:val="center"/>
              <w:rPr>
                <w:rFonts w:ascii="宋体" w:hAnsi="宋体" w:cs="宋体"/>
                <w:color w:val="000000"/>
                <w:szCs w:val="21"/>
                <w:highlight w:val="none"/>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70F5CEEF">
            <w:pPr>
              <w:spacing w:line="360" w:lineRule="auto"/>
              <w:jc w:val="center"/>
              <w:rPr>
                <w:rFonts w:ascii="宋体" w:hAnsi="宋体" w:cs="宋体"/>
                <w:color w:val="000000"/>
                <w:szCs w:val="21"/>
                <w:highlight w:val="none"/>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21108F6D">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10</w:t>
            </w:r>
          </w:p>
        </w:tc>
        <w:tc>
          <w:tcPr>
            <w:tcW w:w="3144" w:type="dxa"/>
            <w:tcBorders>
              <w:top w:val="single" w:color="000000" w:sz="4" w:space="0"/>
              <w:left w:val="single" w:color="000000" w:sz="4" w:space="0"/>
              <w:bottom w:val="single" w:color="000000" w:sz="4" w:space="0"/>
              <w:right w:val="single" w:color="000000" w:sz="4" w:space="0"/>
            </w:tcBorders>
            <w:vAlign w:val="center"/>
          </w:tcPr>
          <w:p w14:paraId="135B11F5">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绿地内不积水，坑坑洼洼必须及时填平，确保雨后积水及时排除。</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27CC90D0">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雨后绿地、草坪有积水，扣1分/处。</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6DDC46DD">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36977B2E">
            <w:pPr>
              <w:spacing w:line="360" w:lineRule="auto"/>
              <w:rPr>
                <w:rFonts w:ascii="宋体" w:hAnsi="宋体" w:cs="宋体"/>
                <w:color w:val="000000"/>
                <w:szCs w:val="21"/>
                <w:highlight w:val="none"/>
              </w:rPr>
            </w:pPr>
          </w:p>
        </w:tc>
      </w:tr>
      <w:tr w14:paraId="3251A3E4">
        <w:tblPrEx>
          <w:tblCellMar>
            <w:top w:w="0" w:type="dxa"/>
            <w:left w:w="108" w:type="dxa"/>
            <w:bottom w:w="0" w:type="dxa"/>
            <w:right w:w="108" w:type="dxa"/>
          </w:tblCellMar>
        </w:tblPrEx>
        <w:trPr>
          <w:gridAfter w:val="2"/>
          <w:wAfter w:w="7010" w:type="dxa"/>
          <w:trHeight w:val="683" w:hRule="atLeast"/>
        </w:trPr>
        <w:tc>
          <w:tcPr>
            <w:tcW w:w="441" w:type="dxa"/>
            <w:vMerge w:val="restart"/>
            <w:tcBorders>
              <w:top w:val="single" w:color="000000" w:sz="4" w:space="0"/>
              <w:left w:val="single" w:color="000000" w:sz="4" w:space="0"/>
              <w:bottom w:val="single" w:color="000000" w:sz="4" w:space="0"/>
              <w:right w:val="single" w:color="000000" w:sz="4" w:space="0"/>
            </w:tcBorders>
            <w:noWrap/>
            <w:vAlign w:val="center"/>
          </w:tcPr>
          <w:p w14:paraId="56439746">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5</w:t>
            </w:r>
          </w:p>
        </w:tc>
        <w:tc>
          <w:tcPr>
            <w:tcW w:w="708" w:type="dxa"/>
            <w:vMerge w:val="restart"/>
            <w:tcBorders>
              <w:top w:val="single" w:color="000000" w:sz="4" w:space="0"/>
              <w:left w:val="single" w:color="000000" w:sz="4" w:space="0"/>
              <w:bottom w:val="single" w:color="000000" w:sz="4" w:space="0"/>
              <w:right w:val="single" w:color="000000" w:sz="4" w:space="0"/>
            </w:tcBorders>
            <w:vAlign w:val="center"/>
          </w:tcPr>
          <w:p w14:paraId="7A0F4333">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施肥  4分</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3691F583">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11</w:t>
            </w:r>
          </w:p>
        </w:tc>
        <w:tc>
          <w:tcPr>
            <w:tcW w:w="3144" w:type="dxa"/>
            <w:tcBorders>
              <w:top w:val="single" w:color="000000" w:sz="4" w:space="0"/>
              <w:left w:val="single" w:color="000000" w:sz="4" w:space="0"/>
              <w:bottom w:val="single" w:color="000000" w:sz="4" w:space="0"/>
              <w:right w:val="single" w:color="000000" w:sz="4" w:space="0"/>
            </w:tcBorders>
            <w:vAlign w:val="center"/>
          </w:tcPr>
          <w:p w14:paraId="18847158">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绿地、草坪、植物按要求施肥及时，每年休眠期施基肥，生长期施2-3次追肥，规范操作，施肥后及时覆盖。</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2BFCECC6">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不按规定及时施肥，扣1分/处；偷工减料，肥料挪作他用，发现一次扣2分，不及时覆盖，发现一处扣1分。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21143D6D">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20853BBE">
            <w:pPr>
              <w:spacing w:line="360" w:lineRule="auto"/>
              <w:rPr>
                <w:rFonts w:ascii="宋体" w:hAnsi="宋体" w:cs="宋体"/>
                <w:color w:val="000000"/>
                <w:szCs w:val="21"/>
                <w:highlight w:val="none"/>
              </w:rPr>
            </w:pPr>
          </w:p>
        </w:tc>
      </w:tr>
      <w:tr w14:paraId="1CD6D0D1">
        <w:tblPrEx>
          <w:tblCellMar>
            <w:top w:w="0" w:type="dxa"/>
            <w:left w:w="108" w:type="dxa"/>
            <w:bottom w:w="0" w:type="dxa"/>
            <w:right w:w="108" w:type="dxa"/>
          </w:tblCellMar>
        </w:tblPrEx>
        <w:trPr>
          <w:gridAfter w:val="2"/>
          <w:wAfter w:w="7010" w:type="dxa"/>
          <w:trHeight w:val="360"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010940B1">
            <w:pPr>
              <w:spacing w:line="360" w:lineRule="auto"/>
              <w:jc w:val="center"/>
              <w:rPr>
                <w:rFonts w:ascii="宋体" w:hAnsi="宋体" w:cs="宋体"/>
                <w:color w:val="000000"/>
                <w:szCs w:val="21"/>
                <w:highlight w:val="none"/>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5B037820">
            <w:pPr>
              <w:spacing w:line="360" w:lineRule="auto"/>
              <w:jc w:val="center"/>
              <w:rPr>
                <w:rFonts w:ascii="宋体" w:hAnsi="宋体" w:cs="宋体"/>
                <w:color w:val="000000"/>
                <w:szCs w:val="21"/>
                <w:highlight w:val="none"/>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2F245BD0">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12</w:t>
            </w:r>
          </w:p>
        </w:tc>
        <w:tc>
          <w:tcPr>
            <w:tcW w:w="3144" w:type="dxa"/>
            <w:tcBorders>
              <w:top w:val="single" w:color="000000" w:sz="4" w:space="0"/>
              <w:left w:val="single" w:color="000000" w:sz="4" w:space="0"/>
              <w:bottom w:val="single" w:color="000000" w:sz="4" w:space="0"/>
              <w:right w:val="single" w:color="000000" w:sz="4" w:space="0"/>
            </w:tcBorders>
            <w:vAlign w:val="center"/>
          </w:tcPr>
          <w:p w14:paraId="20E306FE">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施肥方法适当，用量合理，不产生肥害。</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408FFC3D">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如发生肥害，扣1分/处，致植物死亡，加倍扣分。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6ECC9250">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39160551">
            <w:pPr>
              <w:spacing w:line="360" w:lineRule="auto"/>
              <w:rPr>
                <w:rFonts w:ascii="宋体" w:hAnsi="宋体" w:cs="宋体"/>
                <w:color w:val="000000"/>
                <w:szCs w:val="21"/>
                <w:highlight w:val="none"/>
              </w:rPr>
            </w:pPr>
          </w:p>
        </w:tc>
      </w:tr>
      <w:tr w14:paraId="4C2D7C97">
        <w:tblPrEx>
          <w:tblCellMar>
            <w:top w:w="0" w:type="dxa"/>
            <w:left w:w="108" w:type="dxa"/>
            <w:bottom w:w="0" w:type="dxa"/>
            <w:right w:w="108" w:type="dxa"/>
          </w:tblCellMar>
        </w:tblPrEx>
        <w:trPr>
          <w:gridAfter w:val="2"/>
          <w:wAfter w:w="7010" w:type="dxa"/>
          <w:trHeight w:val="711" w:hRule="atLeast"/>
        </w:trPr>
        <w:tc>
          <w:tcPr>
            <w:tcW w:w="441" w:type="dxa"/>
            <w:vMerge w:val="restart"/>
            <w:tcBorders>
              <w:top w:val="single" w:color="000000" w:sz="4" w:space="0"/>
              <w:left w:val="single" w:color="000000" w:sz="4" w:space="0"/>
              <w:bottom w:val="single" w:color="000000" w:sz="4" w:space="0"/>
              <w:right w:val="single" w:color="000000" w:sz="4" w:space="0"/>
            </w:tcBorders>
            <w:noWrap/>
            <w:vAlign w:val="center"/>
          </w:tcPr>
          <w:p w14:paraId="781593FA">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6</w:t>
            </w:r>
          </w:p>
        </w:tc>
        <w:tc>
          <w:tcPr>
            <w:tcW w:w="708" w:type="dxa"/>
            <w:vMerge w:val="restart"/>
            <w:tcBorders>
              <w:top w:val="single" w:color="000000" w:sz="4" w:space="0"/>
              <w:left w:val="single" w:color="000000" w:sz="4" w:space="0"/>
              <w:bottom w:val="single" w:color="000000" w:sz="4" w:space="0"/>
              <w:right w:val="single" w:color="000000" w:sz="4" w:space="0"/>
            </w:tcBorders>
            <w:vAlign w:val="center"/>
          </w:tcPr>
          <w:p w14:paraId="6EDAC48B">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绿化长势22分</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59B309E5">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13</w:t>
            </w:r>
          </w:p>
        </w:tc>
        <w:tc>
          <w:tcPr>
            <w:tcW w:w="3144" w:type="dxa"/>
            <w:tcBorders>
              <w:top w:val="single" w:color="000000" w:sz="4" w:space="0"/>
              <w:left w:val="single" w:color="000000" w:sz="4" w:space="0"/>
              <w:bottom w:val="single" w:color="000000" w:sz="4" w:space="0"/>
              <w:right w:val="single" w:color="000000" w:sz="4" w:space="0"/>
            </w:tcBorders>
            <w:vAlign w:val="center"/>
          </w:tcPr>
          <w:p w14:paraId="448F8AB4">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绿地内树木无死株、断枝、枯枝、病枝，树木无大片光秃落叶；竹类无砍伐后的竹蔸及干枯株。</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51C9068A">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发现死树死株，扣1分/株；有根部残留桩、断枝、枯叶、大片光秃落叶，发现一处扣1分，色块内有1处灌木死亡扣1分。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280CAC3C">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093833F2">
            <w:pPr>
              <w:spacing w:line="360" w:lineRule="auto"/>
              <w:rPr>
                <w:rFonts w:ascii="宋体" w:hAnsi="宋体" w:cs="宋体"/>
                <w:color w:val="000000"/>
                <w:szCs w:val="21"/>
                <w:highlight w:val="none"/>
              </w:rPr>
            </w:pPr>
          </w:p>
        </w:tc>
      </w:tr>
      <w:tr w14:paraId="00A66660">
        <w:tblPrEx>
          <w:tblCellMar>
            <w:top w:w="0" w:type="dxa"/>
            <w:left w:w="108" w:type="dxa"/>
            <w:bottom w:w="0" w:type="dxa"/>
            <w:right w:w="108" w:type="dxa"/>
          </w:tblCellMar>
        </w:tblPrEx>
        <w:trPr>
          <w:gridAfter w:val="2"/>
          <w:wAfter w:w="7010" w:type="dxa"/>
          <w:trHeight w:val="828"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0811971C">
            <w:pPr>
              <w:spacing w:line="360" w:lineRule="auto"/>
              <w:jc w:val="center"/>
              <w:rPr>
                <w:rFonts w:ascii="宋体" w:hAnsi="宋体" w:cs="宋体"/>
                <w:color w:val="000000"/>
                <w:szCs w:val="21"/>
                <w:highlight w:val="none"/>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25DEB004">
            <w:pPr>
              <w:spacing w:line="360" w:lineRule="auto"/>
              <w:jc w:val="center"/>
              <w:rPr>
                <w:rFonts w:ascii="宋体" w:hAnsi="宋体" w:cs="宋体"/>
                <w:color w:val="000000"/>
                <w:szCs w:val="21"/>
                <w:highlight w:val="none"/>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6B134EAF">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14</w:t>
            </w:r>
          </w:p>
        </w:tc>
        <w:tc>
          <w:tcPr>
            <w:tcW w:w="3144" w:type="dxa"/>
            <w:tcBorders>
              <w:top w:val="single" w:color="000000" w:sz="4" w:space="0"/>
              <w:left w:val="single" w:color="000000" w:sz="4" w:space="0"/>
              <w:bottom w:val="single" w:color="000000" w:sz="4" w:space="0"/>
              <w:right w:val="single" w:color="000000" w:sz="4" w:space="0"/>
            </w:tcBorders>
            <w:vAlign w:val="center"/>
          </w:tcPr>
          <w:p w14:paraId="5EBE897B">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绿地内乔灌木有缺株，绿篱及满种模纹、地被花卉等有空缺应及时补缺，少数树种因季节不能及时补种除外。</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4EAD21E7">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乔灌木未按规定及时补缺，扣1分/株；绿篱未按规定及时补缺，扣1分/米；模纹及地被花卉未按规定及时补缺，扣1分/M</w:t>
            </w:r>
            <w:r>
              <w:rPr>
                <w:rFonts w:hint="eastAsia" w:ascii="宋体" w:hAnsi="宋体" w:cs="宋体"/>
                <w:color w:val="000000"/>
                <w:kern w:val="0"/>
                <w:szCs w:val="21"/>
                <w:highlight w:val="none"/>
                <w:vertAlign w:val="superscript"/>
                <w:lang w:bidi="ar"/>
              </w:rPr>
              <w:t>2</w:t>
            </w:r>
            <w:r>
              <w:rPr>
                <w:rFonts w:hint="eastAsia" w:ascii="宋体" w:hAnsi="宋体" w:cs="宋体"/>
                <w:color w:val="000000"/>
                <w:kern w:val="0"/>
                <w:szCs w:val="21"/>
                <w:highlight w:val="none"/>
                <w:lang w:bidi="ar"/>
              </w:rPr>
              <w:t>。</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62FA7C2C">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3E7A9B58">
            <w:pPr>
              <w:spacing w:line="360" w:lineRule="auto"/>
              <w:rPr>
                <w:rFonts w:ascii="宋体" w:hAnsi="宋体" w:cs="宋体"/>
                <w:color w:val="000000"/>
                <w:szCs w:val="21"/>
                <w:highlight w:val="none"/>
              </w:rPr>
            </w:pPr>
          </w:p>
        </w:tc>
      </w:tr>
      <w:tr w14:paraId="423D7278">
        <w:tblPrEx>
          <w:tblCellMar>
            <w:top w:w="0" w:type="dxa"/>
            <w:left w:w="108" w:type="dxa"/>
            <w:bottom w:w="0" w:type="dxa"/>
            <w:right w:w="108" w:type="dxa"/>
          </w:tblCellMar>
        </w:tblPrEx>
        <w:trPr>
          <w:gridAfter w:val="2"/>
          <w:wAfter w:w="7010" w:type="dxa"/>
          <w:trHeight w:val="908"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0AB21777">
            <w:pPr>
              <w:spacing w:line="360" w:lineRule="auto"/>
              <w:jc w:val="center"/>
              <w:rPr>
                <w:rFonts w:ascii="宋体" w:hAnsi="宋体" w:cs="宋体"/>
                <w:color w:val="000000"/>
                <w:szCs w:val="21"/>
                <w:highlight w:val="none"/>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6D3AF89C">
            <w:pPr>
              <w:spacing w:line="360" w:lineRule="auto"/>
              <w:jc w:val="center"/>
              <w:rPr>
                <w:rFonts w:ascii="宋体" w:hAnsi="宋体" w:cs="宋体"/>
                <w:color w:val="000000"/>
                <w:szCs w:val="21"/>
                <w:highlight w:val="none"/>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0A606FD9">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15</w:t>
            </w:r>
          </w:p>
        </w:tc>
        <w:tc>
          <w:tcPr>
            <w:tcW w:w="3144" w:type="dxa"/>
            <w:tcBorders>
              <w:top w:val="single" w:color="000000" w:sz="4" w:space="0"/>
              <w:left w:val="single" w:color="000000" w:sz="4" w:space="0"/>
              <w:bottom w:val="single" w:color="000000" w:sz="4" w:space="0"/>
              <w:right w:val="single" w:color="000000" w:sz="4" w:space="0"/>
            </w:tcBorders>
            <w:vAlign w:val="center"/>
          </w:tcPr>
          <w:p w14:paraId="30AF9A98">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绿地内树木生长健壮，无倾斜、倒歪现象。高大乔木在大风来临时应采取防倒有效措施，因台风等灾害天气造成树木倒伏时，应及时扶正支撑倒伏树木。</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5BCA8CFD">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正常情况下，绿地内乔木、大灌木有倾斜或倒伏现象，扣1分/株；因灾害天气造成树木倒伏，应在规定时间内扶正支撑，逾期扣1分/株；无有效措施导致高大乔木倒伏，扣1分/株。</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048FA29A">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155D9583">
            <w:pPr>
              <w:spacing w:line="360" w:lineRule="auto"/>
              <w:rPr>
                <w:rFonts w:ascii="宋体" w:hAnsi="宋体" w:cs="宋体"/>
                <w:color w:val="000000"/>
                <w:szCs w:val="21"/>
                <w:highlight w:val="none"/>
              </w:rPr>
            </w:pPr>
          </w:p>
        </w:tc>
      </w:tr>
      <w:tr w14:paraId="7BCE46D1">
        <w:tblPrEx>
          <w:tblCellMar>
            <w:top w:w="0" w:type="dxa"/>
            <w:left w:w="108" w:type="dxa"/>
            <w:bottom w:w="0" w:type="dxa"/>
            <w:right w:w="108" w:type="dxa"/>
          </w:tblCellMar>
        </w:tblPrEx>
        <w:trPr>
          <w:gridAfter w:val="2"/>
          <w:wAfter w:w="7010" w:type="dxa"/>
          <w:trHeight w:val="945"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4A5D420E">
            <w:pPr>
              <w:spacing w:line="360" w:lineRule="auto"/>
              <w:jc w:val="center"/>
              <w:rPr>
                <w:rFonts w:ascii="宋体" w:hAnsi="宋体" w:cs="宋体"/>
                <w:color w:val="000000"/>
                <w:szCs w:val="21"/>
                <w:highlight w:val="none"/>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76BBF277">
            <w:pPr>
              <w:spacing w:line="360" w:lineRule="auto"/>
              <w:jc w:val="center"/>
              <w:rPr>
                <w:rFonts w:ascii="宋体" w:hAnsi="宋体" w:cs="宋体"/>
                <w:color w:val="000000"/>
                <w:szCs w:val="21"/>
                <w:highlight w:val="none"/>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2351C834">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16</w:t>
            </w:r>
          </w:p>
        </w:tc>
        <w:tc>
          <w:tcPr>
            <w:tcW w:w="3144" w:type="dxa"/>
            <w:tcBorders>
              <w:top w:val="single" w:color="000000" w:sz="4" w:space="0"/>
              <w:left w:val="single" w:color="000000" w:sz="4" w:space="0"/>
              <w:bottom w:val="single" w:color="000000" w:sz="4" w:space="0"/>
              <w:right w:val="single" w:color="000000" w:sz="4" w:space="0"/>
            </w:tcBorders>
            <w:vAlign w:val="center"/>
          </w:tcPr>
          <w:p w14:paraId="137A27DE">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草坪应长势旺盛，草坪无空缺，色泽一致，无黄化、积水现象，基本无杂草；按要求及时进行追播、修补、打孔或疏草。</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5058333C">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草坪有黄化现象，扣1分/处；有积水现象扣1分/处；有明显杂草未拔除现象，扣0.5分/M</w:t>
            </w:r>
            <w:r>
              <w:rPr>
                <w:rFonts w:hint="eastAsia" w:ascii="宋体" w:hAnsi="宋体" w:cs="宋体"/>
                <w:color w:val="000000"/>
                <w:kern w:val="0"/>
                <w:szCs w:val="21"/>
                <w:highlight w:val="none"/>
                <w:vertAlign w:val="superscript"/>
                <w:lang w:bidi="ar"/>
              </w:rPr>
              <w:t>2</w:t>
            </w:r>
            <w:r>
              <w:rPr>
                <w:rFonts w:hint="eastAsia" w:ascii="宋体" w:hAnsi="宋体" w:cs="宋体"/>
                <w:color w:val="000000"/>
                <w:kern w:val="0"/>
                <w:szCs w:val="21"/>
                <w:highlight w:val="none"/>
                <w:lang w:bidi="ar"/>
              </w:rPr>
              <w:t>；草坪有空缺，未按规定时间完成补种的，扣1分/M2；未及时追播、修补、打孔或疏草扣1分/处。</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62B2587D">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6EF9AF7D">
            <w:pPr>
              <w:spacing w:line="360" w:lineRule="auto"/>
              <w:rPr>
                <w:rFonts w:ascii="宋体" w:hAnsi="宋体" w:cs="宋体"/>
                <w:color w:val="000000"/>
                <w:szCs w:val="21"/>
                <w:highlight w:val="none"/>
              </w:rPr>
            </w:pPr>
          </w:p>
        </w:tc>
      </w:tr>
      <w:tr w14:paraId="151ABF45">
        <w:tblPrEx>
          <w:tblCellMar>
            <w:top w:w="0" w:type="dxa"/>
            <w:left w:w="108" w:type="dxa"/>
            <w:bottom w:w="0" w:type="dxa"/>
            <w:right w:w="108" w:type="dxa"/>
          </w:tblCellMar>
        </w:tblPrEx>
        <w:trPr>
          <w:gridAfter w:val="2"/>
          <w:wAfter w:w="7010" w:type="dxa"/>
          <w:trHeight w:val="698" w:hRule="atLeast"/>
        </w:trPr>
        <w:tc>
          <w:tcPr>
            <w:tcW w:w="441" w:type="dxa"/>
            <w:vMerge w:val="restart"/>
            <w:tcBorders>
              <w:top w:val="single" w:color="000000" w:sz="4" w:space="0"/>
              <w:left w:val="single" w:color="000000" w:sz="4" w:space="0"/>
              <w:bottom w:val="single" w:color="000000" w:sz="4" w:space="0"/>
              <w:right w:val="single" w:color="000000" w:sz="4" w:space="0"/>
            </w:tcBorders>
            <w:noWrap/>
            <w:vAlign w:val="center"/>
          </w:tcPr>
          <w:p w14:paraId="337FBC3C">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7</w:t>
            </w:r>
          </w:p>
        </w:tc>
        <w:tc>
          <w:tcPr>
            <w:tcW w:w="708" w:type="dxa"/>
            <w:vMerge w:val="restart"/>
            <w:tcBorders>
              <w:top w:val="single" w:color="000000" w:sz="4" w:space="0"/>
              <w:left w:val="single" w:color="000000" w:sz="4" w:space="0"/>
              <w:bottom w:val="single" w:color="000000" w:sz="4" w:space="0"/>
              <w:right w:val="single" w:color="000000" w:sz="4" w:space="0"/>
            </w:tcBorders>
            <w:vAlign w:val="center"/>
          </w:tcPr>
          <w:p w14:paraId="46650A76">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病虫防治10分</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2D4F2157">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17</w:t>
            </w:r>
          </w:p>
        </w:tc>
        <w:tc>
          <w:tcPr>
            <w:tcW w:w="3144" w:type="dxa"/>
            <w:tcBorders>
              <w:top w:val="single" w:color="000000" w:sz="4" w:space="0"/>
              <w:left w:val="single" w:color="000000" w:sz="4" w:space="0"/>
              <w:bottom w:val="single" w:color="000000" w:sz="4" w:space="0"/>
              <w:right w:val="single" w:color="000000" w:sz="4" w:space="0"/>
            </w:tcBorders>
            <w:vAlign w:val="center"/>
          </w:tcPr>
          <w:p w14:paraId="4FBEE397">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发现病虫害应主动汇报，按要求配比和使用药剂，积极防治，效果明显，无药害产生。</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692E01A7">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发现病虫害不汇报，扣2分/次；不及时防治，有明显危害症状扣3分/次；大面积危害加倍扣分；使用不当发生药害，致使植物落叶死亡，扣2分/处。</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25024FCB">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64BBD657">
            <w:pPr>
              <w:spacing w:line="360" w:lineRule="auto"/>
              <w:rPr>
                <w:rFonts w:ascii="宋体" w:hAnsi="宋体" w:cs="宋体"/>
                <w:color w:val="000000"/>
                <w:szCs w:val="21"/>
                <w:highlight w:val="none"/>
              </w:rPr>
            </w:pPr>
          </w:p>
        </w:tc>
      </w:tr>
      <w:tr w14:paraId="7B11C0A7">
        <w:tblPrEx>
          <w:tblCellMar>
            <w:top w:w="0" w:type="dxa"/>
            <w:left w:w="108" w:type="dxa"/>
            <w:bottom w:w="0" w:type="dxa"/>
            <w:right w:w="108" w:type="dxa"/>
          </w:tblCellMar>
        </w:tblPrEx>
        <w:trPr>
          <w:gridAfter w:val="2"/>
          <w:wAfter w:w="7010" w:type="dxa"/>
          <w:trHeight w:val="458"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3E28709D">
            <w:pPr>
              <w:spacing w:line="360" w:lineRule="auto"/>
              <w:jc w:val="center"/>
              <w:rPr>
                <w:rFonts w:ascii="宋体" w:hAnsi="宋体" w:cs="宋体"/>
                <w:color w:val="000000"/>
                <w:szCs w:val="21"/>
                <w:highlight w:val="none"/>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307519DE">
            <w:pPr>
              <w:spacing w:line="360" w:lineRule="auto"/>
              <w:jc w:val="center"/>
              <w:rPr>
                <w:rFonts w:ascii="宋体" w:hAnsi="宋体" w:cs="宋体"/>
                <w:color w:val="000000"/>
                <w:szCs w:val="21"/>
                <w:highlight w:val="none"/>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176E2388">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18</w:t>
            </w:r>
          </w:p>
        </w:tc>
        <w:tc>
          <w:tcPr>
            <w:tcW w:w="3144" w:type="dxa"/>
            <w:tcBorders>
              <w:top w:val="single" w:color="000000" w:sz="4" w:space="0"/>
              <w:left w:val="single" w:color="000000" w:sz="4" w:space="0"/>
              <w:bottom w:val="single" w:color="000000" w:sz="4" w:space="0"/>
              <w:right w:val="single" w:color="000000" w:sz="4" w:space="0"/>
            </w:tcBorders>
            <w:vAlign w:val="center"/>
          </w:tcPr>
          <w:p w14:paraId="7755CFA0">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结合冬季树木涂白、修剪，及时清理消灭越冬虫蛹、虫茧及有关病原体。</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320B284F">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不实施，涂白扣3分，其它每项每处扣1分。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711629DA">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7A507126">
            <w:pPr>
              <w:spacing w:line="360" w:lineRule="auto"/>
              <w:rPr>
                <w:rFonts w:ascii="宋体" w:hAnsi="宋体" w:cs="宋体"/>
                <w:color w:val="000000"/>
                <w:szCs w:val="21"/>
                <w:highlight w:val="none"/>
              </w:rPr>
            </w:pPr>
          </w:p>
        </w:tc>
      </w:tr>
      <w:tr w14:paraId="19960439">
        <w:tblPrEx>
          <w:tblCellMar>
            <w:top w:w="0" w:type="dxa"/>
            <w:left w:w="108" w:type="dxa"/>
            <w:bottom w:w="0" w:type="dxa"/>
            <w:right w:w="108" w:type="dxa"/>
          </w:tblCellMar>
        </w:tblPrEx>
        <w:trPr>
          <w:gridAfter w:val="2"/>
          <w:wAfter w:w="7010" w:type="dxa"/>
          <w:trHeight w:val="1582" w:hRule="atLeast"/>
        </w:trPr>
        <w:tc>
          <w:tcPr>
            <w:tcW w:w="441" w:type="dxa"/>
            <w:vMerge w:val="restart"/>
            <w:tcBorders>
              <w:top w:val="single" w:color="000000" w:sz="4" w:space="0"/>
              <w:left w:val="single" w:color="000000" w:sz="4" w:space="0"/>
              <w:bottom w:val="single" w:color="000000" w:sz="4" w:space="0"/>
              <w:right w:val="single" w:color="000000" w:sz="4" w:space="0"/>
            </w:tcBorders>
            <w:noWrap/>
            <w:vAlign w:val="center"/>
          </w:tcPr>
          <w:p w14:paraId="7318BEA0">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8</w:t>
            </w:r>
          </w:p>
        </w:tc>
        <w:tc>
          <w:tcPr>
            <w:tcW w:w="708" w:type="dxa"/>
            <w:vMerge w:val="restart"/>
            <w:tcBorders>
              <w:top w:val="single" w:color="000000" w:sz="4" w:space="0"/>
              <w:left w:val="single" w:color="000000" w:sz="4" w:space="0"/>
              <w:bottom w:val="single" w:color="000000" w:sz="4" w:space="0"/>
              <w:right w:val="single" w:color="000000" w:sz="4" w:space="0"/>
            </w:tcBorders>
            <w:vAlign w:val="center"/>
          </w:tcPr>
          <w:p w14:paraId="1755F8FD">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整枝修剪18分</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583DB4EF">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19</w:t>
            </w:r>
          </w:p>
        </w:tc>
        <w:tc>
          <w:tcPr>
            <w:tcW w:w="3144" w:type="dxa"/>
            <w:tcBorders>
              <w:top w:val="single" w:color="000000" w:sz="4" w:space="0"/>
              <w:left w:val="single" w:color="000000" w:sz="4" w:space="0"/>
              <w:bottom w:val="single" w:color="000000" w:sz="4" w:space="0"/>
              <w:right w:val="single" w:color="000000" w:sz="4" w:space="0"/>
            </w:tcBorders>
            <w:vAlign w:val="center"/>
          </w:tcPr>
          <w:p w14:paraId="52532969">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树木修剪规范整齐。高大乔木树冠完美，定枝、整枝合理均匀，内膛不乱，无枯枝死杈；攀缘植物、花灌木修剪及时、准确，按时开花结果；竹类及时清除老鞭；色块、绿篱适期修剪，曲线润畅，轮廓明显，不脱脚，不缺损，三面整齐平整；球类修剪圆整，造型优雅。</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5B689342">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不及时修剪、清除竹类老鞭，扣2分；不按规范乱修剪，扣3分；有脱脚、缺损，扣0.5分/处；绿篱修剪面不平、不直，宽度不匀，扣1分/100M；有明显凹凸，扣0.5分/处；色块轮廓不明显，面不平，扣1分/处；球类修剪不圆，同条路或同块趋向不一，扣1分/处。</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55E63D51">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7CCB2D4E">
            <w:pPr>
              <w:spacing w:line="360" w:lineRule="auto"/>
              <w:rPr>
                <w:rFonts w:ascii="宋体" w:hAnsi="宋体" w:cs="宋体"/>
                <w:color w:val="000000"/>
                <w:szCs w:val="21"/>
                <w:highlight w:val="none"/>
              </w:rPr>
            </w:pPr>
          </w:p>
        </w:tc>
      </w:tr>
      <w:tr w14:paraId="5ADD0A07">
        <w:tblPrEx>
          <w:tblCellMar>
            <w:top w:w="0" w:type="dxa"/>
            <w:left w:w="108" w:type="dxa"/>
            <w:bottom w:w="0" w:type="dxa"/>
            <w:right w:w="108" w:type="dxa"/>
          </w:tblCellMar>
        </w:tblPrEx>
        <w:trPr>
          <w:gridAfter w:val="2"/>
          <w:wAfter w:w="7010" w:type="dxa"/>
          <w:trHeight w:val="1357"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2B2CADFD">
            <w:pPr>
              <w:spacing w:line="360" w:lineRule="auto"/>
              <w:jc w:val="center"/>
              <w:rPr>
                <w:rFonts w:ascii="宋体" w:hAnsi="宋体" w:cs="宋体"/>
                <w:color w:val="000000"/>
                <w:szCs w:val="21"/>
                <w:highlight w:val="none"/>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6C1B8DFC">
            <w:pPr>
              <w:spacing w:line="360" w:lineRule="auto"/>
              <w:jc w:val="center"/>
              <w:rPr>
                <w:rFonts w:ascii="宋体" w:hAnsi="宋体" w:cs="宋体"/>
                <w:color w:val="000000"/>
                <w:szCs w:val="21"/>
                <w:highlight w:val="none"/>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7822FCE5">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20</w:t>
            </w:r>
          </w:p>
        </w:tc>
        <w:tc>
          <w:tcPr>
            <w:tcW w:w="3144" w:type="dxa"/>
            <w:tcBorders>
              <w:top w:val="single" w:color="000000" w:sz="4" w:space="0"/>
              <w:left w:val="single" w:color="000000" w:sz="4" w:space="0"/>
              <w:bottom w:val="single" w:color="000000" w:sz="4" w:space="0"/>
              <w:right w:val="single" w:color="000000" w:sz="4" w:space="0"/>
            </w:tcBorders>
            <w:vAlign w:val="center"/>
          </w:tcPr>
          <w:p w14:paraId="714CE33C">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按甲方要求进行修剪清理。为减少绿化植物对采光、交通、照明等不利影响及保持通风透光和利于节约养分，应结合植物生长习性，及时进行修剪、剥芽、摘心、剪除残花、枯黄枝叶和清理多年生植物地上枯萎部分等。</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2DB6735A">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未按要求修剪扣2分/处，未及时剥芽，扣1分/处；树木萌蘖芽未及时剥除，发现1株扣1分；修剪不当造成树木枯死，扣1分/株；未及时进行摘心、剪除残花、枯黄枝叶或多年生植物地上枯萎部分，扣1分/处。</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4B741597">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3F6D3026">
            <w:pPr>
              <w:spacing w:line="360" w:lineRule="auto"/>
              <w:rPr>
                <w:rFonts w:ascii="宋体" w:hAnsi="宋体" w:cs="宋体"/>
                <w:color w:val="000000"/>
                <w:szCs w:val="21"/>
                <w:highlight w:val="none"/>
              </w:rPr>
            </w:pPr>
          </w:p>
        </w:tc>
      </w:tr>
      <w:tr w14:paraId="0566AA2E">
        <w:tblPrEx>
          <w:tblCellMar>
            <w:top w:w="0" w:type="dxa"/>
            <w:left w:w="108" w:type="dxa"/>
            <w:bottom w:w="0" w:type="dxa"/>
            <w:right w:w="108" w:type="dxa"/>
          </w:tblCellMar>
        </w:tblPrEx>
        <w:trPr>
          <w:gridAfter w:val="2"/>
          <w:wAfter w:w="7010" w:type="dxa"/>
          <w:trHeight w:val="908"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6CD6A1C8">
            <w:pPr>
              <w:spacing w:line="360" w:lineRule="auto"/>
              <w:jc w:val="center"/>
              <w:rPr>
                <w:rFonts w:ascii="宋体" w:hAnsi="宋体" w:cs="宋体"/>
                <w:color w:val="000000"/>
                <w:szCs w:val="21"/>
                <w:highlight w:val="none"/>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01095D70">
            <w:pPr>
              <w:spacing w:line="360" w:lineRule="auto"/>
              <w:jc w:val="center"/>
              <w:rPr>
                <w:rFonts w:ascii="宋体" w:hAnsi="宋体" w:cs="宋体"/>
                <w:color w:val="000000"/>
                <w:szCs w:val="21"/>
                <w:highlight w:val="none"/>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5F5234D4">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21</w:t>
            </w:r>
          </w:p>
        </w:tc>
        <w:tc>
          <w:tcPr>
            <w:tcW w:w="3144" w:type="dxa"/>
            <w:tcBorders>
              <w:top w:val="single" w:color="000000" w:sz="4" w:space="0"/>
              <w:left w:val="single" w:color="000000" w:sz="4" w:space="0"/>
              <w:bottom w:val="single" w:color="000000" w:sz="4" w:space="0"/>
              <w:right w:val="single" w:color="000000" w:sz="4" w:space="0"/>
            </w:tcBorders>
            <w:vAlign w:val="center"/>
          </w:tcPr>
          <w:p w14:paraId="6FC18A1F">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草坪按照1/3原则适时进行修剪，保持一定高度，修剪面平整，边角无遗留，草屑及时扫尽运出。草坪修剪高度：冷季型为5-7cm；夏季6-8cm；暖季型3-5cm。</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6EDCBC26">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修剪面不平，边角有遗留，扣1分/处；修剪后色斑明显，扣0.5分/处；不及时修剪，扣1分/处。</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252AE56F">
            <w:pPr>
              <w:spacing w:line="360" w:lineRule="auto"/>
              <w:jc w:val="center"/>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79B08EE4">
            <w:pPr>
              <w:spacing w:line="360" w:lineRule="auto"/>
              <w:jc w:val="center"/>
              <w:rPr>
                <w:rFonts w:ascii="宋体" w:hAnsi="宋体" w:cs="宋体"/>
                <w:color w:val="000000"/>
                <w:szCs w:val="21"/>
                <w:highlight w:val="none"/>
              </w:rPr>
            </w:pPr>
          </w:p>
        </w:tc>
      </w:tr>
      <w:tr w14:paraId="13A3221F">
        <w:tblPrEx>
          <w:tblCellMar>
            <w:top w:w="0" w:type="dxa"/>
            <w:left w:w="108" w:type="dxa"/>
            <w:bottom w:w="0" w:type="dxa"/>
            <w:right w:w="108" w:type="dxa"/>
          </w:tblCellMar>
        </w:tblPrEx>
        <w:trPr>
          <w:gridAfter w:val="2"/>
          <w:wAfter w:w="7010" w:type="dxa"/>
          <w:trHeight w:val="683" w:hRule="atLeast"/>
        </w:trPr>
        <w:tc>
          <w:tcPr>
            <w:tcW w:w="441" w:type="dxa"/>
            <w:vMerge w:val="restart"/>
            <w:tcBorders>
              <w:top w:val="single" w:color="000000" w:sz="4" w:space="0"/>
              <w:left w:val="single" w:color="000000" w:sz="4" w:space="0"/>
              <w:bottom w:val="single" w:color="000000" w:sz="4" w:space="0"/>
              <w:right w:val="single" w:color="000000" w:sz="4" w:space="0"/>
            </w:tcBorders>
            <w:noWrap/>
            <w:vAlign w:val="center"/>
          </w:tcPr>
          <w:p w14:paraId="4E9B6906">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9</w:t>
            </w:r>
          </w:p>
        </w:tc>
        <w:tc>
          <w:tcPr>
            <w:tcW w:w="708" w:type="dxa"/>
            <w:vMerge w:val="restart"/>
            <w:tcBorders>
              <w:top w:val="single" w:color="000000" w:sz="4" w:space="0"/>
              <w:left w:val="single" w:color="000000" w:sz="4" w:space="0"/>
              <w:bottom w:val="single" w:color="000000" w:sz="4" w:space="0"/>
              <w:right w:val="single" w:color="000000" w:sz="4" w:space="0"/>
            </w:tcBorders>
            <w:vAlign w:val="center"/>
          </w:tcPr>
          <w:p w14:paraId="3B18DB81">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绿地保护 4分</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43A9B2EA">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22</w:t>
            </w:r>
          </w:p>
        </w:tc>
        <w:tc>
          <w:tcPr>
            <w:tcW w:w="3144" w:type="dxa"/>
            <w:tcBorders>
              <w:top w:val="single" w:color="000000" w:sz="4" w:space="0"/>
              <w:left w:val="single" w:color="000000" w:sz="4" w:space="0"/>
              <w:bottom w:val="single" w:color="000000" w:sz="4" w:space="0"/>
              <w:right w:val="single" w:color="000000" w:sz="4" w:space="0"/>
            </w:tcBorders>
            <w:vAlign w:val="center"/>
          </w:tcPr>
          <w:p w14:paraId="604186AF">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 xml:space="preserve">保护所承担养护区域的绿地，如遇第三方开挖，应主动检查其开挖证明，并跟踪其开挖活动，避免绿地受损。                                                                                                                                                                                                                                                                                                       </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4CD8D2F2">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发现毁绿未及时制止及上报，不得分；不配合开挖办理，扣1分。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352172EB">
            <w:pPr>
              <w:spacing w:line="360" w:lineRule="auto"/>
              <w:jc w:val="center"/>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5F427584">
            <w:pPr>
              <w:spacing w:line="360" w:lineRule="auto"/>
              <w:jc w:val="center"/>
              <w:rPr>
                <w:rFonts w:ascii="宋体" w:hAnsi="宋体" w:cs="宋体"/>
                <w:color w:val="000000"/>
                <w:szCs w:val="21"/>
                <w:highlight w:val="none"/>
              </w:rPr>
            </w:pPr>
          </w:p>
        </w:tc>
      </w:tr>
      <w:tr w14:paraId="3F4DD9EA">
        <w:tblPrEx>
          <w:tblCellMar>
            <w:top w:w="0" w:type="dxa"/>
            <w:left w:w="108" w:type="dxa"/>
            <w:bottom w:w="0" w:type="dxa"/>
            <w:right w:w="108" w:type="dxa"/>
          </w:tblCellMar>
        </w:tblPrEx>
        <w:trPr>
          <w:gridAfter w:val="2"/>
          <w:wAfter w:w="7010" w:type="dxa"/>
          <w:trHeight w:val="464"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7460B894">
            <w:pPr>
              <w:spacing w:line="360" w:lineRule="auto"/>
              <w:jc w:val="center"/>
              <w:rPr>
                <w:rFonts w:ascii="宋体" w:hAnsi="宋体" w:cs="宋体"/>
                <w:color w:val="000000"/>
                <w:szCs w:val="21"/>
                <w:highlight w:val="none"/>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3D96043F">
            <w:pPr>
              <w:spacing w:line="360" w:lineRule="auto"/>
              <w:jc w:val="center"/>
              <w:rPr>
                <w:rFonts w:ascii="宋体" w:hAnsi="宋体" w:cs="宋体"/>
                <w:color w:val="000000"/>
                <w:szCs w:val="21"/>
                <w:highlight w:val="none"/>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3F2DAFBE">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23</w:t>
            </w:r>
          </w:p>
        </w:tc>
        <w:tc>
          <w:tcPr>
            <w:tcW w:w="3144" w:type="dxa"/>
            <w:tcBorders>
              <w:top w:val="single" w:color="000000" w:sz="4" w:space="0"/>
              <w:left w:val="single" w:color="000000" w:sz="4" w:space="0"/>
              <w:bottom w:val="single" w:color="000000" w:sz="4" w:space="0"/>
              <w:right w:val="single" w:color="000000" w:sz="4" w:space="0"/>
            </w:tcBorders>
            <w:vAlign w:val="center"/>
          </w:tcPr>
          <w:p w14:paraId="56BBD11B">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绿地内不得有毁绿占绿现象。</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7E51E4C7">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绿地被违规占用，有种蔬菜或堆放杂物未及时制止扣全项分。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26C29CAE">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130198C1">
            <w:pPr>
              <w:spacing w:line="360" w:lineRule="auto"/>
              <w:rPr>
                <w:rFonts w:ascii="宋体" w:hAnsi="宋体" w:cs="宋体"/>
                <w:color w:val="000000"/>
                <w:szCs w:val="21"/>
                <w:highlight w:val="none"/>
              </w:rPr>
            </w:pPr>
          </w:p>
        </w:tc>
      </w:tr>
      <w:tr w14:paraId="1BA59620">
        <w:tblPrEx>
          <w:tblCellMar>
            <w:top w:w="0" w:type="dxa"/>
            <w:left w:w="108" w:type="dxa"/>
            <w:bottom w:w="0" w:type="dxa"/>
            <w:right w:w="108" w:type="dxa"/>
          </w:tblCellMar>
        </w:tblPrEx>
        <w:trPr>
          <w:gridAfter w:val="2"/>
          <w:wAfter w:w="7010" w:type="dxa"/>
          <w:trHeight w:val="685" w:hRule="atLeast"/>
        </w:trPr>
        <w:tc>
          <w:tcPr>
            <w:tcW w:w="441" w:type="dxa"/>
            <w:vMerge w:val="restart"/>
            <w:tcBorders>
              <w:top w:val="single" w:color="000000" w:sz="4" w:space="0"/>
              <w:left w:val="single" w:color="000000" w:sz="4" w:space="0"/>
              <w:bottom w:val="single" w:color="000000" w:sz="4" w:space="0"/>
              <w:right w:val="single" w:color="000000" w:sz="4" w:space="0"/>
            </w:tcBorders>
            <w:noWrap/>
            <w:vAlign w:val="center"/>
          </w:tcPr>
          <w:p w14:paraId="28ADA985">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10</w:t>
            </w:r>
          </w:p>
        </w:tc>
        <w:tc>
          <w:tcPr>
            <w:tcW w:w="708" w:type="dxa"/>
            <w:vMerge w:val="restart"/>
            <w:tcBorders>
              <w:top w:val="single" w:color="000000" w:sz="4" w:space="0"/>
              <w:left w:val="single" w:color="000000" w:sz="4" w:space="0"/>
              <w:bottom w:val="single" w:color="000000" w:sz="4" w:space="0"/>
              <w:right w:val="single" w:color="000000" w:sz="4" w:space="0"/>
            </w:tcBorders>
            <w:vAlign w:val="center"/>
          </w:tcPr>
          <w:p w14:paraId="294D200B">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安全 文明 生产 10分</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0ED31FD7">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24</w:t>
            </w:r>
          </w:p>
        </w:tc>
        <w:tc>
          <w:tcPr>
            <w:tcW w:w="3144" w:type="dxa"/>
            <w:tcBorders>
              <w:top w:val="single" w:color="000000" w:sz="4" w:space="0"/>
              <w:left w:val="single" w:color="000000" w:sz="4" w:space="0"/>
              <w:bottom w:val="single" w:color="000000" w:sz="4" w:space="0"/>
              <w:right w:val="single" w:color="000000" w:sz="4" w:space="0"/>
            </w:tcBorders>
            <w:vAlign w:val="center"/>
          </w:tcPr>
          <w:p w14:paraId="5479266A">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管护组织制度健全，工作有台帐，记录全，内容属实并及时上报，绿地无转包现象。</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46C389E6">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管护小结及记录不及时，上报少、不全，每次扣0.5分；无养护计划，现场管理乱，发现一次扣1分；无管护台帐，不得分；绿地有转包现象扣全项分。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568E0AC7">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22406669">
            <w:pPr>
              <w:spacing w:line="360" w:lineRule="auto"/>
              <w:rPr>
                <w:rFonts w:ascii="宋体" w:hAnsi="宋体" w:cs="宋体"/>
                <w:color w:val="000000"/>
                <w:szCs w:val="21"/>
                <w:highlight w:val="none"/>
              </w:rPr>
            </w:pPr>
          </w:p>
        </w:tc>
      </w:tr>
      <w:tr w14:paraId="7F0D754F">
        <w:tblPrEx>
          <w:tblCellMar>
            <w:top w:w="0" w:type="dxa"/>
            <w:left w:w="108" w:type="dxa"/>
            <w:bottom w:w="0" w:type="dxa"/>
            <w:right w:w="108" w:type="dxa"/>
          </w:tblCellMar>
        </w:tblPrEx>
        <w:trPr>
          <w:gridAfter w:val="2"/>
          <w:wAfter w:w="7010" w:type="dxa"/>
          <w:trHeight w:val="1101"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3A7D0425">
            <w:pPr>
              <w:spacing w:line="360" w:lineRule="auto"/>
              <w:jc w:val="center"/>
              <w:rPr>
                <w:rFonts w:ascii="宋体" w:hAnsi="宋体" w:cs="宋体"/>
                <w:color w:val="000000"/>
                <w:szCs w:val="21"/>
                <w:highlight w:val="none"/>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6914D3F5">
            <w:pPr>
              <w:spacing w:line="360" w:lineRule="auto"/>
              <w:jc w:val="center"/>
              <w:rPr>
                <w:rFonts w:ascii="宋体" w:hAnsi="宋体" w:cs="宋体"/>
                <w:color w:val="000000"/>
                <w:szCs w:val="21"/>
                <w:highlight w:val="none"/>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5F145A02">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25</w:t>
            </w:r>
          </w:p>
        </w:tc>
        <w:tc>
          <w:tcPr>
            <w:tcW w:w="3144" w:type="dxa"/>
            <w:tcBorders>
              <w:top w:val="single" w:color="000000" w:sz="4" w:space="0"/>
              <w:left w:val="single" w:color="000000" w:sz="4" w:space="0"/>
              <w:bottom w:val="single" w:color="000000" w:sz="4" w:space="0"/>
              <w:right w:val="single" w:color="000000" w:sz="4" w:space="0"/>
            </w:tcBorders>
            <w:vAlign w:val="center"/>
          </w:tcPr>
          <w:p w14:paraId="2ACDF02B">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养护人员、设备到位；着装仪容整洁上岗，严格按安全生产操作规程组织作业，养护管理规范。</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39837B9C">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按照规定养护人员数量不符合要求，扣完全项分；项目负责人经常变更不明确，扣1分；管理员仪容不整，不按要求安全作业，不得分；日常养护中设备不全的扣2分。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0429EF49">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57CD6E4D">
            <w:pPr>
              <w:spacing w:line="360" w:lineRule="auto"/>
              <w:rPr>
                <w:rFonts w:ascii="宋体" w:hAnsi="宋体" w:cs="宋体"/>
                <w:color w:val="000000"/>
                <w:szCs w:val="21"/>
                <w:highlight w:val="none"/>
              </w:rPr>
            </w:pPr>
          </w:p>
        </w:tc>
      </w:tr>
      <w:tr w14:paraId="6ACCD010">
        <w:tblPrEx>
          <w:tblCellMar>
            <w:top w:w="0" w:type="dxa"/>
            <w:left w:w="108" w:type="dxa"/>
            <w:bottom w:w="0" w:type="dxa"/>
            <w:right w:w="108" w:type="dxa"/>
          </w:tblCellMar>
        </w:tblPrEx>
        <w:trPr>
          <w:gridAfter w:val="2"/>
          <w:wAfter w:w="7010" w:type="dxa"/>
          <w:trHeight w:val="464"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425A42C6">
            <w:pPr>
              <w:spacing w:line="360" w:lineRule="auto"/>
              <w:jc w:val="center"/>
              <w:rPr>
                <w:rFonts w:ascii="宋体" w:hAnsi="宋体" w:cs="宋体"/>
                <w:color w:val="000000"/>
                <w:szCs w:val="21"/>
                <w:highlight w:val="none"/>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1BC06F23">
            <w:pPr>
              <w:spacing w:line="360" w:lineRule="auto"/>
              <w:jc w:val="center"/>
              <w:rPr>
                <w:rFonts w:ascii="宋体" w:hAnsi="宋体" w:cs="宋体"/>
                <w:color w:val="000000"/>
                <w:szCs w:val="21"/>
                <w:highlight w:val="none"/>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407456F3">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26</w:t>
            </w:r>
          </w:p>
        </w:tc>
        <w:tc>
          <w:tcPr>
            <w:tcW w:w="3144" w:type="dxa"/>
            <w:tcBorders>
              <w:top w:val="single" w:color="000000" w:sz="4" w:space="0"/>
              <w:left w:val="single" w:color="000000" w:sz="4" w:space="0"/>
              <w:bottom w:val="single" w:color="000000" w:sz="4" w:space="0"/>
              <w:right w:val="single" w:color="000000" w:sz="4" w:space="0"/>
            </w:tcBorders>
            <w:vAlign w:val="center"/>
          </w:tcPr>
          <w:p w14:paraId="4A387BD2">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按管理部门要求，准时参加会议、活动及各类业务培训等等。</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73F3156E">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迟到一次扣0.5分；无故缺席一次扣1分；无故替开会一次扣0.5分。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4F8A1D9D">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009EE53C">
            <w:pPr>
              <w:spacing w:line="360" w:lineRule="auto"/>
              <w:rPr>
                <w:rFonts w:ascii="宋体" w:hAnsi="宋体" w:cs="宋体"/>
                <w:color w:val="000000"/>
                <w:szCs w:val="21"/>
                <w:highlight w:val="none"/>
              </w:rPr>
            </w:pPr>
          </w:p>
        </w:tc>
      </w:tr>
      <w:tr w14:paraId="0B5ED936">
        <w:tblPrEx>
          <w:tblCellMar>
            <w:top w:w="0" w:type="dxa"/>
            <w:left w:w="108" w:type="dxa"/>
            <w:bottom w:w="0" w:type="dxa"/>
            <w:right w:w="108" w:type="dxa"/>
          </w:tblCellMar>
        </w:tblPrEx>
        <w:trPr>
          <w:gridAfter w:val="2"/>
          <w:wAfter w:w="7010" w:type="dxa"/>
          <w:trHeight w:val="981" w:hRule="atLeast"/>
        </w:trPr>
        <w:tc>
          <w:tcPr>
            <w:tcW w:w="441" w:type="dxa"/>
            <w:vMerge w:val="restart"/>
            <w:tcBorders>
              <w:top w:val="single" w:color="000000" w:sz="4" w:space="0"/>
              <w:left w:val="single" w:color="000000" w:sz="4" w:space="0"/>
              <w:bottom w:val="single" w:color="000000" w:sz="4" w:space="0"/>
              <w:right w:val="single" w:color="000000" w:sz="4" w:space="0"/>
            </w:tcBorders>
            <w:noWrap/>
            <w:vAlign w:val="center"/>
          </w:tcPr>
          <w:p w14:paraId="4E56E887">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11</w:t>
            </w: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77236BDD">
            <w:pPr>
              <w:spacing w:line="360" w:lineRule="auto"/>
              <w:jc w:val="center"/>
              <w:rPr>
                <w:rFonts w:ascii="宋体" w:hAnsi="宋体" w:cs="宋体"/>
                <w:color w:val="000000"/>
                <w:szCs w:val="21"/>
                <w:highlight w:val="none"/>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24EE01E9">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27</w:t>
            </w:r>
          </w:p>
        </w:tc>
        <w:tc>
          <w:tcPr>
            <w:tcW w:w="3144" w:type="dxa"/>
            <w:tcBorders>
              <w:top w:val="single" w:color="000000" w:sz="4" w:space="0"/>
              <w:left w:val="single" w:color="000000" w:sz="4" w:space="0"/>
              <w:bottom w:val="single" w:color="000000" w:sz="4" w:space="0"/>
              <w:right w:val="single" w:color="000000" w:sz="4" w:space="0"/>
            </w:tcBorders>
            <w:vAlign w:val="center"/>
          </w:tcPr>
          <w:p w14:paraId="59CC0E73">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有相关部门、数字城管、民声110、社会各界等反映的绿化管护存在问题。</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04534492">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经主管部门通报批评或新闻谋体曝光，扣当月全项分；有整改现象未及时整改，扣当月全项分；数字城管或民声110案件，在规定时间（延时的除外）未处理扣5分，超时处理扣3分，返工案件扣2分。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097A5302">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34CF2F85">
            <w:pPr>
              <w:spacing w:line="360" w:lineRule="auto"/>
              <w:rPr>
                <w:rFonts w:ascii="宋体" w:hAnsi="宋体" w:cs="宋体"/>
                <w:color w:val="000000"/>
                <w:szCs w:val="21"/>
                <w:highlight w:val="none"/>
              </w:rPr>
            </w:pPr>
          </w:p>
        </w:tc>
      </w:tr>
      <w:tr w14:paraId="2D1501D7">
        <w:tblPrEx>
          <w:tblCellMar>
            <w:top w:w="0" w:type="dxa"/>
            <w:left w:w="108" w:type="dxa"/>
            <w:bottom w:w="0" w:type="dxa"/>
            <w:right w:w="108" w:type="dxa"/>
          </w:tblCellMar>
        </w:tblPrEx>
        <w:trPr>
          <w:gridAfter w:val="2"/>
          <w:wAfter w:w="7010" w:type="dxa"/>
          <w:trHeight w:val="490"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50BFA291">
            <w:pPr>
              <w:spacing w:line="360" w:lineRule="auto"/>
              <w:jc w:val="center"/>
              <w:rPr>
                <w:rFonts w:ascii="宋体" w:hAnsi="宋体" w:cs="宋体"/>
                <w:color w:val="000000"/>
                <w:szCs w:val="21"/>
                <w:highlight w:val="none"/>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62CC661F">
            <w:pPr>
              <w:spacing w:line="360" w:lineRule="auto"/>
              <w:jc w:val="center"/>
              <w:rPr>
                <w:rFonts w:ascii="宋体" w:hAnsi="宋体" w:cs="宋体"/>
                <w:color w:val="000000"/>
                <w:szCs w:val="21"/>
                <w:highlight w:val="none"/>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56769E1C">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28</w:t>
            </w:r>
          </w:p>
        </w:tc>
        <w:tc>
          <w:tcPr>
            <w:tcW w:w="3144" w:type="dxa"/>
            <w:tcBorders>
              <w:top w:val="single" w:color="000000" w:sz="4" w:space="0"/>
              <w:left w:val="single" w:color="000000" w:sz="4" w:space="0"/>
              <w:bottom w:val="single" w:color="000000" w:sz="4" w:space="0"/>
              <w:right w:val="single" w:color="000000" w:sz="4" w:space="0"/>
            </w:tcBorders>
            <w:vAlign w:val="center"/>
          </w:tcPr>
          <w:p w14:paraId="1F9C72C3">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养护人员按规定统一着装且仪容整洁，所有车辆停放规范有序。</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4FEB6D78">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养护人员不统一着装每人扣0.5分；仪容不整每二人扣0.5分，车辆停放无序扣1分/处。</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15D36B24">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6AC1EFAF">
            <w:pPr>
              <w:spacing w:line="360" w:lineRule="auto"/>
              <w:rPr>
                <w:rFonts w:ascii="宋体" w:hAnsi="宋体" w:cs="宋体"/>
                <w:color w:val="000000"/>
                <w:szCs w:val="21"/>
                <w:highlight w:val="none"/>
              </w:rPr>
            </w:pPr>
          </w:p>
        </w:tc>
      </w:tr>
      <w:tr w14:paraId="304686F7">
        <w:tblPrEx>
          <w:tblCellMar>
            <w:top w:w="0" w:type="dxa"/>
            <w:left w:w="108" w:type="dxa"/>
            <w:bottom w:w="0" w:type="dxa"/>
            <w:right w:w="108" w:type="dxa"/>
          </w:tblCellMar>
        </w:tblPrEx>
        <w:trPr>
          <w:gridAfter w:val="2"/>
          <w:wAfter w:w="7010" w:type="dxa"/>
          <w:trHeight w:val="464" w:hRule="atLeast"/>
        </w:trPr>
        <w:tc>
          <w:tcPr>
            <w:tcW w:w="441" w:type="dxa"/>
            <w:vMerge w:val="restart"/>
            <w:tcBorders>
              <w:top w:val="single" w:color="000000" w:sz="4" w:space="0"/>
              <w:left w:val="single" w:color="000000" w:sz="4" w:space="0"/>
              <w:bottom w:val="single" w:color="000000" w:sz="4" w:space="0"/>
              <w:right w:val="single" w:color="000000" w:sz="4" w:space="0"/>
            </w:tcBorders>
            <w:noWrap/>
            <w:vAlign w:val="center"/>
          </w:tcPr>
          <w:p w14:paraId="19F452D9">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12</w:t>
            </w: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4D1B1C15">
            <w:pPr>
              <w:spacing w:line="360" w:lineRule="auto"/>
              <w:jc w:val="center"/>
              <w:rPr>
                <w:rFonts w:ascii="宋体" w:hAnsi="宋体" w:cs="宋体"/>
                <w:color w:val="000000"/>
                <w:szCs w:val="21"/>
                <w:highlight w:val="none"/>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241135E3">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29</w:t>
            </w:r>
          </w:p>
        </w:tc>
        <w:tc>
          <w:tcPr>
            <w:tcW w:w="3144" w:type="dxa"/>
            <w:tcBorders>
              <w:top w:val="single" w:color="000000" w:sz="4" w:space="0"/>
              <w:left w:val="single" w:color="000000" w:sz="4" w:space="0"/>
              <w:bottom w:val="single" w:color="000000" w:sz="4" w:space="0"/>
              <w:right w:val="single" w:color="000000" w:sz="4" w:space="0"/>
            </w:tcBorders>
            <w:vAlign w:val="center"/>
          </w:tcPr>
          <w:p w14:paraId="434CFA4A">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浇水水质保证，不得采用污水管道水源；时间合理，水管摆放正确，浇后及时盖上井盖，无泥浆溢出。</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7B2AC4E4">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如有一项不符合要求扣1分，扣完为止</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32D06121">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7F2B0407">
            <w:pPr>
              <w:spacing w:line="360" w:lineRule="auto"/>
              <w:rPr>
                <w:rFonts w:ascii="宋体" w:hAnsi="宋体" w:cs="宋体"/>
                <w:color w:val="000000"/>
                <w:szCs w:val="21"/>
                <w:highlight w:val="none"/>
              </w:rPr>
            </w:pPr>
          </w:p>
        </w:tc>
      </w:tr>
      <w:tr w14:paraId="7ECECFA7">
        <w:tblPrEx>
          <w:tblCellMar>
            <w:top w:w="0" w:type="dxa"/>
            <w:left w:w="108" w:type="dxa"/>
            <w:bottom w:w="0" w:type="dxa"/>
            <w:right w:w="108" w:type="dxa"/>
          </w:tblCellMar>
        </w:tblPrEx>
        <w:trPr>
          <w:gridAfter w:val="2"/>
          <w:wAfter w:w="7010" w:type="dxa"/>
          <w:trHeight w:val="458"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1CB48654">
            <w:pPr>
              <w:spacing w:line="360" w:lineRule="auto"/>
              <w:jc w:val="center"/>
              <w:rPr>
                <w:rFonts w:ascii="宋体" w:hAnsi="宋体" w:cs="宋体"/>
                <w:color w:val="000000"/>
                <w:szCs w:val="21"/>
                <w:highlight w:val="none"/>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5491FAC3">
            <w:pPr>
              <w:spacing w:line="360" w:lineRule="auto"/>
              <w:jc w:val="center"/>
              <w:rPr>
                <w:rFonts w:ascii="宋体" w:hAnsi="宋体" w:cs="宋体"/>
                <w:color w:val="000000"/>
                <w:szCs w:val="21"/>
                <w:highlight w:val="none"/>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7F4DF828">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30</w:t>
            </w:r>
          </w:p>
        </w:tc>
        <w:tc>
          <w:tcPr>
            <w:tcW w:w="3144" w:type="dxa"/>
            <w:tcBorders>
              <w:top w:val="single" w:color="000000" w:sz="4" w:space="0"/>
              <w:left w:val="single" w:color="000000" w:sz="4" w:space="0"/>
              <w:bottom w:val="single" w:color="000000" w:sz="4" w:space="0"/>
              <w:right w:val="single" w:color="000000" w:sz="4" w:space="0"/>
            </w:tcBorders>
            <w:vAlign w:val="center"/>
          </w:tcPr>
          <w:p w14:paraId="6D361741">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快速车道施工作业现场要设置安全告示牌及安全围栏。</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4F271B10">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如有一项不符合要求扣1分/处，扣完为止</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2A4617CB">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5E0B9E8F">
            <w:pPr>
              <w:spacing w:line="360" w:lineRule="auto"/>
              <w:rPr>
                <w:rFonts w:ascii="宋体" w:hAnsi="宋体" w:cs="宋体"/>
                <w:color w:val="000000"/>
                <w:szCs w:val="21"/>
                <w:highlight w:val="none"/>
              </w:rPr>
            </w:pPr>
          </w:p>
        </w:tc>
      </w:tr>
      <w:tr w14:paraId="75E83D14">
        <w:tblPrEx>
          <w:tblCellMar>
            <w:top w:w="0" w:type="dxa"/>
            <w:left w:w="108" w:type="dxa"/>
            <w:bottom w:w="0" w:type="dxa"/>
            <w:right w:w="108" w:type="dxa"/>
          </w:tblCellMar>
        </w:tblPrEx>
        <w:trPr>
          <w:gridAfter w:val="2"/>
          <w:wAfter w:w="7010" w:type="dxa"/>
          <w:trHeight w:val="683"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5F013599">
            <w:pPr>
              <w:spacing w:line="360" w:lineRule="auto"/>
              <w:jc w:val="center"/>
              <w:rPr>
                <w:rFonts w:ascii="宋体" w:hAnsi="宋体" w:cs="宋体"/>
                <w:color w:val="000000"/>
                <w:szCs w:val="21"/>
                <w:highlight w:val="none"/>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4C72190E">
            <w:pPr>
              <w:spacing w:line="360" w:lineRule="auto"/>
              <w:jc w:val="center"/>
              <w:rPr>
                <w:rFonts w:ascii="宋体" w:hAnsi="宋体" w:cs="宋体"/>
                <w:color w:val="000000"/>
                <w:szCs w:val="21"/>
                <w:highlight w:val="none"/>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50380C32">
            <w:pPr>
              <w:widowControl/>
              <w:spacing w:line="360" w:lineRule="auto"/>
              <w:jc w:val="center"/>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31</w:t>
            </w:r>
          </w:p>
        </w:tc>
        <w:tc>
          <w:tcPr>
            <w:tcW w:w="3144" w:type="dxa"/>
            <w:tcBorders>
              <w:top w:val="single" w:color="000000" w:sz="4" w:space="0"/>
              <w:left w:val="single" w:color="000000" w:sz="4" w:space="0"/>
              <w:bottom w:val="single" w:color="000000" w:sz="4" w:space="0"/>
              <w:right w:val="single" w:color="000000" w:sz="4" w:space="0"/>
            </w:tcBorders>
            <w:vAlign w:val="center"/>
          </w:tcPr>
          <w:p w14:paraId="1138B967">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所有车辆、机械应严格按照有关法规及操作规范使用。特种作业时，操作人员应持有有效证书。</w:t>
            </w:r>
          </w:p>
        </w:tc>
        <w:tc>
          <w:tcPr>
            <w:tcW w:w="3290" w:type="dxa"/>
            <w:gridSpan w:val="3"/>
            <w:tcBorders>
              <w:top w:val="single" w:color="000000" w:sz="4" w:space="0"/>
              <w:left w:val="single" w:color="000000" w:sz="4" w:space="0"/>
              <w:bottom w:val="single" w:color="000000" w:sz="4" w:space="0"/>
              <w:right w:val="single" w:color="000000" w:sz="4" w:space="0"/>
            </w:tcBorders>
            <w:vAlign w:val="center"/>
          </w:tcPr>
          <w:p w14:paraId="482D52B9">
            <w:pPr>
              <w:widowControl/>
              <w:spacing w:line="360" w:lineRule="auto"/>
              <w:jc w:val="left"/>
              <w:textAlignment w:val="center"/>
              <w:rPr>
                <w:rFonts w:ascii="宋体" w:hAnsi="宋体" w:cs="宋体"/>
                <w:color w:val="000000"/>
                <w:szCs w:val="21"/>
                <w:highlight w:val="none"/>
              </w:rPr>
            </w:pPr>
            <w:r>
              <w:rPr>
                <w:rFonts w:hint="eastAsia" w:ascii="宋体" w:hAnsi="宋体" w:cs="宋体"/>
                <w:color w:val="000000"/>
                <w:kern w:val="0"/>
                <w:szCs w:val="21"/>
                <w:highlight w:val="none"/>
                <w:lang w:bidi="ar"/>
              </w:rPr>
              <w:t>不按要求不得分，如出现人员伤亡则扣全项分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0DCB66CA">
            <w:pPr>
              <w:spacing w:line="360" w:lineRule="auto"/>
              <w:rPr>
                <w:rFonts w:ascii="宋体" w:hAnsi="宋体" w:cs="宋体"/>
                <w:color w:val="000000"/>
                <w:szCs w:val="21"/>
                <w:highlight w:val="none"/>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4F331638">
            <w:pPr>
              <w:spacing w:line="360" w:lineRule="auto"/>
              <w:rPr>
                <w:rFonts w:ascii="宋体" w:hAnsi="宋体" w:cs="宋体"/>
                <w:color w:val="000000"/>
                <w:szCs w:val="21"/>
                <w:highlight w:val="none"/>
              </w:rPr>
            </w:pPr>
          </w:p>
        </w:tc>
      </w:tr>
      <w:tr w14:paraId="49920B8E">
        <w:tblPrEx>
          <w:tblCellMar>
            <w:top w:w="0" w:type="dxa"/>
            <w:left w:w="108" w:type="dxa"/>
            <w:bottom w:w="0" w:type="dxa"/>
            <w:right w:w="108" w:type="dxa"/>
          </w:tblCellMar>
        </w:tblPrEx>
        <w:trPr>
          <w:trHeight w:val="477" w:hRule="atLeast"/>
        </w:trPr>
        <w:tc>
          <w:tcPr>
            <w:tcW w:w="441" w:type="dxa"/>
            <w:tcBorders>
              <w:top w:val="nil"/>
              <w:left w:val="nil"/>
              <w:bottom w:val="nil"/>
              <w:right w:val="nil"/>
            </w:tcBorders>
            <w:noWrap/>
            <w:vAlign w:val="center"/>
          </w:tcPr>
          <w:p w14:paraId="697C2731">
            <w:pPr>
              <w:spacing w:line="360" w:lineRule="auto"/>
              <w:rPr>
                <w:rFonts w:ascii="宋体" w:hAnsi="宋体" w:cs="宋体"/>
                <w:color w:val="000000"/>
                <w:szCs w:val="21"/>
                <w:highlight w:val="none"/>
              </w:rPr>
            </w:pPr>
          </w:p>
        </w:tc>
        <w:tc>
          <w:tcPr>
            <w:tcW w:w="708" w:type="dxa"/>
            <w:tcBorders>
              <w:top w:val="single" w:color="000000" w:sz="4" w:space="0"/>
              <w:left w:val="nil"/>
              <w:bottom w:val="nil"/>
              <w:right w:val="nil"/>
            </w:tcBorders>
            <w:noWrap/>
            <w:vAlign w:val="center"/>
          </w:tcPr>
          <w:p w14:paraId="5AF87776">
            <w:pPr>
              <w:spacing w:line="360" w:lineRule="auto"/>
              <w:jc w:val="left"/>
              <w:rPr>
                <w:rFonts w:ascii="宋体" w:hAnsi="宋体" w:cs="宋体"/>
                <w:color w:val="000000"/>
                <w:szCs w:val="21"/>
                <w:highlight w:val="none"/>
              </w:rPr>
            </w:pPr>
          </w:p>
        </w:tc>
        <w:tc>
          <w:tcPr>
            <w:tcW w:w="426" w:type="dxa"/>
            <w:tcBorders>
              <w:top w:val="single" w:color="000000" w:sz="4" w:space="0"/>
              <w:left w:val="nil"/>
              <w:bottom w:val="nil"/>
              <w:right w:val="nil"/>
            </w:tcBorders>
            <w:noWrap/>
            <w:vAlign w:val="center"/>
          </w:tcPr>
          <w:p w14:paraId="090BE2F4">
            <w:pPr>
              <w:spacing w:line="360" w:lineRule="auto"/>
              <w:jc w:val="left"/>
              <w:rPr>
                <w:rFonts w:ascii="宋体" w:hAnsi="宋体" w:cs="宋体"/>
                <w:color w:val="000000"/>
                <w:szCs w:val="21"/>
                <w:highlight w:val="none"/>
              </w:rPr>
            </w:pPr>
          </w:p>
        </w:tc>
        <w:tc>
          <w:tcPr>
            <w:tcW w:w="3144" w:type="dxa"/>
            <w:tcBorders>
              <w:top w:val="single" w:color="000000" w:sz="4" w:space="0"/>
              <w:left w:val="nil"/>
              <w:bottom w:val="nil"/>
              <w:right w:val="nil"/>
            </w:tcBorders>
            <w:noWrap/>
            <w:vAlign w:val="center"/>
          </w:tcPr>
          <w:p w14:paraId="280E7280">
            <w:pPr>
              <w:spacing w:line="360" w:lineRule="auto"/>
              <w:jc w:val="left"/>
              <w:rPr>
                <w:rFonts w:ascii="宋体" w:hAnsi="宋体" w:cs="宋体"/>
                <w:color w:val="000000"/>
                <w:szCs w:val="21"/>
                <w:highlight w:val="none"/>
              </w:rPr>
            </w:pPr>
          </w:p>
        </w:tc>
        <w:tc>
          <w:tcPr>
            <w:tcW w:w="3290" w:type="dxa"/>
            <w:gridSpan w:val="3"/>
            <w:tcBorders>
              <w:top w:val="single" w:color="000000" w:sz="4" w:space="0"/>
              <w:left w:val="nil"/>
              <w:bottom w:val="nil"/>
              <w:right w:val="nil"/>
            </w:tcBorders>
            <w:noWrap/>
            <w:vAlign w:val="center"/>
          </w:tcPr>
          <w:p w14:paraId="4D4B5365">
            <w:pPr>
              <w:spacing w:line="360" w:lineRule="auto"/>
              <w:jc w:val="left"/>
              <w:rPr>
                <w:rFonts w:ascii="宋体" w:hAnsi="宋体" w:cs="宋体"/>
                <w:color w:val="000000"/>
                <w:szCs w:val="21"/>
                <w:highlight w:val="none"/>
              </w:rPr>
            </w:pPr>
          </w:p>
        </w:tc>
        <w:tc>
          <w:tcPr>
            <w:tcW w:w="6651" w:type="dxa"/>
            <w:gridSpan w:val="4"/>
            <w:tcBorders>
              <w:top w:val="nil"/>
              <w:left w:val="nil"/>
              <w:bottom w:val="nil"/>
              <w:right w:val="nil"/>
            </w:tcBorders>
            <w:noWrap/>
            <w:vAlign w:val="center"/>
          </w:tcPr>
          <w:p w14:paraId="5DCB1AB0">
            <w:pPr>
              <w:spacing w:line="360" w:lineRule="auto"/>
              <w:jc w:val="right"/>
              <w:rPr>
                <w:rFonts w:ascii="宋体" w:hAnsi="宋体" w:cs="宋体"/>
                <w:color w:val="000000"/>
                <w:szCs w:val="21"/>
                <w:highlight w:val="none"/>
              </w:rPr>
            </w:pPr>
          </w:p>
        </w:tc>
        <w:tc>
          <w:tcPr>
            <w:tcW w:w="2150" w:type="dxa"/>
            <w:tcBorders>
              <w:top w:val="nil"/>
              <w:left w:val="nil"/>
              <w:bottom w:val="nil"/>
              <w:right w:val="nil"/>
            </w:tcBorders>
            <w:noWrap/>
            <w:vAlign w:val="bottom"/>
          </w:tcPr>
          <w:p w14:paraId="53CBB956">
            <w:pPr>
              <w:widowControl/>
              <w:spacing w:line="360" w:lineRule="auto"/>
              <w:jc w:val="left"/>
              <w:textAlignment w:val="bottom"/>
              <w:rPr>
                <w:rFonts w:ascii="宋体" w:hAnsi="宋体" w:cs="宋体"/>
                <w:color w:val="000000"/>
                <w:szCs w:val="21"/>
                <w:highlight w:val="none"/>
              </w:rPr>
            </w:pPr>
            <w:r>
              <w:rPr>
                <w:rFonts w:hint="eastAsia" w:ascii="宋体" w:hAnsi="宋体" w:cs="宋体"/>
                <w:color w:val="000000"/>
                <w:kern w:val="0"/>
                <w:szCs w:val="21"/>
                <w:highlight w:val="none"/>
                <w:lang w:bidi="ar"/>
              </w:rPr>
              <w:t>考核人：</w:t>
            </w:r>
          </w:p>
        </w:tc>
      </w:tr>
    </w:tbl>
    <w:p w14:paraId="02D23556">
      <w:pPr>
        <w:adjustRightInd w:val="0"/>
        <w:snapToGrid w:val="0"/>
        <w:spacing w:line="440" w:lineRule="exact"/>
        <w:ind w:firstLine="567"/>
        <w:rPr>
          <w:rFonts w:ascii="宋体" w:hAnsi="宋体" w:cs="宋体"/>
          <w:kern w:val="0"/>
          <w:sz w:val="28"/>
          <w:szCs w:val="28"/>
          <w:highlight w:val="none"/>
        </w:rPr>
      </w:pPr>
    </w:p>
    <w:p w14:paraId="10F668A5">
      <w:pPr>
        <w:widowControl/>
        <w:jc w:val="left"/>
        <w:rPr>
          <w:rFonts w:asciiTheme="majorHAnsi" w:hAnsiTheme="majorHAnsi" w:cstheme="majorBidi"/>
          <w:b/>
          <w:bCs/>
          <w:sz w:val="32"/>
          <w:szCs w:val="32"/>
          <w:highlight w:val="none"/>
        </w:rPr>
      </w:pPr>
    </w:p>
    <w:p w14:paraId="31C9D2EF">
      <w:pPr>
        <w:widowControl/>
        <w:jc w:val="left"/>
        <w:rPr>
          <w:rFonts w:asciiTheme="majorHAnsi" w:hAnsiTheme="majorHAnsi" w:cstheme="majorBidi"/>
          <w:b/>
          <w:bCs/>
          <w:sz w:val="32"/>
          <w:szCs w:val="32"/>
          <w:highlight w:val="none"/>
        </w:rPr>
      </w:pPr>
      <w:r>
        <w:rPr>
          <w:rFonts w:hint="eastAsia"/>
          <w:highlight w:val="none"/>
        </w:rPr>
        <w:br w:type="page"/>
      </w:r>
    </w:p>
    <w:p w14:paraId="7DC510E3">
      <w:pPr>
        <w:pStyle w:val="7"/>
        <w:rPr>
          <w:highlight w:val="none"/>
        </w:rPr>
      </w:pPr>
      <w:r>
        <w:rPr>
          <w:rFonts w:hint="eastAsia"/>
          <w:highlight w:val="none"/>
        </w:rPr>
        <w:t>5、道路养护考核办法</w:t>
      </w:r>
    </w:p>
    <w:p w14:paraId="5CF8D87C">
      <w:pPr>
        <w:pStyle w:val="11"/>
        <w:numPr>
          <w:ilvl w:val="0"/>
          <w:numId w:val="1"/>
        </w:numPr>
        <w:spacing w:line="360" w:lineRule="auto"/>
        <w:ind w:firstLine="422" w:firstLineChars="200"/>
        <w:rPr>
          <w:b/>
          <w:bCs/>
          <w:sz w:val="21"/>
          <w:szCs w:val="21"/>
          <w:highlight w:val="none"/>
          <w:lang w:val="en-US"/>
        </w:rPr>
      </w:pPr>
      <w:r>
        <w:rPr>
          <w:rFonts w:hint="eastAsia"/>
          <w:b/>
          <w:bCs/>
          <w:sz w:val="21"/>
          <w:szCs w:val="21"/>
          <w:highlight w:val="none"/>
          <w:lang w:val="en-US"/>
        </w:rPr>
        <w:t>考核扣款</w:t>
      </w:r>
    </w:p>
    <w:p w14:paraId="233FC0DD">
      <w:pPr>
        <w:spacing w:line="360" w:lineRule="auto"/>
        <w:ind w:firstLine="420"/>
        <w:rPr>
          <w:rFonts w:ascii="宋体" w:hAnsi="宋体"/>
          <w:szCs w:val="21"/>
          <w:highlight w:val="none"/>
        </w:rPr>
      </w:pPr>
      <w:r>
        <w:rPr>
          <w:rFonts w:hint="eastAsia" w:ascii="宋体" w:hAnsi="宋体"/>
          <w:szCs w:val="21"/>
          <w:highlight w:val="none"/>
        </w:rPr>
        <w:t>月服务经费支付与考核单位月考核成绩挂钩，每月考核一次，按月支付。月考核成绩分5个等级，95分以上（含95分）按100%支付，94-90分（含90分）按99%支付，89分-85分（含85分）按97%支付，84分-80分（含80分）按95%支付，80分以下的按90%支付，出现连续两次月考核成绩低于80分暂停支付服务费用。情况特别严重的，可终止合同。</w:t>
      </w:r>
    </w:p>
    <w:p w14:paraId="18ACB06D">
      <w:pPr>
        <w:pStyle w:val="11"/>
        <w:spacing w:line="360" w:lineRule="auto"/>
        <w:ind w:firstLine="422" w:firstLineChars="200"/>
        <w:rPr>
          <w:b/>
          <w:bCs/>
          <w:sz w:val="21"/>
          <w:szCs w:val="21"/>
          <w:highlight w:val="none"/>
          <w:lang w:val="en-US"/>
        </w:rPr>
      </w:pPr>
      <w:r>
        <w:rPr>
          <w:rFonts w:hint="eastAsia"/>
          <w:b/>
          <w:bCs/>
          <w:sz w:val="21"/>
          <w:szCs w:val="21"/>
          <w:highlight w:val="none"/>
          <w:lang w:val="en-US"/>
        </w:rPr>
        <w:t>2、考核细则</w:t>
      </w:r>
    </w:p>
    <w:p w14:paraId="70ECADF0">
      <w:pPr>
        <w:pBdr>
          <w:top w:val="none" w:color="000000" w:sz="0" w:space="0"/>
          <w:left w:val="none" w:color="000000" w:sz="0" w:space="0"/>
          <w:bottom w:val="none" w:color="000000" w:sz="0" w:space="0"/>
          <w:right w:val="none" w:color="000000" w:sz="0" w:space="0"/>
        </w:pBdr>
        <w:spacing w:line="360" w:lineRule="auto"/>
        <w:ind w:firstLine="480"/>
        <w:jc w:val="center"/>
        <w:rPr>
          <w:rFonts w:ascii="宋体" w:hAnsi="宋体" w:cs="宋体"/>
          <w:szCs w:val="21"/>
          <w:highlight w:val="none"/>
        </w:rPr>
      </w:pPr>
    </w:p>
    <w:p w14:paraId="0DA06A8B">
      <w:pPr>
        <w:pBdr>
          <w:top w:val="none" w:color="000000" w:sz="0" w:space="0"/>
          <w:left w:val="none" w:color="000000" w:sz="0" w:space="0"/>
          <w:bottom w:val="none" w:color="000000" w:sz="0" w:space="0"/>
          <w:right w:val="none" w:color="000000" w:sz="0" w:space="0"/>
        </w:pBdr>
        <w:spacing w:line="85" w:lineRule="atLeast"/>
        <w:ind w:firstLine="480"/>
        <w:jc w:val="center"/>
        <w:rPr>
          <w:b/>
          <w:bCs/>
          <w:szCs w:val="21"/>
          <w:highlight w:val="none"/>
        </w:rPr>
      </w:pPr>
      <w:r>
        <w:rPr>
          <w:rFonts w:hint="eastAsia" w:ascii="宋体" w:hAnsi="宋体" w:cs="宋体"/>
          <w:b/>
          <w:bCs/>
          <w:szCs w:val="21"/>
          <w:highlight w:val="none"/>
        </w:rPr>
        <w:t xml:space="preserve">表1 </w:t>
      </w:r>
      <w:r>
        <w:rPr>
          <w:rFonts w:ascii="宋体" w:hAnsi="宋体" w:cs="宋体"/>
          <w:b/>
          <w:bCs/>
          <w:szCs w:val="21"/>
          <w:highlight w:val="none"/>
        </w:rPr>
        <w:t>道路桥梁日常</w:t>
      </w:r>
      <w:r>
        <w:rPr>
          <w:rFonts w:hint="eastAsia" w:ascii="宋体" w:hAnsi="宋体" w:cs="宋体"/>
          <w:b/>
          <w:bCs/>
          <w:szCs w:val="21"/>
          <w:highlight w:val="none"/>
        </w:rPr>
        <w:t>（月）</w:t>
      </w:r>
      <w:r>
        <w:rPr>
          <w:rFonts w:ascii="宋体" w:hAnsi="宋体" w:cs="宋体"/>
          <w:b/>
          <w:bCs/>
          <w:szCs w:val="21"/>
          <w:highlight w:val="none"/>
        </w:rPr>
        <w:t>考核汇总表（日常）</w:t>
      </w:r>
    </w:p>
    <w:p w14:paraId="0734C710">
      <w:pPr>
        <w:pBdr>
          <w:top w:val="none" w:color="000000" w:sz="0" w:space="0"/>
          <w:left w:val="none" w:color="000000" w:sz="0" w:space="0"/>
          <w:bottom w:val="none" w:color="000000" w:sz="0" w:space="0"/>
          <w:right w:val="none" w:color="000000" w:sz="0" w:space="0"/>
        </w:pBdr>
        <w:spacing w:line="85" w:lineRule="atLeast"/>
        <w:ind w:firstLine="480"/>
        <w:jc w:val="center"/>
        <w:rPr>
          <w:rFonts w:ascii="宋体" w:hAnsi="宋体" w:cs="宋体"/>
          <w:szCs w:val="21"/>
          <w:highlight w:val="none"/>
        </w:rPr>
      </w:pPr>
    </w:p>
    <w:p w14:paraId="62A38474">
      <w:pPr>
        <w:pBdr>
          <w:top w:val="none" w:color="000000" w:sz="0" w:space="0"/>
          <w:left w:val="none" w:color="000000" w:sz="0" w:space="0"/>
          <w:bottom w:val="none" w:color="000000" w:sz="0" w:space="0"/>
          <w:right w:val="none" w:color="000000" w:sz="0" w:space="0"/>
        </w:pBdr>
        <w:spacing w:line="85" w:lineRule="atLeast"/>
        <w:ind w:firstLine="480"/>
        <w:jc w:val="right"/>
        <w:rPr>
          <w:szCs w:val="21"/>
          <w:highlight w:val="none"/>
        </w:rPr>
      </w:pPr>
      <w:r>
        <w:rPr>
          <w:rFonts w:ascii="宋体" w:hAnsi="宋体" w:cs="宋体"/>
          <w:szCs w:val="21"/>
          <w:highlight w:val="none"/>
        </w:rPr>
        <w:t>（20   年   月）</w:t>
      </w:r>
    </w:p>
    <w:tbl>
      <w:tblPr>
        <w:tblStyle w:val="9"/>
        <w:tblW w:w="0" w:type="auto"/>
        <w:tblInd w:w="532"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0" w:type="dxa"/>
          <w:bottom w:w="0" w:type="dxa"/>
          <w:right w:w="0" w:type="dxa"/>
        </w:tblCellMar>
      </w:tblPr>
      <w:tblGrid>
        <w:gridCol w:w="814"/>
        <w:gridCol w:w="3131"/>
        <w:gridCol w:w="1553"/>
        <w:gridCol w:w="1175"/>
        <w:gridCol w:w="1213"/>
        <w:gridCol w:w="1304"/>
      </w:tblGrid>
      <w:tr w14:paraId="77C1D69F">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rPr>
          <w:trHeight w:val="313" w:hRule="atLeast"/>
        </w:trPr>
        <w:tc>
          <w:tcPr>
            <w:tcW w:w="814" w:type="dxa"/>
            <w:tcBorders>
              <w:top w:val="single" w:color="000000" w:sz="8" w:space="0"/>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9E170F2">
            <w:pPr>
              <w:pBdr>
                <w:top w:val="none" w:color="000000" w:sz="0" w:space="0"/>
                <w:left w:val="none" w:color="000000" w:sz="0" w:space="0"/>
                <w:bottom w:val="none" w:color="000000" w:sz="0" w:space="0"/>
                <w:right w:val="none" w:color="000000" w:sz="0" w:space="0"/>
              </w:pBdr>
              <w:spacing w:line="85" w:lineRule="atLeast"/>
              <w:rPr>
                <w:szCs w:val="21"/>
                <w:highlight w:val="none"/>
              </w:rPr>
            </w:pPr>
            <w:r>
              <w:rPr>
                <w:rFonts w:ascii="宋体" w:hAnsi="宋体" w:cs="宋体"/>
                <w:szCs w:val="21"/>
                <w:highlight w:val="none"/>
              </w:rPr>
              <w:t>序号</w:t>
            </w:r>
          </w:p>
        </w:tc>
        <w:tc>
          <w:tcPr>
            <w:tcW w:w="3131"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81E9B67">
            <w:pPr>
              <w:pBdr>
                <w:top w:val="none" w:color="000000" w:sz="0" w:space="0"/>
                <w:left w:val="none" w:color="000000" w:sz="0" w:space="0"/>
                <w:bottom w:val="none" w:color="000000" w:sz="0" w:space="0"/>
                <w:right w:val="none" w:color="000000" w:sz="0" w:space="0"/>
              </w:pBdr>
              <w:spacing w:line="85" w:lineRule="atLeast"/>
              <w:rPr>
                <w:szCs w:val="21"/>
                <w:highlight w:val="none"/>
              </w:rPr>
            </w:pPr>
            <w:r>
              <w:rPr>
                <w:rFonts w:ascii="宋体" w:hAnsi="宋体" w:cs="宋体"/>
                <w:szCs w:val="21"/>
                <w:highlight w:val="none"/>
              </w:rPr>
              <w:t>考核项目</w:t>
            </w:r>
          </w:p>
        </w:tc>
        <w:tc>
          <w:tcPr>
            <w:tcW w:w="1553"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3861980">
            <w:pPr>
              <w:pBdr>
                <w:top w:val="none" w:color="000000" w:sz="0" w:space="0"/>
                <w:left w:val="none" w:color="000000" w:sz="0" w:space="0"/>
                <w:bottom w:val="none" w:color="000000" w:sz="0" w:space="0"/>
                <w:right w:val="none" w:color="000000" w:sz="0" w:space="0"/>
              </w:pBdr>
              <w:spacing w:line="85" w:lineRule="atLeast"/>
              <w:rPr>
                <w:szCs w:val="21"/>
                <w:highlight w:val="none"/>
              </w:rPr>
            </w:pPr>
            <w:r>
              <w:rPr>
                <w:rFonts w:ascii="宋体" w:hAnsi="宋体" w:cs="宋体"/>
                <w:szCs w:val="21"/>
                <w:highlight w:val="none"/>
              </w:rPr>
              <w:t>单项得分</w:t>
            </w:r>
          </w:p>
        </w:tc>
        <w:tc>
          <w:tcPr>
            <w:tcW w:w="1175"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57DA69A">
            <w:pPr>
              <w:pBdr>
                <w:top w:val="none" w:color="000000" w:sz="0" w:space="0"/>
                <w:left w:val="none" w:color="000000" w:sz="0" w:space="0"/>
                <w:bottom w:val="none" w:color="000000" w:sz="0" w:space="0"/>
                <w:right w:val="none" w:color="000000" w:sz="0" w:space="0"/>
              </w:pBdr>
              <w:spacing w:line="85" w:lineRule="atLeast"/>
              <w:rPr>
                <w:szCs w:val="21"/>
                <w:highlight w:val="none"/>
              </w:rPr>
            </w:pPr>
            <w:r>
              <w:rPr>
                <w:rFonts w:ascii="宋体" w:hAnsi="宋体" w:cs="宋体"/>
                <w:szCs w:val="21"/>
                <w:highlight w:val="none"/>
              </w:rPr>
              <w:t>权重</w:t>
            </w:r>
          </w:p>
        </w:tc>
        <w:tc>
          <w:tcPr>
            <w:tcW w:w="1213"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4E4A758">
            <w:pPr>
              <w:pBdr>
                <w:top w:val="none" w:color="000000" w:sz="0" w:space="0"/>
                <w:left w:val="none" w:color="000000" w:sz="0" w:space="0"/>
                <w:bottom w:val="none" w:color="000000" w:sz="0" w:space="0"/>
                <w:right w:val="none" w:color="000000" w:sz="0" w:space="0"/>
              </w:pBdr>
              <w:spacing w:line="85" w:lineRule="atLeast"/>
              <w:rPr>
                <w:szCs w:val="21"/>
                <w:highlight w:val="none"/>
              </w:rPr>
            </w:pPr>
            <w:r>
              <w:rPr>
                <w:rFonts w:ascii="宋体" w:hAnsi="宋体" w:cs="宋体"/>
                <w:szCs w:val="21"/>
                <w:highlight w:val="none"/>
              </w:rPr>
              <w:t>得分</w:t>
            </w:r>
          </w:p>
        </w:tc>
        <w:tc>
          <w:tcPr>
            <w:tcW w:w="1304"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2D527D6">
            <w:pPr>
              <w:pBdr>
                <w:top w:val="none" w:color="000000" w:sz="0" w:space="0"/>
                <w:left w:val="none" w:color="000000" w:sz="0" w:space="0"/>
                <w:bottom w:val="none" w:color="000000" w:sz="0" w:space="0"/>
                <w:right w:val="none" w:color="000000" w:sz="0" w:space="0"/>
              </w:pBdr>
              <w:spacing w:line="85" w:lineRule="atLeast"/>
              <w:rPr>
                <w:szCs w:val="21"/>
                <w:highlight w:val="none"/>
              </w:rPr>
            </w:pPr>
            <w:r>
              <w:rPr>
                <w:rFonts w:ascii="宋体" w:hAnsi="宋体" w:cs="宋体"/>
                <w:szCs w:val="21"/>
                <w:highlight w:val="none"/>
              </w:rPr>
              <w:t>备注</w:t>
            </w:r>
          </w:p>
        </w:tc>
      </w:tr>
      <w:tr w14:paraId="0E3DFEB1">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rPr>
          <w:trHeight w:val="301" w:hRule="atLeast"/>
        </w:trPr>
        <w:tc>
          <w:tcPr>
            <w:tcW w:w="814"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3511CD1">
            <w:pPr>
              <w:pBdr>
                <w:top w:val="none" w:color="000000" w:sz="0" w:space="0"/>
                <w:left w:val="none" w:color="000000" w:sz="0" w:space="0"/>
                <w:bottom w:val="none" w:color="000000" w:sz="0" w:space="0"/>
                <w:right w:val="none" w:color="000000" w:sz="0" w:space="0"/>
              </w:pBdr>
              <w:spacing w:line="85" w:lineRule="atLeast"/>
              <w:rPr>
                <w:szCs w:val="21"/>
                <w:highlight w:val="none"/>
              </w:rPr>
            </w:pPr>
            <w:r>
              <w:rPr>
                <w:rFonts w:ascii="宋体" w:hAnsi="宋体" w:cs="宋体"/>
                <w:szCs w:val="21"/>
                <w:highlight w:val="none"/>
              </w:rPr>
              <w:t>1</w:t>
            </w:r>
          </w:p>
        </w:tc>
        <w:tc>
          <w:tcPr>
            <w:tcW w:w="3131" w:type="dxa"/>
            <w:tcBorders>
              <w:bottom w:val="single" w:color="000000" w:sz="8" w:space="0"/>
              <w:right w:val="single" w:color="000000" w:sz="8" w:space="0"/>
            </w:tcBorders>
            <w:noWrap/>
            <w:tcMar>
              <w:top w:w="0" w:type="dxa"/>
              <w:left w:w="108" w:type="dxa"/>
              <w:bottom w:w="0" w:type="dxa"/>
              <w:right w:w="108" w:type="dxa"/>
            </w:tcMar>
            <w:vAlign w:val="center"/>
          </w:tcPr>
          <w:p w14:paraId="34565B7A">
            <w:pPr>
              <w:pBdr>
                <w:top w:val="none" w:color="000000" w:sz="0" w:space="0"/>
                <w:left w:val="none" w:color="000000" w:sz="0" w:space="0"/>
                <w:bottom w:val="none" w:color="000000" w:sz="0" w:space="0"/>
                <w:right w:val="none" w:color="000000" w:sz="0" w:space="0"/>
              </w:pBdr>
              <w:spacing w:line="85" w:lineRule="atLeast"/>
              <w:rPr>
                <w:szCs w:val="21"/>
                <w:highlight w:val="none"/>
              </w:rPr>
            </w:pPr>
            <w:r>
              <w:rPr>
                <w:rFonts w:ascii="宋体" w:hAnsi="宋体" w:cs="宋体"/>
                <w:szCs w:val="21"/>
                <w:highlight w:val="none"/>
              </w:rPr>
              <w:t>设施巡查</w:t>
            </w:r>
          </w:p>
        </w:tc>
        <w:tc>
          <w:tcPr>
            <w:tcW w:w="1553" w:type="dxa"/>
            <w:tcBorders>
              <w:bottom w:val="single" w:color="000000" w:sz="8" w:space="0"/>
              <w:right w:val="single" w:color="000000" w:sz="8" w:space="0"/>
            </w:tcBorders>
            <w:noWrap/>
            <w:tcMar>
              <w:top w:w="0" w:type="dxa"/>
              <w:left w:w="108" w:type="dxa"/>
              <w:bottom w:w="0" w:type="dxa"/>
              <w:right w:w="108" w:type="dxa"/>
            </w:tcMar>
            <w:vAlign w:val="center"/>
          </w:tcPr>
          <w:p w14:paraId="177A8343">
            <w:pPr>
              <w:pBdr>
                <w:top w:val="none" w:color="000000" w:sz="0" w:space="0"/>
                <w:left w:val="none" w:color="000000" w:sz="0" w:space="0"/>
                <w:bottom w:val="none" w:color="000000" w:sz="0" w:space="0"/>
                <w:right w:val="none" w:color="000000" w:sz="0" w:space="0"/>
              </w:pBdr>
              <w:spacing w:line="85" w:lineRule="atLeast"/>
              <w:rPr>
                <w:szCs w:val="21"/>
                <w:highlight w:val="none"/>
              </w:rPr>
            </w:pPr>
          </w:p>
        </w:tc>
        <w:tc>
          <w:tcPr>
            <w:tcW w:w="1175" w:type="dxa"/>
            <w:tcBorders>
              <w:bottom w:val="single" w:color="000000" w:sz="8" w:space="0"/>
              <w:right w:val="single" w:color="000000" w:sz="8" w:space="0"/>
            </w:tcBorders>
            <w:noWrap/>
            <w:tcMar>
              <w:top w:w="0" w:type="dxa"/>
              <w:left w:w="108" w:type="dxa"/>
              <w:bottom w:w="0" w:type="dxa"/>
              <w:right w:w="108" w:type="dxa"/>
            </w:tcMar>
            <w:vAlign w:val="center"/>
          </w:tcPr>
          <w:p w14:paraId="52B5520C">
            <w:pPr>
              <w:pBdr>
                <w:top w:val="none" w:color="000000" w:sz="0" w:space="0"/>
                <w:left w:val="none" w:color="000000" w:sz="0" w:space="0"/>
                <w:bottom w:val="none" w:color="000000" w:sz="0" w:space="0"/>
                <w:right w:val="none" w:color="000000" w:sz="0" w:space="0"/>
              </w:pBdr>
              <w:spacing w:line="85" w:lineRule="atLeast"/>
              <w:rPr>
                <w:szCs w:val="21"/>
                <w:highlight w:val="none"/>
              </w:rPr>
            </w:pPr>
            <w:r>
              <w:rPr>
                <w:rFonts w:ascii="宋体" w:hAnsi="宋体" w:cs="宋体"/>
                <w:szCs w:val="21"/>
                <w:highlight w:val="none"/>
              </w:rPr>
              <w:t>20%</w:t>
            </w:r>
          </w:p>
        </w:tc>
        <w:tc>
          <w:tcPr>
            <w:tcW w:w="1213" w:type="dxa"/>
            <w:tcBorders>
              <w:bottom w:val="single" w:color="000000" w:sz="8" w:space="0"/>
              <w:right w:val="single" w:color="000000" w:sz="8" w:space="0"/>
            </w:tcBorders>
            <w:noWrap/>
            <w:tcMar>
              <w:top w:w="0" w:type="dxa"/>
              <w:left w:w="108" w:type="dxa"/>
              <w:bottom w:w="0" w:type="dxa"/>
              <w:right w:w="108" w:type="dxa"/>
            </w:tcMar>
            <w:vAlign w:val="center"/>
          </w:tcPr>
          <w:p w14:paraId="40416A1D">
            <w:pPr>
              <w:pBdr>
                <w:top w:val="none" w:color="000000" w:sz="0" w:space="0"/>
                <w:left w:val="none" w:color="000000" w:sz="0" w:space="0"/>
                <w:bottom w:val="none" w:color="000000" w:sz="0" w:space="0"/>
                <w:right w:val="none" w:color="000000" w:sz="0" w:space="0"/>
              </w:pBdr>
              <w:spacing w:line="85" w:lineRule="atLeast"/>
              <w:rPr>
                <w:szCs w:val="21"/>
                <w:highlight w:val="none"/>
              </w:rPr>
            </w:pPr>
          </w:p>
        </w:tc>
        <w:tc>
          <w:tcPr>
            <w:tcW w:w="1304" w:type="dxa"/>
            <w:tcBorders>
              <w:bottom w:val="single" w:color="000000" w:sz="8" w:space="0"/>
              <w:right w:val="single" w:color="000000" w:sz="8" w:space="0"/>
            </w:tcBorders>
            <w:noWrap/>
            <w:tcMar>
              <w:top w:w="0" w:type="dxa"/>
              <w:left w:w="108" w:type="dxa"/>
              <w:bottom w:w="0" w:type="dxa"/>
              <w:right w:w="108" w:type="dxa"/>
            </w:tcMar>
            <w:vAlign w:val="center"/>
          </w:tcPr>
          <w:p w14:paraId="798CC0AF">
            <w:pPr>
              <w:pBdr>
                <w:top w:val="none" w:color="000000" w:sz="0" w:space="0"/>
                <w:left w:val="none" w:color="000000" w:sz="0" w:space="0"/>
                <w:bottom w:val="none" w:color="000000" w:sz="0" w:space="0"/>
                <w:right w:val="none" w:color="000000" w:sz="0" w:space="0"/>
              </w:pBdr>
              <w:spacing w:line="85" w:lineRule="atLeast"/>
              <w:rPr>
                <w:szCs w:val="21"/>
                <w:highlight w:val="none"/>
              </w:rPr>
            </w:pPr>
          </w:p>
        </w:tc>
      </w:tr>
      <w:tr w14:paraId="637F94BF">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rPr>
          <w:trHeight w:val="313" w:hRule="atLeast"/>
        </w:trPr>
        <w:tc>
          <w:tcPr>
            <w:tcW w:w="814"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38DF6CA">
            <w:pPr>
              <w:pBdr>
                <w:top w:val="none" w:color="000000" w:sz="0" w:space="0"/>
                <w:left w:val="none" w:color="000000" w:sz="0" w:space="0"/>
                <w:bottom w:val="none" w:color="000000" w:sz="0" w:space="0"/>
                <w:right w:val="none" w:color="000000" w:sz="0" w:space="0"/>
              </w:pBdr>
              <w:spacing w:line="85" w:lineRule="atLeast"/>
              <w:rPr>
                <w:szCs w:val="21"/>
                <w:highlight w:val="none"/>
              </w:rPr>
            </w:pPr>
            <w:r>
              <w:rPr>
                <w:rFonts w:ascii="宋体" w:hAnsi="宋体" w:cs="宋体"/>
                <w:szCs w:val="21"/>
                <w:highlight w:val="none"/>
              </w:rPr>
              <w:t>2</w:t>
            </w:r>
          </w:p>
        </w:tc>
        <w:tc>
          <w:tcPr>
            <w:tcW w:w="3131" w:type="dxa"/>
            <w:tcBorders>
              <w:bottom w:val="single" w:color="000000" w:sz="8" w:space="0"/>
              <w:right w:val="single" w:color="000000" w:sz="8" w:space="0"/>
            </w:tcBorders>
            <w:noWrap/>
            <w:tcMar>
              <w:top w:w="0" w:type="dxa"/>
              <w:left w:w="108" w:type="dxa"/>
              <w:bottom w:w="0" w:type="dxa"/>
              <w:right w:w="108" w:type="dxa"/>
            </w:tcMar>
            <w:vAlign w:val="center"/>
          </w:tcPr>
          <w:p w14:paraId="19F18CD3">
            <w:pPr>
              <w:pBdr>
                <w:top w:val="none" w:color="000000" w:sz="0" w:space="0"/>
                <w:left w:val="none" w:color="000000" w:sz="0" w:space="0"/>
                <w:bottom w:val="none" w:color="000000" w:sz="0" w:space="0"/>
                <w:right w:val="none" w:color="000000" w:sz="0" w:space="0"/>
              </w:pBdr>
              <w:spacing w:line="85" w:lineRule="atLeast"/>
              <w:rPr>
                <w:szCs w:val="21"/>
                <w:highlight w:val="none"/>
              </w:rPr>
            </w:pPr>
            <w:r>
              <w:rPr>
                <w:rFonts w:ascii="宋体" w:hAnsi="宋体" w:cs="宋体"/>
                <w:szCs w:val="21"/>
                <w:highlight w:val="none"/>
              </w:rPr>
              <w:t>设施维护</w:t>
            </w:r>
          </w:p>
        </w:tc>
        <w:tc>
          <w:tcPr>
            <w:tcW w:w="1553" w:type="dxa"/>
            <w:tcBorders>
              <w:bottom w:val="single" w:color="000000" w:sz="8" w:space="0"/>
              <w:right w:val="single" w:color="000000" w:sz="8" w:space="0"/>
            </w:tcBorders>
            <w:noWrap/>
            <w:tcMar>
              <w:top w:w="0" w:type="dxa"/>
              <w:left w:w="108" w:type="dxa"/>
              <w:bottom w:w="0" w:type="dxa"/>
              <w:right w:w="108" w:type="dxa"/>
            </w:tcMar>
            <w:vAlign w:val="center"/>
          </w:tcPr>
          <w:p w14:paraId="37F5D943">
            <w:pPr>
              <w:pBdr>
                <w:top w:val="none" w:color="000000" w:sz="0" w:space="0"/>
                <w:left w:val="none" w:color="000000" w:sz="0" w:space="0"/>
                <w:bottom w:val="none" w:color="000000" w:sz="0" w:space="0"/>
                <w:right w:val="none" w:color="000000" w:sz="0" w:space="0"/>
              </w:pBdr>
              <w:spacing w:line="85" w:lineRule="atLeast"/>
              <w:rPr>
                <w:szCs w:val="21"/>
                <w:highlight w:val="none"/>
              </w:rPr>
            </w:pPr>
          </w:p>
        </w:tc>
        <w:tc>
          <w:tcPr>
            <w:tcW w:w="1175" w:type="dxa"/>
            <w:tcBorders>
              <w:bottom w:val="single" w:color="000000" w:sz="8" w:space="0"/>
              <w:right w:val="single" w:color="000000" w:sz="8" w:space="0"/>
            </w:tcBorders>
            <w:noWrap/>
            <w:tcMar>
              <w:top w:w="0" w:type="dxa"/>
              <w:left w:w="108" w:type="dxa"/>
              <w:bottom w:w="0" w:type="dxa"/>
              <w:right w:w="108" w:type="dxa"/>
            </w:tcMar>
            <w:vAlign w:val="center"/>
          </w:tcPr>
          <w:p w14:paraId="539AAEB4">
            <w:pPr>
              <w:pBdr>
                <w:top w:val="none" w:color="000000" w:sz="0" w:space="0"/>
                <w:left w:val="none" w:color="000000" w:sz="0" w:space="0"/>
                <w:bottom w:val="none" w:color="000000" w:sz="0" w:space="0"/>
                <w:right w:val="none" w:color="000000" w:sz="0" w:space="0"/>
              </w:pBdr>
              <w:spacing w:line="85" w:lineRule="atLeast"/>
              <w:rPr>
                <w:szCs w:val="21"/>
                <w:highlight w:val="none"/>
              </w:rPr>
            </w:pPr>
            <w:r>
              <w:rPr>
                <w:rFonts w:ascii="宋体" w:hAnsi="宋体" w:cs="宋体"/>
                <w:szCs w:val="21"/>
                <w:highlight w:val="none"/>
              </w:rPr>
              <w:t>20%</w:t>
            </w:r>
          </w:p>
        </w:tc>
        <w:tc>
          <w:tcPr>
            <w:tcW w:w="1213" w:type="dxa"/>
            <w:tcBorders>
              <w:bottom w:val="single" w:color="000000" w:sz="8" w:space="0"/>
              <w:right w:val="single" w:color="000000" w:sz="8" w:space="0"/>
            </w:tcBorders>
            <w:noWrap/>
            <w:tcMar>
              <w:top w:w="0" w:type="dxa"/>
              <w:left w:w="108" w:type="dxa"/>
              <w:bottom w:w="0" w:type="dxa"/>
              <w:right w:w="108" w:type="dxa"/>
            </w:tcMar>
            <w:vAlign w:val="center"/>
          </w:tcPr>
          <w:p w14:paraId="24802720">
            <w:pPr>
              <w:pBdr>
                <w:top w:val="none" w:color="000000" w:sz="0" w:space="0"/>
                <w:left w:val="none" w:color="000000" w:sz="0" w:space="0"/>
                <w:bottom w:val="none" w:color="000000" w:sz="0" w:space="0"/>
                <w:right w:val="none" w:color="000000" w:sz="0" w:space="0"/>
              </w:pBdr>
              <w:spacing w:line="85" w:lineRule="atLeast"/>
              <w:rPr>
                <w:szCs w:val="21"/>
                <w:highlight w:val="none"/>
              </w:rPr>
            </w:pPr>
          </w:p>
        </w:tc>
        <w:tc>
          <w:tcPr>
            <w:tcW w:w="1304" w:type="dxa"/>
            <w:tcBorders>
              <w:bottom w:val="single" w:color="000000" w:sz="8" w:space="0"/>
              <w:right w:val="single" w:color="000000" w:sz="8" w:space="0"/>
            </w:tcBorders>
            <w:noWrap/>
            <w:tcMar>
              <w:top w:w="0" w:type="dxa"/>
              <w:left w:w="108" w:type="dxa"/>
              <w:bottom w:w="0" w:type="dxa"/>
              <w:right w:w="108" w:type="dxa"/>
            </w:tcMar>
            <w:vAlign w:val="center"/>
          </w:tcPr>
          <w:p w14:paraId="13C8F8A3">
            <w:pPr>
              <w:pBdr>
                <w:top w:val="none" w:color="000000" w:sz="0" w:space="0"/>
                <w:left w:val="none" w:color="000000" w:sz="0" w:space="0"/>
                <w:bottom w:val="none" w:color="000000" w:sz="0" w:space="0"/>
                <w:right w:val="none" w:color="000000" w:sz="0" w:space="0"/>
              </w:pBdr>
              <w:spacing w:line="85" w:lineRule="atLeast"/>
              <w:rPr>
                <w:szCs w:val="21"/>
                <w:highlight w:val="none"/>
              </w:rPr>
            </w:pPr>
          </w:p>
        </w:tc>
      </w:tr>
      <w:tr w14:paraId="0201B9EC">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rPr>
          <w:trHeight w:val="301" w:hRule="atLeast"/>
        </w:trPr>
        <w:tc>
          <w:tcPr>
            <w:tcW w:w="814"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F05A468">
            <w:pPr>
              <w:pBdr>
                <w:top w:val="none" w:color="000000" w:sz="0" w:space="0"/>
                <w:left w:val="none" w:color="000000" w:sz="0" w:space="0"/>
                <w:bottom w:val="none" w:color="000000" w:sz="0" w:space="0"/>
                <w:right w:val="none" w:color="000000" w:sz="0" w:space="0"/>
              </w:pBdr>
              <w:spacing w:line="85" w:lineRule="atLeast"/>
              <w:rPr>
                <w:szCs w:val="21"/>
                <w:highlight w:val="none"/>
              </w:rPr>
            </w:pPr>
            <w:r>
              <w:rPr>
                <w:rFonts w:ascii="宋体" w:hAnsi="宋体" w:cs="宋体"/>
                <w:szCs w:val="21"/>
                <w:highlight w:val="none"/>
              </w:rPr>
              <w:t>3</w:t>
            </w:r>
          </w:p>
        </w:tc>
        <w:tc>
          <w:tcPr>
            <w:tcW w:w="3131" w:type="dxa"/>
            <w:tcBorders>
              <w:bottom w:val="single" w:color="000000" w:sz="8" w:space="0"/>
              <w:right w:val="single" w:color="000000" w:sz="8" w:space="0"/>
            </w:tcBorders>
            <w:noWrap/>
            <w:tcMar>
              <w:top w:w="0" w:type="dxa"/>
              <w:left w:w="108" w:type="dxa"/>
              <w:bottom w:w="0" w:type="dxa"/>
              <w:right w:w="108" w:type="dxa"/>
            </w:tcMar>
            <w:vAlign w:val="center"/>
          </w:tcPr>
          <w:p w14:paraId="02668EE7">
            <w:pPr>
              <w:pBdr>
                <w:top w:val="none" w:color="000000" w:sz="0" w:space="0"/>
                <w:left w:val="none" w:color="000000" w:sz="0" w:space="0"/>
                <w:bottom w:val="none" w:color="000000" w:sz="0" w:space="0"/>
                <w:right w:val="none" w:color="000000" w:sz="0" w:space="0"/>
              </w:pBdr>
              <w:spacing w:line="85" w:lineRule="atLeast"/>
              <w:rPr>
                <w:szCs w:val="21"/>
                <w:highlight w:val="none"/>
              </w:rPr>
            </w:pPr>
            <w:r>
              <w:rPr>
                <w:rFonts w:ascii="宋体" w:hAnsi="宋体" w:cs="宋体"/>
                <w:szCs w:val="21"/>
                <w:highlight w:val="none"/>
              </w:rPr>
              <w:t>设施完好率</w:t>
            </w:r>
          </w:p>
        </w:tc>
        <w:tc>
          <w:tcPr>
            <w:tcW w:w="1553" w:type="dxa"/>
            <w:tcBorders>
              <w:bottom w:val="single" w:color="000000" w:sz="8" w:space="0"/>
              <w:right w:val="single" w:color="000000" w:sz="8" w:space="0"/>
            </w:tcBorders>
            <w:noWrap/>
            <w:tcMar>
              <w:top w:w="0" w:type="dxa"/>
              <w:left w:w="108" w:type="dxa"/>
              <w:bottom w:w="0" w:type="dxa"/>
              <w:right w:w="108" w:type="dxa"/>
            </w:tcMar>
            <w:vAlign w:val="center"/>
          </w:tcPr>
          <w:p w14:paraId="673CEAD2">
            <w:pPr>
              <w:pBdr>
                <w:top w:val="none" w:color="000000" w:sz="0" w:space="0"/>
                <w:left w:val="none" w:color="000000" w:sz="0" w:space="0"/>
                <w:bottom w:val="none" w:color="000000" w:sz="0" w:space="0"/>
                <w:right w:val="none" w:color="000000" w:sz="0" w:space="0"/>
              </w:pBdr>
              <w:spacing w:line="85" w:lineRule="atLeast"/>
              <w:rPr>
                <w:szCs w:val="21"/>
                <w:highlight w:val="none"/>
              </w:rPr>
            </w:pPr>
          </w:p>
        </w:tc>
        <w:tc>
          <w:tcPr>
            <w:tcW w:w="1175" w:type="dxa"/>
            <w:tcBorders>
              <w:bottom w:val="single" w:color="000000" w:sz="8" w:space="0"/>
              <w:right w:val="single" w:color="000000" w:sz="8" w:space="0"/>
            </w:tcBorders>
            <w:noWrap/>
            <w:tcMar>
              <w:top w:w="0" w:type="dxa"/>
              <w:left w:w="108" w:type="dxa"/>
              <w:bottom w:w="0" w:type="dxa"/>
              <w:right w:w="108" w:type="dxa"/>
            </w:tcMar>
            <w:vAlign w:val="center"/>
          </w:tcPr>
          <w:p w14:paraId="0DA988A5">
            <w:pPr>
              <w:pBdr>
                <w:top w:val="none" w:color="000000" w:sz="0" w:space="0"/>
                <w:left w:val="none" w:color="000000" w:sz="0" w:space="0"/>
                <w:bottom w:val="none" w:color="000000" w:sz="0" w:space="0"/>
                <w:right w:val="none" w:color="000000" w:sz="0" w:space="0"/>
              </w:pBdr>
              <w:spacing w:line="85" w:lineRule="atLeast"/>
              <w:rPr>
                <w:szCs w:val="21"/>
                <w:highlight w:val="none"/>
              </w:rPr>
            </w:pPr>
            <w:r>
              <w:rPr>
                <w:rFonts w:ascii="宋体" w:hAnsi="宋体" w:cs="宋体"/>
                <w:szCs w:val="21"/>
                <w:highlight w:val="none"/>
              </w:rPr>
              <w:t>60%</w:t>
            </w:r>
          </w:p>
        </w:tc>
        <w:tc>
          <w:tcPr>
            <w:tcW w:w="1213" w:type="dxa"/>
            <w:tcBorders>
              <w:bottom w:val="single" w:color="000000" w:sz="8" w:space="0"/>
              <w:right w:val="single" w:color="000000" w:sz="8" w:space="0"/>
            </w:tcBorders>
            <w:noWrap/>
            <w:tcMar>
              <w:top w:w="0" w:type="dxa"/>
              <w:left w:w="108" w:type="dxa"/>
              <w:bottom w:w="0" w:type="dxa"/>
              <w:right w:w="108" w:type="dxa"/>
            </w:tcMar>
            <w:vAlign w:val="center"/>
          </w:tcPr>
          <w:p w14:paraId="770BC42C">
            <w:pPr>
              <w:pBdr>
                <w:top w:val="none" w:color="000000" w:sz="0" w:space="0"/>
                <w:left w:val="none" w:color="000000" w:sz="0" w:space="0"/>
                <w:bottom w:val="none" w:color="000000" w:sz="0" w:space="0"/>
                <w:right w:val="none" w:color="000000" w:sz="0" w:space="0"/>
              </w:pBdr>
              <w:spacing w:line="85" w:lineRule="atLeast"/>
              <w:rPr>
                <w:szCs w:val="21"/>
                <w:highlight w:val="none"/>
              </w:rPr>
            </w:pPr>
          </w:p>
        </w:tc>
        <w:tc>
          <w:tcPr>
            <w:tcW w:w="1304" w:type="dxa"/>
            <w:tcBorders>
              <w:bottom w:val="single" w:color="000000" w:sz="8" w:space="0"/>
              <w:right w:val="single" w:color="000000" w:sz="8" w:space="0"/>
            </w:tcBorders>
            <w:noWrap/>
            <w:tcMar>
              <w:top w:w="0" w:type="dxa"/>
              <w:left w:w="108" w:type="dxa"/>
              <w:bottom w:w="0" w:type="dxa"/>
              <w:right w:w="108" w:type="dxa"/>
            </w:tcMar>
            <w:vAlign w:val="center"/>
          </w:tcPr>
          <w:p w14:paraId="50DC8918">
            <w:pPr>
              <w:pBdr>
                <w:top w:val="none" w:color="000000" w:sz="0" w:space="0"/>
                <w:left w:val="none" w:color="000000" w:sz="0" w:space="0"/>
                <w:bottom w:val="none" w:color="000000" w:sz="0" w:space="0"/>
                <w:right w:val="none" w:color="000000" w:sz="0" w:space="0"/>
              </w:pBdr>
              <w:spacing w:line="85" w:lineRule="atLeast"/>
              <w:rPr>
                <w:szCs w:val="21"/>
                <w:highlight w:val="none"/>
              </w:rPr>
            </w:pPr>
          </w:p>
        </w:tc>
      </w:tr>
      <w:tr w14:paraId="440BD9C9">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rPr>
          <w:trHeight w:val="313" w:hRule="atLeast"/>
        </w:trPr>
        <w:tc>
          <w:tcPr>
            <w:tcW w:w="814"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9BD58C6">
            <w:pPr>
              <w:pBdr>
                <w:top w:val="none" w:color="000000" w:sz="0" w:space="0"/>
                <w:left w:val="none" w:color="000000" w:sz="0" w:space="0"/>
                <w:bottom w:val="none" w:color="000000" w:sz="0" w:space="0"/>
                <w:right w:val="none" w:color="000000" w:sz="0" w:space="0"/>
              </w:pBdr>
              <w:spacing w:line="85" w:lineRule="atLeast"/>
              <w:rPr>
                <w:szCs w:val="21"/>
                <w:highlight w:val="none"/>
              </w:rPr>
            </w:pPr>
            <w:r>
              <w:rPr>
                <w:rFonts w:ascii="宋体" w:hAnsi="宋体" w:cs="宋体"/>
                <w:szCs w:val="21"/>
                <w:highlight w:val="none"/>
              </w:rPr>
              <w:t>4</w:t>
            </w:r>
          </w:p>
        </w:tc>
        <w:tc>
          <w:tcPr>
            <w:tcW w:w="3131" w:type="dxa"/>
            <w:tcBorders>
              <w:bottom w:val="single" w:color="000000" w:sz="8" w:space="0"/>
              <w:right w:val="single" w:color="000000" w:sz="8" w:space="0"/>
            </w:tcBorders>
            <w:noWrap/>
            <w:tcMar>
              <w:top w:w="0" w:type="dxa"/>
              <w:left w:w="108" w:type="dxa"/>
              <w:bottom w:w="0" w:type="dxa"/>
              <w:right w:w="108" w:type="dxa"/>
            </w:tcMar>
            <w:vAlign w:val="center"/>
          </w:tcPr>
          <w:p w14:paraId="45F8EA51">
            <w:pPr>
              <w:pBdr>
                <w:top w:val="none" w:color="000000" w:sz="0" w:space="0"/>
                <w:left w:val="none" w:color="000000" w:sz="0" w:space="0"/>
                <w:bottom w:val="none" w:color="000000" w:sz="0" w:space="0"/>
                <w:right w:val="none" w:color="000000" w:sz="0" w:space="0"/>
              </w:pBdr>
              <w:spacing w:line="85" w:lineRule="atLeast"/>
              <w:rPr>
                <w:szCs w:val="21"/>
                <w:highlight w:val="none"/>
              </w:rPr>
            </w:pPr>
            <w:r>
              <w:rPr>
                <w:rFonts w:ascii="宋体" w:hAnsi="宋体" w:cs="宋体"/>
                <w:szCs w:val="21"/>
                <w:highlight w:val="none"/>
              </w:rPr>
              <w:t>月得分合计</w:t>
            </w:r>
          </w:p>
        </w:tc>
        <w:tc>
          <w:tcPr>
            <w:tcW w:w="3941" w:type="dxa"/>
            <w:gridSpan w:val="3"/>
            <w:tcBorders>
              <w:bottom w:val="single" w:color="000000" w:sz="8" w:space="0"/>
              <w:right w:val="single" w:color="000000" w:sz="8" w:space="0"/>
            </w:tcBorders>
            <w:noWrap/>
            <w:tcMar>
              <w:top w:w="0" w:type="dxa"/>
              <w:left w:w="108" w:type="dxa"/>
              <w:bottom w:w="0" w:type="dxa"/>
              <w:right w:w="108" w:type="dxa"/>
            </w:tcMar>
            <w:vAlign w:val="center"/>
          </w:tcPr>
          <w:p w14:paraId="3ED04BF4">
            <w:pPr>
              <w:pBdr>
                <w:top w:val="none" w:color="000000" w:sz="0" w:space="0"/>
                <w:left w:val="none" w:color="000000" w:sz="0" w:space="0"/>
                <w:bottom w:val="none" w:color="000000" w:sz="0" w:space="0"/>
                <w:right w:val="none" w:color="000000" w:sz="0" w:space="0"/>
              </w:pBdr>
              <w:spacing w:line="85" w:lineRule="atLeast"/>
              <w:rPr>
                <w:szCs w:val="21"/>
                <w:highlight w:val="none"/>
              </w:rPr>
            </w:pPr>
          </w:p>
        </w:tc>
        <w:tc>
          <w:tcPr>
            <w:tcW w:w="1304" w:type="dxa"/>
            <w:tcBorders>
              <w:bottom w:val="single" w:color="000000" w:sz="8" w:space="0"/>
              <w:right w:val="single" w:color="000000" w:sz="8" w:space="0"/>
            </w:tcBorders>
            <w:noWrap/>
            <w:tcMar>
              <w:top w:w="0" w:type="dxa"/>
              <w:left w:w="108" w:type="dxa"/>
              <w:bottom w:w="0" w:type="dxa"/>
              <w:right w:w="108" w:type="dxa"/>
            </w:tcMar>
            <w:vAlign w:val="center"/>
          </w:tcPr>
          <w:p w14:paraId="0F481F17">
            <w:pPr>
              <w:pBdr>
                <w:top w:val="none" w:color="000000" w:sz="0" w:space="0"/>
                <w:left w:val="none" w:color="000000" w:sz="0" w:space="0"/>
                <w:bottom w:val="none" w:color="000000" w:sz="0" w:space="0"/>
                <w:right w:val="none" w:color="000000" w:sz="0" w:space="0"/>
              </w:pBdr>
              <w:spacing w:line="85" w:lineRule="atLeast"/>
              <w:rPr>
                <w:szCs w:val="21"/>
                <w:highlight w:val="none"/>
              </w:rPr>
            </w:pPr>
          </w:p>
        </w:tc>
      </w:tr>
    </w:tbl>
    <w:p w14:paraId="3E0324FB">
      <w:pPr>
        <w:pBdr>
          <w:top w:val="none" w:color="000000" w:sz="0" w:space="0"/>
          <w:left w:val="none" w:color="000000" w:sz="0" w:space="0"/>
          <w:bottom w:val="none" w:color="000000" w:sz="0" w:space="0"/>
          <w:right w:val="none" w:color="000000" w:sz="0" w:space="0"/>
        </w:pBdr>
        <w:spacing w:line="85" w:lineRule="atLeast"/>
        <w:ind w:firstLine="480"/>
        <w:rPr>
          <w:szCs w:val="21"/>
          <w:highlight w:val="none"/>
        </w:rPr>
      </w:pPr>
      <w:r>
        <w:rPr>
          <w:rFonts w:ascii="宋体" w:hAnsi="宋体" w:cs="宋体"/>
          <w:szCs w:val="21"/>
          <w:highlight w:val="none"/>
        </w:rPr>
        <w:t>养护单位：</w:t>
      </w:r>
    </w:p>
    <w:p w14:paraId="6877D22D">
      <w:pPr>
        <w:pBdr>
          <w:top w:val="none" w:color="000000" w:sz="0" w:space="0"/>
          <w:left w:val="none" w:color="000000" w:sz="0" w:space="0"/>
          <w:bottom w:val="none" w:color="000000" w:sz="0" w:space="0"/>
          <w:right w:val="none" w:color="000000" w:sz="0" w:space="0"/>
        </w:pBdr>
        <w:spacing w:line="85" w:lineRule="atLeast"/>
        <w:ind w:firstLine="480"/>
        <w:jc w:val="left"/>
        <w:rPr>
          <w:rFonts w:ascii="宋体" w:hAnsi="宋体" w:cs="宋体"/>
          <w:szCs w:val="21"/>
          <w:highlight w:val="none"/>
        </w:rPr>
      </w:pPr>
      <w:r>
        <w:rPr>
          <w:rFonts w:ascii="宋体" w:hAnsi="宋体" w:cs="宋体"/>
          <w:szCs w:val="21"/>
          <w:highlight w:val="none"/>
        </w:rPr>
        <w:t>汇总人员：</w:t>
      </w:r>
    </w:p>
    <w:p w14:paraId="6D967A64">
      <w:pPr>
        <w:pBdr>
          <w:top w:val="none" w:color="000000" w:sz="0" w:space="0"/>
          <w:left w:val="none" w:color="000000" w:sz="0" w:space="0"/>
          <w:bottom w:val="none" w:color="000000" w:sz="0" w:space="0"/>
          <w:right w:val="none" w:color="000000" w:sz="0" w:space="0"/>
        </w:pBdr>
        <w:spacing w:line="85" w:lineRule="atLeast"/>
        <w:ind w:firstLine="480"/>
        <w:jc w:val="left"/>
        <w:rPr>
          <w:szCs w:val="21"/>
          <w:highlight w:val="none"/>
        </w:rPr>
      </w:pPr>
      <w:r>
        <w:rPr>
          <w:rFonts w:ascii="宋体" w:hAnsi="宋体" w:cs="宋体"/>
          <w:szCs w:val="21"/>
          <w:highlight w:val="none"/>
        </w:rPr>
        <w:t>汇总日期：20   年   月   日</w:t>
      </w:r>
    </w:p>
    <w:p w14:paraId="3B29FF03">
      <w:pPr>
        <w:pBdr>
          <w:top w:val="none" w:color="000000" w:sz="0" w:space="0"/>
          <w:left w:val="none" w:color="000000" w:sz="0" w:space="0"/>
          <w:bottom w:val="none" w:color="000000" w:sz="0" w:space="0"/>
          <w:right w:val="none" w:color="000000" w:sz="0" w:space="0"/>
        </w:pBdr>
        <w:spacing w:line="85" w:lineRule="atLeast"/>
        <w:ind w:firstLine="480"/>
        <w:rPr>
          <w:szCs w:val="21"/>
          <w:highlight w:val="none"/>
        </w:rPr>
      </w:pPr>
      <w:r>
        <w:rPr>
          <w:rFonts w:ascii="宋体" w:hAnsi="宋体" w:cs="宋体"/>
          <w:szCs w:val="21"/>
          <w:highlight w:val="none"/>
        </w:rPr>
        <w:t>复核人员：</w:t>
      </w:r>
    </w:p>
    <w:p w14:paraId="6DA1A821">
      <w:pPr>
        <w:spacing w:line="360" w:lineRule="auto"/>
        <w:ind w:firstLine="420"/>
        <w:rPr>
          <w:rFonts w:ascii="宋体" w:hAnsi="宋体"/>
          <w:szCs w:val="21"/>
          <w:highlight w:val="none"/>
        </w:rPr>
      </w:pPr>
    </w:p>
    <w:p w14:paraId="16D62F54">
      <w:pPr>
        <w:pBdr>
          <w:top w:val="none" w:color="000000" w:sz="0" w:space="0"/>
          <w:left w:val="none" w:color="000000" w:sz="0" w:space="0"/>
          <w:bottom w:val="none" w:color="000000" w:sz="0" w:space="0"/>
          <w:right w:val="none" w:color="000000" w:sz="0" w:space="0"/>
        </w:pBdr>
        <w:spacing w:line="85" w:lineRule="atLeast"/>
        <w:ind w:firstLine="480"/>
        <w:rPr>
          <w:rFonts w:ascii="等线" w:hAnsi="等线" w:eastAsia="等线" w:cs="等线"/>
          <w:szCs w:val="21"/>
          <w:highlight w:val="none"/>
        </w:rPr>
      </w:pPr>
      <w:r>
        <w:rPr>
          <w:rFonts w:ascii="等线" w:hAnsi="等线" w:eastAsia="等线" w:cs="等线"/>
          <w:szCs w:val="21"/>
          <w:highlight w:val="none"/>
        </w:rPr>
        <w:br w:type="page"/>
      </w:r>
    </w:p>
    <w:p w14:paraId="454471B5">
      <w:pPr>
        <w:pBdr>
          <w:top w:val="none" w:color="000000" w:sz="0" w:space="0"/>
          <w:left w:val="none" w:color="000000" w:sz="0" w:space="0"/>
          <w:bottom w:val="none" w:color="000000" w:sz="0" w:space="0"/>
          <w:right w:val="none" w:color="000000" w:sz="0" w:space="0"/>
        </w:pBdr>
        <w:spacing w:line="85" w:lineRule="atLeast"/>
        <w:ind w:firstLine="480"/>
        <w:rPr>
          <w:rFonts w:ascii="等线" w:hAnsi="等线" w:eastAsia="等线" w:cs="等线"/>
          <w:szCs w:val="21"/>
          <w:highlight w:val="none"/>
        </w:rPr>
      </w:pPr>
    </w:p>
    <w:p w14:paraId="5D97C29F">
      <w:pPr>
        <w:pBdr>
          <w:top w:val="none" w:color="000000" w:sz="0" w:space="0"/>
          <w:left w:val="none" w:color="000000" w:sz="0" w:space="0"/>
          <w:bottom w:val="none" w:color="000000" w:sz="0" w:space="0"/>
          <w:right w:val="none" w:color="000000" w:sz="0" w:space="0"/>
        </w:pBdr>
        <w:spacing w:line="85" w:lineRule="atLeast"/>
        <w:ind w:firstLine="480"/>
        <w:jc w:val="center"/>
        <w:rPr>
          <w:b/>
          <w:bCs/>
          <w:sz w:val="24"/>
          <w:highlight w:val="none"/>
        </w:rPr>
      </w:pPr>
      <w:r>
        <w:rPr>
          <w:rFonts w:eastAsia="Times New Roman"/>
          <w:b/>
          <w:bCs/>
          <w:sz w:val="24"/>
          <w:highlight w:val="none"/>
        </w:rPr>
        <w:t>表1-1 设施巡查考核表（日常）</w:t>
      </w:r>
    </w:p>
    <w:p w14:paraId="0A832C7D">
      <w:pPr>
        <w:pBdr>
          <w:top w:val="none" w:color="000000" w:sz="0" w:space="0"/>
          <w:left w:val="none" w:color="000000" w:sz="0" w:space="0"/>
          <w:bottom w:val="none" w:color="000000" w:sz="0" w:space="0"/>
          <w:right w:val="none" w:color="000000" w:sz="0" w:space="0"/>
        </w:pBdr>
        <w:spacing w:line="85" w:lineRule="atLeast"/>
        <w:ind w:firstLine="480"/>
        <w:rPr>
          <w:rFonts w:eastAsia="Times New Roman"/>
          <w:szCs w:val="21"/>
          <w:highlight w:val="none"/>
        </w:rPr>
      </w:pPr>
    </w:p>
    <w:p w14:paraId="7170749A">
      <w:pPr>
        <w:pBdr>
          <w:top w:val="none" w:color="000000" w:sz="0" w:space="0"/>
          <w:left w:val="none" w:color="000000" w:sz="0" w:space="0"/>
          <w:bottom w:val="none" w:color="000000" w:sz="0" w:space="0"/>
          <w:right w:val="none" w:color="000000" w:sz="0" w:space="0"/>
        </w:pBdr>
        <w:spacing w:line="85" w:lineRule="atLeast"/>
        <w:ind w:firstLine="480"/>
        <w:rPr>
          <w:szCs w:val="21"/>
          <w:highlight w:val="none"/>
        </w:rPr>
      </w:pPr>
      <w:r>
        <w:rPr>
          <w:rFonts w:eastAsia="Times New Roman"/>
          <w:szCs w:val="21"/>
          <w:highlight w:val="none"/>
        </w:rPr>
        <w:t>（</w:t>
      </w:r>
      <w:r>
        <w:rPr>
          <w:rFonts w:ascii="宋体" w:hAnsi="宋体" w:cs="宋体"/>
          <w:szCs w:val="21"/>
          <w:highlight w:val="none"/>
        </w:rPr>
        <w:t>202</w:t>
      </w:r>
      <w:r>
        <w:rPr>
          <w:rFonts w:hint="eastAsia" w:ascii="宋体" w:hAnsi="宋体" w:cs="宋体"/>
          <w:szCs w:val="21"/>
          <w:highlight w:val="none"/>
        </w:rPr>
        <w:t xml:space="preserve"> </w:t>
      </w:r>
      <w:r>
        <w:rPr>
          <w:rFonts w:ascii="宋体" w:hAnsi="宋体" w:cs="宋体"/>
          <w:szCs w:val="21"/>
          <w:highlight w:val="none"/>
        </w:rPr>
        <w:t xml:space="preserve"> </w:t>
      </w:r>
      <w:r>
        <w:rPr>
          <w:rFonts w:eastAsia="Times New Roman"/>
          <w:szCs w:val="21"/>
          <w:highlight w:val="none"/>
        </w:rPr>
        <w:t>年</w:t>
      </w:r>
      <w:r>
        <w:rPr>
          <w:rFonts w:ascii="宋体" w:hAnsi="宋体" w:cs="宋体"/>
          <w:szCs w:val="21"/>
          <w:highlight w:val="none"/>
        </w:rPr>
        <w:t> </w:t>
      </w:r>
      <w:r>
        <w:rPr>
          <w:rFonts w:eastAsia="Times New Roman"/>
          <w:szCs w:val="21"/>
          <w:highlight w:val="none"/>
        </w:rPr>
        <w:t>月）</w:t>
      </w:r>
    </w:p>
    <w:tbl>
      <w:tblPr>
        <w:tblStyle w:val="9"/>
        <w:tblW w:w="9757" w:type="dxa"/>
        <w:tblInd w:w="-356"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0" w:type="dxa"/>
          <w:bottom w:w="0" w:type="dxa"/>
          <w:right w:w="0" w:type="dxa"/>
        </w:tblCellMar>
      </w:tblPr>
      <w:tblGrid>
        <w:gridCol w:w="426"/>
        <w:gridCol w:w="679"/>
        <w:gridCol w:w="4390"/>
        <w:gridCol w:w="1548"/>
        <w:gridCol w:w="690"/>
        <w:gridCol w:w="676"/>
        <w:gridCol w:w="662"/>
        <w:gridCol w:w="686"/>
      </w:tblGrid>
      <w:tr w14:paraId="2E7BE882">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426" w:type="dxa"/>
            <w:tcBorders>
              <w:top w:val="single" w:color="000000" w:sz="8" w:space="0"/>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A1049A8">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r>
              <w:rPr>
                <w:rFonts w:hint="eastAsia" w:ascii="宋体" w:hAnsi="宋体" w:cs="宋体"/>
                <w:szCs w:val="21"/>
                <w:highlight w:val="none"/>
              </w:rPr>
              <w:t>序号</w:t>
            </w:r>
          </w:p>
        </w:tc>
        <w:tc>
          <w:tcPr>
            <w:tcW w:w="679"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CEE8D65">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r>
              <w:rPr>
                <w:rFonts w:hint="eastAsia" w:ascii="宋体" w:hAnsi="宋体" w:cs="宋体"/>
                <w:szCs w:val="21"/>
                <w:highlight w:val="none"/>
              </w:rPr>
              <w:t>考核项目</w:t>
            </w:r>
          </w:p>
        </w:tc>
        <w:tc>
          <w:tcPr>
            <w:tcW w:w="4390"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6FAB04D">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r>
              <w:rPr>
                <w:rFonts w:hint="eastAsia" w:ascii="宋体" w:hAnsi="宋体" w:cs="宋体"/>
                <w:szCs w:val="21"/>
                <w:highlight w:val="none"/>
              </w:rPr>
              <w:t>考核内容</w:t>
            </w:r>
          </w:p>
        </w:tc>
        <w:tc>
          <w:tcPr>
            <w:tcW w:w="1548"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2B13975">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r>
              <w:rPr>
                <w:rFonts w:hint="eastAsia" w:ascii="宋体" w:hAnsi="宋体" w:cs="宋体"/>
                <w:szCs w:val="21"/>
                <w:highlight w:val="none"/>
              </w:rPr>
              <w:t>扣分标准</w:t>
            </w:r>
          </w:p>
        </w:tc>
        <w:tc>
          <w:tcPr>
            <w:tcW w:w="690"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D01A282">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r>
              <w:rPr>
                <w:rFonts w:hint="eastAsia" w:ascii="宋体" w:hAnsi="宋体" w:cs="宋体"/>
                <w:szCs w:val="21"/>
                <w:highlight w:val="none"/>
              </w:rPr>
              <w:t>满分</w:t>
            </w:r>
          </w:p>
        </w:tc>
        <w:tc>
          <w:tcPr>
            <w:tcW w:w="676"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93BFAB2">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r>
              <w:rPr>
                <w:rFonts w:hint="eastAsia" w:ascii="宋体" w:hAnsi="宋体" w:cs="宋体"/>
                <w:szCs w:val="21"/>
                <w:highlight w:val="none"/>
              </w:rPr>
              <w:t>扣分</w:t>
            </w:r>
          </w:p>
        </w:tc>
        <w:tc>
          <w:tcPr>
            <w:tcW w:w="662"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097B2CB">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r>
              <w:rPr>
                <w:rFonts w:hint="eastAsia" w:ascii="宋体" w:hAnsi="宋体" w:cs="宋体"/>
                <w:szCs w:val="21"/>
                <w:highlight w:val="none"/>
              </w:rPr>
              <w:t>得分</w:t>
            </w:r>
          </w:p>
        </w:tc>
        <w:tc>
          <w:tcPr>
            <w:tcW w:w="686"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C274DB4">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r>
              <w:rPr>
                <w:rFonts w:hint="eastAsia" w:ascii="宋体" w:hAnsi="宋体" w:cs="宋体"/>
                <w:szCs w:val="21"/>
                <w:highlight w:val="none"/>
              </w:rPr>
              <w:t>备注</w:t>
            </w:r>
          </w:p>
        </w:tc>
      </w:tr>
      <w:tr w14:paraId="56101C46">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426"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99B4907">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r>
              <w:rPr>
                <w:rFonts w:hint="eastAsia" w:ascii="宋体" w:hAnsi="宋体" w:cs="宋体"/>
                <w:szCs w:val="21"/>
                <w:highlight w:val="none"/>
              </w:rPr>
              <w:t>1</w:t>
            </w:r>
          </w:p>
        </w:tc>
        <w:tc>
          <w:tcPr>
            <w:tcW w:w="679" w:type="dxa"/>
            <w:tcBorders>
              <w:bottom w:val="single" w:color="000000" w:sz="8" w:space="0"/>
              <w:right w:val="single" w:color="000000" w:sz="8" w:space="0"/>
            </w:tcBorders>
            <w:noWrap/>
            <w:tcMar>
              <w:top w:w="0" w:type="dxa"/>
              <w:left w:w="108" w:type="dxa"/>
              <w:bottom w:w="0" w:type="dxa"/>
              <w:right w:w="108" w:type="dxa"/>
            </w:tcMar>
            <w:vAlign w:val="center"/>
          </w:tcPr>
          <w:p w14:paraId="633B026B">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r>
              <w:rPr>
                <w:rFonts w:hint="eastAsia" w:ascii="宋体" w:hAnsi="宋体" w:cs="宋体"/>
                <w:szCs w:val="21"/>
                <w:highlight w:val="none"/>
              </w:rPr>
              <w:t>巡查人员配置</w:t>
            </w:r>
          </w:p>
        </w:tc>
        <w:tc>
          <w:tcPr>
            <w:tcW w:w="4390" w:type="dxa"/>
            <w:tcBorders>
              <w:bottom w:val="single" w:color="000000" w:sz="8" w:space="0"/>
              <w:right w:val="single" w:color="000000" w:sz="8" w:space="0"/>
            </w:tcBorders>
            <w:noWrap/>
            <w:tcMar>
              <w:top w:w="0" w:type="dxa"/>
              <w:left w:w="108" w:type="dxa"/>
              <w:bottom w:w="0" w:type="dxa"/>
              <w:right w:w="108" w:type="dxa"/>
            </w:tcMar>
            <w:vAlign w:val="center"/>
          </w:tcPr>
          <w:p w14:paraId="0DCFF634">
            <w:pPr>
              <w:pBdr>
                <w:top w:val="none" w:color="000000" w:sz="0" w:space="0"/>
                <w:left w:val="none" w:color="000000" w:sz="0" w:space="0"/>
                <w:bottom w:val="none" w:color="000000" w:sz="0" w:space="0"/>
                <w:right w:val="none" w:color="000000" w:sz="0" w:space="0"/>
              </w:pBdr>
              <w:spacing w:line="360" w:lineRule="auto"/>
              <w:rPr>
                <w:rFonts w:ascii="宋体" w:hAnsi="宋体" w:cs="宋体"/>
                <w:szCs w:val="21"/>
                <w:highlight w:val="none"/>
              </w:rPr>
            </w:pPr>
            <w:r>
              <w:rPr>
                <w:rFonts w:hint="eastAsia" w:ascii="宋体" w:hAnsi="宋体" w:cs="宋体"/>
                <w:szCs w:val="21"/>
                <w:highlight w:val="none"/>
              </w:rPr>
              <w:t>按每5平方公里配一名巡查人员的要求，配足巡查人员。</w:t>
            </w:r>
          </w:p>
        </w:tc>
        <w:tc>
          <w:tcPr>
            <w:tcW w:w="1548" w:type="dxa"/>
            <w:tcBorders>
              <w:bottom w:val="single" w:color="000000" w:sz="8" w:space="0"/>
              <w:right w:val="single" w:color="000000" w:sz="8" w:space="0"/>
            </w:tcBorders>
            <w:noWrap/>
            <w:tcMar>
              <w:top w:w="0" w:type="dxa"/>
              <w:left w:w="108" w:type="dxa"/>
              <w:bottom w:w="0" w:type="dxa"/>
              <w:right w:w="108" w:type="dxa"/>
            </w:tcMar>
            <w:vAlign w:val="center"/>
          </w:tcPr>
          <w:p w14:paraId="3ECED854">
            <w:pPr>
              <w:pBdr>
                <w:top w:val="none" w:color="000000" w:sz="0" w:space="0"/>
                <w:left w:val="none" w:color="000000" w:sz="0" w:space="0"/>
                <w:bottom w:val="none" w:color="000000" w:sz="0" w:space="0"/>
                <w:right w:val="none" w:color="000000" w:sz="0" w:space="0"/>
              </w:pBdr>
              <w:spacing w:line="360" w:lineRule="auto"/>
              <w:rPr>
                <w:rFonts w:ascii="宋体" w:hAnsi="宋体" w:cs="宋体"/>
                <w:szCs w:val="21"/>
                <w:highlight w:val="none"/>
              </w:rPr>
            </w:pPr>
            <w:r>
              <w:rPr>
                <w:rFonts w:hint="eastAsia" w:ascii="宋体" w:hAnsi="宋体" w:cs="宋体"/>
                <w:szCs w:val="21"/>
                <w:highlight w:val="none"/>
              </w:rPr>
              <w:t>未按要求配足人员，每缺1人扣5分。</w:t>
            </w:r>
          </w:p>
        </w:tc>
        <w:tc>
          <w:tcPr>
            <w:tcW w:w="690" w:type="dxa"/>
            <w:tcBorders>
              <w:bottom w:val="single" w:color="000000" w:sz="8" w:space="0"/>
              <w:right w:val="single" w:color="000000" w:sz="8" w:space="0"/>
            </w:tcBorders>
            <w:noWrap/>
            <w:tcMar>
              <w:top w:w="0" w:type="dxa"/>
              <w:left w:w="108" w:type="dxa"/>
              <w:bottom w:w="0" w:type="dxa"/>
              <w:right w:w="108" w:type="dxa"/>
            </w:tcMar>
            <w:vAlign w:val="center"/>
          </w:tcPr>
          <w:p w14:paraId="25B0AA9D">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r>
              <w:rPr>
                <w:rFonts w:hint="eastAsia" w:ascii="宋体" w:hAnsi="宋体" w:cs="宋体"/>
                <w:szCs w:val="21"/>
                <w:highlight w:val="none"/>
              </w:rPr>
              <w:t>20</w:t>
            </w:r>
          </w:p>
        </w:tc>
        <w:tc>
          <w:tcPr>
            <w:tcW w:w="676" w:type="dxa"/>
            <w:tcBorders>
              <w:bottom w:val="single" w:color="000000" w:sz="8" w:space="0"/>
              <w:right w:val="single" w:color="000000" w:sz="8" w:space="0"/>
            </w:tcBorders>
            <w:noWrap/>
            <w:tcMar>
              <w:top w:w="0" w:type="dxa"/>
              <w:left w:w="108" w:type="dxa"/>
              <w:bottom w:w="0" w:type="dxa"/>
              <w:right w:w="108" w:type="dxa"/>
            </w:tcMar>
            <w:vAlign w:val="center"/>
          </w:tcPr>
          <w:p w14:paraId="57400678">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p>
        </w:tc>
        <w:tc>
          <w:tcPr>
            <w:tcW w:w="662" w:type="dxa"/>
            <w:tcBorders>
              <w:bottom w:val="single" w:color="000000" w:sz="8" w:space="0"/>
              <w:right w:val="single" w:color="000000" w:sz="8" w:space="0"/>
            </w:tcBorders>
            <w:noWrap/>
            <w:tcMar>
              <w:top w:w="0" w:type="dxa"/>
              <w:left w:w="108" w:type="dxa"/>
              <w:bottom w:w="0" w:type="dxa"/>
              <w:right w:w="108" w:type="dxa"/>
            </w:tcMar>
            <w:vAlign w:val="center"/>
          </w:tcPr>
          <w:p w14:paraId="09A1AADD">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p>
        </w:tc>
        <w:tc>
          <w:tcPr>
            <w:tcW w:w="686" w:type="dxa"/>
            <w:tcBorders>
              <w:bottom w:val="single" w:color="000000" w:sz="8" w:space="0"/>
              <w:right w:val="single" w:color="000000" w:sz="8" w:space="0"/>
            </w:tcBorders>
            <w:noWrap/>
            <w:tcMar>
              <w:top w:w="0" w:type="dxa"/>
              <w:left w:w="108" w:type="dxa"/>
              <w:bottom w:w="0" w:type="dxa"/>
              <w:right w:w="108" w:type="dxa"/>
            </w:tcMar>
            <w:vAlign w:val="center"/>
          </w:tcPr>
          <w:p w14:paraId="77C1EE53">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p>
        </w:tc>
      </w:tr>
      <w:tr w14:paraId="1EE9EC12">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426"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51E071A">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r>
              <w:rPr>
                <w:rFonts w:hint="eastAsia" w:ascii="宋体" w:hAnsi="宋体" w:cs="宋体"/>
                <w:szCs w:val="21"/>
                <w:highlight w:val="none"/>
              </w:rPr>
              <w:t>2</w:t>
            </w:r>
          </w:p>
        </w:tc>
        <w:tc>
          <w:tcPr>
            <w:tcW w:w="679" w:type="dxa"/>
            <w:tcBorders>
              <w:bottom w:val="single" w:color="000000" w:sz="8" w:space="0"/>
              <w:right w:val="single" w:color="000000" w:sz="8" w:space="0"/>
            </w:tcBorders>
            <w:noWrap/>
            <w:tcMar>
              <w:top w:w="0" w:type="dxa"/>
              <w:left w:w="108" w:type="dxa"/>
              <w:bottom w:w="0" w:type="dxa"/>
              <w:right w:w="108" w:type="dxa"/>
            </w:tcMar>
            <w:vAlign w:val="center"/>
          </w:tcPr>
          <w:p w14:paraId="1BFCCA78">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r>
              <w:rPr>
                <w:rFonts w:hint="eastAsia" w:ascii="宋体" w:hAnsi="宋体" w:cs="宋体"/>
                <w:szCs w:val="21"/>
                <w:highlight w:val="none"/>
              </w:rPr>
              <w:t>计划</w:t>
            </w:r>
          </w:p>
        </w:tc>
        <w:tc>
          <w:tcPr>
            <w:tcW w:w="4390" w:type="dxa"/>
            <w:tcBorders>
              <w:bottom w:val="single" w:color="000000" w:sz="8" w:space="0"/>
              <w:right w:val="single" w:color="000000" w:sz="8" w:space="0"/>
            </w:tcBorders>
            <w:noWrap/>
            <w:tcMar>
              <w:top w:w="0" w:type="dxa"/>
              <w:left w:w="108" w:type="dxa"/>
              <w:bottom w:w="0" w:type="dxa"/>
              <w:right w:w="108" w:type="dxa"/>
            </w:tcMar>
            <w:vAlign w:val="center"/>
          </w:tcPr>
          <w:p w14:paraId="21A81546">
            <w:pPr>
              <w:pBdr>
                <w:top w:val="none" w:color="000000" w:sz="0" w:space="0"/>
                <w:left w:val="none" w:color="000000" w:sz="0" w:space="0"/>
                <w:bottom w:val="none" w:color="000000" w:sz="0" w:space="0"/>
                <w:right w:val="none" w:color="000000" w:sz="0" w:space="0"/>
              </w:pBdr>
              <w:spacing w:line="360" w:lineRule="auto"/>
              <w:rPr>
                <w:rFonts w:ascii="宋体" w:hAnsi="宋体" w:cs="宋体"/>
                <w:szCs w:val="21"/>
                <w:highlight w:val="none"/>
              </w:rPr>
            </w:pPr>
            <w:r>
              <w:rPr>
                <w:rFonts w:hint="eastAsia" w:ascii="宋体" w:hAnsi="宋体" w:cs="宋体"/>
                <w:szCs w:val="21"/>
                <w:highlight w:val="none"/>
              </w:rPr>
              <w:t>中标后15天内报全年巡查计划；细化到月；落实到人。</w:t>
            </w:r>
          </w:p>
        </w:tc>
        <w:tc>
          <w:tcPr>
            <w:tcW w:w="1548" w:type="dxa"/>
            <w:tcBorders>
              <w:bottom w:val="single" w:color="000000" w:sz="8" w:space="0"/>
              <w:right w:val="single" w:color="000000" w:sz="8" w:space="0"/>
            </w:tcBorders>
            <w:noWrap/>
            <w:tcMar>
              <w:top w:w="0" w:type="dxa"/>
              <w:left w:w="108" w:type="dxa"/>
              <w:bottom w:w="0" w:type="dxa"/>
              <w:right w:w="108" w:type="dxa"/>
            </w:tcMar>
            <w:vAlign w:val="center"/>
          </w:tcPr>
          <w:p w14:paraId="0EF4AA39">
            <w:pPr>
              <w:pBdr>
                <w:top w:val="none" w:color="000000" w:sz="0" w:space="0"/>
                <w:left w:val="none" w:color="000000" w:sz="0" w:space="0"/>
                <w:bottom w:val="none" w:color="000000" w:sz="0" w:space="0"/>
                <w:right w:val="none" w:color="000000" w:sz="0" w:space="0"/>
              </w:pBdr>
              <w:spacing w:line="360" w:lineRule="auto"/>
              <w:rPr>
                <w:rFonts w:ascii="宋体" w:hAnsi="宋体" w:cs="宋体"/>
                <w:szCs w:val="21"/>
                <w:highlight w:val="none"/>
              </w:rPr>
            </w:pPr>
            <w:r>
              <w:rPr>
                <w:rFonts w:hint="eastAsia" w:ascii="宋体" w:hAnsi="宋体" w:cs="宋体"/>
                <w:szCs w:val="21"/>
                <w:highlight w:val="none"/>
              </w:rPr>
              <w:t>未达要求每处扣5分，未上报扣10分。</w:t>
            </w:r>
          </w:p>
        </w:tc>
        <w:tc>
          <w:tcPr>
            <w:tcW w:w="690" w:type="dxa"/>
            <w:tcBorders>
              <w:bottom w:val="single" w:color="000000" w:sz="8" w:space="0"/>
              <w:right w:val="single" w:color="000000" w:sz="8" w:space="0"/>
            </w:tcBorders>
            <w:noWrap/>
            <w:tcMar>
              <w:top w:w="0" w:type="dxa"/>
              <w:left w:w="108" w:type="dxa"/>
              <w:bottom w:w="0" w:type="dxa"/>
              <w:right w:w="108" w:type="dxa"/>
            </w:tcMar>
            <w:vAlign w:val="center"/>
          </w:tcPr>
          <w:p w14:paraId="41CCF6DA">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r>
              <w:rPr>
                <w:rFonts w:hint="eastAsia" w:ascii="宋体" w:hAnsi="宋体" w:cs="宋体"/>
                <w:szCs w:val="21"/>
                <w:highlight w:val="none"/>
              </w:rPr>
              <w:t>10</w:t>
            </w:r>
          </w:p>
        </w:tc>
        <w:tc>
          <w:tcPr>
            <w:tcW w:w="676" w:type="dxa"/>
            <w:tcBorders>
              <w:bottom w:val="single" w:color="000000" w:sz="8" w:space="0"/>
              <w:right w:val="single" w:color="000000" w:sz="8" w:space="0"/>
            </w:tcBorders>
            <w:noWrap/>
            <w:tcMar>
              <w:top w:w="0" w:type="dxa"/>
              <w:left w:w="108" w:type="dxa"/>
              <w:bottom w:w="0" w:type="dxa"/>
              <w:right w:w="108" w:type="dxa"/>
            </w:tcMar>
            <w:vAlign w:val="center"/>
          </w:tcPr>
          <w:p w14:paraId="13A5C95C">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p>
        </w:tc>
        <w:tc>
          <w:tcPr>
            <w:tcW w:w="662" w:type="dxa"/>
            <w:tcBorders>
              <w:bottom w:val="single" w:color="000000" w:sz="8" w:space="0"/>
              <w:right w:val="single" w:color="000000" w:sz="8" w:space="0"/>
            </w:tcBorders>
            <w:noWrap/>
            <w:tcMar>
              <w:top w:w="0" w:type="dxa"/>
              <w:left w:w="108" w:type="dxa"/>
              <w:bottom w:w="0" w:type="dxa"/>
              <w:right w:w="108" w:type="dxa"/>
            </w:tcMar>
            <w:vAlign w:val="center"/>
          </w:tcPr>
          <w:p w14:paraId="00744BEB">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p>
        </w:tc>
        <w:tc>
          <w:tcPr>
            <w:tcW w:w="686" w:type="dxa"/>
            <w:tcBorders>
              <w:bottom w:val="single" w:color="000000" w:sz="8" w:space="0"/>
              <w:right w:val="single" w:color="000000" w:sz="8" w:space="0"/>
            </w:tcBorders>
            <w:noWrap/>
            <w:tcMar>
              <w:top w:w="0" w:type="dxa"/>
              <w:left w:w="108" w:type="dxa"/>
              <w:bottom w:w="0" w:type="dxa"/>
              <w:right w:w="108" w:type="dxa"/>
            </w:tcMar>
            <w:vAlign w:val="center"/>
          </w:tcPr>
          <w:p w14:paraId="33FEA72C">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p>
        </w:tc>
      </w:tr>
      <w:tr w14:paraId="1C1931E7">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426"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B8847FC">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r>
              <w:rPr>
                <w:rFonts w:hint="eastAsia" w:ascii="宋体" w:hAnsi="宋体" w:cs="宋体"/>
                <w:szCs w:val="21"/>
                <w:highlight w:val="none"/>
              </w:rPr>
              <w:t>3</w:t>
            </w:r>
          </w:p>
        </w:tc>
        <w:tc>
          <w:tcPr>
            <w:tcW w:w="679" w:type="dxa"/>
            <w:tcBorders>
              <w:bottom w:val="single" w:color="000000" w:sz="8" w:space="0"/>
              <w:right w:val="single" w:color="000000" w:sz="8" w:space="0"/>
            </w:tcBorders>
            <w:noWrap/>
            <w:tcMar>
              <w:top w:w="0" w:type="dxa"/>
              <w:left w:w="108" w:type="dxa"/>
              <w:bottom w:w="0" w:type="dxa"/>
              <w:right w:w="108" w:type="dxa"/>
            </w:tcMar>
            <w:vAlign w:val="center"/>
          </w:tcPr>
          <w:p w14:paraId="292EE7CC">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r>
              <w:rPr>
                <w:rFonts w:hint="eastAsia" w:ascii="宋体" w:hAnsi="宋体" w:cs="宋体"/>
                <w:szCs w:val="21"/>
                <w:highlight w:val="none"/>
              </w:rPr>
              <w:t>巡查责任落实</w:t>
            </w:r>
          </w:p>
        </w:tc>
        <w:tc>
          <w:tcPr>
            <w:tcW w:w="4390" w:type="dxa"/>
            <w:tcBorders>
              <w:bottom w:val="single" w:color="000000" w:sz="8" w:space="0"/>
              <w:right w:val="single" w:color="000000" w:sz="8" w:space="0"/>
            </w:tcBorders>
            <w:noWrap/>
            <w:tcMar>
              <w:top w:w="0" w:type="dxa"/>
              <w:left w:w="108" w:type="dxa"/>
              <w:bottom w:w="0" w:type="dxa"/>
              <w:right w:w="108" w:type="dxa"/>
            </w:tcMar>
            <w:vAlign w:val="center"/>
          </w:tcPr>
          <w:p w14:paraId="3CF6D3C4">
            <w:pPr>
              <w:pBdr>
                <w:top w:val="none" w:color="000000" w:sz="0" w:space="0"/>
                <w:left w:val="none" w:color="000000" w:sz="0" w:space="0"/>
                <w:bottom w:val="none" w:color="000000" w:sz="0" w:space="0"/>
                <w:right w:val="none" w:color="000000" w:sz="0" w:space="0"/>
              </w:pBdr>
              <w:spacing w:line="360" w:lineRule="auto"/>
              <w:rPr>
                <w:rFonts w:ascii="宋体" w:hAnsi="宋体" w:cs="宋体"/>
                <w:szCs w:val="21"/>
                <w:highlight w:val="none"/>
              </w:rPr>
            </w:pPr>
            <w:r>
              <w:rPr>
                <w:rFonts w:hint="eastAsia" w:ascii="宋体" w:hAnsi="宋体" w:cs="宋体"/>
                <w:szCs w:val="21"/>
                <w:highlight w:val="none"/>
              </w:rPr>
              <w:t>中心城区及重要路段（观前、石路、南门及市区政府周边）必须进行步行巡查，要求做到每天定人、定路段、定时间进行巡查；其余路段每月巡查一次。</w:t>
            </w:r>
          </w:p>
        </w:tc>
        <w:tc>
          <w:tcPr>
            <w:tcW w:w="1548" w:type="dxa"/>
            <w:tcBorders>
              <w:bottom w:val="single" w:color="000000" w:sz="8" w:space="0"/>
              <w:right w:val="single" w:color="000000" w:sz="8" w:space="0"/>
            </w:tcBorders>
            <w:noWrap/>
            <w:tcMar>
              <w:top w:w="0" w:type="dxa"/>
              <w:left w:w="108" w:type="dxa"/>
              <w:bottom w:w="0" w:type="dxa"/>
              <w:right w:w="108" w:type="dxa"/>
            </w:tcMar>
            <w:vAlign w:val="center"/>
          </w:tcPr>
          <w:p w14:paraId="4E36AA8D">
            <w:pPr>
              <w:pBdr>
                <w:top w:val="none" w:color="000000" w:sz="0" w:space="0"/>
                <w:left w:val="none" w:color="000000" w:sz="0" w:space="0"/>
                <w:bottom w:val="none" w:color="000000" w:sz="0" w:space="0"/>
                <w:right w:val="none" w:color="000000" w:sz="0" w:space="0"/>
              </w:pBdr>
              <w:spacing w:line="360" w:lineRule="auto"/>
              <w:rPr>
                <w:rFonts w:ascii="宋体" w:hAnsi="宋体" w:cs="宋体"/>
                <w:szCs w:val="21"/>
                <w:highlight w:val="none"/>
              </w:rPr>
            </w:pPr>
            <w:r>
              <w:rPr>
                <w:rFonts w:hint="eastAsia" w:ascii="宋体" w:hAnsi="宋体" w:cs="宋体"/>
                <w:szCs w:val="21"/>
                <w:highlight w:val="none"/>
              </w:rPr>
              <w:t>未达到本条要求者，每处扣5分。</w:t>
            </w:r>
          </w:p>
        </w:tc>
        <w:tc>
          <w:tcPr>
            <w:tcW w:w="690" w:type="dxa"/>
            <w:tcBorders>
              <w:bottom w:val="single" w:color="000000" w:sz="8" w:space="0"/>
              <w:right w:val="single" w:color="000000" w:sz="8" w:space="0"/>
            </w:tcBorders>
            <w:noWrap/>
            <w:tcMar>
              <w:top w:w="0" w:type="dxa"/>
              <w:left w:w="108" w:type="dxa"/>
              <w:bottom w:w="0" w:type="dxa"/>
              <w:right w:w="108" w:type="dxa"/>
            </w:tcMar>
            <w:vAlign w:val="center"/>
          </w:tcPr>
          <w:p w14:paraId="579314E4">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r>
              <w:rPr>
                <w:rFonts w:hint="eastAsia" w:ascii="宋体" w:hAnsi="宋体" w:cs="宋体"/>
                <w:szCs w:val="21"/>
                <w:highlight w:val="none"/>
              </w:rPr>
              <w:t>20</w:t>
            </w:r>
          </w:p>
        </w:tc>
        <w:tc>
          <w:tcPr>
            <w:tcW w:w="676" w:type="dxa"/>
            <w:tcBorders>
              <w:bottom w:val="single" w:color="000000" w:sz="8" w:space="0"/>
              <w:right w:val="single" w:color="000000" w:sz="8" w:space="0"/>
            </w:tcBorders>
            <w:noWrap/>
            <w:tcMar>
              <w:top w:w="0" w:type="dxa"/>
              <w:left w:w="108" w:type="dxa"/>
              <w:bottom w:w="0" w:type="dxa"/>
              <w:right w:w="108" w:type="dxa"/>
            </w:tcMar>
            <w:vAlign w:val="center"/>
          </w:tcPr>
          <w:p w14:paraId="449342C2">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p>
        </w:tc>
        <w:tc>
          <w:tcPr>
            <w:tcW w:w="662" w:type="dxa"/>
            <w:tcBorders>
              <w:bottom w:val="single" w:color="000000" w:sz="8" w:space="0"/>
              <w:right w:val="single" w:color="000000" w:sz="8" w:space="0"/>
            </w:tcBorders>
            <w:noWrap/>
            <w:tcMar>
              <w:top w:w="0" w:type="dxa"/>
              <w:left w:w="108" w:type="dxa"/>
              <w:bottom w:w="0" w:type="dxa"/>
              <w:right w:w="108" w:type="dxa"/>
            </w:tcMar>
            <w:vAlign w:val="center"/>
          </w:tcPr>
          <w:p w14:paraId="145B49E9">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p>
        </w:tc>
        <w:tc>
          <w:tcPr>
            <w:tcW w:w="686" w:type="dxa"/>
            <w:tcBorders>
              <w:bottom w:val="single" w:color="000000" w:sz="8" w:space="0"/>
              <w:right w:val="single" w:color="000000" w:sz="8" w:space="0"/>
            </w:tcBorders>
            <w:noWrap/>
            <w:tcMar>
              <w:top w:w="0" w:type="dxa"/>
              <w:left w:w="108" w:type="dxa"/>
              <w:bottom w:w="0" w:type="dxa"/>
              <w:right w:w="108" w:type="dxa"/>
            </w:tcMar>
            <w:vAlign w:val="center"/>
          </w:tcPr>
          <w:p w14:paraId="77F488F1">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p>
        </w:tc>
      </w:tr>
      <w:tr w14:paraId="6C00311C">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426"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FAF37FA">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r>
              <w:rPr>
                <w:rFonts w:hint="eastAsia" w:ascii="宋体" w:hAnsi="宋体" w:cs="宋体"/>
                <w:szCs w:val="21"/>
                <w:highlight w:val="none"/>
              </w:rPr>
              <w:t>4</w:t>
            </w:r>
          </w:p>
        </w:tc>
        <w:tc>
          <w:tcPr>
            <w:tcW w:w="679" w:type="dxa"/>
            <w:tcBorders>
              <w:bottom w:val="single" w:color="000000" w:sz="8" w:space="0"/>
              <w:right w:val="single" w:color="000000" w:sz="8" w:space="0"/>
            </w:tcBorders>
            <w:noWrap/>
            <w:tcMar>
              <w:top w:w="0" w:type="dxa"/>
              <w:left w:w="108" w:type="dxa"/>
              <w:bottom w:w="0" w:type="dxa"/>
              <w:right w:w="108" w:type="dxa"/>
            </w:tcMar>
            <w:vAlign w:val="center"/>
          </w:tcPr>
          <w:p w14:paraId="5D89B6D2">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r>
              <w:rPr>
                <w:rFonts w:hint="eastAsia" w:ascii="宋体" w:hAnsi="宋体" w:cs="宋体"/>
                <w:szCs w:val="21"/>
                <w:highlight w:val="none"/>
              </w:rPr>
              <w:t>巡查记录</w:t>
            </w:r>
          </w:p>
        </w:tc>
        <w:tc>
          <w:tcPr>
            <w:tcW w:w="4390" w:type="dxa"/>
            <w:tcBorders>
              <w:bottom w:val="single" w:color="000000" w:sz="8" w:space="0"/>
              <w:right w:val="single" w:color="000000" w:sz="8" w:space="0"/>
            </w:tcBorders>
            <w:noWrap/>
            <w:tcMar>
              <w:top w:w="0" w:type="dxa"/>
              <w:left w:w="108" w:type="dxa"/>
              <w:bottom w:w="0" w:type="dxa"/>
              <w:right w:w="108" w:type="dxa"/>
            </w:tcMar>
            <w:vAlign w:val="center"/>
          </w:tcPr>
          <w:p w14:paraId="2E38F0D0">
            <w:pPr>
              <w:pBdr>
                <w:top w:val="none" w:color="000000" w:sz="0" w:space="0"/>
                <w:left w:val="none" w:color="000000" w:sz="0" w:space="0"/>
                <w:bottom w:val="none" w:color="000000" w:sz="0" w:space="0"/>
                <w:right w:val="none" w:color="000000" w:sz="0" w:space="0"/>
              </w:pBdr>
              <w:spacing w:line="360" w:lineRule="auto"/>
              <w:rPr>
                <w:rFonts w:ascii="宋体" w:hAnsi="宋体" w:cs="宋体"/>
                <w:szCs w:val="21"/>
                <w:highlight w:val="none"/>
              </w:rPr>
            </w:pPr>
            <w:r>
              <w:rPr>
                <w:rFonts w:hint="eastAsia" w:ascii="宋体" w:hAnsi="宋体" w:cs="宋体"/>
                <w:szCs w:val="21"/>
                <w:highlight w:val="none"/>
              </w:rPr>
              <w:t>巡查工作每日有记载，内容准确，应做到项目、位置、数量准确无误，并有社区签字。发现问题要及时上报，并有记录。处理完毕后，记录处理结果，由相关负责人审核签字。</w:t>
            </w:r>
          </w:p>
        </w:tc>
        <w:tc>
          <w:tcPr>
            <w:tcW w:w="1548" w:type="dxa"/>
            <w:tcBorders>
              <w:bottom w:val="single" w:color="000000" w:sz="8" w:space="0"/>
              <w:right w:val="single" w:color="000000" w:sz="8" w:space="0"/>
            </w:tcBorders>
            <w:noWrap/>
            <w:tcMar>
              <w:top w:w="0" w:type="dxa"/>
              <w:left w:w="108" w:type="dxa"/>
              <w:bottom w:w="0" w:type="dxa"/>
              <w:right w:w="108" w:type="dxa"/>
            </w:tcMar>
            <w:vAlign w:val="center"/>
          </w:tcPr>
          <w:p w14:paraId="66D26408">
            <w:pPr>
              <w:pBdr>
                <w:top w:val="none" w:color="000000" w:sz="0" w:space="0"/>
                <w:left w:val="none" w:color="000000" w:sz="0" w:space="0"/>
                <w:bottom w:val="none" w:color="000000" w:sz="0" w:space="0"/>
                <w:right w:val="none" w:color="000000" w:sz="0" w:space="0"/>
              </w:pBdr>
              <w:spacing w:line="360" w:lineRule="auto"/>
              <w:rPr>
                <w:rFonts w:ascii="宋体" w:hAnsi="宋体" w:cs="宋体"/>
                <w:szCs w:val="21"/>
                <w:highlight w:val="none"/>
              </w:rPr>
            </w:pPr>
            <w:r>
              <w:rPr>
                <w:rFonts w:hint="eastAsia" w:ascii="宋体" w:hAnsi="宋体" w:cs="宋体"/>
                <w:szCs w:val="21"/>
                <w:highlight w:val="none"/>
              </w:rPr>
              <w:t>未达到本条要求者，每次扣3分。</w:t>
            </w:r>
          </w:p>
        </w:tc>
        <w:tc>
          <w:tcPr>
            <w:tcW w:w="690" w:type="dxa"/>
            <w:tcBorders>
              <w:bottom w:val="single" w:color="000000" w:sz="8" w:space="0"/>
              <w:right w:val="single" w:color="000000" w:sz="8" w:space="0"/>
            </w:tcBorders>
            <w:noWrap/>
            <w:tcMar>
              <w:top w:w="0" w:type="dxa"/>
              <w:left w:w="108" w:type="dxa"/>
              <w:bottom w:w="0" w:type="dxa"/>
              <w:right w:w="108" w:type="dxa"/>
            </w:tcMar>
            <w:vAlign w:val="center"/>
          </w:tcPr>
          <w:p w14:paraId="07E7D6E1">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r>
              <w:rPr>
                <w:rFonts w:hint="eastAsia" w:ascii="宋体" w:hAnsi="宋体" w:cs="宋体"/>
                <w:szCs w:val="21"/>
                <w:highlight w:val="none"/>
              </w:rPr>
              <w:t>25</w:t>
            </w:r>
          </w:p>
        </w:tc>
        <w:tc>
          <w:tcPr>
            <w:tcW w:w="676" w:type="dxa"/>
            <w:tcBorders>
              <w:bottom w:val="single" w:color="000000" w:sz="8" w:space="0"/>
              <w:right w:val="single" w:color="000000" w:sz="8" w:space="0"/>
            </w:tcBorders>
            <w:noWrap/>
            <w:tcMar>
              <w:top w:w="0" w:type="dxa"/>
              <w:left w:w="108" w:type="dxa"/>
              <w:bottom w:w="0" w:type="dxa"/>
              <w:right w:w="108" w:type="dxa"/>
            </w:tcMar>
            <w:vAlign w:val="center"/>
          </w:tcPr>
          <w:p w14:paraId="4136B1A7">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p>
        </w:tc>
        <w:tc>
          <w:tcPr>
            <w:tcW w:w="662" w:type="dxa"/>
            <w:tcBorders>
              <w:bottom w:val="single" w:color="000000" w:sz="8" w:space="0"/>
              <w:right w:val="single" w:color="000000" w:sz="8" w:space="0"/>
            </w:tcBorders>
            <w:noWrap/>
            <w:tcMar>
              <w:top w:w="0" w:type="dxa"/>
              <w:left w:w="108" w:type="dxa"/>
              <w:bottom w:w="0" w:type="dxa"/>
              <w:right w:w="108" w:type="dxa"/>
            </w:tcMar>
            <w:vAlign w:val="center"/>
          </w:tcPr>
          <w:p w14:paraId="67BCD17E">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p>
        </w:tc>
        <w:tc>
          <w:tcPr>
            <w:tcW w:w="686" w:type="dxa"/>
            <w:tcBorders>
              <w:bottom w:val="single" w:color="000000" w:sz="8" w:space="0"/>
              <w:right w:val="single" w:color="000000" w:sz="8" w:space="0"/>
            </w:tcBorders>
            <w:noWrap/>
            <w:tcMar>
              <w:top w:w="0" w:type="dxa"/>
              <w:left w:w="108" w:type="dxa"/>
              <w:bottom w:w="0" w:type="dxa"/>
              <w:right w:w="108" w:type="dxa"/>
            </w:tcMar>
            <w:vAlign w:val="center"/>
          </w:tcPr>
          <w:p w14:paraId="21F48F10">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p>
        </w:tc>
      </w:tr>
      <w:tr w14:paraId="079A7747">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426"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EB94C7D">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r>
              <w:rPr>
                <w:rFonts w:hint="eastAsia" w:ascii="宋体" w:hAnsi="宋体" w:cs="宋体"/>
                <w:szCs w:val="21"/>
                <w:highlight w:val="none"/>
              </w:rPr>
              <w:t>5</w:t>
            </w:r>
          </w:p>
        </w:tc>
        <w:tc>
          <w:tcPr>
            <w:tcW w:w="679" w:type="dxa"/>
            <w:tcBorders>
              <w:bottom w:val="single" w:color="000000" w:sz="8" w:space="0"/>
              <w:right w:val="single" w:color="000000" w:sz="8" w:space="0"/>
            </w:tcBorders>
            <w:noWrap/>
            <w:tcMar>
              <w:top w:w="0" w:type="dxa"/>
              <w:left w:w="108" w:type="dxa"/>
              <w:bottom w:w="0" w:type="dxa"/>
              <w:right w:w="108" w:type="dxa"/>
            </w:tcMar>
            <w:vAlign w:val="center"/>
          </w:tcPr>
          <w:p w14:paraId="6CD96021">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r>
              <w:rPr>
                <w:rFonts w:hint="eastAsia" w:ascii="宋体" w:hAnsi="宋体" w:cs="宋体"/>
                <w:szCs w:val="21"/>
                <w:highlight w:val="none"/>
              </w:rPr>
              <w:t>巡查问题处置</w:t>
            </w:r>
          </w:p>
        </w:tc>
        <w:tc>
          <w:tcPr>
            <w:tcW w:w="4390" w:type="dxa"/>
            <w:tcBorders>
              <w:bottom w:val="single" w:color="000000" w:sz="8" w:space="0"/>
              <w:right w:val="single" w:color="000000" w:sz="8" w:space="0"/>
            </w:tcBorders>
            <w:noWrap/>
            <w:tcMar>
              <w:top w:w="0" w:type="dxa"/>
              <w:left w:w="108" w:type="dxa"/>
              <w:bottom w:w="0" w:type="dxa"/>
              <w:right w:w="108" w:type="dxa"/>
            </w:tcMar>
            <w:vAlign w:val="center"/>
          </w:tcPr>
          <w:p w14:paraId="5AA68245">
            <w:pPr>
              <w:pBdr>
                <w:top w:val="none" w:color="000000" w:sz="0" w:space="0"/>
                <w:left w:val="none" w:color="000000" w:sz="0" w:space="0"/>
                <w:bottom w:val="none" w:color="000000" w:sz="0" w:space="0"/>
                <w:right w:val="none" w:color="000000" w:sz="0" w:space="0"/>
              </w:pBdr>
              <w:spacing w:line="360" w:lineRule="auto"/>
              <w:rPr>
                <w:rFonts w:ascii="宋体" w:hAnsi="宋体" w:cs="宋体"/>
                <w:szCs w:val="21"/>
                <w:highlight w:val="none"/>
              </w:rPr>
            </w:pPr>
            <w:r>
              <w:rPr>
                <w:rFonts w:hint="eastAsia" w:ascii="宋体" w:hAnsi="宋体" w:cs="宋体"/>
                <w:szCs w:val="21"/>
                <w:highlight w:val="none"/>
              </w:rPr>
              <w:t>养护维修范围内的城市道路，在巡查过程中发现设施明显损坏，影响车辆和行人安全等安全隐患、危急情况，及时采取相应的维护措施，并做好记录。</w:t>
            </w:r>
          </w:p>
        </w:tc>
        <w:tc>
          <w:tcPr>
            <w:tcW w:w="1548" w:type="dxa"/>
            <w:tcBorders>
              <w:bottom w:val="single" w:color="000000" w:sz="8" w:space="0"/>
              <w:right w:val="single" w:color="000000" w:sz="8" w:space="0"/>
            </w:tcBorders>
            <w:noWrap/>
            <w:tcMar>
              <w:top w:w="0" w:type="dxa"/>
              <w:left w:w="108" w:type="dxa"/>
              <w:bottom w:w="0" w:type="dxa"/>
              <w:right w:w="108" w:type="dxa"/>
            </w:tcMar>
            <w:vAlign w:val="center"/>
          </w:tcPr>
          <w:p w14:paraId="33AD340E">
            <w:pPr>
              <w:pBdr>
                <w:top w:val="none" w:color="000000" w:sz="0" w:space="0"/>
                <w:left w:val="none" w:color="000000" w:sz="0" w:space="0"/>
                <w:bottom w:val="none" w:color="000000" w:sz="0" w:space="0"/>
                <w:right w:val="none" w:color="000000" w:sz="0" w:space="0"/>
              </w:pBdr>
              <w:spacing w:line="360" w:lineRule="auto"/>
              <w:rPr>
                <w:rFonts w:ascii="宋体" w:hAnsi="宋体" w:cs="宋体"/>
                <w:szCs w:val="21"/>
                <w:highlight w:val="none"/>
              </w:rPr>
            </w:pPr>
            <w:r>
              <w:rPr>
                <w:rFonts w:hint="eastAsia" w:ascii="宋体" w:hAnsi="宋体" w:cs="宋体"/>
                <w:szCs w:val="21"/>
                <w:highlight w:val="none"/>
              </w:rPr>
              <w:t>未达到本条要求者，每次扣5分</w:t>
            </w:r>
          </w:p>
        </w:tc>
        <w:tc>
          <w:tcPr>
            <w:tcW w:w="690" w:type="dxa"/>
            <w:tcBorders>
              <w:bottom w:val="single" w:color="000000" w:sz="8" w:space="0"/>
              <w:right w:val="single" w:color="000000" w:sz="8" w:space="0"/>
            </w:tcBorders>
            <w:noWrap/>
            <w:tcMar>
              <w:top w:w="0" w:type="dxa"/>
              <w:left w:w="108" w:type="dxa"/>
              <w:bottom w:w="0" w:type="dxa"/>
              <w:right w:w="108" w:type="dxa"/>
            </w:tcMar>
            <w:vAlign w:val="center"/>
          </w:tcPr>
          <w:p w14:paraId="6D1DA268">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r>
              <w:rPr>
                <w:rFonts w:hint="eastAsia" w:ascii="宋体" w:hAnsi="宋体" w:cs="宋体"/>
                <w:szCs w:val="21"/>
                <w:highlight w:val="none"/>
              </w:rPr>
              <w:t>25</w:t>
            </w:r>
          </w:p>
        </w:tc>
        <w:tc>
          <w:tcPr>
            <w:tcW w:w="676" w:type="dxa"/>
            <w:tcBorders>
              <w:bottom w:val="single" w:color="000000" w:sz="8" w:space="0"/>
              <w:right w:val="single" w:color="000000" w:sz="8" w:space="0"/>
            </w:tcBorders>
            <w:noWrap/>
            <w:tcMar>
              <w:top w:w="0" w:type="dxa"/>
              <w:left w:w="108" w:type="dxa"/>
              <w:bottom w:w="0" w:type="dxa"/>
              <w:right w:w="108" w:type="dxa"/>
            </w:tcMar>
            <w:vAlign w:val="center"/>
          </w:tcPr>
          <w:p w14:paraId="3D9CB40B">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p>
        </w:tc>
        <w:tc>
          <w:tcPr>
            <w:tcW w:w="662" w:type="dxa"/>
            <w:tcBorders>
              <w:bottom w:val="single" w:color="000000" w:sz="8" w:space="0"/>
              <w:right w:val="single" w:color="000000" w:sz="8" w:space="0"/>
            </w:tcBorders>
            <w:noWrap/>
            <w:tcMar>
              <w:top w:w="0" w:type="dxa"/>
              <w:left w:w="108" w:type="dxa"/>
              <w:bottom w:w="0" w:type="dxa"/>
              <w:right w:w="108" w:type="dxa"/>
            </w:tcMar>
            <w:vAlign w:val="center"/>
          </w:tcPr>
          <w:p w14:paraId="2BDBDA10">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p>
        </w:tc>
        <w:tc>
          <w:tcPr>
            <w:tcW w:w="686" w:type="dxa"/>
            <w:tcBorders>
              <w:bottom w:val="single" w:color="000000" w:sz="8" w:space="0"/>
              <w:right w:val="single" w:color="000000" w:sz="8" w:space="0"/>
            </w:tcBorders>
            <w:noWrap/>
            <w:tcMar>
              <w:top w:w="0" w:type="dxa"/>
              <w:left w:w="108" w:type="dxa"/>
              <w:bottom w:w="0" w:type="dxa"/>
              <w:right w:w="108" w:type="dxa"/>
            </w:tcMar>
            <w:vAlign w:val="center"/>
          </w:tcPr>
          <w:p w14:paraId="68EEEE10">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p>
        </w:tc>
      </w:tr>
      <w:tr w14:paraId="3EC34D50">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7043" w:type="dxa"/>
            <w:gridSpan w:val="4"/>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C2D0F3A">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szCs w:val="21"/>
                <w:highlight w:val="none"/>
              </w:rPr>
            </w:pPr>
            <w:r>
              <w:rPr>
                <w:rFonts w:hint="eastAsia" w:ascii="宋体" w:hAnsi="宋体" w:cs="宋体"/>
                <w:szCs w:val="21"/>
                <w:highlight w:val="none"/>
              </w:rPr>
              <w:t>合计得分</w:t>
            </w:r>
          </w:p>
        </w:tc>
        <w:tc>
          <w:tcPr>
            <w:tcW w:w="2714" w:type="dxa"/>
            <w:gridSpan w:val="4"/>
            <w:tcBorders>
              <w:bottom w:val="single" w:color="000000" w:sz="8" w:space="0"/>
              <w:right w:val="single" w:color="000000" w:sz="8" w:space="0"/>
            </w:tcBorders>
            <w:noWrap/>
            <w:tcMar>
              <w:top w:w="0" w:type="dxa"/>
              <w:left w:w="108" w:type="dxa"/>
              <w:bottom w:w="0" w:type="dxa"/>
              <w:right w:w="108" w:type="dxa"/>
            </w:tcMar>
            <w:vAlign w:val="center"/>
          </w:tcPr>
          <w:p w14:paraId="0866F6F1">
            <w:pPr>
              <w:pBdr>
                <w:top w:val="none" w:color="000000" w:sz="0" w:space="0"/>
                <w:left w:val="none" w:color="000000" w:sz="0" w:space="0"/>
                <w:bottom w:val="none" w:color="000000" w:sz="0" w:space="0"/>
                <w:right w:val="none" w:color="000000" w:sz="0" w:space="0"/>
              </w:pBdr>
              <w:spacing w:line="360" w:lineRule="auto"/>
              <w:rPr>
                <w:rFonts w:ascii="宋体" w:hAnsi="宋体" w:cs="宋体"/>
                <w:szCs w:val="21"/>
                <w:highlight w:val="none"/>
              </w:rPr>
            </w:pPr>
            <w:r>
              <w:rPr>
                <w:rFonts w:hint="eastAsia" w:ascii="宋体" w:hAnsi="宋体" w:cs="宋体"/>
                <w:szCs w:val="21"/>
                <w:highlight w:val="none"/>
              </w:rPr>
              <w:t> </w:t>
            </w:r>
          </w:p>
        </w:tc>
      </w:tr>
      <w:tr w14:paraId="6F6C7A3B">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9757" w:type="dxa"/>
            <w:gridSpan w:val="8"/>
            <w:noWrap/>
            <w:tcMar>
              <w:top w:w="0" w:type="dxa"/>
              <w:left w:w="108" w:type="dxa"/>
              <w:bottom w:w="0" w:type="dxa"/>
              <w:right w:w="108" w:type="dxa"/>
            </w:tcMar>
            <w:vAlign w:val="center"/>
          </w:tcPr>
          <w:p w14:paraId="5D541BEA">
            <w:pPr>
              <w:pBdr>
                <w:top w:val="none" w:color="000000" w:sz="0" w:space="0"/>
                <w:left w:val="none" w:color="000000" w:sz="0" w:space="0"/>
                <w:bottom w:val="none" w:color="000000" w:sz="0" w:space="0"/>
                <w:right w:val="none" w:color="000000" w:sz="0" w:space="0"/>
              </w:pBdr>
              <w:spacing w:line="360" w:lineRule="auto"/>
              <w:rPr>
                <w:rFonts w:ascii="宋体" w:hAnsi="宋体" w:cs="宋体"/>
                <w:szCs w:val="21"/>
                <w:highlight w:val="none"/>
              </w:rPr>
            </w:pPr>
            <w:r>
              <w:rPr>
                <w:rFonts w:hint="eastAsia" w:ascii="宋体" w:hAnsi="宋体" w:cs="宋体"/>
                <w:szCs w:val="21"/>
                <w:highlight w:val="none"/>
              </w:rPr>
              <w:t>养护单位：                                                考核人员：</w:t>
            </w:r>
          </w:p>
          <w:p w14:paraId="5D39B1F6">
            <w:pPr>
              <w:pBdr>
                <w:top w:val="none" w:color="000000" w:sz="0" w:space="0"/>
                <w:left w:val="none" w:color="000000" w:sz="0" w:space="0"/>
                <w:bottom w:val="none" w:color="000000" w:sz="0" w:space="0"/>
                <w:right w:val="none" w:color="000000" w:sz="0" w:space="0"/>
              </w:pBdr>
              <w:spacing w:line="360" w:lineRule="auto"/>
              <w:rPr>
                <w:rFonts w:ascii="宋体" w:hAnsi="宋体" w:cs="宋体"/>
                <w:szCs w:val="21"/>
                <w:highlight w:val="none"/>
              </w:rPr>
            </w:pPr>
            <w:r>
              <w:rPr>
                <w:rFonts w:hint="eastAsia" w:ascii="宋体" w:hAnsi="宋体" w:cs="宋体"/>
                <w:szCs w:val="21"/>
                <w:highlight w:val="none"/>
              </w:rPr>
              <w:t>检查时间：202  年   月   日～202  年   月   日</w:t>
            </w:r>
          </w:p>
        </w:tc>
      </w:tr>
      <w:tr w14:paraId="01099C28">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rPr>
          <w:trHeight w:val="642" w:hRule="atLeast"/>
        </w:trPr>
        <w:tc>
          <w:tcPr>
            <w:tcW w:w="9757" w:type="dxa"/>
            <w:gridSpan w:val="8"/>
            <w:noWrap/>
            <w:tcMar>
              <w:top w:w="0" w:type="dxa"/>
              <w:left w:w="108" w:type="dxa"/>
              <w:bottom w:w="0" w:type="dxa"/>
              <w:right w:w="108" w:type="dxa"/>
            </w:tcMar>
            <w:vAlign w:val="center"/>
          </w:tcPr>
          <w:p w14:paraId="1936AB4F">
            <w:pPr>
              <w:pBdr>
                <w:top w:val="none" w:color="000000" w:sz="0" w:space="0"/>
                <w:left w:val="none" w:color="000000" w:sz="0" w:space="0"/>
                <w:bottom w:val="none" w:color="000000" w:sz="0" w:space="0"/>
                <w:right w:val="none" w:color="000000" w:sz="0" w:space="0"/>
              </w:pBdr>
              <w:spacing w:line="360" w:lineRule="auto"/>
              <w:rPr>
                <w:rFonts w:ascii="宋体" w:hAnsi="宋体" w:cs="宋体"/>
                <w:szCs w:val="21"/>
                <w:highlight w:val="none"/>
              </w:rPr>
            </w:pPr>
            <w:r>
              <w:rPr>
                <w:rFonts w:hint="eastAsia" w:ascii="宋体" w:hAnsi="宋体" w:cs="宋体"/>
                <w:szCs w:val="21"/>
                <w:highlight w:val="none"/>
              </w:rPr>
              <w:t>注：日常考核时使用，在相应的词语上划“√”</w:t>
            </w:r>
          </w:p>
        </w:tc>
      </w:tr>
    </w:tbl>
    <w:p w14:paraId="72BF1955">
      <w:pPr>
        <w:pBdr>
          <w:top w:val="none" w:color="000000" w:sz="0" w:space="0"/>
          <w:left w:val="none" w:color="000000" w:sz="0" w:space="0"/>
          <w:bottom w:val="none" w:color="000000" w:sz="0" w:space="0"/>
          <w:right w:val="none" w:color="000000" w:sz="0" w:space="0"/>
        </w:pBdr>
        <w:ind w:firstLine="480"/>
        <w:jc w:val="center"/>
        <w:rPr>
          <w:rFonts w:eastAsia="Times New Roman"/>
          <w:szCs w:val="21"/>
          <w:highlight w:val="none"/>
        </w:rPr>
      </w:pPr>
    </w:p>
    <w:p w14:paraId="4A6CD2F1">
      <w:pPr>
        <w:pBdr>
          <w:top w:val="none" w:color="000000" w:sz="0" w:space="0"/>
          <w:left w:val="none" w:color="000000" w:sz="0" w:space="0"/>
          <w:bottom w:val="none" w:color="000000" w:sz="0" w:space="0"/>
          <w:right w:val="none" w:color="000000" w:sz="0" w:space="0"/>
        </w:pBdr>
        <w:spacing w:line="85" w:lineRule="atLeast"/>
        <w:ind w:firstLine="480"/>
        <w:jc w:val="center"/>
        <w:rPr>
          <w:rFonts w:eastAsia="Times New Roman"/>
          <w:b/>
          <w:bCs/>
          <w:sz w:val="24"/>
          <w:highlight w:val="none"/>
        </w:rPr>
      </w:pPr>
      <w:r>
        <w:rPr>
          <w:szCs w:val="21"/>
          <w:highlight w:val="none"/>
        </w:rPr>
        <w:br w:type="page"/>
      </w:r>
      <w:r>
        <w:rPr>
          <w:rFonts w:eastAsia="Times New Roman"/>
          <w:b/>
          <w:bCs/>
          <w:sz w:val="24"/>
          <w:highlight w:val="none"/>
        </w:rPr>
        <w:t>表1-2</w:t>
      </w:r>
      <w:r>
        <w:rPr>
          <w:rFonts w:hint="eastAsia" w:eastAsia="Times New Roman"/>
          <w:b/>
          <w:bCs/>
          <w:sz w:val="24"/>
          <w:highlight w:val="none"/>
        </w:rPr>
        <w:t xml:space="preserve"> </w:t>
      </w:r>
      <w:r>
        <w:rPr>
          <w:rFonts w:eastAsia="Times New Roman"/>
          <w:b/>
          <w:bCs/>
          <w:sz w:val="24"/>
          <w:highlight w:val="none"/>
        </w:rPr>
        <w:t>设施维护考核表（日常）</w:t>
      </w:r>
    </w:p>
    <w:p w14:paraId="7E39D334">
      <w:pPr>
        <w:pBdr>
          <w:top w:val="none" w:color="000000" w:sz="0" w:space="0"/>
          <w:left w:val="none" w:color="000000" w:sz="0" w:space="0"/>
          <w:bottom w:val="none" w:color="000000" w:sz="0" w:space="0"/>
          <w:right w:val="none" w:color="000000" w:sz="0" w:space="0"/>
        </w:pBdr>
        <w:ind w:firstLine="480"/>
        <w:jc w:val="center"/>
        <w:rPr>
          <w:rFonts w:eastAsia="Times New Roman"/>
          <w:szCs w:val="21"/>
          <w:highlight w:val="none"/>
        </w:rPr>
      </w:pPr>
    </w:p>
    <w:p w14:paraId="608FBD5A">
      <w:pPr>
        <w:pBdr>
          <w:top w:val="none" w:color="000000" w:sz="0" w:space="0"/>
          <w:left w:val="none" w:color="000000" w:sz="0" w:space="0"/>
          <w:bottom w:val="none" w:color="000000" w:sz="0" w:space="0"/>
          <w:right w:val="none" w:color="000000" w:sz="0" w:space="0"/>
        </w:pBdr>
        <w:ind w:firstLine="480"/>
        <w:jc w:val="right"/>
        <w:rPr>
          <w:szCs w:val="21"/>
          <w:highlight w:val="none"/>
        </w:rPr>
      </w:pPr>
      <w:r>
        <w:rPr>
          <w:rFonts w:hint="eastAsia"/>
          <w:szCs w:val="21"/>
          <w:highlight w:val="none"/>
        </w:rPr>
        <w:t xml:space="preserve">     </w:t>
      </w:r>
      <w:r>
        <w:rPr>
          <w:rFonts w:eastAsia="Times New Roman"/>
          <w:szCs w:val="21"/>
          <w:highlight w:val="none"/>
        </w:rPr>
        <w:t>（</w:t>
      </w:r>
      <w:r>
        <w:rPr>
          <w:rFonts w:ascii="宋体" w:hAnsi="宋体" w:cs="宋体"/>
          <w:szCs w:val="21"/>
          <w:highlight w:val="none"/>
        </w:rPr>
        <w:t xml:space="preserve">20   </w:t>
      </w:r>
      <w:r>
        <w:rPr>
          <w:rFonts w:eastAsia="Times New Roman"/>
          <w:szCs w:val="21"/>
          <w:highlight w:val="none"/>
        </w:rPr>
        <w:t>年</w:t>
      </w:r>
      <w:r>
        <w:rPr>
          <w:rFonts w:hint="eastAsia"/>
          <w:szCs w:val="21"/>
          <w:highlight w:val="none"/>
        </w:rPr>
        <w:t xml:space="preserve">    </w:t>
      </w:r>
      <w:r>
        <w:rPr>
          <w:rFonts w:eastAsia="Times New Roman"/>
          <w:szCs w:val="21"/>
          <w:highlight w:val="none"/>
        </w:rPr>
        <w:t>月）</w:t>
      </w:r>
    </w:p>
    <w:tbl>
      <w:tblPr>
        <w:tblStyle w:val="9"/>
        <w:tblW w:w="10146" w:type="dxa"/>
        <w:tblInd w:w="-1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94"/>
        <w:gridCol w:w="1044"/>
        <w:gridCol w:w="5166"/>
        <w:gridCol w:w="1492"/>
        <w:gridCol w:w="534"/>
        <w:gridCol w:w="534"/>
        <w:gridCol w:w="498"/>
        <w:gridCol w:w="484"/>
      </w:tblGrid>
      <w:tr w14:paraId="7E0BE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4" w:type="dxa"/>
            <w:noWrap/>
            <w:tcMar>
              <w:top w:w="0" w:type="dxa"/>
              <w:left w:w="108" w:type="dxa"/>
              <w:bottom w:w="0" w:type="dxa"/>
              <w:right w:w="108" w:type="dxa"/>
            </w:tcMar>
            <w:vAlign w:val="center"/>
          </w:tcPr>
          <w:p w14:paraId="33433088">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序号</w:t>
            </w:r>
          </w:p>
        </w:tc>
        <w:tc>
          <w:tcPr>
            <w:tcW w:w="1044" w:type="dxa"/>
            <w:noWrap/>
            <w:tcMar>
              <w:top w:w="0" w:type="dxa"/>
              <w:left w:w="108" w:type="dxa"/>
              <w:bottom w:w="0" w:type="dxa"/>
              <w:right w:w="108" w:type="dxa"/>
            </w:tcMar>
            <w:vAlign w:val="center"/>
          </w:tcPr>
          <w:p w14:paraId="4562A4B7">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考核项目</w:t>
            </w:r>
          </w:p>
        </w:tc>
        <w:tc>
          <w:tcPr>
            <w:tcW w:w="5166" w:type="dxa"/>
            <w:noWrap/>
            <w:tcMar>
              <w:top w:w="0" w:type="dxa"/>
              <w:left w:w="108" w:type="dxa"/>
              <w:bottom w:w="0" w:type="dxa"/>
              <w:right w:w="108" w:type="dxa"/>
            </w:tcMar>
            <w:vAlign w:val="center"/>
          </w:tcPr>
          <w:p w14:paraId="2666B739">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考核内容</w:t>
            </w:r>
          </w:p>
        </w:tc>
        <w:tc>
          <w:tcPr>
            <w:tcW w:w="1492" w:type="dxa"/>
            <w:noWrap/>
            <w:tcMar>
              <w:top w:w="0" w:type="dxa"/>
              <w:left w:w="108" w:type="dxa"/>
              <w:bottom w:w="0" w:type="dxa"/>
              <w:right w:w="108" w:type="dxa"/>
            </w:tcMar>
            <w:vAlign w:val="center"/>
          </w:tcPr>
          <w:p w14:paraId="207AE78B">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扣分标准</w:t>
            </w:r>
          </w:p>
        </w:tc>
        <w:tc>
          <w:tcPr>
            <w:tcW w:w="534" w:type="dxa"/>
            <w:noWrap/>
            <w:tcMar>
              <w:top w:w="0" w:type="dxa"/>
              <w:left w:w="108" w:type="dxa"/>
              <w:bottom w:w="0" w:type="dxa"/>
              <w:right w:w="108" w:type="dxa"/>
            </w:tcMar>
            <w:vAlign w:val="center"/>
          </w:tcPr>
          <w:p w14:paraId="55797844">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满分</w:t>
            </w:r>
          </w:p>
        </w:tc>
        <w:tc>
          <w:tcPr>
            <w:tcW w:w="534" w:type="dxa"/>
            <w:noWrap/>
            <w:tcMar>
              <w:top w:w="0" w:type="dxa"/>
              <w:left w:w="108" w:type="dxa"/>
              <w:bottom w:w="0" w:type="dxa"/>
              <w:right w:w="108" w:type="dxa"/>
            </w:tcMar>
            <w:vAlign w:val="center"/>
          </w:tcPr>
          <w:p w14:paraId="76418D62">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扣分</w:t>
            </w:r>
          </w:p>
        </w:tc>
        <w:tc>
          <w:tcPr>
            <w:tcW w:w="498" w:type="dxa"/>
            <w:noWrap/>
            <w:tcMar>
              <w:top w:w="0" w:type="dxa"/>
              <w:left w:w="108" w:type="dxa"/>
              <w:bottom w:w="0" w:type="dxa"/>
              <w:right w:w="108" w:type="dxa"/>
            </w:tcMar>
            <w:vAlign w:val="center"/>
          </w:tcPr>
          <w:p w14:paraId="64302F99">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得分</w:t>
            </w:r>
          </w:p>
        </w:tc>
        <w:tc>
          <w:tcPr>
            <w:tcW w:w="484" w:type="dxa"/>
            <w:noWrap/>
            <w:tcMar>
              <w:top w:w="0" w:type="dxa"/>
              <w:left w:w="108" w:type="dxa"/>
              <w:bottom w:w="0" w:type="dxa"/>
              <w:right w:w="108" w:type="dxa"/>
            </w:tcMar>
            <w:vAlign w:val="center"/>
          </w:tcPr>
          <w:p w14:paraId="00D03577">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备注</w:t>
            </w:r>
          </w:p>
        </w:tc>
      </w:tr>
      <w:tr w14:paraId="63DC6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4" w:type="dxa"/>
            <w:noWrap/>
            <w:tcMar>
              <w:top w:w="0" w:type="dxa"/>
              <w:left w:w="108" w:type="dxa"/>
              <w:bottom w:w="0" w:type="dxa"/>
              <w:right w:w="108" w:type="dxa"/>
            </w:tcMar>
            <w:vAlign w:val="center"/>
          </w:tcPr>
          <w:p w14:paraId="7F3AF762">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1</w:t>
            </w:r>
          </w:p>
        </w:tc>
        <w:tc>
          <w:tcPr>
            <w:tcW w:w="1044" w:type="dxa"/>
            <w:noWrap/>
            <w:tcMar>
              <w:top w:w="0" w:type="dxa"/>
              <w:left w:w="108" w:type="dxa"/>
              <w:bottom w:w="0" w:type="dxa"/>
              <w:right w:w="108" w:type="dxa"/>
            </w:tcMar>
            <w:vAlign w:val="center"/>
          </w:tcPr>
          <w:p w14:paraId="244DCE1F">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车行道设施</w:t>
            </w:r>
          </w:p>
        </w:tc>
        <w:tc>
          <w:tcPr>
            <w:tcW w:w="5166" w:type="dxa"/>
            <w:noWrap/>
            <w:tcMar>
              <w:top w:w="0" w:type="dxa"/>
              <w:left w:w="108" w:type="dxa"/>
              <w:bottom w:w="0" w:type="dxa"/>
              <w:right w:w="108" w:type="dxa"/>
            </w:tcMar>
            <w:vAlign w:val="center"/>
          </w:tcPr>
          <w:p w14:paraId="38847DD3">
            <w:pPr>
              <w:pBdr>
                <w:top w:val="none" w:color="000000" w:sz="0" w:space="0"/>
                <w:left w:val="none" w:color="000000" w:sz="0" w:space="0"/>
                <w:bottom w:val="none" w:color="000000" w:sz="0" w:space="0"/>
                <w:right w:val="none" w:color="000000" w:sz="0" w:space="0"/>
              </w:pBdr>
              <w:snapToGrid w:val="0"/>
              <w:spacing w:line="360" w:lineRule="auto"/>
              <w:rPr>
                <w:rFonts w:ascii="宋体" w:hAnsi="宋体" w:cs="宋体"/>
                <w:szCs w:val="21"/>
                <w:highlight w:val="none"/>
              </w:rPr>
            </w:pPr>
            <w:r>
              <w:rPr>
                <w:rFonts w:hint="eastAsia" w:ascii="宋体" w:hAnsi="宋体" w:cs="宋体"/>
                <w:szCs w:val="21"/>
                <w:highlight w:val="none"/>
              </w:rPr>
              <w:t>坑凼面积在0.2㎡以上、明显沉陷、网裂、松散、裂缝、烂边、路况差、积泥、拥包、错台、缝料散失、砼板块松动的，发现或接到信息通知起，2日内修复完毕，并经社区签字确认。（若遇雨或沥青炒拌机停机可顺延但须在到期前上报；如遇道路塌陷等影响交通及安全的突发性特殊情况，均必须采取临时处理措施。）。</w:t>
            </w:r>
          </w:p>
        </w:tc>
        <w:tc>
          <w:tcPr>
            <w:tcW w:w="1492" w:type="dxa"/>
            <w:noWrap/>
            <w:tcMar>
              <w:top w:w="0" w:type="dxa"/>
              <w:left w:w="108" w:type="dxa"/>
              <w:bottom w:w="0" w:type="dxa"/>
              <w:right w:w="108" w:type="dxa"/>
            </w:tcMar>
            <w:vAlign w:val="center"/>
          </w:tcPr>
          <w:p w14:paraId="56654FD1">
            <w:pPr>
              <w:pBdr>
                <w:top w:val="none" w:color="000000" w:sz="0" w:space="0"/>
                <w:left w:val="none" w:color="000000" w:sz="0" w:space="0"/>
                <w:bottom w:val="none" w:color="000000" w:sz="0" w:space="0"/>
                <w:right w:val="none" w:color="000000" w:sz="0" w:space="0"/>
              </w:pBdr>
              <w:snapToGrid w:val="0"/>
              <w:spacing w:line="360" w:lineRule="auto"/>
              <w:rPr>
                <w:rFonts w:ascii="宋体" w:hAnsi="宋体" w:cs="宋体"/>
                <w:szCs w:val="21"/>
                <w:highlight w:val="none"/>
              </w:rPr>
            </w:pPr>
            <w:r>
              <w:rPr>
                <w:rFonts w:hint="eastAsia" w:ascii="宋体" w:hAnsi="宋体" w:cs="宋体"/>
                <w:szCs w:val="21"/>
                <w:highlight w:val="none"/>
              </w:rPr>
              <w:t>凡未达到本条要求，每处每超期1天（不足1天的按1天计，下同），扣3分。</w:t>
            </w:r>
          </w:p>
        </w:tc>
        <w:tc>
          <w:tcPr>
            <w:tcW w:w="534" w:type="dxa"/>
            <w:noWrap/>
            <w:tcMar>
              <w:top w:w="0" w:type="dxa"/>
              <w:left w:w="108" w:type="dxa"/>
              <w:bottom w:w="0" w:type="dxa"/>
              <w:right w:w="108" w:type="dxa"/>
            </w:tcMar>
            <w:vAlign w:val="center"/>
          </w:tcPr>
          <w:p w14:paraId="303D0788">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30</w:t>
            </w:r>
          </w:p>
        </w:tc>
        <w:tc>
          <w:tcPr>
            <w:tcW w:w="534" w:type="dxa"/>
            <w:noWrap/>
            <w:tcMar>
              <w:top w:w="0" w:type="dxa"/>
              <w:left w:w="108" w:type="dxa"/>
              <w:bottom w:w="0" w:type="dxa"/>
              <w:right w:w="108" w:type="dxa"/>
            </w:tcMar>
            <w:vAlign w:val="center"/>
          </w:tcPr>
          <w:p w14:paraId="73EF4A33">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 </w:t>
            </w:r>
          </w:p>
        </w:tc>
        <w:tc>
          <w:tcPr>
            <w:tcW w:w="498" w:type="dxa"/>
            <w:noWrap/>
            <w:tcMar>
              <w:top w:w="0" w:type="dxa"/>
              <w:left w:w="108" w:type="dxa"/>
              <w:bottom w:w="0" w:type="dxa"/>
              <w:right w:w="108" w:type="dxa"/>
            </w:tcMar>
            <w:vAlign w:val="center"/>
          </w:tcPr>
          <w:p w14:paraId="46963DFD">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 </w:t>
            </w:r>
          </w:p>
        </w:tc>
        <w:tc>
          <w:tcPr>
            <w:tcW w:w="484" w:type="dxa"/>
            <w:noWrap/>
            <w:tcMar>
              <w:top w:w="0" w:type="dxa"/>
              <w:left w:w="108" w:type="dxa"/>
              <w:bottom w:w="0" w:type="dxa"/>
              <w:right w:w="108" w:type="dxa"/>
            </w:tcMar>
            <w:vAlign w:val="center"/>
          </w:tcPr>
          <w:p w14:paraId="3932F011">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 </w:t>
            </w:r>
          </w:p>
        </w:tc>
      </w:tr>
      <w:tr w14:paraId="0729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4" w:type="dxa"/>
            <w:noWrap/>
            <w:tcMar>
              <w:top w:w="0" w:type="dxa"/>
              <w:left w:w="108" w:type="dxa"/>
              <w:bottom w:w="0" w:type="dxa"/>
              <w:right w:w="108" w:type="dxa"/>
            </w:tcMar>
            <w:vAlign w:val="center"/>
          </w:tcPr>
          <w:p w14:paraId="40609572">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2</w:t>
            </w:r>
          </w:p>
        </w:tc>
        <w:tc>
          <w:tcPr>
            <w:tcW w:w="1044" w:type="dxa"/>
            <w:noWrap/>
            <w:tcMar>
              <w:top w:w="0" w:type="dxa"/>
              <w:left w:w="108" w:type="dxa"/>
              <w:bottom w:w="0" w:type="dxa"/>
              <w:right w:w="108" w:type="dxa"/>
            </w:tcMar>
            <w:vAlign w:val="center"/>
          </w:tcPr>
          <w:p w14:paraId="71082826">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人行道设施</w:t>
            </w:r>
          </w:p>
        </w:tc>
        <w:tc>
          <w:tcPr>
            <w:tcW w:w="5166" w:type="dxa"/>
            <w:noWrap/>
            <w:tcMar>
              <w:top w:w="0" w:type="dxa"/>
              <w:left w:w="108" w:type="dxa"/>
              <w:bottom w:w="0" w:type="dxa"/>
              <w:right w:w="108" w:type="dxa"/>
            </w:tcMar>
            <w:vAlign w:val="center"/>
          </w:tcPr>
          <w:p w14:paraId="39210F0A">
            <w:pPr>
              <w:pBdr>
                <w:top w:val="none" w:color="000000" w:sz="0" w:space="0"/>
                <w:left w:val="none" w:color="000000" w:sz="0" w:space="0"/>
                <w:bottom w:val="none" w:color="000000" w:sz="0" w:space="0"/>
                <w:right w:val="none" w:color="000000" w:sz="0" w:space="0"/>
              </w:pBdr>
              <w:snapToGrid w:val="0"/>
              <w:spacing w:line="360" w:lineRule="auto"/>
              <w:rPr>
                <w:rFonts w:ascii="宋体" w:hAnsi="宋体" w:cs="宋体"/>
                <w:szCs w:val="21"/>
                <w:highlight w:val="none"/>
              </w:rPr>
            </w:pPr>
            <w:r>
              <w:rPr>
                <w:rFonts w:hint="eastAsia" w:ascii="宋体" w:hAnsi="宋体" w:cs="宋体"/>
                <w:szCs w:val="21"/>
                <w:highlight w:val="none"/>
              </w:rPr>
              <w:t>人行道道砖松动、缺块、烂边、路沿石或嵌边石缺失等问题。发现或接到信息通知起，必须在2日内修复，并经社区签字确认。</w:t>
            </w:r>
          </w:p>
        </w:tc>
        <w:tc>
          <w:tcPr>
            <w:tcW w:w="1492" w:type="dxa"/>
            <w:noWrap/>
            <w:tcMar>
              <w:top w:w="0" w:type="dxa"/>
              <w:left w:w="108" w:type="dxa"/>
              <w:bottom w:w="0" w:type="dxa"/>
              <w:right w:w="108" w:type="dxa"/>
            </w:tcMar>
            <w:vAlign w:val="center"/>
          </w:tcPr>
          <w:p w14:paraId="0F9D1944">
            <w:pPr>
              <w:pBdr>
                <w:top w:val="none" w:color="000000" w:sz="0" w:space="0"/>
                <w:left w:val="none" w:color="000000" w:sz="0" w:space="0"/>
                <w:bottom w:val="none" w:color="000000" w:sz="0" w:space="0"/>
                <w:right w:val="none" w:color="000000" w:sz="0" w:space="0"/>
              </w:pBdr>
              <w:snapToGrid w:val="0"/>
              <w:spacing w:line="360" w:lineRule="auto"/>
              <w:rPr>
                <w:rFonts w:ascii="宋体" w:hAnsi="宋体" w:cs="宋体"/>
                <w:szCs w:val="21"/>
                <w:highlight w:val="none"/>
              </w:rPr>
            </w:pPr>
            <w:r>
              <w:rPr>
                <w:rFonts w:hint="eastAsia" w:ascii="宋体" w:hAnsi="宋体" w:cs="宋体"/>
                <w:szCs w:val="21"/>
                <w:highlight w:val="none"/>
              </w:rPr>
              <w:t>凡未达到本条要求，每处每超期1天，扣3分。</w:t>
            </w:r>
          </w:p>
        </w:tc>
        <w:tc>
          <w:tcPr>
            <w:tcW w:w="534" w:type="dxa"/>
            <w:noWrap/>
            <w:tcMar>
              <w:top w:w="0" w:type="dxa"/>
              <w:left w:w="108" w:type="dxa"/>
              <w:bottom w:w="0" w:type="dxa"/>
              <w:right w:w="108" w:type="dxa"/>
            </w:tcMar>
            <w:vAlign w:val="center"/>
          </w:tcPr>
          <w:p w14:paraId="775814F3">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30</w:t>
            </w:r>
          </w:p>
        </w:tc>
        <w:tc>
          <w:tcPr>
            <w:tcW w:w="534" w:type="dxa"/>
            <w:noWrap/>
            <w:tcMar>
              <w:top w:w="0" w:type="dxa"/>
              <w:left w:w="108" w:type="dxa"/>
              <w:bottom w:w="0" w:type="dxa"/>
              <w:right w:w="108" w:type="dxa"/>
            </w:tcMar>
            <w:vAlign w:val="center"/>
          </w:tcPr>
          <w:p w14:paraId="560D1C6E">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 </w:t>
            </w:r>
          </w:p>
        </w:tc>
        <w:tc>
          <w:tcPr>
            <w:tcW w:w="498" w:type="dxa"/>
            <w:noWrap/>
            <w:tcMar>
              <w:top w:w="0" w:type="dxa"/>
              <w:left w:w="108" w:type="dxa"/>
              <w:bottom w:w="0" w:type="dxa"/>
              <w:right w:w="108" w:type="dxa"/>
            </w:tcMar>
            <w:vAlign w:val="center"/>
          </w:tcPr>
          <w:p w14:paraId="34CA48FE">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 </w:t>
            </w:r>
          </w:p>
        </w:tc>
        <w:tc>
          <w:tcPr>
            <w:tcW w:w="484" w:type="dxa"/>
            <w:noWrap/>
            <w:tcMar>
              <w:top w:w="0" w:type="dxa"/>
              <w:left w:w="108" w:type="dxa"/>
              <w:bottom w:w="0" w:type="dxa"/>
              <w:right w:w="108" w:type="dxa"/>
            </w:tcMar>
            <w:vAlign w:val="center"/>
          </w:tcPr>
          <w:p w14:paraId="758E08E3">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 </w:t>
            </w:r>
          </w:p>
        </w:tc>
      </w:tr>
      <w:tr w14:paraId="4325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4" w:type="dxa"/>
            <w:vMerge w:val="restart"/>
            <w:noWrap/>
            <w:tcMar>
              <w:top w:w="0" w:type="dxa"/>
              <w:left w:w="108" w:type="dxa"/>
              <w:bottom w:w="0" w:type="dxa"/>
              <w:right w:w="108" w:type="dxa"/>
            </w:tcMar>
            <w:vAlign w:val="center"/>
          </w:tcPr>
          <w:p w14:paraId="3543CB72">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3</w:t>
            </w:r>
          </w:p>
        </w:tc>
        <w:tc>
          <w:tcPr>
            <w:tcW w:w="1044" w:type="dxa"/>
            <w:vMerge w:val="restart"/>
            <w:noWrap/>
            <w:tcMar>
              <w:top w:w="0" w:type="dxa"/>
              <w:left w:w="108" w:type="dxa"/>
              <w:bottom w:w="0" w:type="dxa"/>
              <w:right w:w="108" w:type="dxa"/>
            </w:tcMar>
            <w:vAlign w:val="center"/>
          </w:tcPr>
          <w:p w14:paraId="35EA96D7">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桥梁</w:t>
            </w:r>
          </w:p>
          <w:p w14:paraId="4D494E4E">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设施</w:t>
            </w:r>
          </w:p>
        </w:tc>
        <w:tc>
          <w:tcPr>
            <w:tcW w:w="5166" w:type="dxa"/>
            <w:noWrap/>
            <w:tcMar>
              <w:top w:w="0" w:type="dxa"/>
              <w:left w:w="108" w:type="dxa"/>
              <w:bottom w:w="0" w:type="dxa"/>
              <w:right w:w="108" w:type="dxa"/>
            </w:tcMar>
            <w:vAlign w:val="center"/>
          </w:tcPr>
          <w:p w14:paraId="46E3BC8E">
            <w:pPr>
              <w:pBdr>
                <w:top w:val="none" w:color="000000" w:sz="0" w:space="0"/>
                <w:left w:val="none" w:color="000000" w:sz="0" w:space="0"/>
                <w:bottom w:val="none" w:color="000000" w:sz="0" w:space="0"/>
                <w:right w:val="none" w:color="000000" w:sz="0" w:space="0"/>
              </w:pBdr>
              <w:snapToGrid w:val="0"/>
              <w:spacing w:line="360" w:lineRule="auto"/>
              <w:rPr>
                <w:rFonts w:ascii="宋体" w:hAnsi="宋体" w:cs="宋体"/>
                <w:szCs w:val="21"/>
                <w:highlight w:val="none"/>
              </w:rPr>
            </w:pPr>
            <w:r>
              <w:rPr>
                <w:rFonts w:hint="eastAsia" w:ascii="宋体" w:hAnsi="宋体" w:cs="宋体"/>
                <w:szCs w:val="21"/>
                <w:highlight w:val="none"/>
              </w:rPr>
              <w:t>桥面坑凼、拥包；人行道道砖松动、损坏；墩台混凝土剥落、露筋；防撞墩、防撞墙、搭板、挡墙、翼墙、护坡等损坏的，发现或接到信息通知起2日内完成，并经社区签字确认。</w:t>
            </w:r>
          </w:p>
        </w:tc>
        <w:tc>
          <w:tcPr>
            <w:tcW w:w="1492" w:type="dxa"/>
            <w:noWrap/>
            <w:tcMar>
              <w:top w:w="0" w:type="dxa"/>
              <w:left w:w="108" w:type="dxa"/>
              <w:bottom w:w="0" w:type="dxa"/>
              <w:right w:w="108" w:type="dxa"/>
            </w:tcMar>
            <w:vAlign w:val="center"/>
          </w:tcPr>
          <w:p w14:paraId="46BF49B4">
            <w:pPr>
              <w:pBdr>
                <w:top w:val="none" w:color="000000" w:sz="0" w:space="0"/>
                <w:left w:val="none" w:color="000000" w:sz="0" w:space="0"/>
                <w:bottom w:val="none" w:color="000000" w:sz="0" w:space="0"/>
                <w:right w:val="none" w:color="000000" w:sz="0" w:space="0"/>
              </w:pBdr>
              <w:snapToGrid w:val="0"/>
              <w:spacing w:line="360" w:lineRule="auto"/>
              <w:rPr>
                <w:rFonts w:ascii="宋体" w:hAnsi="宋体" w:cs="宋体"/>
                <w:szCs w:val="21"/>
                <w:highlight w:val="none"/>
              </w:rPr>
            </w:pPr>
            <w:r>
              <w:rPr>
                <w:rFonts w:hint="eastAsia" w:ascii="宋体" w:hAnsi="宋体" w:cs="宋体"/>
                <w:szCs w:val="21"/>
                <w:highlight w:val="none"/>
              </w:rPr>
              <w:t>凡未达到本条要求，每处每超期1天扣2分。</w:t>
            </w:r>
          </w:p>
        </w:tc>
        <w:tc>
          <w:tcPr>
            <w:tcW w:w="534" w:type="dxa"/>
            <w:vMerge w:val="restart"/>
            <w:noWrap/>
            <w:tcMar>
              <w:top w:w="0" w:type="dxa"/>
              <w:left w:w="108" w:type="dxa"/>
              <w:bottom w:w="0" w:type="dxa"/>
              <w:right w:w="108" w:type="dxa"/>
            </w:tcMar>
            <w:vAlign w:val="center"/>
          </w:tcPr>
          <w:p w14:paraId="763D02A6">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25</w:t>
            </w:r>
          </w:p>
        </w:tc>
        <w:tc>
          <w:tcPr>
            <w:tcW w:w="534" w:type="dxa"/>
            <w:noWrap/>
            <w:tcMar>
              <w:top w:w="0" w:type="dxa"/>
              <w:left w:w="108" w:type="dxa"/>
              <w:bottom w:w="0" w:type="dxa"/>
              <w:right w:w="108" w:type="dxa"/>
            </w:tcMar>
            <w:vAlign w:val="center"/>
          </w:tcPr>
          <w:p w14:paraId="7FAA5ADF">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 </w:t>
            </w:r>
          </w:p>
        </w:tc>
        <w:tc>
          <w:tcPr>
            <w:tcW w:w="498" w:type="dxa"/>
            <w:vMerge w:val="restart"/>
            <w:noWrap/>
            <w:tcMar>
              <w:top w:w="0" w:type="dxa"/>
              <w:left w:w="108" w:type="dxa"/>
              <w:bottom w:w="0" w:type="dxa"/>
              <w:right w:w="108" w:type="dxa"/>
            </w:tcMar>
            <w:vAlign w:val="center"/>
          </w:tcPr>
          <w:p w14:paraId="7A8C08CE">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 </w:t>
            </w:r>
          </w:p>
        </w:tc>
        <w:tc>
          <w:tcPr>
            <w:tcW w:w="484" w:type="dxa"/>
            <w:vMerge w:val="restart"/>
            <w:noWrap/>
            <w:tcMar>
              <w:top w:w="0" w:type="dxa"/>
              <w:left w:w="108" w:type="dxa"/>
              <w:bottom w:w="0" w:type="dxa"/>
              <w:right w:w="108" w:type="dxa"/>
            </w:tcMar>
            <w:vAlign w:val="center"/>
          </w:tcPr>
          <w:p w14:paraId="1F3F747D">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 </w:t>
            </w:r>
          </w:p>
        </w:tc>
      </w:tr>
      <w:tr w14:paraId="02F0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4" w:type="dxa"/>
            <w:vMerge w:val="continue"/>
          </w:tcPr>
          <w:p w14:paraId="01502A8B">
            <w:pPr>
              <w:snapToGrid w:val="0"/>
              <w:spacing w:line="360" w:lineRule="auto"/>
              <w:rPr>
                <w:rFonts w:ascii="宋体" w:hAnsi="宋体" w:cs="宋体"/>
                <w:szCs w:val="21"/>
                <w:highlight w:val="none"/>
              </w:rPr>
            </w:pPr>
          </w:p>
        </w:tc>
        <w:tc>
          <w:tcPr>
            <w:tcW w:w="1044" w:type="dxa"/>
            <w:vMerge w:val="continue"/>
          </w:tcPr>
          <w:p w14:paraId="3E4B19B7">
            <w:pPr>
              <w:snapToGrid w:val="0"/>
              <w:spacing w:line="360" w:lineRule="auto"/>
              <w:rPr>
                <w:rFonts w:ascii="宋体" w:hAnsi="宋体" w:cs="宋体"/>
                <w:szCs w:val="21"/>
                <w:highlight w:val="none"/>
              </w:rPr>
            </w:pPr>
          </w:p>
        </w:tc>
        <w:tc>
          <w:tcPr>
            <w:tcW w:w="5166" w:type="dxa"/>
            <w:noWrap/>
            <w:tcMar>
              <w:top w:w="0" w:type="dxa"/>
              <w:left w:w="108" w:type="dxa"/>
              <w:bottom w:w="0" w:type="dxa"/>
              <w:right w:w="108" w:type="dxa"/>
            </w:tcMar>
            <w:vAlign w:val="center"/>
          </w:tcPr>
          <w:p w14:paraId="74E61CF0">
            <w:pPr>
              <w:pBdr>
                <w:top w:val="none" w:color="000000" w:sz="0" w:space="0"/>
                <w:left w:val="none" w:color="000000" w:sz="0" w:space="0"/>
                <w:bottom w:val="none" w:color="000000" w:sz="0" w:space="0"/>
                <w:right w:val="none" w:color="000000" w:sz="0" w:space="0"/>
              </w:pBdr>
              <w:snapToGrid w:val="0"/>
              <w:spacing w:line="360" w:lineRule="auto"/>
              <w:rPr>
                <w:rFonts w:ascii="宋体" w:hAnsi="宋体" w:cs="宋体"/>
                <w:szCs w:val="21"/>
                <w:highlight w:val="none"/>
              </w:rPr>
            </w:pPr>
            <w:r>
              <w:rPr>
                <w:rFonts w:hint="eastAsia" w:ascii="宋体" w:hAnsi="宋体" w:cs="宋体"/>
                <w:szCs w:val="21"/>
                <w:highlight w:val="none"/>
              </w:rPr>
              <w:t>墩台编号损坏、限高、限载牌遗失等，发现或接到信息通知起5日内完成，并经社区签字确认。</w:t>
            </w:r>
          </w:p>
        </w:tc>
        <w:tc>
          <w:tcPr>
            <w:tcW w:w="1492" w:type="dxa"/>
            <w:noWrap/>
            <w:tcMar>
              <w:top w:w="0" w:type="dxa"/>
              <w:left w:w="108" w:type="dxa"/>
              <w:bottom w:w="0" w:type="dxa"/>
              <w:right w:w="108" w:type="dxa"/>
            </w:tcMar>
            <w:vAlign w:val="center"/>
          </w:tcPr>
          <w:p w14:paraId="6F97F08F">
            <w:pPr>
              <w:pBdr>
                <w:top w:val="none" w:color="000000" w:sz="0" w:space="0"/>
                <w:left w:val="none" w:color="000000" w:sz="0" w:space="0"/>
                <w:bottom w:val="none" w:color="000000" w:sz="0" w:space="0"/>
                <w:right w:val="none" w:color="000000" w:sz="0" w:space="0"/>
              </w:pBdr>
              <w:snapToGrid w:val="0"/>
              <w:spacing w:line="360" w:lineRule="auto"/>
              <w:rPr>
                <w:rFonts w:ascii="宋体" w:hAnsi="宋体" w:cs="宋体"/>
                <w:szCs w:val="21"/>
                <w:highlight w:val="none"/>
              </w:rPr>
            </w:pPr>
            <w:r>
              <w:rPr>
                <w:rFonts w:hint="eastAsia" w:ascii="宋体" w:hAnsi="宋体" w:cs="宋体"/>
                <w:szCs w:val="21"/>
                <w:highlight w:val="none"/>
              </w:rPr>
              <w:t>凡未达到本条要求，每处每超期1天扣1分。</w:t>
            </w:r>
          </w:p>
        </w:tc>
        <w:tc>
          <w:tcPr>
            <w:tcW w:w="534" w:type="dxa"/>
            <w:vMerge w:val="continue"/>
          </w:tcPr>
          <w:p w14:paraId="1210822E">
            <w:pPr>
              <w:snapToGrid w:val="0"/>
              <w:spacing w:line="360" w:lineRule="auto"/>
              <w:rPr>
                <w:rFonts w:ascii="宋体" w:hAnsi="宋体" w:cs="宋体"/>
                <w:szCs w:val="21"/>
                <w:highlight w:val="none"/>
              </w:rPr>
            </w:pPr>
          </w:p>
        </w:tc>
        <w:tc>
          <w:tcPr>
            <w:tcW w:w="534" w:type="dxa"/>
            <w:noWrap/>
            <w:tcMar>
              <w:top w:w="0" w:type="dxa"/>
              <w:left w:w="108" w:type="dxa"/>
              <w:bottom w:w="0" w:type="dxa"/>
              <w:right w:w="108" w:type="dxa"/>
            </w:tcMar>
            <w:vAlign w:val="center"/>
          </w:tcPr>
          <w:p w14:paraId="293D64D2">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 </w:t>
            </w:r>
          </w:p>
        </w:tc>
        <w:tc>
          <w:tcPr>
            <w:tcW w:w="498" w:type="dxa"/>
            <w:vMerge w:val="continue"/>
          </w:tcPr>
          <w:p w14:paraId="7006EB12">
            <w:pPr>
              <w:snapToGrid w:val="0"/>
              <w:spacing w:line="360" w:lineRule="auto"/>
              <w:rPr>
                <w:rFonts w:ascii="宋体" w:hAnsi="宋体" w:cs="宋体"/>
                <w:szCs w:val="21"/>
                <w:highlight w:val="none"/>
              </w:rPr>
            </w:pPr>
          </w:p>
        </w:tc>
        <w:tc>
          <w:tcPr>
            <w:tcW w:w="484" w:type="dxa"/>
            <w:vMerge w:val="continue"/>
          </w:tcPr>
          <w:p w14:paraId="7344EDD7">
            <w:pPr>
              <w:snapToGrid w:val="0"/>
              <w:spacing w:line="360" w:lineRule="auto"/>
              <w:rPr>
                <w:rFonts w:ascii="宋体" w:hAnsi="宋体" w:cs="宋体"/>
                <w:szCs w:val="21"/>
                <w:highlight w:val="none"/>
              </w:rPr>
            </w:pPr>
          </w:p>
        </w:tc>
      </w:tr>
      <w:tr w14:paraId="5595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4" w:type="dxa"/>
            <w:noWrap/>
            <w:tcMar>
              <w:top w:w="0" w:type="dxa"/>
              <w:left w:w="108" w:type="dxa"/>
              <w:bottom w:w="0" w:type="dxa"/>
              <w:right w:w="108" w:type="dxa"/>
            </w:tcMar>
            <w:vAlign w:val="center"/>
          </w:tcPr>
          <w:p w14:paraId="763B4E67">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4</w:t>
            </w:r>
          </w:p>
        </w:tc>
        <w:tc>
          <w:tcPr>
            <w:tcW w:w="1044" w:type="dxa"/>
            <w:noWrap/>
            <w:tcMar>
              <w:top w:w="0" w:type="dxa"/>
              <w:left w:w="108" w:type="dxa"/>
              <w:bottom w:w="0" w:type="dxa"/>
              <w:right w:w="108" w:type="dxa"/>
            </w:tcMar>
            <w:vAlign w:val="center"/>
          </w:tcPr>
          <w:p w14:paraId="3FD48C99">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开挖</w:t>
            </w:r>
          </w:p>
          <w:p w14:paraId="3A461234">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修复</w:t>
            </w:r>
          </w:p>
        </w:tc>
        <w:tc>
          <w:tcPr>
            <w:tcW w:w="5166" w:type="dxa"/>
            <w:noWrap/>
            <w:tcMar>
              <w:top w:w="0" w:type="dxa"/>
              <w:left w:w="108" w:type="dxa"/>
              <w:bottom w:w="0" w:type="dxa"/>
              <w:right w:w="108" w:type="dxa"/>
            </w:tcMar>
            <w:vAlign w:val="center"/>
          </w:tcPr>
          <w:p w14:paraId="4D05424D">
            <w:pPr>
              <w:pBdr>
                <w:top w:val="none" w:color="000000" w:sz="0" w:space="0"/>
                <w:left w:val="none" w:color="000000" w:sz="0" w:space="0"/>
                <w:bottom w:val="none" w:color="000000" w:sz="0" w:space="0"/>
                <w:right w:val="none" w:color="000000" w:sz="0" w:space="0"/>
              </w:pBdr>
              <w:snapToGrid w:val="0"/>
              <w:spacing w:line="360" w:lineRule="auto"/>
              <w:rPr>
                <w:rFonts w:ascii="宋体" w:hAnsi="宋体" w:cs="宋体"/>
                <w:szCs w:val="21"/>
                <w:highlight w:val="none"/>
              </w:rPr>
            </w:pPr>
            <w:r>
              <w:rPr>
                <w:rFonts w:hint="eastAsia" w:ascii="宋体" w:hAnsi="宋体" w:cs="宋体"/>
                <w:szCs w:val="21"/>
                <w:highlight w:val="none"/>
              </w:rPr>
              <w:t>开挖施工完成接到信息通知后当日应进场修复路面。</w:t>
            </w:r>
          </w:p>
        </w:tc>
        <w:tc>
          <w:tcPr>
            <w:tcW w:w="1492" w:type="dxa"/>
            <w:noWrap/>
            <w:tcMar>
              <w:top w:w="0" w:type="dxa"/>
              <w:left w:w="108" w:type="dxa"/>
              <w:bottom w:w="0" w:type="dxa"/>
              <w:right w:w="108" w:type="dxa"/>
            </w:tcMar>
            <w:vAlign w:val="center"/>
          </w:tcPr>
          <w:p w14:paraId="74A974EF">
            <w:pPr>
              <w:pBdr>
                <w:top w:val="none" w:color="000000" w:sz="0" w:space="0"/>
                <w:left w:val="none" w:color="000000" w:sz="0" w:space="0"/>
                <w:bottom w:val="none" w:color="000000" w:sz="0" w:space="0"/>
                <w:right w:val="none" w:color="000000" w:sz="0" w:space="0"/>
              </w:pBdr>
              <w:snapToGrid w:val="0"/>
              <w:spacing w:line="360" w:lineRule="auto"/>
              <w:rPr>
                <w:rFonts w:ascii="宋体" w:hAnsi="宋体" w:cs="宋体"/>
                <w:szCs w:val="21"/>
                <w:highlight w:val="none"/>
              </w:rPr>
            </w:pPr>
            <w:r>
              <w:rPr>
                <w:rFonts w:hint="eastAsia" w:ascii="宋体" w:hAnsi="宋体" w:cs="宋体"/>
                <w:szCs w:val="21"/>
                <w:highlight w:val="none"/>
              </w:rPr>
              <w:t>凡未达到本条要求，每次扣1分。</w:t>
            </w:r>
          </w:p>
        </w:tc>
        <w:tc>
          <w:tcPr>
            <w:tcW w:w="534" w:type="dxa"/>
            <w:noWrap/>
            <w:tcMar>
              <w:top w:w="0" w:type="dxa"/>
              <w:left w:w="108" w:type="dxa"/>
              <w:bottom w:w="0" w:type="dxa"/>
              <w:right w:w="108" w:type="dxa"/>
            </w:tcMar>
            <w:vAlign w:val="center"/>
          </w:tcPr>
          <w:p w14:paraId="333D8B21">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15</w:t>
            </w:r>
          </w:p>
        </w:tc>
        <w:tc>
          <w:tcPr>
            <w:tcW w:w="534" w:type="dxa"/>
            <w:noWrap/>
            <w:tcMar>
              <w:top w:w="0" w:type="dxa"/>
              <w:left w:w="108" w:type="dxa"/>
              <w:bottom w:w="0" w:type="dxa"/>
              <w:right w:w="108" w:type="dxa"/>
            </w:tcMar>
            <w:vAlign w:val="center"/>
          </w:tcPr>
          <w:p w14:paraId="49994AF3">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 </w:t>
            </w:r>
          </w:p>
        </w:tc>
        <w:tc>
          <w:tcPr>
            <w:tcW w:w="498" w:type="dxa"/>
            <w:noWrap/>
            <w:tcMar>
              <w:top w:w="0" w:type="dxa"/>
              <w:left w:w="108" w:type="dxa"/>
              <w:bottom w:w="0" w:type="dxa"/>
              <w:right w:w="108" w:type="dxa"/>
            </w:tcMar>
            <w:vAlign w:val="center"/>
          </w:tcPr>
          <w:p w14:paraId="100D9469">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 </w:t>
            </w:r>
          </w:p>
        </w:tc>
        <w:tc>
          <w:tcPr>
            <w:tcW w:w="484" w:type="dxa"/>
            <w:noWrap/>
            <w:tcMar>
              <w:top w:w="0" w:type="dxa"/>
              <w:left w:w="108" w:type="dxa"/>
              <w:bottom w:w="0" w:type="dxa"/>
              <w:right w:w="108" w:type="dxa"/>
            </w:tcMar>
            <w:vAlign w:val="center"/>
          </w:tcPr>
          <w:p w14:paraId="4F17AE30">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 </w:t>
            </w:r>
          </w:p>
        </w:tc>
      </w:tr>
      <w:tr w14:paraId="75A8F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096" w:type="dxa"/>
            <w:gridSpan w:val="4"/>
            <w:noWrap/>
            <w:tcMar>
              <w:top w:w="0" w:type="dxa"/>
              <w:left w:w="108" w:type="dxa"/>
              <w:bottom w:w="0" w:type="dxa"/>
              <w:right w:w="108" w:type="dxa"/>
            </w:tcMar>
            <w:vAlign w:val="center"/>
          </w:tcPr>
          <w:p w14:paraId="349CC1B7">
            <w:pPr>
              <w:pBdr>
                <w:top w:val="none" w:color="000000" w:sz="0" w:space="0"/>
                <w:left w:val="none" w:color="000000" w:sz="0" w:space="0"/>
                <w:bottom w:val="none" w:color="000000" w:sz="0" w:space="0"/>
                <w:right w:val="none" w:color="000000" w:sz="0" w:space="0"/>
              </w:pBdr>
              <w:snapToGrid w:val="0"/>
              <w:spacing w:line="360" w:lineRule="auto"/>
              <w:rPr>
                <w:rFonts w:ascii="宋体" w:hAnsi="宋体" w:cs="宋体"/>
                <w:szCs w:val="21"/>
                <w:highlight w:val="none"/>
              </w:rPr>
            </w:pPr>
            <w:r>
              <w:rPr>
                <w:rFonts w:hint="eastAsia" w:ascii="宋体" w:hAnsi="宋体" w:cs="宋体"/>
                <w:szCs w:val="21"/>
                <w:highlight w:val="none"/>
              </w:rPr>
              <w:t>合计得分</w:t>
            </w:r>
          </w:p>
        </w:tc>
        <w:tc>
          <w:tcPr>
            <w:tcW w:w="2050" w:type="dxa"/>
            <w:gridSpan w:val="4"/>
            <w:noWrap/>
            <w:tcMar>
              <w:top w:w="0" w:type="dxa"/>
              <w:left w:w="108" w:type="dxa"/>
              <w:bottom w:w="0" w:type="dxa"/>
              <w:right w:w="108" w:type="dxa"/>
            </w:tcMar>
            <w:vAlign w:val="center"/>
          </w:tcPr>
          <w:p w14:paraId="2DB6566D">
            <w:pPr>
              <w:pBdr>
                <w:top w:val="none" w:color="000000" w:sz="0" w:space="0"/>
                <w:left w:val="none" w:color="000000" w:sz="0" w:space="0"/>
                <w:bottom w:val="none" w:color="000000" w:sz="0" w:space="0"/>
                <w:right w:val="none" w:color="000000" w:sz="0" w:space="0"/>
              </w:pBdr>
              <w:snapToGrid w:val="0"/>
              <w:spacing w:line="360" w:lineRule="auto"/>
              <w:jc w:val="center"/>
              <w:rPr>
                <w:rFonts w:ascii="宋体" w:hAnsi="宋体" w:cs="宋体"/>
                <w:szCs w:val="21"/>
                <w:highlight w:val="none"/>
              </w:rPr>
            </w:pPr>
            <w:r>
              <w:rPr>
                <w:rFonts w:hint="eastAsia" w:ascii="宋体" w:hAnsi="宋体" w:cs="宋体"/>
                <w:szCs w:val="21"/>
                <w:highlight w:val="none"/>
              </w:rPr>
              <w:t> </w:t>
            </w:r>
          </w:p>
        </w:tc>
      </w:tr>
      <w:tr w14:paraId="55FEB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146" w:type="dxa"/>
            <w:gridSpan w:val="8"/>
            <w:noWrap/>
            <w:tcMar>
              <w:top w:w="0" w:type="dxa"/>
              <w:left w:w="108" w:type="dxa"/>
              <w:bottom w:w="0" w:type="dxa"/>
              <w:right w:w="108" w:type="dxa"/>
            </w:tcMar>
            <w:vAlign w:val="center"/>
          </w:tcPr>
          <w:p w14:paraId="4DADAD9D">
            <w:pPr>
              <w:pBdr>
                <w:top w:val="none" w:color="000000" w:sz="0" w:space="0"/>
                <w:left w:val="none" w:color="000000" w:sz="0" w:space="0"/>
                <w:bottom w:val="none" w:color="000000" w:sz="0" w:space="0"/>
                <w:right w:val="none" w:color="000000" w:sz="0" w:space="0"/>
              </w:pBdr>
              <w:snapToGrid w:val="0"/>
              <w:spacing w:line="360" w:lineRule="auto"/>
              <w:ind w:firstLine="480"/>
              <w:rPr>
                <w:rFonts w:ascii="宋体" w:hAnsi="宋体" w:cs="宋体"/>
                <w:szCs w:val="21"/>
                <w:highlight w:val="none"/>
              </w:rPr>
            </w:pPr>
          </w:p>
          <w:p w14:paraId="03613AB3">
            <w:pPr>
              <w:pBdr>
                <w:top w:val="none" w:color="000000" w:sz="0" w:space="0"/>
                <w:left w:val="none" w:color="000000" w:sz="0" w:space="0"/>
                <w:bottom w:val="none" w:color="000000" w:sz="0" w:space="0"/>
                <w:right w:val="none" w:color="000000" w:sz="0" w:space="0"/>
              </w:pBdr>
              <w:snapToGrid w:val="0"/>
              <w:spacing w:line="360" w:lineRule="auto"/>
              <w:rPr>
                <w:rFonts w:ascii="宋体" w:hAnsi="宋体" w:cs="宋体"/>
                <w:szCs w:val="21"/>
                <w:highlight w:val="none"/>
              </w:rPr>
            </w:pPr>
            <w:r>
              <w:rPr>
                <w:rFonts w:hint="eastAsia" w:ascii="宋体" w:hAnsi="宋体" w:cs="宋体"/>
                <w:szCs w:val="21"/>
                <w:highlight w:val="none"/>
              </w:rPr>
              <w:t>养护单位：</w:t>
            </w:r>
          </w:p>
          <w:p w14:paraId="1DB48112">
            <w:pPr>
              <w:pBdr>
                <w:top w:val="none" w:color="000000" w:sz="0" w:space="0"/>
                <w:left w:val="none" w:color="000000" w:sz="0" w:space="0"/>
                <w:bottom w:val="none" w:color="000000" w:sz="0" w:space="0"/>
                <w:right w:val="none" w:color="000000" w:sz="0" w:space="0"/>
              </w:pBdr>
              <w:snapToGrid w:val="0"/>
              <w:spacing w:line="360" w:lineRule="auto"/>
              <w:rPr>
                <w:rFonts w:ascii="宋体" w:hAnsi="宋体" w:cs="宋体"/>
                <w:szCs w:val="21"/>
                <w:highlight w:val="none"/>
              </w:rPr>
            </w:pPr>
            <w:r>
              <w:rPr>
                <w:rFonts w:hint="eastAsia" w:ascii="宋体" w:hAnsi="宋体" w:cs="宋体"/>
                <w:szCs w:val="21"/>
                <w:highlight w:val="none"/>
              </w:rPr>
              <w:t>考核人员：</w:t>
            </w:r>
          </w:p>
          <w:p w14:paraId="0FEBCBBC">
            <w:pPr>
              <w:pBdr>
                <w:top w:val="none" w:color="000000" w:sz="0" w:space="0"/>
                <w:left w:val="none" w:color="000000" w:sz="0" w:space="0"/>
                <w:bottom w:val="none" w:color="000000" w:sz="0" w:space="0"/>
                <w:right w:val="none" w:color="000000" w:sz="0" w:space="0"/>
              </w:pBdr>
              <w:snapToGrid w:val="0"/>
              <w:spacing w:line="360" w:lineRule="auto"/>
              <w:rPr>
                <w:rFonts w:ascii="宋体" w:hAnsi="宋体" w:cs="宋体"/>
                <w:szCs w:val="21"/>
                <w:highlight w:val="none"/>
              </w:rPr>
            </w:pPr>
            <w:r>
              <w:rPr>
                <w:rFonts w:hint="eastAsia" w:ascii="宋体" w:hAnsi="宋体" w:cs="宋体"/>
                <w:szCs w:val="21"/>
                <w:highlight w:val="none"/>
              </w:rPr>
              <w:t>检查时间：20   年   月   日～20   年   月   日</w:t>
            </w:r>
          </w:p>
        </w:tc>
      </w:tr>
    </w:tbl>
    <w:p w14:paraId="1799612F">
      <w:pPr>
        <w:pBdr>
          <w:top w:val="none" w:color="000000" w:sz="0" w:space="0"/>
          <w:left w:val="none" w:color="000000" w:sz="0" w:space="0"/>
          <w:bottom w:val="none" w:color="000000" w:sz="0" w:space="0"/>
          <w:right w:val="none" w:color="000000" w:sz="0" w:space="0"/>
        </w:pBdr>
        <w:ind w:firstLine="420"/>
        <w:jc w:val="center"/>
        <w:rPr>
          <w:rFonts w:eastAsia="Times New Roman"/>
          <w:szCs w:val="21"/>
          <w:highlight w:val="none"/>
        </w:rPr>
      </w:pPr>
    </w:p>
    <w:p w14:paraId="2D9A191B">
      <w:pPr>
        <w:pBdr>
          <w:top w:val="none" w:color="000000" w:sz="0" w:space="0"/>
          <w:left w:val="none" w:color="000000" w:sz="0" w:space="0"/>
          <w:bottom w:val="none" w:color="000000" w:sz="0" w:space="0"/>
          <w:right w:val="none" w:color="000000" w:sz="0" w:space="0"/>
        </w:pBdr>
        <w:spacing w:line="85" w:lineRule="atLeast"/>
        <w:ind w:firstLine="480"/>
        <w:jc w:val="center"/>
        <w:rPr>
          <w:rFonts w:eastAsia="Times New Roman"/>
          <w:b/>
          <w:bCs/>
          <w:sz w:val="24"/>
          <w:highlight w:val="none"/>
        </w:rPr>
      </w:pPr>
      <w:r>
        <w:rPr>
          <w:szCs w:val="21"/>
          <w:highlight w:val="none"/>
        </w:rPr>
        <w:br w:type="page"/>
      </w:r>
      <w:r>
        <w:rPr>
          <w:rFonts w:eastAsia="Times New Roman"/>
          <w:b/>
          <w:bCs/>
          <w:sz w:val="24"/>
          <w:highlight w:val="none"/>
        </w:rPr>
        <w:t>表1-3 设施完好率考核表（日常）</w:t>
      </w:r>
    </w:p>
    <w:p w14:paraId="0F2B46B7">
      <w:pPr>
        <w:pBdr>
          <w:top w:val="none" w:color="000000" w:sz="0" w:space="0"/>
          <w:left w:val="none" w:color="000000" w:sz="0" w:space="0"/>
          <w:bottom w:val="none" w:color="000000" w:sz="0" w:space="0"/>
          <w:right w:val="none" w:color="000000" w:sz="0" w:space="0"/>
        </w:pBdr>
        <w:spacing w:line="360" w:lineRule="auto"/>
        <w:ind w:firstLine="420"/>
        <w:jc w:val="right"/>
        <w:rPr>
          <w:rFonts w:ascii="宋体" w:hAnsi="宋体" w:cs="宋体"/>
          <w:szCs w:val="21"/>
          <w:highlight w:val="none"/>
        </w:rPr>
      </w:pPr>
      <w:r>
        <w:rPr>
          <w:rFonts w:hint="eastAsia" w:ascii="宋体" w:hAnsi="宋体" w:cs="宋体"/>
          <w:szCs w:val="21"/>
          <w:highlight w:val="none"/>
        </w:rPr>
        <w:t>（20   年   月）</w:t>
      </w:r>
    </w:p>
    <w:p w14:paraId="5E3D66B0">
      <w:pPr>
        <w:pBdr>
          <w:top w:val="none" w:color="000000" w:sz="0" w:space="0"/>
          <w:left w:val="none" w:color="000000" w:sz="0" w:space="0"/>
          <w:bottom w:val="none" w:color="000000" w:sz="0" w:space="0"/>
          <w:right w:val="none" w:color="000000" w:sz="0" w:space="0"/>
        </w:pBdr>
        <w:spacing w:line="360" w:lineRule="auto"/>
        <w:ind w:firstLine="420"/>
        <w:rPr>
          <w:rFonts w:ascii="宋体" w:hAnsi="宋体" w:cs="宋体"/>
          <w:szCs w:val="21"/>
          <w:highlight w:val="none"/>
        </w:rPr>
      </w:pPr>
      <w:r>
        <w:rPr>
          <w:rFonts w:hint="eastAsia" w:ascii="宋体" w:hAnsi="宋体" w:cs="宋体"/>
          <w:szCs w:val="21"/>
          <w:highlight w:val="none"/>
        </w:rPr>
        <w:t>考核道路：</w:t>
      </w:r>
    </w:p>
    <w:tbl>
      <w:tblPr>
        <w:tblStyle w:val="9"/>
        <w:tblW w:w="10467" w:type="dxa"/>
        <w:tblInd w:w="-218"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CellMar>
          <w:top w:w="0" w:type="dxa"/>
          <w:left w:w="0" w:type="dxa"/>
          <w:bottom w:w="0" w:type="dxa"/>
          <w:right w:w="0" w:type="dxa"/>
        </w:tblCellMar>
      </w:tblPr>
      <w:tblGrid>
        <w:gridCol w:w="720"/>
        <w:gridCol w:w="1200"/>
        <w:gridCol w:w="4545"/>
        <w:gridCol w:w="930"/>
        <w:gridCol w:w="915"/>
        <w:gridCol w:w="1140"/>
        <w:gridCol w:w="1017"/>
      </w:tblGrid>
      <w:tr w14:paraId="179F477A">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720" w:type="dxa"/>
            <w:tcBorders>
              <w:top w:val="single" w:color="000000" w:sz="8" w:space="0"/>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306A551">
            <w:pPr>
              <w:snapToGrid w:val="0"/>
              <w:spacing w:line="360" w:lineRule="auto"/>
              <w:jc w:val="center"/>
              <w:rPr>
                <w:rFonts w:ascii="宋体" w:hAnsi="宋体" w:cs="宋体"/>
                <w:szCs w:val="21"/>
                <w:highlight w:val="none"/>
              </w:rPr>
            </w:pPr>
            <w:r>
              <w:rPr>
                <w:rFonts w:hint="eastAsia" w:ascii="宋体" w:hAnsi="宋体" w:cs="宋体"/>
                <w:szCs w:val="21"/>
                <w:highlight w:val="none"/>
              </w:rPr>
              <w:t>序号</w:t>
            </w:r>
          </w:p>
        </w:tc>
        <w:tc>
          <w:tcPr>
            <w:tcW w:w="1200"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F83C112">
            <w:pPr>
              <w:snapToGrid w:val="0"/>
              <w:spacing w:line="360" w:lineRule="auto"/>
              <w:jc w:val="center"/>
              <w:rPr>
                <w:rFonts w:ascii="宋体" w:hAnsi="宋体" w:cs="宋体"/>
                <w:szCs w:val="21"/>
                <w:highlight w:val="none"/>
              </w:rPr>
            </w:pPr>
            <w:r>
              <w:rPr>
                <w:rFonts w:hint="eastAsia" w:ascii="宋体" w:hAnsi="宋体" w:cs="宋体"/>
                <w:szCs w:val="21"/>
                <w:highlight w:val="none"/>
              </w:rPr>
              <w:t>考核项目</w:t>
            </w:r>
          </w:p>
        </w:tc>
        <w:tc>
          <w:tcPr>
            <w:tcW w:w="4545"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3548571">
            <w:pPr>
              <w:snapToGrid w:val="0"/>
              <w:spacing w:line="360" w:lineRule="auto"/>
              <w:jc w:val="center"/>
              <w:rPr>
                <w:rFonts w:ascii="宋体" w:hAnsi="宋体" w:cs="宋体"/>
                <w:szCs w:val="21"/>
                <w:highlight w:val="none"/>
              </w:rPr>
            </w:pPr>
            <w:r>
              <w:rPr>
                <w:rFonts w:hint="eastAsia" w:ascii="宋体" w:hAnsi="宋体" w:cs="宋体"/>
                <w:szCs w:val="21"/>
                <w:highlight w:val="none"/>
              </w:rPr>
              <w:t>考核内容和标准</w:t>
            </w:r>
          </w:p>
        </w:tc>
        <w:tc>
          <w:tcPr>
            <w:tcW w:w="930"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D366FB6">
            <w:pPr>
              <w:snapToGrid w:val="0"/>
              <w:spacing w:line="360" w:lineRule="auto"/>
              <w:jc w:val="center"/>
              <w:rPr>
                <w:rFonts w:ascii="宋体" w:hAnsi="宋体" w:cs="宋体"/>
                <w:szCs w:val="21"/>
                <w:highlight w:val="none"/>
              </w:rPr>
            </w:pPr>
            <w:r>
              <w:rPr>
                <w:rFonts w:hint="eastAsia" w:ascii="宋体" w:hAnsi="宋体" w:cs="宋体"/>
                <w:szCs w:val="21"/>
                <w:highlight w:val="none"/>
              </w:rPr>
              <w:t>总分</w:t>
            </w:r>
          </w:p>
        </w:tc>
        <w:tc>
          <w:tcPr>
            <w:tcW w:w="915"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46F481C">
            <w:pPr>
              <w:snapToGrid w:val="0"/>
              <w:spacing w:line="360" w:lineRule="auto"/>
              <w:jc w:val="center"/>
              <w:rPr>
                <w:rFonts w:ascii="宋体" w:hAnsi="宋体" w:cs="宋体"/>
                <w:szCs w:val="21"/>
                <w:highlight w:val="none"/>
              </w:rPr>
            </w:pPr>
            <w:r>
              <w:rPr>
                <w:rFonts w:hint="eastAsia" w:ascii="宋体" w:hAnsi="宋体" w:cs="宋体"/>
                <w:szCs w:val="21"/>
                <w:highlight w:val="none"/>
              </w:rPr>
              <w:t>扣分</w:t>
            </w:r>
          </w:p>
        </w:tc>
        <w:tc>
          <w:tcPr>
            <w:tcW w:w="1140"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202790F">
            <w:pPr>
              <w:snapToGrid w:val="0"/>
              <w:spacing w:line="360" w:lineRule="auto"/>
              <w:jc w:val="center"/>
              <w:rPr>
                <w:rFonts w:ascii="宋体" w:hAnsi="宋体" w:cs="宋体"/>
                <w:szCs w:val="21"/>
                <w:highlight w:val="none"/>
              </w:rPr>
            </w:pPr>
            <w:r>
              <w:rPr>
                <w:rFonts w:hint="eastAsia" w:ascii="宋体" w:hAnsi="宋体" w:cs="宋体"/>
                <w:szCs w:val="21"/>
                <w:highlight w:val="none"/>
              </w:rPr>
              <w:t>得分</w:t>
            </w:r>
          </w:p>
        </w:tc>
        <w:tc>
          <w:tcPr>
            <w:tcW w:w="1017"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BD7C94D">
            <w:pPr>
              <w:snapToGrid w:val="0"/>
              <w:spacing w:line="360" w:lineRule="auto"/>
              <w:jc w:val="center"/>
              <w:rPr>
                <w:rFonts w:ascii="宋体" w:hAnsi="宋体" w:cs="宋体"/>
                <w:szCs w:val="21"/>
                <w:highlight w:val="none"/>
              </w:rPr>
            </w:pPr>
            <w:r>
              <w:rPr>
                <w:rFonts w:hint="eastAsia" w:ascii="宋体" w:hAnsi="宋体" w:cs="宋体"/>
                <w:szCs w:val="21"/>
                <w:highlight w:val="none"/>
              </w:rPr>
              <w:t>备注</w:t>
            </w:r>
          </w:p>
        </w:tc>
      </w:tr>
      <w:tr w14:paraId="37EF4380">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720"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6FADB14">
            <w:pPr>
              <w:snapToGrid w:val="0"/>
              <w:spacing w:line="360" w:lineRule="auto"/>
              <w:jc w:val="center"/>
              <w:rPr>
                <w:rFonts w:ascii="宋体" w:hAnsi="宋体" w:cs="宋体"/>
                <w:szCs w:val="21"/>
                <w:highlight w:val="none"/>
              </w:rPr>
            </w:pPr>
            <w:r>
              <w:rPr>
                <w:rFonts w:hint="eastAsia" w:ascii="宋体" w:hAnsi="宋体" w:cs="宋体"/>
                <w:szCs w:val="21"/>
                <w:highlight w:val="none"/>
              </w:rPr>
              <w:t>1</w:t>
            </w:r>
          </w:p>
        </w:tc>
        <w:tc>
          <w:tcPr>
            <w:tcW w:w="1200" w:type="dxa"/>
            <w:tcBorders>
              <w:bottom w:val="single" w:color="000000" w:sz="8" w:space="0"/>
              <w:right w:val="single" w:color="000000" w:sz="8" w:space="0"/>
            </w:tcBorders>
            <w:noWrap/>
            <w:tcMar>
              <w:top w:w="0" w:type="dxa"/>
              <w:left w:w="108" w:type="dxa"/>
              <w:bottom w:w="0" w:type="dxa"/>
              <w:right w:w="108" w:type="dxa"/>
            </w:tcMar>
            <w:vAlign w:val="center"/>
          </w:tcPr>
          <w:p w14:paraId="66BEA64F">
            <w:pPr>
              <w:snapToGrid w:val="0"/>
              <w:spacing w:line="360" w:lineRule="auto"/>
              <w:rPr>
                <w:rFonts w:ascii="宋体" w:hAnsi="宋体" w:cs="宋体"/>
                <w:szCs w:val="21"/>
                <w:highlight w:val="none"/>
              </w:rPr>
            </w:pPr>
            <w:r>
              <w:rPr>
                <w:rFonts w:hint="eastAsia" w:ascii="宋体" w:hAnsi="宋体" w:cs="宋体"/>
                <w:szCs w:val="21"/>
                <w:highlight w:val="none"/>
              </w:rPr>
              <w:t>车行道</w:t>
            </w:r>
          </w:p>
        </w:tc>
        <w:tc>
          <w:tcPr>
            <w:tcW w:w="4545" w:type="dxa"/>
            <w:tcBorders>
              <w:bottom w:val="single" w:color="000000" w:sz="8" w:space="0"/>
              <w:right w:val="single" w:color="000000" w:sz="8" w:space="0"/>
            </w:tcBorders>
            <w:noWrap/>
            <w:tcMar>
              <w:top w:w="0" w:type="dxa"/>
              <w:left w:w="108" w:type="dxa"/>
              <w:bottom w:w="0" w:type="dxa"/>
              <w:right w:w="108" w:type="dxa"/>
            </w:tcMar>
            <w:vAlign w:val="center"/>
          </w:tcPr>
          <w:p w14:paraId="2C67280F">
            <w:pPr>
              <w:snapToGrid w:val="0"/>
              <w:spacing w:line="360" w:lineRule="auto"/>
              <w:rPr>
                <w:rFonts w:ascii="宋体" w:hAnsi="宋体" w:cs="宋体"/>
                <w:szCs w:val="21"/>
                <w:highlight w:val="none"/>
              </w:rPr>
            </w:pPr>
            <w:r>
              <w:rPr>
                <w:rFonts w:hint="eastAsia" w:ascii="宋体" w:hAnsi="宋体" w:cs="宋体"/>
                <w:szCs w:val="21"/>
                <w:highlight w:val="none"/>
              </w:rPr>
              <w:t>修补形状不规则，明显裂缝、松散、网裂、拥包、搓板等病害。每处扣1分。</w:t>
            </w:r>
          </w:p>
          <w:p w14:paraId="69826410">
            <w:pPr>
              <w:snapToGrid w:val="0"/>
              <w:spacing w:line="360" w:lineRule="auto"/>
              <w:rPr>
                <w:rFonts w:ascii="宋体" w:hAnsi="宋体" w:cs="宋体"/>
                <w:szCs w:val="21"/>
                <w:highlight w:val="none"/>
              </w:rPr>
            </w:pPr>
            <w:r>
              <w:rPr>
                <w:rFonts w:hint="eastAsia" w:ascii="宋体" w:hAnsi="宋体" w:cs="宋体"/>
                <w:szCs w:val="21"/>
                <w:highlight w:val="none"/>
              </w:rPr>
              <w:t>井座沉陷，坑凼、沉陷、车辙、碎裂松动、错台等病害。每处扣2分。</w:t>
            </w:r>
          </w:p>
        </w:tc>
        <w:tc>
          <w:tcPr>
            <w:tcW w:w="930" w:type="dxa"/>
            <w:tcBorders>
              <w:bottom w:val="single" w:color="000000" w:sz="8" w:space="0"/>
              <w:right w:val="single" w:color="000000" w:sz="8" w:space="0"/>
            </w:tcBorders>
            <w:noWrap/>
            <w:tcMar>
              <w:top w:w="0" w:type="dxa"/>
              <w:left w:w="108" w:type="dxa"/>
              <w:bottom w:w="0" w:type="dxa"/>
              <w:right w:w="108" w:type="dxa"/>
            </w:tcMar>
            <w:vAlign w:val="center"/>
          </w:tcPr>
          <w:p w14:paraId="24A38DCE">
            <w:pPr>
              <w:snapToGrid w:val="0"/>
              <w:spacing w:line="360" w:lineRule="auto"/>
              <w:rPr>
                <w:rFonts w:ascii="宋体" w:hAnsi="宋体" w:cs="宋体"/>
                <w:szCs w:val="21"/>
                <w:highlight w:val="none"/>
              </w:rPr>
            </w:pPr>
            <w:r>
              <w:rPr>
                <w:rFonts w:hint="eastAsia" w:ascii="宋体" w:hAnsi="宋体" w:cs="宋体"/>
                <w:szCs w:val="21"/>
                <w:highlight w:val="none"/>
              </w:rPr>
              <w:t>30</w:t>
            </w:r>
          </w:p>
        </w:tc>
        <w:tc>
          <w:tcPr>
            <w:tcW w:w="915" w:type="dxa"/>
            <w:tcBorders>
              <w:bottom w:val="single" w:color="000000" w:sz="8" w:space="0"/>
              <w:right w:val="single" w:color="000000" w:sz="8" w:space="0"/>
            </w:tcBorders>
            <w:noWrap/>
            <w:tcMar>
              <w:top w:w="0" w:type="dxa"/>
              <w:left w:w="108" w:type="dxa"/>
              <w:bottom w:w="0" w:type="dxa"/>
              <w:right w:w="108" w:type="dxa"/>
            </w:tcMar>
            <w:vAlign w:val="center"/>
          </w:tcPr>
          <w:p w14:paraId="6C4DA536">
            <w:pPr>
              <w:snapToGrid w:val="0"/>
              <w:spacing w:line="360" w:lineRule="auto"/>
              <w:rPr>
                <w:rFonts w:ascii="宋体" w:hAnsi="宋体" w:cs="宋体"/>
                <w:szCs w:val="21"/>
                <w:highlight w:val="none"/>
              </w:rPr>
            </w:pPr>
            <w:r>
              <w:rPr>
                <w:rFonts w:hint="eastAsia" w:ascii="宋体" w:hAnsi="宋体" w:cs="宋体"/>
                <w:szCs w:val="21"/>
                <w:highlight w:val="none"/>
              </w:rPr>
              <w:t> </w:t>
            </w:r>
          </w:p>
        </w:tc>
        <w:tc>
          <w:tcPr>
            <w:tcW w:w="1140" w:type="dxa"/>
            <w:tcBorders>
              <w:bottom w:val="single" w:color="000000" w:sz="8" w:space="0"/>
              <w:right w:val="single" w:color="000000" w:sz="8" w:space="0"/>
            </w:tcBorders>
            <w:noWrap/>
            <w:tcMar>
              <w:top w:w="0" w:type="dxa"/>
              <w:left w:w="108" w:type="dxa"/>
              <w:bottom w:w="0" w:type="dxa"/>
              <w:right w:w="108" w:type="dxa"/>
            </w:tcMar>
            <w:vAlign w:val="center"/>
          </w:tcPr>
          <w:p w14:paraId="1DE0A93A">
            <w:pPr>
              <w:snapToGrid w:val="0"/>
              <w:spacing w:line="360" w:lineRule="auto"/>
              <w:rPr>
                <w:rFonts w:ascii="宋体" w:hAnsi="宋体" w:cs="宋体"/>
                <w:szCs w:val="21"/>
                <w:highlight w:val="none"/>
              </w:rPr>
            </w:pPr>
            <w:r>
              <w:rPr>
                <w:rFonts w:hint="eastAsia" w:ascii="宋体" w:hAnsi="宋体" w:cs="宋体"/>
                <w:szCs w:val="21"/>
                <w:highlight w:val="none"/>
              </w:rPr>
              <w:t> </w:t>
            </w:r>
          </w:p>
        </w:tc>
        <w:tc>
          <w:tcPr>
            <w:tcW w:w="1017" w:type="dxa"/>
            <w:tcBorders>
              <w:bottom w:val="single" w:color="000000" w:sz="8" w:space="0"/>
              <w:right w:val="single" w:color="000000" w:sz="8" w:space="0"/>
            </w:tcBorders>
            <w:noWrap/>
            <w:tcMar>
              <w:top w:w="0" w:type="dxa"/>
              <w:left w:w="108" w:type="dxa"/>
              <w:bottom w:w="0" w:type="dxa"/>
              <w:right w:w="108" w:type="dxa"/>
            </w:tcMar>
            <w:vAlign w:val="center"/>
          </w:tcPr>
          <w:p w14:paraId="5E903374">
            <w:pPr>
              <w:snapToGrid w:val="0"/>
              <w:spacing w:line="360" w:lineRule="auto"/>
              <w:rPr>
                <w:rFonts w:ascii="宋体" w:hAnsi="宋体" w:cs="宋体"/>
                <w:szCs w:val="21"/>
                <w:highlight w:val="none"/>
              </w:rPr>
            </w:pPr>
            <w:r>
              <w:rPr>
                <w:rFonts w:hint="eastAsia" w:ascii="宋体" w:hAnsi="宋体" w:cs="宋体"/>
                <w:szCs w:val="21"/>
                <w:highlight w:val="none"/>
              </w:rPr>
              <w:t> </w:t>
            </w:r>
          </w:p>
        </w:tc>
      </w:tr>
      <w:tr w14:paraId="74985469">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720"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7A2B448">
            <w:pPr>
              <w:snapToGrid w:val="0"/>
              <w:spacing w:line="360" w:lineRule="auto"/>
              <w:jc w:val="center"/>
              <w:rPr>
                <w:rFonts w:ascii="宋体" w:hAnsi="宋体" w:cs="宋体"/>
                <w:szCs w:val="21"/>
                <w:highlight w:val="none"/>
              </w:rPr>
            </w:pPr>
            <w:r>
              <w:rPr>
                <w:rFonts w:hint="eastAsia" w:ascii="宋体" w:hAnsi="宋体" w:cs="宋体"/>
                <w:szCs w:val="21"/>
                <w:highlight w:val="none"/>
              </w:rPr>
              <w:t>2</w:t>
            </w:r>
          </w:p>
        </w:tc>
        <w:tc>
          <w:tcPr>
            <w:tcW w:w="1200" w:type="dxa"/>
            <w:tcBorders>
              <w:bottom w:val="single" w:color="000000" w:sz="8" w:space="0"/>
              <w:right w:val="single" w:color="000000" w:sz="8" w:space="0"/>
            </w:tcBorders>
            <w:noWrap/>
            <w:tcMar>
              <w:top w:w="0" w:type="dxa"/>
              <w:left w:w="108" w:type="dxa"/>
              <w:bottom w:w="0" w:type="dxa"/>
              <w:right w:w="108" w:type="dxa"/>
            </w:tcMar>
            <w:vAlign w:val="center"/>
          </w:tcPr>
          <w:p w14:paraId="299CAF8F">
            <w:pPr>
              <w:snapToGrid w:val="0"/>
              <w:spacing w:line="360" w:lineRule="auto"/>
              <w:rPr>
                <w:rFonts w:ascii="宋体" w:hAnsi="宋体" w:cs="宋体"/>
                <w:szCs w:val="21"/>
                <w:highlight w:val="none"/>
              </w:rPr>
            </w:pPr>
            <w:r>
              <w:rPr>
                <w:rFonts w:hint="eastAsia" w:ascii="宋体" w:hAnsi="宋体" w:cs="宋体"/>
                <w:szCs w:val="21"/>
                <w:highlight w:val="none"/>
              </w:rPr>
              <w:t>人行道</w:t>
            </w:r>
          </w:p>
        </w:tc>
        <w:tc>
          <w:tcPr>
            <w:tcW w:w="4545" w:type="dxa"/>
            <w:tcBorders>
              <w:bottom w:val="single" w:color="000000" w:sz="8" w:space="0"/>
              <w:right w:val="single" w:color="000000" w:sz="8" w:space="0"/>
            </w:tcBorders>
            <w:noWrap/>
            <w:tcMar>
              <w:top w:w="0" w:type="dxa"/>
              <w:left w:w="108" w:type="dxa"/>
              <w:bottom w:w="0" w:type="dxa"/>
              <w:right w:w="108" w:type="dxa"/>
            </w:tcMar>
            <w:vAlign w:val="center"/>
          </w:tcPr>
          <w:p w14:paraId="603DF471">
            <w:pPr>
              <w:snapToGrid w:val="0"/>
              <w:spacing w:line="360" w:lineRule="auto"/>
              <w:rPr>
                <w:rFonts w:ascii="宋体" w:hAnsi="宋体" w:cs="宋体"/>
                <w:szCs w:val="21"/>
                <w:highlight w:val="none"/>
              </w:rPr>
            </w:pPr>
            <w:r>
              <w:rPr>
                <w:rFonts w:hint="eastAsia" w:ascii="宋体" w:hAnsi="宋体" w:cs="宋体"/>
                <w:szCs w:val="21"/>
                <w:highlight w:val="none"/>
              </w:rPr>
              <w:t>沉陷、拱起、松动、缺损、错台等病害。每处扣1分。</w:t>
            </w:r>
          </w:p>
          <w:p w14:paraId="6DD0B54F">
            <w:pPr>
              <w:snapToGrid w:val="0"/>
              <w:spacing w:line="360" w:lineRule="auto"/>
              <w:rPr>
                <w:rFonts w:ascii="宋体" w:hAnsi="宋体" w:cs="宋体"/>
                <w:szCs w:val="21"/>
                <w:highlight w:val="none"/>
              </w:rPr>
            </w:pPr>
            <w:r>
              <w:rPr>
                <w:rFonts w:hint="eastAsia" w:ascii="宋体" w:hAnsi="宋体" w:cs="宋体"/>
                <w:szCs w:val="21"/>
                <w:highlight w:val="none"/>
              </w:rPr>
              <w:t>残留物未及时清除，废弃或损坏的树池未处理、井座沉陷等病害。每处扣2分。</w:t>
            </w:r>
          </w:p>
        </w:tc>
        <w:tc>
          <w:tcPr>
            <w:tcW w:w="930" w:type="dxa"/>
            <w:tcBorders>
              <w:bottom w:val="single" w:color="000000" w:sz="8" w:space="0"/>
              <w:right w:val="single" w:color="000000" w:sz="8" w:space="0"/>
            </w:tcBorders>
            <w:noWrap/>
            <w:tcMar>
              <w:top w:w="0" w:type="dxa"/>
              <w:left w:w="108" w:type="dxa"/>
              <w:bottom w:w="0" w:type="dxa"/>
              <w:right w:w="108" w:type="dxa"/>
            </w:tcMar>
            <w:vAlign w:val="center"/>
          </w:tcPr>
          <w:p w14:paraId="4392C44E">
            <w:pPr>
              <w:snapToGrid w:val="0"/>
              <w:spacing w:line="360" w:lineRule="auto"/>
              <w:rPr>
                <w:rFonts w:ascii="宋体" w:hAnsi="宋体" w:cs="宋体"/>
                <w:szCs w:val="21"/>
                <w:highlight w:val="none"/>
              </w:rPr>
            </w:pPr>
            <w:r>
              <w:rPr>
                <w:rFonts w:hint="eastAsia" w:ascii="宋体" w:hAnsi="宋体" w:cs="宋体"/>
                <w:szCs w:val="21"/>
                <w:highlight w:val="none"/>
              </w:rPr>
              <w:t>30</w:t>
            </w:r>
          </w:p>
        </w:tc>
        <w:tc>
          <w:tcPr>
            <w:tcW w:w="915" w:type="dxa"/>
            <w:tcBorders>
              <w:bottom w:val="single" w:color="000000" w:sz="8" w:space="0"/>
              <w:right w:val="single" w:color="000000" w:sz="8" w:space="0"/>
            </w:tcBorders>
            <w:noWrap/>
            <w:tcMar>
              <w:top w:w="0" w:type="dxa"/>
              <w:left w:w="108" w:type="dxa"/>
              <w:bottom w:w="0" w:type="dxa"/>
              <w:right w:w="108" w:type="dxa"/>
            </w:tcMar>
            <w:vAlign w:val="center"/>
          </w:tcPr>
          <w:p w14:paraId="2DF7847E">
            <w:pPr>
              <w:snapToGrid w:val="0"/>
              <w:spacing w:line="360" w:lineRule="auto"/>
              <w:rPr>
                <w:rFonts w:ascii="宋体" w:hAnsi="宋体" w:cs="宋体"/>
                <w:szCs w:val="21"/>
                <w:highlight w:val="none"/>
              </w:rPr>
            </w:pPr>
            <w:r>
              <w:rPr>
                <w:rFonts w:hint="eastAsia" w:ascii="宋体" w:hAnsi="宋体" w:cs="宋体"/>
                <w:szCs w:val="21"/>
                <w:highlight w:val="none"/>
              </w:rPr>
              <w:t> </w:t>
            </w:r>
          </w:p>
        </w:tc>
        <w:tc>
          <w:tcPr>
            <w:tcW w:w="1140" w:type="dxa"/>
            <w:tcBorders>
              <w:bottom w:val="single" w:color="000000" w:sz="8" w:space="0"/>
              <w:right w:val="single" w:color="000000" w:sz="8" w:space="0"/>
            </w:tcBorders>
            <w:noWrap/>
            <w:tcMar>
              <w:top w:w="0" w:type="dxa"/>
              <w:left w:w="108" w:type="dxa"/>
              <w:bottom w:w="0" w:type="dxa"/>
              <w:right w:w="108" w:type="dxa"/>
            </w:tcMar>
            <w:vAlign w:val="center"/>
          </w:tcPr>
          <w:p w14:paraId="0765DCB9">
            <w:pPr>
              <w:snapToGrid w:val="0"/>
              <w:spacing w:line="360" w:lineRule="auto"/>
              <w:rPr>
                <w:rFonts w:ascii="宋体" w:hAnsi="宋体" w:cs="宋体"/>
                <w:szCs w:val="21"/>
                <w:highlight w:val="none"/>
              </w:rPr>
            </w:pPr>
            <w:r>
              <w:rPr>
                <w:rFonts w:hint="eastAsia" w:ascii="宋体" w:hAnsi="宋体" w:cs="宋体"/>
                <w:szCs w:val="21"/>
                <w:highlight w:val="none"/>
              </w:rPr>
              <w:t> </w:t>
            </w:r>
          </w:p>
        </w:tc>
        <w:tc>
          <w:tcPr>
            <w:tcW w:w="1017" w:type="dxa"/>
            <w:tcBorders>
              <w:bottom w:val="single" w:color="000000" w:sz="8" w:space="0"/>
              <w:right w:val="single" w:color="000000" w:sz="8" w:space="0"/>
            </w:tcBorders>
            <w:noWrap/>
            <w:tcMar>
              <w:top w:w="0" w:type="dxa"/>
              <w:left w:w="108" w:type="dxa"/>
              <w:bottom w:w="0" w:type="dxa"/>
              <w:right w:w="108" w:type="dxa"/>
            </w:tcMar>
            <w:vAlign w:val="center"/>
          </w:tcPr>
          <w:p w14:paraId="0071F238">
            <w:pPr>
              <w:snapToGrid w:val="0"/>
              <w:spacing w:line="360" w:lineRule="auto"/>
              <w:rPr>
                <w:rFonts w:ascii="宋体" w:hAnsi="宋体" w:cs="宋体"/>
                <w:szCs w:val="21"/>
                <w:highlight w:val="none"/>
              </w:rPr>
            </w:pPr>
            <w:r>
              <w:rPr>
                <w:rFonts w:hint="eastAsia" w:ascii="宋体" w:hAnsi="宋体" w:cs="宋体"/>
                <w:szCs w:val="21"/>
                <w:highlight w:val="none"/>
              </w:rPr>
              <w:t> </w:t>
            </w:r>
          </w:p>
        </w:tc>
      </w:tr>
      <w:tr w14:paraId="1B5B9DE4">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720"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903B69C">
            <w:pPr>
              <w:snapToGrid w:val="0"/>
              <w:spacing w:line="360" w:lineRule="auto"/>
              <w:jc w:val="center"/>
              <w:rPr>
                <w:rFonts w:ascii="宋体" w:hAnsi="宋体" w:cs="宋体"/>
                <w:szCs w:val="21"/>
                <w:highlight w:val="none"/>
              </w:rPr>
            </w:pPr>
            <w:r>
              <w:rPr>
                <w:rFonts w:hint="eastAsia" w:ascii="宋体" w:hAnsi="宋体" w:cs="宋体"/>
                <w:szCs w:val="21"/>
                <w:highlight w:val="none"/>
              </w:rPr>
              <w:t>3</w:t>
            </w:r>
          </w:p>
        </w:tc>
        <w:tc>
          <w:tcPr>
            <w:tcW w:w="1200" w:type="dxa"/>
            <w:tcBorders>
              <w:bottom w:val="single" w:color="000000" w:sz="8" w:space="0"/>
              <w:right w:val="single" w:color="000000" w:sz="8" w:space="0"/>
            </w:tcBorders>
            <w:noWrap/>
            <w:tcMar>
              <w:top w:w="0" w:type="dxa"/>
              <w:left w:w="108" w:type="dxa"/>
              <w:bottom w:w="0" w:type="dxa"/>
              <w:right w:w="108" w:type="dxa"/>
            </w:tcMar>
            <w:vAlign w:val="center"/>
          </w:tcPr>
          <w:p w14:paraId="2EBF51CE">
            <w:pPr>
              <w:snapToGrid w:val="0"/>
              <w:spacing w:line="360" w:lineRule="auto"/>
              <w:rPr>
                <w:rFonts w:ascii="宋体" w:hAnsi="宋体" w:cs="宋体"/>
                <w:szCs w:val="21"/>
                <w:highlight w:val="none"/>
              </w:rPr>
            </w:pPr>
            <w:r>
              <w:rPr>
                <w:rFonts w:hint="eastAsia" w:ascii="宋体" w:hAnsi="宋体" w:cs="宋体"/>
                <w:szCs w:val="21"/>
                <w:highlight w:val="none"/>
              </w:rPr>
              <w:t>侧石边石平石</w:t>
            </w:r>
          </w:p>
        </w:tc>
        <w:tc>
          <w:tcPr>
            <w:tcW w:w="4545" w:type="dxa"/>
            <w:tcBorders>
              <w:bottom w:val="single" w:color="000000" w:sz="8" w:space="0"/>
              <w:right w:val="single" w:color="000000" w:sz="8" w:space="0"/>
            </w:tcBorders>
            <w:noWrap/>
            <w:tcMar>
              <w:top w:w="0" w:type="dxa"/>
              <w:left w:w="108" w:type="dxa"/>
              <w:bottom w:w="0" w:type="dxa"/>
              <w:right w:w="108" w:type="dxa"/>
            </w:tcMar>
            <w:vAlign w:val="center"/>
          </w:tcPr>
          <w:p w14:paraId="31FB6FCC">
            <w:pPr>
              <w:snapToGrid w:val="0"/>
              <w:spacing w:line="360" w:lineRule="auto"/>
              <w:rPr>
                <w:rFonts w:ascii="宋体" w:hAnsi="宋体" w:cs="宋体"/>
                <w:szCs w:val="21"/>
                <w:highlight w:val="none"/>
              </w:rPr>
            </w:pPr>
            <w:r>
              <w:rPr>
                <w:rFonts w:hint="eastAsia" w:ascii="宋体" w:hAnsi="宋体" w:cs="宋体"/>
                <w:szCs w:val="21"/>
                <w:highlight w:val="none"/>
              </w:rPr>
              <w:t>缺损病害每处扣2分。</w:t>
            </w:r>
          </w:p>
          <w:p w14:paraId="42155F5F">
            <w:pPr>
              <w:snapToGrid w:val="0"/>
              <w:spacing w:line="360" w:lineRule="auto"/>
              <w:rPr>
                <w:rFonts w:ascii="宋体" w:hAnsi="宋体" w:cs="宋体"/>
                <w:szCs w:val="21"/>
                <w:highlight w:val="none"/>
              </w:rPr>
            </w:pPr>
            <w:r>
              <w:rPr>
                <w:rFonts w:hint="eastAsia" w:ascii="宋体" w:hAnsi="宋体" w:cs="宋体"/>
                <w:szCs w:val="21"/>
                <w:highlight w:val="none"/>
              </w:rPr>
              <w:t>倾斜、移位、松动、勾缝不饱满等病害。每处扣1分。</w:t>
            </w:r>
          </w:p>
        </w:tc>
        <w:tc>
          <w:tcPr>
            <w:tcW w:w="930" w:type="dxa"/>
            <w:tcBorders>
              <w:bottom w:val="single" w:color="000000" w:sz="8" w:space="0"/>
              <w:right w:val="single" w:color="000000" w:sz="8" w:space="0"/>
            </w:tcBorders>
            <w:noWrap/>
            <w:tcMar>
              <w:top w:w="0" w:type="dxa"/>
              <w:left w:w="108" w:type="dxa"/>
              <w:bottom w:w="0" w:type="dxa"/>
              <w:right w:w="108" w:type="dxa"/>
            </w:tcMar>
            <w:vAlign w:val="center"/>
          </w:tcPr>
          <w:p w14:paraId="3B0C2547">
            <w:pPr>
              <w:snapToGrid w:val="0"/>
              <w:spacing w:line="360" w:lineRule="auto"/>
              <w:rPr>
                <w:rFonts w:ascii="宋体" w:hAnsi="宋体" w:cs="宋体"/>
                <w:szCs w:val="21"/>
                <w:highlight w:val="none"/>
              </w:rPr>
            </w:pPr>
            <w:r>
              <w:rPr>
                <w:rFonts w:hint="eastAsia" w:ascii="宋体" w:hAnsi="宋体" w:cs="宋体"/>
                <w:szCs w:val="21"/>
                <w:highlight w:val="none"/>
              </w:rPr>
              <w:t>10</w:t>
            </w:r>
          </w:p>
        </w:tc>
        <w:tc>
          <w:tcPr>
            <w:tcW w:w="915" w:type="dxa"/>
            <w:tcBorders>
              <w:bottom w:val="single" w:color="000000" w:sz="8" w:space="0"/>
              <w:right w:val="single" w:color="000000" w:sz="8" w:space="0"/>
            </w:tcBorders>
            <w:noWrap/>
            <w:tcMar>
              <w:top w:w="0" w:type="dxa"/>
              <w:left w:w="108" w:type="dxa"/>
              <w:bottom w:w="0" w:type="dxa"/>
              <w:right w:w="108" w:type="dxa"/>
            </w:tcMar>
            <w:vAlign w:val="center"/>
          </w:tcPr>
          <w:p w14:paraId="7CF1F50F">
            <w:pPr>
              <w:snapToGrid w:val="0"/>
              <w:spacing w:line="360" w:lineRule="auto"/>
              <w:rPr>
                <w:rFonts w:ascii="宋体" w:hAnsi="宋体" w:cs="宋体"/>
                <w:szCs w:val="21"/>
                <w:highlight w:val="none"/>
              </w:rPr>
            </w:pPr>
            <w:r>
              <w:rPr>
                <w:rFonts w:hint="eastAsia" w:ascii="宋体" w:hAnsi="宋体" w:cs="宋体"/>
                <w:szCs w:val="21"/>
                <w:highlight w:val="none"/>
              </w:rPr>
              <w:t> </w:t>
            </w:r>
          </w:p>
        </w:tc>
        <w:tc>
          <w:tcPr>
            <w:tcW w:w="1140" w:type="dxa"/>
            <w:tcBorders>
              <w:bottom w:val="single" w:color="000000" w:sz="8" w:space="0"/>
              <w:right w:val="single" w:color="000000" w:sz="8" w:space="0"/>
            </w:tcBorders>
            <w:noWrap/>
            <w:tcMar>
              <w:top w:w="0" w:type="dxa"/>
              <w:left w:w="108" w:type="dxa"/>
              <w:bottom w:w="0" w:type="dxa"/>
              <w:right w:w="108" w:type="dxa"/>
            </w:tcMar>
            <w:vAlign w:val="center"/>
          </w:tcPr>
          <w:p w14:paraId="4C4B0798">
            <w:pPr>
              <w:snapToGrid w:val="0"/>
              <w:spacing w:line="360" w:lineRule="auto"/>
              <w:rPr>
                <w:rFonts w:ascii="宋体" w:hAnsi="宋体" w:cs="宋体"/>
                <w:szCs w:val="21"/>
                <w:highlight w:val="none"/>
              </w:rPr>
            </w:pPr>
            <w:r>
              <w:rPr>
                <w:rFonts w:hint="eastAsia" w:ascii="宋体" w:hAnsi="宋体" w:cs="宋体"/>
                <w:szCs w:val="21"/>
                <w:highlight w:val="none"/>
              </w:rPr>
              <w:t> </w:t>
            </w:r>
          </w:p>
        </w:tc>
        <w:tc>
          <w:tcPr>
            <w:tcW w:w="1017" w:type="dxa"/>
            <w:tcBorders>
              <w:bottom w:val="single" w:color="000000" w:sz="8" w:space="0"/>
              <w:right w:val="single" w:color="000000" w:sz="8" w:space="0"/>
            </w:tcBorders>
            <w:noWrap/>
            <w:tcMar>
              <w:top w:w="0" w:type="dxa"/>
              <w:left w:w="108" w:type="dxa"/>
              <w:bottom w:w="0" w:type="dxa"/>
              <w:right w:w="108" w:type="dxa"/>
            </w:tcMar>
            <w:vAlign w:val="center"/>
          </w:tcPr>
          <w:p w14:paraId="749BC1B1">
            <w:pPr>
              <w:snapToGrid w:val="0"/>
              <w:spacing w:line="360" w:lineRule="auto"/>
              <w:rPr>
                <w:rFonts w:ascii="宋体" w:hAnsi="宋体" w:cs="宋体"/>
                <w:szCs w:val="21"/>
                <w:highlight w:val="none"/>
              </w:rPr>
            </w:pPr>
            <w:r>
              <w:rPr>
                <w:rFonts w:hint="eastAsia" w:ascii="宋体" w:hAnsi="宋体" w:cs="宋体"/>
                <w:szCs w:val="21"/>
                <w:highlight w:val="none"/>
              </w:rPr>
              <w:t> </w:t>
            </w:r>
          </w:p>
        </w:tc>
      </w:tr>
      <w:tr w14:paraId="50FBA151">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720"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D6723CF">
            <w:pPr>
              <w:snapToGrid w:val="0"/>
              <w:spacing w:line="360" w:lineRule="auto"/>
              <w:jc w:val="center"/>
              <w:rPr>
                <w:rFonts w:ascii="宋体" w:hAnsi="宋体" w:cs="宋体"/>
                <w:szCs w:val="21"/>
                <w:highlight w:val="none"/>
              </w:rPr>
            </w:pPr>
            <w:r>
              <w:rPr>
                <w:rFonts w:hint="eastAsia" w:ascii="宋体" w:hAnsi="宋体" w:cs="宋体"/>
                <w:szCs w:val="21"/>
                <w:highlight w:val="none"/>
              </w:rPr>
              <w:t>4</w:t>
            </w:r>
          </w:p>
        </w:tc>
        <w:tc>
          <w:tcPr>
            <w:tcW w:w="1200" w:type="dxa"/>
            <w:tcBorders>
              <w:bottom w:val="single" w:color="000000" w:sz="8" w:space="0"/>
              <w:right w:val="single" w:color="000000" w:sz="8" w:space="0"/>
            </w:tcBorders>
            <w:noWrap/>
            <w:tcMar>
              <w:top w:w="0" w:type="dxa"/>
              <w:left w:w="108" w:type="dxa"/>
              <w:bottom w:w="0" w:type="dxa"/>
              <w:right w:w="108" w:type="dxa"/>
            </w:tcMar>
            <w:vAlign w:val="center"/>
          </w:tcPr>
          <w:p w14:paraId="726A2DFE">
            <w:pPr>
              <w:snapToGrid w:val="0"/>
              <w:spacing w:line="360" w:lineRule="auto"/>
              <w:rPr>
                <w:rFonts w:ascii="宋体" w:hAnsi="宋体" w:cs="宋体"/>
                <w:szCs w:val="21"/>
                <w:highlight w:val="none"/>
              </w:rPr>
            </w:pPr>
            <w:r>
              <w:rPr>
                <w:rFonts w:hint="eastAsia" w:ascii="宋体" w:hAnsi="宋体" w:cs="宋体"/>
                <w:szCs w:val="21"/>
                <w:highlight w:val="none"/>
              </w:rPr>
              <w:t>桥梁设施</w:t>
            </w:r>
          </w:p>
        </w:tc>
        <w:tc>
          <w:tcPr>
            <w:tcW w:w="4545" w:type="dxa"/>
            <w:tcBorders>
              <w:bottom w:val="single" w:color="000000" w:sz="8" w:space="0"/>
              <w:right w:val="single" w:color="000000" w:sz="8" w:space="0"/>
            </w:tcBorders>
            <w:noWrap/>
            <w:tcMar>
              <w:top w:w="0" w:type="dxa"/>
              <w:left w:w="108" w:type="dxa"/>
              <w:bottom w:w="0" w:type="dxa"/>
              <w:right w:w="108" w:type="dxa"/>
            </w:tcMar>
            <w:vAlign w:val="center"/>
          </w:tcPr>
          <w:p w14:paraId="359FFF62">
            <w:pPr>
              <w:snapToGrid w:val="0"/>
              <w:spacing w:line="360" w:lineRule="auto"/>
              <w:rPr>
                <w:rFonts w:ascii="宋体" w:hAnsi="宋体" w:cs="宋体"/>
                <w:szCs w:val="21"/>
                <w:highlight w:val="none"/>
              </w:rPr>
            </w:pPr>
            <w:r>
              <w:rPr>
                <w:rFonts w:hint="eastAsia" w:ascii="宋体" w:hAnsi="宋体" w:cs="宋体"/>
                <w:szCs w:val="21"/>
                <w:highlight w:val="none"/>
              </w:rPr>
              <w:t>桥面平整完好，发现有破损、坑凼等病害每处扣2分。</w:t>
            </w:r>
          </w:p>
          <w:p w14:paraId="004E9BBE">
            <w:pPr>
              <w:snapToGrid w:val="0"/>
              <w:spacing w:line="360" w:lineRule="auto"/>
              <w:rPr>
                <w:rFonts w:ascii="宋体" w:hAnsi="宋体" w:cs="宋体"/>
                <w:szCs w:val="21"/>
                <w:highlight w:val="none"/>
              </w:rPr>
            </w:pPr>
            <w:r>
              <w:rPr>
                <w:rFonts w:hint="eastAsia" w:ascii="宋体" w:hAnsi="宋体" w:cs="宋体"/>
                <w:szCs w:val="21"/>
                <w:highlight w:val="none"/>
              </w:rPr>
              <w:t>人行道完好，道砖无松动、遗失，铺装无破损，路沿石平顺，发现一处病害扣1分。</w:t>
            </w:r>
          </w:p>
          <w:p w14:paraId="77A2B11C">
            <w:pPr>
              <w:snapToGrid w:val="0"/>
              <w:spacing w:line="360" w:lineRule="auto"/>
              <w:rPr>
                <w:rFonts w:ascii="宋体" w:hAnsi="宋体" w:cs="宋体"/>
                <w:szCs w:val="21"/>
                <w:highlight w:val="none"/>
              </w:rPr>
            </w:pPr>
            <w:r>
              <w:rPr>
                <w:rFonts w:hint="eastAsia" w:ascii="宋体" w:hAnsi="宋体" w:cs="宋体"/>
                <w:szCs w:val="21"/>
                <w:highlight w:val="none"/>
              </w:rPr>
              <w:t>墩台表面完好，无破损、露筋，无污秽、杂草杂树，发现一处病害扣1分</w:t>
            </w:r>
          </w:p>
          <w:p w14:paraId="728FDD63">
            <w:pPr>
              <w:snapToGrid w:val="0"/>
              <w:spacing w:line="360" w:lineRule="auto"/>
              <w:rPr>
                <w:rFonts w:ascii="宋体" w:hAnsi="宋体" w:cs="宋体"/>
                <w:szCs w:val="21"/>
                <w:highlight w:val="none"/>
              </w:rPr>
            </w:pPr>
            <w:r>
              <w:rPr>
                <w:rFonts w:hint="eastAsia" w:ascii="宋体" w:hAnsi="宋体" w:cs="宋体"/>
                <w:szCs w:val="21"/>
                <w:highlight w:val="none"/>
              </w:rPr>
              <w:t>栏杆应完好无损、清洁，发现一处病害扣1分。</w:t>
            </w:r>
          </w:p>
          <w:p w14:paraId="1FE6C15A">
            <w:pPr>
              <w:snapToGrid w:val="0"/>
              <w:spacing w:line="360" w:lineRule="auto"/>
              <w:rPr>
                <w:rFonts w:ascii="宋体" w:hAnsi="宋体" w:cs="宋体"/>
                <w:szCs w:val="21"/>
                <w:highlight w:val="none"/>
              </w:rPr>
            </w:pPr>
            <w:r>
              <w:rPr>
                <w:rFonts w:hint="eastAsia" w:ascii="宋体" w:hAnsi="宋体" w:cs="宋体"/>
                <w:szCs w:val="21"/>
                <w:highlight w:val="none"/>
              </w:rPr>
              <w:t>桥名、限载、限高等标志牌应完好，无变形、移位、缺损，发现一处扣2分。</w:t>
            </w:r>
          </w:p>
        </w:tc>
        <w:tc>
          <w:tcPr>
            <w:tcW w:w="930" w:type="dxa"/>
            <w:tcBorders>
              <w:bottom w:val="single" w:color="000000" w:sz="8" w:space="0"/>
              <w:right w:val="single" w:color="000000" w:sz="8" w:space="0"/>
            </w:tcBorders>
            <w:noWrap/>
            <w:tcMar>
              <w:top w:w="0" w:type="dxa"/>
              <w:left w:w="108" w:type="dxa"/>
              <w:bottom w:w="0" w:type="dxa"/>
              <w:right w:w="108" w:type="dxa"/>
            </w:tcMar>
            <w:vAlign w:val="center"/>
          </w:tcPr>
          <w:p w14:paraId="399584BC">
            <w:pPr>
              <w:snapToGrid w:val="0"/>
              <w:spacing w:line="360" w:lineRule="auto"/>
              <w:rPr>
                <w:rFonts w:ascii="宋体" w:hAnsi="宋体" w:cs="宋体"/>
                <w:szCs w:val="21"/>
                <w:highlight w:val="none"/>
              </w:rPr>
            </w:pPr>
            <w:r>
              <w:rPr>
                <w:rFonts w:hint="eastAsia" w:ascii="宋体" w:hAnsi="宋体" w:cs="宋体"/>
                <w:szCs w:val="21"/>
                <w:highlight w:val="none"/>
              </w:rPr>
              <w:t>30</w:t>
            </w:r>
          </w:p>
        </w:tc>
        <w:tc>
          <w:tcPr>
            <w:tcW w:w="915" w:type="dxa"/>
            <w:tcBorders>
              <w:bottom w:val="single" w:color="000000" w:sz="8" w:space="0"/>
              <w:right w:val="single" w:color="000000" w:sz="8" w:space="0"/>
            </w:tcBorders>
            <w:noWrap/>
            <w:tcMar>
              <w:top w:w="0" w:type="dxa"/>
              <w:left w:w="108" w:type="dxa"/>
              <w:bottom w:w="0" w:type="dxa"/>
              <w:right w:w="108" w:type="dxa"/>
            </w:tcMar>
            <w:vAlign w:val="center"/>
          </w:tcPr>
          <w:p w14:paraId="7A3A1E0C">
            <w:pPr>
              <w:snapToGrid w:val="0"/>
              <w:spacing w:line="360" w:lineRule="auto"/>
              <w:rPr>
                <w:rFonts w:ascii="宋体" w:hAnsi="宋体" w:cs="宋体"/>
                <w:szCs w:val="21"/>
                <w:highlight w:val="none"/>
              </w:rPr>
            </w:pPr>
            <w:r>
              <w:rPr>
                <w:rFonts w:hint="eastAsia" w:ascii="宋体" w:hAnsi="宋体" w:cs="宋体"/>
                <w:szCs w:val="21"/>
                <w:highlight w:val="none"/>
              </w:rPr>
              <w:t> </w:t>
            </w:r>
          </w:p>
        </w:tc>
        <w:tc>
          <w:tcPr>
            <w:tcW w:w="1140" w:type="dxa"/>
            <w:tcBorders>
              <w:bottom w:val="single" w:color="000000" w:sz="8" w:space="0"/>
              <w:right w:val="single" w:color="000000" w:sz="8" w:space="0"/>
            </w:tcBorders>
            <w:noWrap/>
            <w:tcMar>
              <w:top w:w="0" w:type="dxa"/>
              <w:left w:w="108" w:type="dxa"/>
              <w:bottom w:w="0" w:type="dxa"/>
              <w:right w:w="108" w:type="dxa"/>
            </w:tcMar>
            <w:vAlign w:val="center"/>
          </w:tcPr>
          <w:p w14:paraId="2D2C9CBA">
            <w:pPr>
              <w:snapToGrid w:val="0"/>
              <w:spacing w:line="360" w:lineRule="auto"/>
              <w:rPr>
                <w:rFonts w:ascii="宋体" w:hAnsi="宋体" w:cs="宋体"/>
                <w:szCs w:val="21"/>
                <w:highlight w:val="none"/>
              </w:rPr>
            </w:pPr>
            <w:r>
              <w:rPr>
                <w:rFonts w:hint="eastAsia" w:ascii="宋体" w:hAnsi="宋体" w:cs="宋体"/>
                <w:szCs w:val="21"/>
                <w:highlight w:val="none"/>
              </w:rPr>
              <w:t> </w:t>
            </w:r>
          </w:p>
        </w:tc>
        <w:tc>
          <w:tcPr>
            <w:tcW w:w="1017" w:type="dxa"/>
            <w:tcBorders>
              <w:bottom w:val="single" w:color="000000" w:sz="8" w:space="0"/>
              <w:right w:val="single" w:color="000000" w:sz="8" w:space="0"/>
            </w:tcBorders>
            <w:noWrap/>
            <w:tcMar>
              <w:top w:w="0" w:type="dxa"/>
              <w:left w:w="108" w:type="dxa"/>
              <w:bottom w:w="0" w:type="dxa"/>
              <w:right w:w="108" w:type="dxa"/>
            </w:tcMar>
            <w:vAlign w:val="center"/>
          </w:tcPr>
          <w:p w14:paraId="3F6957B9">
            <w:pPr>
              <w:snapToGrid w:val="0"/>
              <w:spacing w:line="360" w:lineRule="auto"/>
              <w:rPr>
                <w:rFonts w:ascii="宋体" w:hAnsi="宋体" w:cs="宋体"/>
                <w:szCs w:val="21"/>
                <w:highlight w:val="none"/>
              </w:rPr>
            </w:pPr>
            <w:r>
              <w:rPr>
                <w:rFonts w:hint="eastAsia" w:ascii="宋体" w:hAnsi="宋体" w:cs="宋体"/>
                <w:szCs w:val="21"/>
                <w:highlight w:val="none"/>
              </w:rPr>
              <w:t> </w:t>
            </w:r>
          </w:p>
        </w:tc>
      </w:tr>
      <w:tr w14:paraId="036F170E">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6465" w:type="dxa"/>
            <w:gridSpan w:val="3"/>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2E68755">
            <w:pPr>
              <w:snapToGrid w:val="0"/>
              <w:spacing w:line="360" w:lineRule="auto"/>
              <w:rPr>
                <w:rFonts w:ascii="宋体" w:hAnsi="宋体" w:cs="宋体"/>
                <w:szCs w:val="21"/>
                <w:highlight w:val="none"/>
              </w:rPr>
            </w:pPr>
            <w:r>
              <w:rPr>
                <w:rFonts w:hint="eastAsia" w:ascii="宋体" w:hAnsi="宋体" w:cs="宋体"/>
                <w:szCs w:val="21"/>
                <w:highlight w:val="none"/>
              </w:rPr>
              <w:t>合计得分</w:t>
            </w:r>
          </w:p>
        </w:tc>
        <w:tc>
          <w:tcPr>
            <w:tcW w:w="4002" w:type="dxa"/>
            <w:gridSpan w:val="4"/>
            <w:tcBorders>
              <w:bottom w:val="single" w:color="000000" w:sz="8" w:space="0"/>
              <w:right w:val="single" w:color="000000" w:sz="8" w:space="0"/>
            </w:tcBorders>
            <w:noWrap/>
            <w:tcMar>
              <w:top w:w="0" w:type="dxa"/>
              <w:left w:w="108" w:type="dxa"/>
              <w:bottom w:w="0" w:type="dxa"/>
              <w:right w:w="108" w:type="dxa"/>
            </w:tcMar>
            <w:vAlign w:val="center"/>
          </w:tcPr>
          <w:p w14:paraId="6085B167">
            <w:pPr>
              <w:snapToGrid w:val="0"/>
              <w:spacing w:line="360" w:lineRule="auto"/>
              <w:rPr>
                <w:rFonts w:ascii="宋体" w:hAnsi="宋体" w:cs="宋体"/>
                <w:szCs w:val="21"/>
                <w:highlight w:val="none"/>
              </w:rPr>
            </w:pPr>
            <w:r>
              <w:rPr>
                <w:rFonts w:hint="eastAsia" w:ascii="宋体" w:hAnsi="宋体" w:cs="宋体"/>
                <w:szCs w:val="21"/>
                <w:highlight w:val="none"/>
              </w:rPr>
              <w:t> </w:t>
            </w:r>
          </w:p>
        </w:tc>
      </w:tr>
      <w:tr w14:paraId="00EF8869">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10467" w:type="dxa"/>
            <w:gridSpan w:val="7"/>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B88BAC2">
            <w:pPr>
              <w:snapToGrid w:val="0"/>
              <w:spacing w:line="360" w:lineRule="auto"/>
              <w:rPr>
                <w:rFonts w:ascii="宋体" w:hAnsi="宋体" w:cs="宋体"/>
                <w:szCs w:val="21"/>
                <w:highlight w:val="none"/>
              </w:rPr>
            </w:pPr>
            <w:r>
              <w:rPr>
                <w:rFonts w:hint="eastAsia" w:ascii="宋体" w:hAnsi="宋体" w:cs="宋体"/>
                <w:szCs w:val="21"/>
                <w:highlight w:val="none"/>
              </w:rPr>
              <w:t>养护单位：</w:t>
            </w:r>
          </w:p>
          <w:p w14:paraId="01EA7913">
            <w:pPr>
              <w:snapToGrid w:val="0"/>
              <w:spacing w:line="360" w:lineRule="auto"/>
              <w:jc w:val="left"/>
              <w:rPr>
                <w:rFonts w:ascii="宋体" w:hAnsi="宋体" w:cs="宋体"/>
                <w:szCs w:val="21"/>
                <w:highlight w:val="none"/>
              </w:rPr>
            </w:pPr>
            <w:r>
              <w:rPr>
                <w:rFonts w:hint="eastAsia" w:ascii="宋体" w:hAnsi="宋体" w:cs="宋体"/>
                <w:szCs w:val="21"/>
                <w:highlight w:val="none"/>
              </w:rPr>
              <w:t>考核人：</w:t>
            </w:r>
          </w:p>
          <w:p w14:paraId="181A8C6A">
            <w:pPr>
              <w:snapToGrid w:val="0"/>
              <w:spacing w:line="360" w:lineRule="auto"/>
              <w:jc w:val="left"/>
              <w:rPr>
                <w:rFonts w:ascii="宋体" w:hAnsi="宋体" w:cs="宋体"/>
                <w:szCs w:val="21"/>
                <w:highlight w:val="none"/>
              </w:rPr>
            </w:pPr>
            <w:r>
              <w:rPr>
                <w:rFonts w:hint="eastAsia" w:ascii="宋体" w:hAnsi="宋体" w:cs="宋体"/>
                <w:szCs w:val="21"/>
                <w:highlight w:val="none"/>
              </w:rPr>
              <w:t>考核方式：明查/暗查</w:t>
            </w:r>
          </w:p>
          <w:p w14:paraId="5D1EFCFA">
            <w:pPr>
              <w:snapToGrid w:val="0"/>
              <w:spacing w:line="360" w:lineRule="auto"/>
              <w:rPr>
                <w:rFonts w:ascii="宋体" w:hAnsi="宋体" w:cs="宋体"/>
                <w:szCs w:val="21"/>
                <w:highlight w:val="none"/>
              </w:rPr>
            </w:pPr>
            <w:r>
              <w:rPr>
                <w:rFonts w:hint="eastAsia" w:ascii="宋体" w:hAnsi="宋体" w:cs="宋体"/>
                <w:szCs w:val="21"/>
                <w:highlight w:val="none"/>
              </w:rPr>
              <w:t>考核时间：20   年   月   日</w:t>
            </w:r>
          </w:p>
        </w:tc>
      </w:tr>
    </w:tbl>
    <w:p w14:paraId="46A53E95">
      <w:pPr>
        <w:pBdr>
          <w:top w:val="none" w:color="000000" w:sz="0" w:space="0"/>
          <w:left w:val="none" w:color="000000" w:sz="0" w:space="0"/>
          <w:bottom w:val="none" w:color="000000" w:sz="0" w:space="0"/>
          <w:right w:val="none" w:color="000000" w:sz="0" w:space="0"/>
        </w:pBdr>
        <w:spacing w:line="360" w:lineRule="auto"/>
        <w:ind w:firstLine="480"/>
        <w:rPr>
          <w:rFonts w:ascii="宋体" w:hAnsi="宋体" w:cs="宋体"/>
          <w:szCs w:val="21"/>
          <w:highlight w:val="none"/>
        </w:rPr>
      </w:pPr>
      <w:r>
        <w:rPr>
          <w:rFonts w:hint="eastAsia" w:ascii="宋体" w:hAnsi="宋体" w:cs="宋体"/>
          <w:szCs w:val="21"/>
          <w:highlight w:val="none"/>
        </w:rPr>
        <w:t>备注：考核路段中如果没有桥梁，则将桥梁设施分值平均分配给车行道和人行道设施。遇两路夹一河情况，河上桥梁列入考核。</w:t>
      </w:r>
    </w:p>
    <w:p w14:paraId="3913D7A8">
      <w:pPr>
        <w:pBdr>
          <w:top w:val="none" w:color="000000" w:sz="0" w:space="0"/>
          <w:left w:val="none" w:color="000000" w:sz="0" w:space="0"/>
          <w:bottom w:val="none" w:color="000000" w:sz="0" w:space="0"/>
          <w:right w:val="none" w:color="000000" w:sz="0" w:space="0"/>
        </w:pBdr>
        <w:spacing w:line="360" w:lineRule="auto"/>
        <w:ind w:firstLine="480"/>
        <w:rPr>
          <w:rFonts w:ascii="宋体" w:hAnsi="宋体" w:cs="宋体"/>
          <w:szCs w:val="21"/>
          <w:highlight w:val="none"/>
        </w:rPr>
      </w:pPr>
      <w:r>
        <w:rPr>
          <w:rFonts w:hint="eastAsia" w:ascii="宋体" w:hAnsi="宋体" w:cs="宋体"/>
          <w:szCs w:val="21"/>
          <w:highlight w:val="none"/>
        </w:rPr>
        <w:t>1、无桥梁时，车行道分值为45分，人行道分值为45分；</w:t>
      </w:r>
    </w:p>
    <w:p w14:paraId="6931C747">
      <w:pPr>
        <w:pBdr>
          <w:top w:val="none" w:color="000000" w:sz="0" w:space="0"/>
          <w:left w:val="none" w:color="000000" w:sz="0" w:space="0"/>
          <w:bottom w:val="none" w:color="000000" w:sz="0" w:space="0"/>
          <w:right w:val="none" w:color="000000" w:sz="0" w:space="0"/>
        </w:pBdr>
        <w:spacing w:line="360" w:lineRule="auto"/>
        <w:ind w:firstLine="480"/>
        <w:rPr>
          <w:szCs w:val="21"/>
          <w:highlight w:val="none"/>
        </w:rPr>
      </w:pPr>
      <w:r>
        <w:rPr>
          <w:rFonts w:hint="eastAsia" w:ascii="宋体" w:hAnsi="宋体" w:cs="宋体"/>
          <w:szCs w:val="21"/>
          <w:highlight w:val="none"/>
        </w:rPr>
        <w:t>2、日常考核使用时，在相应的词语上划“√”</w:t>
      </w:r>
    </w:p>
    <w:p w14:paraId="2ACEE21C">
      <w:pPr>
        <w:rPr>
          <w:highlight w:val="none"/>
        </w:rPr>
      </w:pPr>
    </w:p>
    <w:p w14:paraId="55AF5CBF">
      <w:pPr>
        <w:rPr>
          <w:highlight w:val="none"/>
        </w:rPr>
      </w:pPr>
    </w:p>
    <w:p w14:paraId="1899BED7">
      <w:pPr>
        <w:pStyle w:val="7"/>
        <w:rPr>
          <w:highlight w:val="none"/>
        </w:rPr>
      </w:pPr>
      <w:bookmarkStart w:id="3" w:name="_Toc26970165"/>
      <w:r>
        <w:rPr>
          <w:rFonts w:hint="eastAsia"/>
          <w:highlight w:val="none"/>
        </w:rPr>
        <w:t>6、陆家镇照明设施养护</w:t>
      </w:r>
      <w:bookmarkEnd w:id="3"/>
      <w:r>
        <w:rPr>
          <w:rFonts w:hint="eastAsia"/>
          <w:highlight w:val="none"/>
        </w:rPr>
        <w:t>考核</w:t>
      </w:r>
    </w:p>
    <w:p w14:paraId="2D9C869D">
      <w:pPr>
        <w:spacing w:line="580" w:lineRule="exact"/>
        <w:ind w:firstLine="482" w:firstLineChars="200"/>
        <w:jc w:val="center"/>
        <w:rPr>
          <w:rFonts w:ascii="宋体" w:hAnsi="宋体" w:cs="宋体"/>
          <w:sz w:val="24"/>
          <w:highlight w:val="none"/>
        </w:rPr>
      </w:pPr>
      <w:bookmarkStart w:id="4" w:name="_Toc26970169"/>
      <w:r>
        <w:rPr>
          <w:rFonts w:hint="eastAsia" w:ascii="宋体" w:hAnsi="宋体" w:cs="宋体"/>
          <w:b/>
          <w:kern w:val="44"/>
          <w:sz w:val="24"/>
          <w:highlight w:val="none"/>
        </w:rPr>
        <w:t>陆家镇路灯照明养护考核表</w:t>
      </w:r>
    </w:p>
    <w:tbl>
      <w:tblPr>
        <w:tblStyle w:val="9"/>
        <w:tblW w:w="512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
        <w:gridCol w:w="1261"/>
        <w:gridCol w:w="1209"/>
        <w:gridCol w:w="3126"/>
        <w:gridCol w:w="1193"/>
        <w:gridCol w:w="1681"/>
        <w:gridCol w:w="1134"/>
      </w:tblGrid>
      <w:tr w14:paraId="466FC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866" w:type="pct"/>
            <w:gridSpan w:val="2"/>
            <w:tcBorders>
              <w:top w:val="single" w:color="auto" w:sz="4" w:space="0"/>
              <w:left w:val="single" w:color="auto" w:sz="4" w:space="0"/>
              <w:bottom w:val="single" w:color="auto" w:sz="4" w:space="0"/>
              <w:right w:val="single" w:color="auto" w:sz="4" w:space="0"/>
            </w:tcBorders>
            <w:vAlign w:val="center"/>
          </w:tcPr>
          <w:p w14:paraId="528103D5">
            <w:pPr>
              <w:widowControl/>
              <w:spacing w:line="360" w:lineRule="auto"/>
              <w:jc w:val="center"/>
              <w:rPr>
                <w:rFonts w:ascii="宋体" w:hAnsi="宋体" w:cs="宋体"/>
                <w:b/>
                <w:szCs w:val="21"/>
                <w:highlight w:val="none"/>
              </w:rPr>
            </w:pPr>
            <w:r>
              <w:rPr>
                <w:rFonts w:hint="eastAsia" w:ascii="宋体" w:hAnsi="宋体" w:cs="宋体"/>
                <w:b/>
                <w:szCs w:val="21"/>
                <w:highlight w:val="none"/>
              </w:rPr>
              <w:t>评分项目</w:t>
            </w:r>
          </w:p>
        </w:tc>
        <w:tc>
          <w:tcPr>
            <w:tcW w:w="2148" w:type="pct"/>
            <w:gridSpan w:val="2"/>
            <w:tcBorders>
              <w:top w:val="single" w:color="auto" w:sz="4" w:space="0"/>
              <w:left w:val="single" w:color="auto" w:sz="4" w:space="0"/>
              <w:bottom w:val="single" w:color="auto" w:sz="4" w:space="0"/>
              <w:right w:val="single" w:color="auto" w:sz="4" w:space="0"/>
            </w:tcBorders>
            <w:vAlign w:val="center"/>
          </w:tcPr>
          <w:p w14:paraId="429D983E">
            <w:pPr>
              <w:widowControl/>
              <w:spacing w:line="360" w:lineRule="auto"/>
              <w:jc w:val="center"/>
              <w:rPr>
                <w:rFonts w:ascii="宋体" w:hAnsi="宋体" w:cs="宋体"/>
                <w:b/>
                <w:szCs w:val="21"/>
                <w:highlight w:val="none"/>
              </w:rPr>
            </w:pPr>
            <w:r>
              <w:rPr>
                <w:rFonts w:hint="eastAsia" w:ascii="宋体" w:hAnsi="宋体" w:cs="宋体"/>
                <w:b/>
                <w:szCs w:val="21"/>
                <w:highlight w:val="none"/>
              </w:rPr>
              <w:t>考核内容</w:t>
            </w:r>
          </w:p>
        </w:tc>
        <w:tc>
          <w:tcPr>
            <w:tcW w:w="1424" w:type="pct"/>
            <w:gridSpan w:val="2"/>
            <w:tcBorders>
              <w:top w:val="single" w:color="auto" w:sz="4" w:space="0"/>
              <w:left w:val="single" w:color="auto" w:sz="4" w:space="0"/>
              <w:bottom w:val="single" w:color="auto" w:sz="4" w:space="0"/>
              <w:right w:val="single" w:color="auto" w:sz="4" w:space="0"/>
            </w:tcBorders>
            <w:vAlign w:val="center"/>
          </w:tcPr>
          <w:p w14:paraId="75039262">
            <w:pPr>
              <w:widowControl/>
              <w:spacing w:line="360" w:lineRule="auto"/>
              <w:jc w:val="center"/>
              <w:rPr>
                <w:rFonts w:ascii="宋体" w:hAnsi="宋体" w:cs="宋体"/>
                <w:b/>
                <w:szCs w:val="21"/>
                <w:highlight w:val="none"/>
              </w:rPr>
            </w:pPr>
            <w:r>
              <w:rPr>
                <w:rFonts w:hint="eastAsia" w:ascii="宋体" w:hAnsi="宋体" w:cs="宋体"/>
                <w:b/>
                <w:szCs w:val="21"/>
                <w:highlight w:val="none"/>
              </w:rPr>
              <w:t>评分标准</w:t>
            </w:r>
          </w:p>
        </w:tc>
        <w:tc>
          <w:tcPr>
            <w:tcW w:w="559" w:type="pct"/>
            <w:tcBorders>
              <w:top w:val="single" w:color="auto" w:sz="4" w:space="0"/>
              <w:left w:val="single" w:color="auto" w:sz="4" w:space="0"/>
              <w:bottom w:val="single" w:color="auto" w:sz="4" w:space="0"/>
              <w:right w:val="single" w:color="auto" w:sz="4" w:space="0"/>
            </w:tcBorders>
            <w:vAlign w:val="center"/>
          </w:tcPr>
          <w:p w14:paraId="23940CDE">
            <w:pPr>
              <w:widowControl/>
              <w:spacing w:line="360" w:lineRule="auto"/>
              <w:jc w:val="center"/>
              <w:rPr>
                <w:rFonts w:ascii="宋体" w:hAnsi="宋体" w:cs="宋体"/>
                <w:b/>
                <w:szCs w:val="21"/>
                <w:highlight w:val="none"/>
              </w:rPr>
            </w:pPr>
            <w:r>
              <w:rPr>
                <w:rFonts w:hint="eastAsia" w:ascii="宋体" w:hAnsi="宋体" w:cs="宋体"/>
                <w:b/>
                <w:szCs w:val="21"/>
                <w:highlight w:val="none"/>
              </w:rPr>
              <w:t>月度扣分</w:t>
            </w:r>
          </w:p>
        </w:tc>
      </w:tr>
      <w:tr w14:paraId="52183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241" w:type="pct"/>
            <w:vMerge w:val="restart"/>
            <w:tcBorders>
              <w:top w:val="single" w:color="auto" w:sz="4" w:space="0"/>
              <w:left w:val="single" w:color="auto" w:sz="4" w:space="0"/>
              <w:right w:val="single" w:color="auto" w:sz="4" w:space="0"/>
            </w:tcBorders>
            <w:vAlign w:val="center"/>
          </w:tcPr>
          <w:p w14:paraId="7F868FA8">
            <w:pPr>
              <w:widowControl/>
              <w:spacing w:line="360" w:lineRule="auto"/>
              <w:jc w:val="center"/>
              <w:rPr>
                <w:rFonts w:ascii="宋体" w:hAnsi="宋体" w:cs="宋体"/>
                <w:szCs w:val="21"/>
                <w:highlight w:val="none"/>
              </w:rPr>
            </w:pPr>
            <w:r>
              <w:rPr>
                <w:rFonts w:hint="eastAsia" w:ascii="宋体" w:hAnsi="宋体" w:cs="宋体"/>
                <w:szCs w:val="21"/>
                <w:highlight w:val="none"/>
              </w:rPr>
              <w:t>日常工作</w:t>
            </w:r>
          </w:p>
          <w:p w14:paraId="35533408">
            <w:pPr>
              <w:spacing w:line="360" w:lineRule="auto"/>
              <w:jc w:val="center"/>
              <w:rPr>
                <w:rFonts w:ascii="宋体" w:hAnsi="宋体" w:cs="宋体"/>
                <w:szCs w:val="21"/>
                <w:highlight w:val="none"/>
              </w:rPr>
            </w:pPr>
          </w:p>
        </w:tc>
        <w:tc>
          <w:tcPr>
            <w:tcW w:w="625" w:type="pct"/>
            <w:vMerge w:val="restart"/>
            <w:tcBorders>
              <w:top w:val="single" w:color="auto" w:sz="4" w:space="0"/>
              <w:left w:val="single" w:color="auto" w:sz="4" w:space="0"/>
              <w:right w:val="single" w:color="auto" w:sz="4" w:space="0"/>
            </w:tcBorders>
            <w:vAlign w:val="center"/>
          </w:tcPr>
          <w:p w14:paraId="45E750AE">
            <w:pPr>
              <w:widowControl/>
              <w:spacing w:line="360" w:lineRule="auto"/>
              <w:jc w:val="center"/>
              <w:rPr>
                <w:rFonts w:ascii="宋体" w:hAnsi="宋体" w:cs="宋体"/>
                <w:szCs w:val="21"/>
                <w:highlight w:val="none"/>
              </w:rPr>
            </w:pPr>
            <w:r>
              <w:rPr>
                <w:rFonts w:hint="eastAsia" w:ascii="宋体" w:hAnsi="宋体" w:cs="宋体"/>
                <w:szCs w:val="21"/>
                <w:highlight w:val="none"/>
              </w:rPr>
              <w:t>台帐管理</w:t>
            </w:r>
          </w:p>
          <w:p w14:paraId="645DD2F6">
            <w:pPr>
              <w:widowControl/>
              <w:spacing w:line="360" w:lineRule="auto"/>
              <w:jc w:val="center"/>
              <w:rPr>
                <w:rFonts w:ascii="宋体" w:hAnsi="宋体" w:cs="宋体"/>
                <w:szCs w:val="21"/>
                <w:highlight w:val="none"/>
              </w:rPr>
            </w:pPr>
            <w:r>
              <w:rPr>
                <w:rFonts w:hint="eastAsia" w:ascii="宋体" w:hAnsi="宋体" w:cs="宋体"/>
                <w:szCs w:val="21"/>
                <w:highlight w:val="none"/>
              </w:rPr>
              <w:t>（10分）</w:t>
            </w:r>
          </w:p>
        </w:tc>
        <w:tc>
          <w:tcPr>
            <w:tcW w:w="2148" w:type="pct"/>
            <w:gridSpan w:val="2"/>
            <w:tcBorders>
              <w:top w:val="single" w:color="auto" w:sz="4" w:space="0"/>
              <w:left w:val="single" w:color="auto" w:sz="4" w:space="0"/>
              <w:bottom w:val="single" w:color="auto" w:sz="4" w:space="0"/>
              <w:right w:val="single" w:color="auto" w:sz="4" w:space="0"/>
            </w:tcBorders>
            <w:vAlign w:val="center"/>
          </w:tcPr>
          <w:p w14:paraId="4A8CD16D">
            <w:pPr>
              <w:widowControl/>
              <w:spacing w:line="360" w:lineRule="auto"/>
              <w:rPr>
                <w:rFonts w:ascii="宋体" w:hAnsi="宋体" w:cs="宋体"/>
                <w:szCs w:val="21"/>
                <w:highlight w:val="none"/>
              </w:rPr>
            </w:pPr>
            <w:r>
              <w:rPr>
                <w:rFonts w:hint="eastAsia" w:ascii="宋体" w:hAnsi="宋体" w:cs="宋体"/>
                <w:szCs w:val="21"/>
                <w:highlight w:val="none"/>
              </w:rPr>
              <w:t>基础台帐资料齐全，有各项管理制度（5分）</w:t>
            </w:r>
          </w:p>
        </w:tc>
        <w:tc>
          <w:tcPr>
            <w:tcW w:w="1424" w:type="pct"/>
            <w:gridSpan w:val="2"/>
            <w:tcBorders>
              <w:top w:val="single" w:color="auto" w:sz="4" w:space="0"/>
              <w:left w:val="single" w:color="auto" w:sz="4" w:space="0"/>
              <w:bottom w:val="single" w:color="auto" w:sz="4" w:space="0"/>
              <w:right w:val="single" w:color="auto" w:sz="4" w:space="0"/>
            </w:tcBorders>
            <w:vAlign w:val="center"/>
          </w:tcPr>
          <w:p w14:paraId="04DD964F">
            <w:pPr>
              <w:widowControl/>
              <w:spacing w:line="360" w:lineRule="auto"/>
              <w:rPr>
                <w:rFonts w:ascii="宋体" w:hAnsi="宋体" w:cs="宋体"/>
                <w:szCs w:val="21"/>
                <w:highlight w:val="none"/>
              </w:rPr>
            </w:pPr>
            <w:r>
              <w:rPr>
                <w:rFonts w:hint="eastAsia" w:ascii="宋体" w:hAnsi="宋体" w:cs="宋体"/>
                <w:szCs w:val="21"/>
                <w:highlight w:val="none"/>
              </w:rPr>
              <w:t>每缺一项，扣1分</w:t>
            </w:r>
          </w:p>
        </w:tc>
        <w:tc>
          <w:tcPr>
            <w:tcW w:w="559" w:type="pct"/>
            <w:tcBorders>
              <w:top w:val="single" w:color="auto" w:sz="4" w:space="0"/>
              <w:left w:val="single" w:color="auto" w:sz="4" w:space="0"/>
              <w:bottom w:val="single" w:color="auto" w:sz="4" w:space="0"/>
              <w:right w:val="single" w:color="auto" w:sz="4" w:space="0"/>
            </w:tcBorders>
            <w:vAlign w:val="center"/>
          </w:tcPr>
          <w:p w14:paraId="515A1E89">
            <w:pPr>
              <w:widowControl/>
              <w:spacing w:line="360" w:lineRule="auto"/>
              <w:rPr>
                <w:rFonts w:ascii="宋体" w:hAnsi="宋体" w:cs="宋体"/>
                <w:szCs w:val="21"/>
                <w:highlight w:val="none"/>
              </w:rPr>
            </w:pPr>
          </w:p>
        </w:tc>
      </w:tr>
      <w:tr w14:paraId="5F3E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241" w:type="pct"/>
            <w:vMerge w:val="continue"/>
            <w:tcBorders>
              <w:left w:val="single" w:color="auto" w:sz="4" w:space="0"/>
              <w:right w:val="single" w:color="auto" w:sz="4" w:space="0"/>
            </w:tcBorders>
            <w:vAlign w:val="center"/>
          </w:tcPr>
          <w:p w14:paraId="7ABBD22C">
            <w:pPr>
              <w:spacing w:line="360" w:lineRule="auto"/>
              <w:jc w:val="center"/>
              <w:rPr>
                <w:rFonts w:ascii="宋体" w:hAnsi="宋体" w:cs="宋体"/>
                <w:szCs w:val="21"/>
                <w:highlight w:val="none"/>
              </w:rPr>
            </w:pPr>
          </w:p>
        </w:tc>
        <w:tc>
          <w:tcPr>
            <w:tcW w:w="625" w:type="pct"/>
            <w:vMerge w:val="continue"/>
            <w:tcBorders>
              <w:left w:val="single" w:color="auto" w:sz="4" w:space="0"/>
              <w:right w:val="single" w:color="auto" w:sz="4" w:space="0"/>
            </w:tcBorders>
            <w:vAlign w:val="center"/>
          </w:tcPr>
          <w:p w14:paraId="60BB84B1">
            <w:pPr>
              <w:widowControl/>
              <w:spacing w:line="360" w:lineRule="auto"/>
              <w:jc w:val="center"/>
              <w:rPr>
                <w:rFonts w:ascii="宋体" w:hAnsi="宋体" w:cs="宋体"/>
                <w:szCs w:val="21"/>
                <w:highlight w:val="none"/>
              </w:rPr>
            </w:pPr>
          </w:p>
        </w:tc>
        <w:tc>
          <w:tcPr>
            <w:tcW w:w="2148" w:type="pct"/>
            <w:gridSpan w:val="2"/>
            <w:tcBorders>
              <w:top w:val="single" w:color="auto" w:sz="4" w:space="0"/>
              <w:left w:val="single" w:color="auto" w:sz="4" w:space="0"/>
              <w:bottom w:val="single" w:color="auto" w:sz="4" w:space="0"/>
              <w:right w:val="single" w:color="auto" w:sz="4" w:space="0"/>
            </w:tcBorders>
            <w:vAlign w:val="center"/>
          </w:tcPr>
          <w:p w14:paraId="6DC3BFF3">
            <w:pPr>
              <w:widowControl/>
              <w:spacing w:line="360" w:lineRule="auto"/>
              <w:rPr>
                <w:rFonts w:ascii="宋体" w:hAnsi="宋体" w:cs="宋体"/>
                <w:szCs w:val="21"/>
                <w:highlight w:val="none"/>
              </w:rPr>
            </w:pPr>
            <w:r>
              <w:rPr>
                <w:rFonts w:hint="eastAsia" w:ascii="宋体" w:hAnsi="宋体" w:cs="宋体"/>
                <w:szCs w:val="21"/>
                <w:highlight w:val="none"/>
              </w:rPr>
              <w:t>建立巡视制度，定期上报日常养护、巡视、检查记录。（3分）</w:t>
            </w:r>
          </w:p>
        </w:tc>
        <w:tc>
          <w:tcPr>
            <w:tcW w:w="1424" w:type="pct"/>
            <w:gridSpan w:val="2"/>
            <w:tcBorders>
              <w:top w:val="single" w:color="auto" w:sz="4" w:space="0"/>
              <w:left w:val="single" w:color="auto" w:sz="4" w:space="0"/>
              <w:bottom w:val="single" w:color="auto" w:sz="4" w:space="0"/>
              <w:right w:val="single" w:color="auto" w:sz="4" w:space="0"/>
            </w:tcBorders>
            <w:vAlign w:val="center"/>
          </w:tcPr>
          <w:p w14:paraId="58A992AC">
            <w:pPr>
              <w:widowControl/>
              <w:spacing w:line="360" w:lineRule="auto"/>
              <w:rPr>
                <w:rFonts w:ascii="宋体" w:hAnsi="宋体" w:cs="宋体"/>
                <w:szCs w:val="21"/>
                <w:highlight w:val="none"/>
              </w:rPr>
            </w:pPr>
            <w:r>
              <w:rPr>
                <w:rFonts w:hint="eastAsia" w:ascii="宋体" w:hAnsi="宋体" w:cs="宋体"/>
                <w:szCs w:val="21"/>
                <w:highlight w:val="none"/>
              </w:rPr>
              <w:t>每缺一项，扣1分</w:t>
            </w:r>
          </w:p>
        </w:tc>
        <w:tc>
          <w:tcPr>
            <w:tcW w:w="559" w:type="pct"/>
            <w:tcBorders>
              <w:top w:val="single" w:color="auto" w:sz="4" w:space="0"/>
              <w:left w:val="single" w:color="auto" w:sz="4" w:space="0"/>
              <w:bottom w:val="single" w:color="auto" w:sz="4" w:space="0"/>
              <w:right w:val="single" w:color="auto" w:sz="4" w:space="0"/>
            </w:tcBorders>
            <w:vAlign w:val="center"/>
          </w:tcPr>
          <w:p w14:paraId="227390D5">
            <w:pPr>
              <w:widowControl/>
              <w:spacing w:line="360" w:lineRule="auto"/>
              <w:rPr>
                <w:rFonts w:ascii="宋体" w:hAnsi="宋体" w:cs="宋体"/>
                <w:szCs w:val="21"/>
                <w:highlight w:val="none"/>
              </w:rPr>
            </w:pPr>
          </w:p>
        </w:tc>
      </w:tr>
      <w:tr w14:paraId="43D6D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241" w:type="pct"/>
            <w:vMerge w:val="continue"/>
            <w:tcBorders>
              <w:left w:val="single" w:color="auto" w:sz="4" w:space="0"/>
              <w:right w:val="single" w:color="auto" w:sz="4" w:space="0"/>
            </w:tcBorders>
            <w:vAlign w:val="center"/>
          </w:tcPr>
          <w:p w14:paraId="6AAC01B7">
            <w:pPr>
              <w:spacing w:line="360" w:lineRule="auto"/>
              <w:jc w:val="center"/>
              <w:rPr>
                <w:rFonts w:ascii="宋体" w:hAnsi="宋体" w:cs="宋体"/>
                <w:szCs w:val="21"/>
                <w:highlight w:val="none"/>
              </w:rPr>
            </w:pPr>
          </w:p>
        </w:tc>
        <w:tc>
          <w:tcPr>
            <w:tcW w:w="625" w:type="pct"/>
            <w:vMerge w:val="continue"/>
            <w:tcBorders>
              <w:left w:val="single" w:color="auto" w:sz="4" w:space="0"/>
              <w:right w:val="single" w:color="auto" w:sz="4" w:space="0"/>
            </w:tcBorders>
            <w:vAlign w:val="center"/>
          </w:tcPr>
          <w:p w14:paraId="2CA85F23">
            <w:pPr>
              <w:widowControl/>
              <w:spacing w:line="360" w:lineRule="auto"/>
              <w:jc w:val="center"/>
              <w:rPr>
                <w:rFonts w:ascii="宋体" w:hAnsi="宋体" w:cs="宋体"/>
                <w:szCs w:val="21"/>
                <w:highlight w:val="none"/>
              </w:rPr>
            </w:pPr>
          </w:p>
        </w:tc>
        <w:tc>
          <w:tcPr>
            <w:tcW w:w="2148" w:type="pct"/>
            <w:gridSpan w:val="2"/>
            <w:tcBorders>
              <w:top w:val="single" w:color="auto" w:sz="4" w:space="0"/>
              <w:left w:val="single" w:color="auto" w:sz="4" w:space="0"/>
              <w:bottom w:val="single" w:color="auto" w:sz="4" w:space="0"/>
              <w:right w:val="single" w:color="auto" w:sz="4" w:space="0"/>
            </w:tcBorders>
            <w:vAlign w:val="center"/>
          </w:tcPr>
          <w:p w14:paraId="3681C258">
            <w:pPr>
              <w:widowControl/>
              <w:spacing w:line="360" w:lineRule="auto"/>
              <w:rPr>
                <w:rFonts w:ascii="宋体" w:hAnsi="宋体" w:cs="宋体"/>
                <w:szCs w:val="21"/>
                <w:highlight w:val="none"/>
              </w:rPr>
            </w:pPr>
            <w:r>
              <w:rPr>
                <w:rFonts w:hint="eastAsia" w:ascii="宋体" w:hAnsi="宋体" w:cs="宋体"/>
                <w:szCs w:val="21"/>
                <w:highlight w:val="none"/>
              </w:rPr>
              <w:t>安排人员24小时值班，值班人员不得擅离岗位。（2分）</w:t>
            </w:r>
          </w:p>
        </w:tc>
        <w:tc>
          <w:tcPr>
            <w:tcW w:w="1424" w:type="pct"/>
            <w:gridSpan w:val="2"/>
            <w:tcBorders>
              <w:top w:val="single" w:color="auto" w:sz="4" w:space="0"/>
              <w:left w:val="single" w:color="auto" w:sz="4" w:space="0"/>
              <w:bottom w:val="single" w:color="auto" w:sz="4" w:space="0"/>
              <w:right w:val="single" w:color="auto" w:sz="4" w:space="0"/>
            </w:tcBorders>
            <w:vAlign w:val="center"/>
          </w:tcPr>
          <w:p w14:paraId="085B508A">
            <w:pPr>
              <w:widowControl/>
              <w:spacing w:line="360" w:lineRule="auto"/>
              <w:rPr>
                <w:rFonts w:ascii="宋体" w:hAnsi="宋体" w:cs="宋体"/>
                <w:szCs w:val="21"/>
                <w:highlight w:val="none"/>
              </w:rPr>
            </w:pPr>
            <w:r>
              <w:rPr>
                <w:rFonts w:hint="eastAsia" w:ascii="宋体" w:hAnsi="宋体" w:cs="宋体"/>
                <w:szCs w:val="21"/>
                <w:highlight w:val="none"/>
              </w:rPr>
              <w:t>抽查值班人员不在岗半小时以上，发现一次扣1分</w:t>
            </w:r>
          </w:p>
        </w:tc>
        <w:tc>
          <w:tcPr>
            <w:tcW w:w="559" w:type="pct"/>
            <w:tcBorders>
              <w:top w:val="single" w:color="auto" w:sz="4" w:space="0"/>
              <w:left w:val="single" w:color="auto" w:sz="4" w:space="0"/>
              <w:bottom w:val="single" w:color="auto" w:sz="4" w:space="0"/>
              <w:right w:val="single" w:color="auto" w:sz="4" w:space="0"/>
            </w:tcBorders>
            <w:vAlign w:val="center"/>
          </w:tcPr>
          <w:p w14:paraId="2BC81A18">
            <w:pPr>
              <w:widowControl/>
              <w:spacing w:line="360" w:lineRule="auto"/>
              <w:rPr>
                <w:rFonts w:ascii="宋体" w:hAnsi="宋体" w:cs="宋体"/>
                <w:szCs w:val="21"/>
                <w:highlight w:val="none"/>
              </w:rPr>
            </w:pPr>
          </w:p>
        </w:tc>
      </w:tr>
      <w:tr w14:paraId="16F61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trPr>
        <w:tc>
          <w:tcPr>
            <w:tcW w:w="241" w:type="pct"/>
            <w:vMerge w:val="continue"/>
            <w:tcBorders>
              <w:left w:val="single" w:color="auto" w:sz="4" w:space="0"/>
              <w:right w:val="single" w:color="auto" w:sz="4" w:space="0"/>
            </w:tcBorders>
            <w:vAlign w:val="center"/>
          </w:tcPr>
          <w:p w14:paraId="1853E546">
            <w:pPr>
              <w:spacing w:line="360" w:lineRule="auto"/>
              <w:jc w:val="center"/>
              <w:rPr>
                <w:rFonts w:ascii="宋体" w:hAnsi="宋体" w:cs="宋体"/>
                <w:szCs w:val="21"/>
                <w:highlight w:val="none"/>
              </w:rPr>
            </w:pPr>
          </w:p>
        </w:tc>
        <w:tc>
          <w:tcPr>
            <w:tcW w:w="625" w:type="pct"/>
            <w:tcBorders>
              <w:top w:val="single" w:color="auto" w:sz="4" w:space="0"/>
              <w:left w:val="single" w:color="auto" w:sz="4" w:space="0"/>
              <w:right w:val="single" w:color="auto" w:sz="4" w:space="0"/>
            </w:tcBorders>
            <w:vAlign w:val="center"/>
          </w:tcPr>
          <w:p w14:paraId="3E597CCE">
            <w:pPr>
              <w:widowControl/>
              <w:spacing w:line="360" w:lineRule="auto"/>
              <w:jc w:val="center"/>
              <w:rPr>
                <w:rFonts w:ascii="宋体" w:hAnsi="宋体" w:cs="宋体"/>
                <w:szCs w:val="21"/>
                <w:highlight w:val="none"/>
              </w:rPr>
            </w:pPr>
            <w:r>
              <w:rPr>
                <w:rFonts w:hint="eastAsia" w:ascii="宋体" w:hAnsi="宋体" w:cs="宋体"/>
                <w:szCs w:val="21"/>
                <w:highlight w:val="none"/>
              </w:rPr>
              <w:t>亮灯情况</w:t>
            </w:r>
          </w:p>
          <w:p w14:paraId="019637C3">
            <w:pPr>
              <w:widowControl/>
              <w:spacing w:line="360" w:lineRule="auto"/>
              <w:jc w:val="center"/>
              <w:rPr>
                <w:rFonts w:ascii="宋体" w:hAnsi="宋体" w:cs="宋体"/>
                <w:szCs w:val="21"/>
                <w:highlight w:val="none"/>
              </w:rPr>
            </w:pPr>
            <w:r>
              <w:rPr>
                <w:rFonts w:hint="eastAsia" w:ascii="宋体" w:hAnsi="宋体" w:cs="宋体"/>
                <w:szCs w:val="21"/>
                <w:highlight w:val="none"/>
              </w:rPr>
              <w:t>（30分）</w:t>
            </w:r>
          </w:p>
        </w:tc>
        <w:tc>
          <w:tcPr>
            <w:tcW w:w="2148" w:type="pct"/>
            <w:gridSpan w:val="2"/>
            <w:tcBorders>
              <w:top w:val="single" w:color="auto" w:sz="4" w:space="0"/>
              <w:left w:val="single" w:color="auto" w:sz="4" w:space="0"/>
              <w:right w:val="single" w:color="auto" w:sz="4" w:space="0"/>
            </w:tcBorders>
            <w:vAlign w:val="center"/>
          </w:tcPr>
          <w:p w14:paraId="76F5B0D5">
            <w:pPr>
              <w:widowControl/>
              <w:spacing w:line="360" w:lineRule="auto"/>
              <w:rPr>
                <w:rFonts w:ascii="宋体" w:hAnsi="宋体" w:cs="宋体"/>
                <w:szCs w:val="21"/>
                <w:highlight w:val="none"/>
              </w:rPr>
            </w:pPr>
            <w:r>
              <w:rPr>
                <w:rFonts w:hint="eastAsia" w:ascii="宋体" w:hAnsi="宋体" w:cs="宋体"/>
                <w:szCs w:val="21"/>
                <w:highlight w:val="none"/>
              </w:rPr>
              <w:t>路灯不亮（30分）</w:t>
            </w:r>
          </w:p>
        </w:tc>
        <w:tc>
          <w:tcPr>
            <w:tcW w:w="1424" w:type="pct"/>
            <w:gridSpan w:val="2"/>
            <w:tcBorders>
              <w:top w:val="single" w:color="auto" w:sz="4" w:space="0"/>
              <w:left w:val="single" w:color="auto" w:sz="4" w:space="0"/>
              <w:right w:val="single" w:color="auto" w:sz="4" w:space="0"/>
            </w:tcBorders>
            <w:vAlign w:val="center"/>
          </w:tcPr>
          <w:p w14:paraId="7A374259">
            <w:pPr>
              <w:widowControl/>
              <w:spacing w:line="360" w:lineRule="auto"/>
              <w:rPr>
                <w:rFonts w:ascii="宋体" w:hAnsi="宋体" w:cs="宋体"/>
                <w:szCs w:val="21"/>
                <w:highlight w:val="none"/>
              </w:rPr>
            </w:pPr>
            <w:r>
              <w:rPr>
                <w:rFonts w:hint="eastAsia" w:ascii="宋体" w:hAnsi="宋体" w:cs="宋体"/>
                <w:szCs w:val="21"/>
                <w:highlight w:val="none"/>
              </w:rPr>
              <w:t>一盏路灯不亮（或闪烁），扣0.1分；一个回路路灯不亮，扣1分；一个表区路灯不亮，扣3分；一个片区路灯不亮，扣10分。</w:t>
            </w:r>
          </w:p>
        </w:tc>
        <w:tc>
          <w:tcPr>
            <w:tcW w:w="559" w:type="pct"/>
            <w:tcBorders>
              <w:top w:val="single" w:color="auto" w:sz="4" w:space="0"/>
              <w:left w:val="single" w:color="auto" w:sz="4" w:space="0"/>
              <w:right w:val="single" w:color="auto" w:sz="4" w:space="0"/>
            </w:tcBorders>
            <w:vAlign w:val="center"/>
          </w:tcPr>
          <w:p w14:paraId="2F5C66AF">
            <w:pPr>
              <w:widowControl/>
              <w:spacing w:line="360" w:lineRule="auto"/>
              <w:rPr>
                <w:rFonts w:ascii="宋体" w:hAnsi="宋体" w:cs="宋体"/>
                <w:szCs w:val="21"/>
                <w:highlight w:val="none"/>
              </w:rPr>
            </w:pPr>
          </w:p>
        </w:tc>
      </w:tr>
      <w:tr w14:paraId="231DE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241" w:type="pct"/>
            <w:vMerge w:val="continue"/>
            <w:tcBorders>
              <w:left w:val="single" w:color="auto" w:sz="4" w:space="0"/>
              <w:right w:val="single" w:color="auto" w:sz="4" w:space="0"/>
            </w:tcBorders>
            <w:vAlign w:val="center"/>
          </w:tcPr>
          <w:p w14:paraId="197E562B">
            <w:pPr>
              <w:spacing w:line="360" w:lineRule="auto"/>
              <w:jc w:val="center"/>
              <w:rPr>
                <w:rFonts w:ascii="宋体" w:hAnsi="宋体" w:cs="宋体"/>
                <w:szCs w:val="21"/>
                <w:highlight w:val="none"/>
              </w:rPr>
            </w:pPr>
          </w:p>
        </w:tc>
        <w:tc>
          <w:tcPr>
            <w:tcW w:w="625" w:type="pct"/>
            <w:vMerge w:val="restart"/>
            <w:tcBorders>
              <w:top w:val="single" w:color="auto" w:sz="4" w:space="0"/>
              <w:left w:val="single" w:color="auto" w:sz="4" w:space="0"/>
              <w:right w:val="single" w:color="auto" w:sz="4" w:space="0"/>
            </w:tcBorders>
            <w:vAlign w:val="center"/>
          </w:tcPr>
          <w:p w14:paraId="3DA701F2">
            <w:pPr>
              <w:widowControl/>
              <w:spacing w:line="360" w:lineRule="auto"/>
              <w:jc w:val="center"/>
              <w:rPr>
                <w:rFonts w:ascii="宋体" w:hAnsi="宋体" w:cs="宋体"/>
                <w:szCs w:val="21"/>
                <w:highlight w:val="none"/>
              </w:rPr>
            </w:pPr>
            <w:r>
              <w:rPr>
                <w:rFonts w:hint="eastAsia" w:ascii="宋体" w:hAnsi="宋体" w:cs="宋体"/>
                <w:szCs w:val="21"/>
                <w:highlight w:val="none"/>
              </w:rPr>
              <w:t>设施完好率</w:t>
            </w:r>
          </w:p>
          <w:p w14:paraId="575C8C71">
            <w:pPr>
              <w:widowControl/>
              <w:spacing w:line="360" w:lineRule="auto"/>
              <w:jc w:val="center"/>
              <w:rPr>
                <w:rFonts w:ascii="宋体" w:hAnsi="宋体" w:cs="宋体"/>
                <w:szCs w:val="21"/>
                <w:highlight w:val="none"/>
              </w:rPr>
            </w:pPr>
            <w:r>
              <w:rPr>
                <w:rFonts w:hint="eastAsia" w:ascii="宋体" w:hAnsi="宋体" w:cs="宋体"/>
                <w:szCs w:val="21"/>
                <w:highlight w:val="none"/>
              </w:rPr>
              <w:t>（20分）</w:t>
            </w:r>
          </w:p>
        </w:tc>
        <w:tc>
          <w:tcPr>
            <w:tcW w:w="2148" w:type="pct"/>
            <w:gridSpan w:val="2"/>
            <w:tcBorders>
              <w:top w:val="single" w:color="auto" w:sz="4" w:space="0"/>
              <w:left w:val="single" w:color="auto" w:sz="4" w:space="0"/>
              <w:bottom w:val="single" w:color="auto" w:sz="4" w:space="0"/>
              <w:right w:val="single" w:color="auto" w:sz="4" w:space="0"/>
            </w:tcBorders>
            <w:vAlign w:val="center"/>
          </w:tcPr>
          <w:p w14:paraId="419221EA">
            <w:pPr>
              <w:widowControl/>
              <w:spacing w:line="360" w:lineRule="auto"/>
              <w:rPr>
                <w:rFonts w:ascii="宋体" w:hAnsi="宋体" w:cs="宋体"/>
                <w:szCs w:val="21"/>
                <w:highlight w:val="none"/>
              </w:rPr>
            </w:pPr>
            <w:r>
              <w:rPr>
                <w:rFonts w:hint="eastAsia" w:ascii="宋体" w:hAnsi="宋体" w:cs="宋体"/>
                <w:szCs w:val="21"/>
                <w:highlight w:val="none"/>
              </w:rPr>
              <w:t>灯具、灯臂完好，配件齐全，功能正常，与台账资料一致，定期巡修，保持清洁防腐，设施无变形、转向、损坏、锈蚀、有蛛网、附着物、积污等。（4分）</w:t>
            </w:r>
          </w:p>
        </w:tc>
        <w:tc>
          <w:tcPr>
            <w:tcW w:w="1424" w:type="pct"/>
            <w:gridSpan w:val="2"/>
            <w:tcBorders>
              <w:top w:val="single" w:color="auto" w:sz="4" w:space="0"/>
              <w:left w:val="single" w:color="auto" w:sz="4" w:space="0"/>
              <w:bottom w:val="single" w:color="auto" w:sz="4" w:space="0"/>
              <w:right w:val="single" w:color="auto" w:sz="4" w:space="0"/>
            </w:tcBorders>
            <w:vAlign w:val="center"/>
          </w:tcPr>
          <w:p w14:paraId="3ABE54C8">
            <w:pPr>
              <w:widowControl/>
              <w:spacing w:line="360" w:lineRule="auto"/>
              <w:rPr>
                <w:rFonts w:ascii="宋体" w:hAnsi="宋体" w:cs="宋体"/>
                <w:szCs w:val="21"/>
                <w:highlight w:val="none"/>
              </w:rPr>
            </w:pPr>
            <w:r>
              <w:rPr>
                <w:rFonts w:hint="eastAsia" w:ascii="宋体" w:hAnsi="宋体" w:cs="宋体"/>
                <w:szCs w:val="21"/>
                <w:highlight w:val="none"/>
              </w:rPr>
              <w:t>每发现一处，扣0.1分；整段道路性问题，扣1分/处</w:t>
            </w:r>
          </w:p>
        </w:tc>
        <w:tc>
          <w:tcPr>
            <w:tcW w:w="559" w:type="pct"/>
            <w:tcBorders>
              <w:top w:val="single" w:color="auto" w:sz="4" w:space="0"/>
              <w:left w:val="single" w:color="auto" w:sz="4" w:space="0"/>
              <w:bottom w:val="single" w:color="auto" w:sz="4" w:space="0"/>
              <w:right w:val="single" w:color="auto" w:sz="4" w:space="0"/>
            </w:tcBorders>
            <w:vAlign w:val="center"/>
          </w:tcPr>
          <w:p w14:paraId="42F7C97A">
            <w:pPr>
              <w:widowControl/>
              <w:spacing w:line="360" w:lineRule="auto"/>
              <w:rPr>
                <w:rFonts w:ascii="宋体" w:hAnsi="宋体" w:cs="宋体"/>
                <w:szCs w:val="21"/>
                <w:highlight w:val="none"/>
              </w:rPr>
            </w:pPr>
          </w:p>
        </w:tc>
      </w:tr>
      <w:tr w14:paraId="57F1C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241" w:type="pct"/>
            <w:vMerge w:val="continue"/>
            <w:tcBorders>
              <w:left w:val="single" w:color="auto" w:sz="4" w:space="0"/>
              <w:right w:val="single" w:color="auto" w:sz="4" w:space="0"/>
            </w:tcBorders>
            <w:vAlign w:val="center"/>
          </w:tcPr>
          <w:p w14:paraId="00290B8B">
            <w:pPr>
              <w:spacing w:line="360" w:lineRule="auto"/>
              <w:jc w:val="center"/>
              <w:rPr>
                <w:rFonts w:ascii="宋体" w:hAnsi="宋体" w:cs="宋体"/>
                <w:szCs w:val="21"/>
                <w:highlight w:val="none"/>
              </w:rPr>
            </w:pPr>
          </w:p>
        </w:tc>
        <w:tc>
          <w:tcPr>
            <w:tcW w:w="625" w:type="pct"/>
            <w:vMerge w:val="continue"/>
            <w:tcBorders>
              <w:left w:val="single" w:color="auto" w:sz="4" w:space="0"/>
              <w:right w:val="single" w:color="auto" w:sz="4" w:space="0"/>
            </w:tcBorders>
            <w:vAlign w:val="center"/>
          </w:tcPr>
          <w:p w14:paraId="4A6B47C0">
            <w:pPr>
              <w:widowControl/>
              <w:spacing w:line="360" w:lineRule="auto"/>
              <w:jc w:val="center"/>
              <w:rPr>
                <w:rFonts w:ascii="宋体" w:hAnsi="宋体" w:cs="宋体"/>
                <w:szCs w:val="21"/>
                <w:highlight w:val="none"/>
              </w:rPr>
            </w:pPr>
          </w:p>
        </w:tc>
        <w:tc>
          <w:tcPr>
            <w:tcW w:w="2148" w:type="pct"/>
            <w:gridSpan w:val="2"/>
            <w:tcBorders>
              <w:top w:val="single" w:color="auto" w:sz="4" w:space="0"/>
              <w:left w:val="single" w:color="auto" w:sz="4" w:space="0"/>
              <w:bottom w:val="single" w:color="auto" w:sz="4" w:space="0"/>
              <w:right w:val="single" w:color="auto" w:sz="4" w:space="0"/>
            </w:tcBorders>
            <w:vAlign w:val="center"/>
          </w:tcPr>
          <w:p w14:paraId="5DB4C2CB">
            <w:pPr>
              <w:widowControl/>
              <w:spacing w:line="360" w:lineRule="auto"/>
              <w:rPr>
                <w:rFonts w:ascii="宋体" w:hAnsi="宋体" w:cs="宋体"/>
                <w:szCs w:val="21"/>
                <w:highlight w:val="none"/>
              </w:rPr>
            </w:pPr>
            <w:r>
              <w:rPr>
                <w:rFonts w:hint="eastAsia" w:ascii="宋体" w:hAnsi="宋体" w:cs="宋体"/>
                <w:szCs w:val="21"/>
                <w:highlight w:val="none"/>
              </w:rPr>
              <w:t>灯杆完好，垂直无松动，杆身清洁、无损坏、无锈蚀现象，无影响美观和安全的附着物，号牌（110标签）清晰完整。（5分）</w:t>
            </w:r>
          </w:p>
        </w:tc>
        <w:tc>
          <w:tcPr>
            <w:tcW w:w="1424" w:type="pct"/>
            <w:gridSpan w:val="2"/>
            <w:tcBorders>
              <w:top w:val="single" w:color="auto" w:sz="4" w:space="0"/>
              <w:left w:val="single" w:color="auto" w:sz="4" w:space="0"/>
              <w:bottom w:val="single" w:color="auto" w:sz="4" w:space="0"/>
              <w:right w:val="single" w:color="auto" w:sz="4" w:space="0"/>
            </w:tcBorders>
            <w:vAlign w:val="center"/>
          </w:tcPr>
          <w:p w14:paraId="4FB491A3">
            <w:pPr>
              <w:widowControl/>
              <w:spacing w:line="360" w:lineRule="auto"/>
              <w:rPr>
                <w:rFonts w:ascii="宋体" w:hAnsi="宋体" w:cs="宋体"/>
                <w:szCs w:val="21"/>
                <w:highlight w:val="none"/>
              </w:rPr>
            </w:pPr>
            <w:r>
              <w:rPr>
                <w:rFonts w:hint="eastAsia" w:ascii="宋体" w:hAnsi="宋体" w:cs="宋体"/>
                <w:szCs w:val="21"/>
                <w:highlight w:val="none"/>
              </w:rPr>
              <w:t>每发现一处，扣0.1分；整段道路性问题，扣1分/处</w:t>
            </w:r>
          </w:p>
        </w:tc>
        <w:tc>
          <w:tcPr>
            <w:tcW w:w="559" w:type="pct"/>
            <w:tcBorders>
              <w:top w:val="single" w:color="auto" w:sz="4" w:space="0"/>
              <w:left w:val="single" w:color="auto" w:sz="4" w:space="0"/>
              <w:bottom w:val="single" w:color="auto" w:sz="4" w:space="0"/>
              <w:right w:val="single" w:color="auto" w:sz="4" w:space="0"/>
            </w:tcBorders>
            <w:vAlign w:val="center"/>
          </w:tcPr>
          <w:p w14:paraId="2EC4AB2E">
            <w:pPr>
              <w:widowControl/>
              <w:spacing w:line="360" w:lineRule="auto"/>
              <w:rPr>
                <w:rFonts w:ascii="宋体" w:hAnsi="宋体" w:cs="宋体"/>
                <w:szCs w:val="21"/>
                <w:highlight w:val="none"/>
              </w:rPr>
            </w:pPr>
          </w:p>
        </w:tc>
      </w:tr>
      <w:tr w14:paraId="35251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241" w:type="pct"/>
            <w:vMerge w:val="continue"/>
            <w:tcBorders>
              <w:left w:val="single" w:color="auto" w:sz="4" w:space="0"/>
              <w:right w:val="single" w:color="auto" w:sz="4" w:space="0"/>
            </w:tcBorders>
            <w:vAlign w:val="center"/>
          </w:tcPr>
          <w:p w14:paraId="534F1993">
            <w:pPr>
              <w:spacing w:line="360" w:lineRule="auto"/>
              <w:jc w:val="center"/>
              <w:rPr>
                <w:rFonts w:ascii="宋体" w:hAnsi="宋体" w:cs="宋体"/>
                <w:szCs w:val="21"/>
                <w:highlight w:val="none"/>
              </w:rPr>
            </w:pPr>
          </w:p>
        </w:tc>
        <w:tc>
          <w:tcPr>
            <w:tcW w:w="625" w:type="pct"/>
            <w:vMerge w:val="continue"/>
            <w:tcBorders>
              <w:left w:val="single" w:color="auto" w:sz="4" w:space="0"/>
              <w:right w:val="single" w:color="auto" w:sz="4" w:space="0"/>
            </w:tcBorders>
            <w:vAlign w:val="center"/>
          </w:tcPr>
          <w:p w14:paraId="113F38C4">
            <w:pPr>
              <w:spacing w:line="360" w:lineRule="auto"/>
              <w:jc w:val="center"/>
              <w:rPr>
                <w:rFonts w:ascii="宋体" w:hAnsi="宋体" w:cs="宋体"/>
                <w:szCs w:val="21"/>
                <w:highlight w:val="none"/>
              </w:rPr>
            </w:pPr>
          </w:p>
        </w:tc>
        <w:tc>
          <w:tcPr>
            <w:tcW w:w="2148" w:type="pct"/>
            <w:gridSpan w:val="2"/>
            <w:tcBorders>
              <w:top w:val="single" w:color="auto" w:sz="4" w:space="0"/>
              <w:left w:val="single" w:color="auto" w:sz="4" w:space="0"/>
              <w:bottom w:val="single" w:color="auto" w:sz="4" w:space="0"/>
              <w:right w:val="single" w:color="auto" w:sz="4" w:space="0"/>
            </w:tcBorders>
            <w:vAlign w:val="center"/>
          </w:tcPr>
          <w:p w14:paraId="4393C7BC">
            <w:pPr>
              <w:widowControl/>
              <w:spacing w:line="360" w:lineRule="auto"/>
              <w:rPr>
                <w:rFonts w:ascii="宋体" w:hAnsi="宋体" w:cs="宋体"/>
                <w:szCs w:val="21"/>
                <w:highlight w:val="none"/>
              </w:rPr>
            </w:pPr>
            <w:r>
              <w:rPr>
                <w:rFonts w:hint="eastAsia" w:ascii="宋体" w:hAnsi="宋体" w:cs="宋体"/>
                <w:szCs w:val="21"/>
                <w:highlight w:val="none"/>
              </w:rPr>
              <w:t>灯杆检修门完好、盖板紧固无缺失、变形，基础完好，保护接地良好，接电电阻≦4欧姆，预埋基础周围土地坚实无松动凸陷，混凝土无破损、裂缝。（2分）</w:t>
            </w:r>
          </w:p>
        </w:tc>
        <w:tc>
          <w:tcPr>
            <w:tcW w:w="1424" w:type="pct"/>
            <w:gridSpan w:val="2"/>
            <w:tcBorders>
              <w:top w:val="single" w:color="auto" w:sz="4" w:space="0"/>
              <w:left w:val="single" w:color="auto" w:sz="4" w:space="0"/>
              <w:bottom w:val="single" w:color="auto" w:sz="4" w:space="0"/>
              <w:right w:val="single" w:color="auto" w:sz="4" w:space="0"/>
            </w:tcBorders>
            <w:vAlign w:val="center"/>
          </w:tcPr>
          <w:p w14:paraId="4A3F9744">
            <w:pPr>
              <w:widowControl/>
              <w:spacing w:line="360" w:lineRule="auto"/>
              <w:rPr>
                <w:rFonts w:ascii="宋体" w:hAnsi="宋体" w:cs="宋体"/>
                <w:szCs w:val="21"/>
                <w:highlight w:val="none"/>
              </w:rPr>
            </w:pPr>
            <w:r>
              <w:rPr>
                <w:rFonts w:hint="eastAsia" w:ascii="宋体" w:hAnsi="宋体" w:cs="宋体"/>
                <w:szCs w:val="21"/>
                <w:highlight w:val="none"/>
              </w:rPr>
              <w:t>每发现一处，扣0.2分</w:t>
            </w:r>
          </w:p>
        </w:tc>
        <w:tc>
          <w:tcPr>
            <w:tcW w:w="559" w:type="pct"/>
            <w:tcBorders>
              <w:top w:val="single" w:color="auto" w:sz="4" w:space="0"/>
              <w:left w:val="single" w:color="auto" w:sz="4" w:space="0"/>
              <w:bottom w:val="single" w:color="auto" w:sz="4" w:space="0"/>
              <w:right w:val="single" w:color="auto" w:sz="4" w:space="0"/>
            </w:tcBorders>
            <w:vAlign w:val="center"/>
          </w:tcPr>
          <w:p w14:paraId="6E119C5A">
            <w:pPr>
              <w:widowControl/>
              <w:spacing w:line="360" w:lineRule="auto"/>
              <w:rPr>
                <w:rFonts w:ascii="宋体" w:hAnsi="宋体" w:cs="宋体"/>
                <w:szCs w:val="21"/>
                <w:highlight w:val="none"/>
              </w:rPr>
            </w:pPr>
          </w:p>
        </w:tc>
      </w:tr>
      <w:tr w14:paraId="6A930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41" w:type="pct"/>
            <w:vMerge w:val="continue"/>
            <w:tcBorders>
              <w:left w:val="single" w:color="auto" w:sz="4" w:space="0"/>
              <w:right w:val="single" w:color="auto" w:sz="4" w:space="0"/>
            </w:tcBorders>
            <w:vAlign w:val="center"/>
          </w:tcPr>
          <w:p w14:paraId="3398CE51">
            <w:pPr>
              <w:spacing w:line="360" w:lineRule="auto"/>
              <w:jc w:val="center"/>
              <w:rPr>
                <w:rFonts w:ascii="宋体" w:hAnsi="宋体" w:cs="宋体"/>
                <w:szCs w:val="21"/>
                <w:highlight w:val="none"/>
              </w:rPr>
            </w:pPr>
          </w:p>
        </w:tc>
        <w:tc>
          <w:tcPr>
            <w:tcW w:w="625" w:type="pct"/>
            <w:vMerge w:val="continue"/>
            <w:tcBorders>
              <w:left w:val="single" w:color="auto" w:sz="4" w:space="0"/>
              <w:right w:val="single" w:color="auto" w:sz="4" w:space="0"/>
            </w:tcBorders>
            <w:vAlign w:val="center"/>
          </w:tcPr>
          <w:p w14:paraId="1ADC58DB">
            <w:pPr>
              <w:widowControl/>
              <w:spacing w:line="360" w:lineRule="auto"/>
              <w:jc w:val="center"/>
              <w:rPr>
                <w:rFonts w:ascii="宋体" w:hAnsi="宋体" w:cs="宋体"/>
                <w:szCs w:val="21"/>
                <w:highlight w:val="none"/>
              </w:rPr>
            </w:pPr>
          </w:p>
        </w:tc>
        <w:tc>
          <w:tcPr>
            <w:tcW w:w="2148" w:type="pct"/>
            <w:gridSpan w:val="2"/>
            <w:tcBorders>
              <w:top w:val="single" w:color="auto" w:sz="4" w:space="0"/>
              <w:left w:val="single" w:color="auto" w:sz="4" w:space="0"/>
              <w:bottom w:val="single" w:color="auto" w:sz="4" w:space="0"/>
              <w:right w:val="single" w:color="auto" w:sz="4" w:space="0"/>
            </w:tcBorders>
            <w:vAlign w:val="center"/>
          </w:tcPr>
          <w:p w14:paraId="5284D511">
            <w:pPr>
              <w:spacing w:line="360" w:lineRule="auto"/>
              <w:rPr>
                <w:rFonts w:ascii="宋体" w:hAnsi="宋体" w:cs="宋体"/>
                <w:szCs w:val="21"/>
                <w:highlight w:val="none"/>
              </w:rPr>
            </w:pPr>
            <w:r>
              <w:rPr>
                <w:rFonts w:hint="eastAsia" w:ascii="宋体" w:hAnsi="宋体" w:cs="宋体"/>
                <w:szCs w:val="21"/>
                <w:highlight w:val="none"/>
              </w:rPr>
              <w:t>专变、配电室门窗清洁无破损，房屋无渗漏水现象；配电箱（柜）、控制箱体完整、无倾斜，基座无损坏、箱体表漆无脱落、有编号、不渗水、无积灰、外壳锈蚀面积低于10%、门锁完好、箱门报警装置运行正常、无非法附着物。（2分）</w:t>
            </w:r>
          </w:p>
        </w:tc>
        <w:tc>
          <w:tcPr>
            <w:tcW w:w="1424" w:type="pct"/>
            <w:gridSpan w:val="2"/>
            <w:tcBorders>
              <w:top w:val="single" w:color="auto" w:sz="4" w:space="0"/>
              <w:left w:val="single" w:color="auto" w:sz="4" w:space="0"/>
              <w:bottom w:val="single" w:color="auto" w:sz="4" w:space="0"/>
              <w:right w:val="single" w:color="auto" w:sz="4" w:space="0"/>
            </w:tcBorders>
            <w:vAlign w:val="center"/>
          </w:tcPr>
          <w:p w14:paraId="735BF6AA">
            <w:pPr>
              <w:spacing w:line="360" w:lineRule="auto"/>
              <w:rPr>
                <w:rFonts w:ascii="宋体" w:hAnsi="宋体" w:cs="宋体"/>
                <w:szCs w:val="21"/>
                <w:highlight w:val="none"/>
              </w:rPr>
            </w:pPr>
            <w:r>
              <w:rPr>
                <w:rFonts w:hint="eastAsia" w:ascii="宋体" w:hAnsi="宋体" w:cs="宋体"/>
                <w:szCs w:val="21"/>
                <w:highlight w:val="none"/>
              </w:rPr>
              <w:t>每发现一处，扣0.2分</w:t>
            </w:r>
          </w:p>
        </w:tc>
        <w:tc>
          <w:tcPr>
            <w:tcW w:w="559" w:type="pct"/>
            <w:tcBorders>
              <w:top w:val="single" w:color="auto" w:sz="4" w:space="0"/>
              <w:left w:val="single" w:color="auto" w:sz="4" w:space="0"/>
              <w:bottom w:val="single" w:color="auto" w:sz="4" w:space="0"/>
              <w:right w:val="single" w:color="auto" w:sz="4" w:space="0"/>
            </w:tcBorders>
            <w:vAlign w:val="center"/>
          </w:tcPr>
          <w:p w14:paraId="7EACB8FC">
            <w:pPr>
              <w:widowControl/>
              <w:spacing w:line="360" w:lineRule="auto"/>
              <w:rPr>
                <w:rFonts w:ascii="宋体" w:hAnsi="宋体" w:cs="宋体"/>
                <w:szCs w:val="21"/>
                <w:highlight w:val="none"/>
              </w:rPr>
            </w:pPr>
          </w:p>
        </w:tc>
      </w:tr>
      <w:tr w14:paraId="4BCC4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41" w:type="pct"/>
            <w:vMerge w:val="continue"/>
            <w:tcBorders>
              <w:left w:val="single" w:color="auto" w:sz="4" w:space="0"/>
              <w:right w:val="single" w:color="auto" w:sz="4" w:space="0"/>
            </w:tcBorders>
            <w:vAlign w:val="center"/>
          </w:tcPr>
          <w:p w14:paraId="55A03ADF">
            <w:pPr>
              <w:spacing w:line="360" w:lineRule="auto"/>
              <w:jc w:val="center"/>
              <w:rPr>
                <w:rFonts w:ascii="宋体" w:hAnsi="宋体" w:cs="宋体"/>
                <w:szCs w:val="21"/>
                <w:highlight w:val="none"/>
              </w:rPr>
            </w:pPr>
          </w:p>
        </w:tc>
        <w:tc>
          <w:tcPr>
            <w:tcW w:w="625" w:type="pct"/>
            <w:vMerge w:val="continue"/>
            <w:tcBorders>
              <w:left w:val="single" w:color="auto" w:sz="4" w:space="0"/>
              <w:right w:val="single" w:color="auto" w:sz="4" w:space="0"/>
            </w:tcBorders>
            <w:vAlign w:val="center"/>
          </w:tcPr>
          <w:p w14:paraId="3C71ACDA">
            <w:pPr>
              <w:widowControl/>
              <w:spacing w:line="360" w:lineRule="auto"/>
              <w:jc w:val="center"/>
              <w:rPr>
                <w:rFonts w:ascii="宋体" w:hAnsi="宋体" w:cs="宋体"/>
                <w:szCs w:val="21"/>
                <w:highlight w:val="none"/>
              </w:rPr>
            </w:pPr>
          </w:p>
        </w:tc>
        <w:tc>
          <w:tcPr>
            <w:tcW w:w="2148" w:type="pct"/>
            <w:gridSpan w:val="2"/>
            <w:tcBorders>
              <w:top w:val="single" w:color="auto" w:sz="4" w:space="0"/>
              <w:left w:val="single" w:color="auto" w:sz="4" w:space="0"/>
              <w:bottom w:val="single" w:color="auto" w:sz="4" w:space="0"/>
              <w:right w:val="single" w:color="auto" w:sz="4" w:space="0"/>
            </w:tcBorders>
            <w:vAlign w:val="center"/>
          </w:tcPr>
          <w:p w14:paraId="2FF2A68C">
            <w:pPr>
              <w:spacing w:line="360" w:lineRule="auto"/>
              <w:rPr>
                <w:rFonts w:ascii="宋体" w:hAnsi="宋体" w:cs="宋体"/>
                <w:szCs w:val="21"/>
                <w:highlight w:val="none"/>
              </w:rPr>
            </w:pPr>
            <w:r>
              <w:rPr>
                <w:rFonts w:hint="eastAsia" w:ascii="宋体" w:hAnsi="宋体" w:cs="宋体"/>
                <w:szCs w:val="21"/>
                <w:highlight w:val="none"/>
              </w:rPr>
              <w:t>配电箱（柜）、控制箱内接触器，熔断器等电气元件无变形缺损，工作正常，导线绝缘良好；电缆标牌、主次回路图和负荷分布图清晰、准确；进、出电缆孔的橡皮圈或防火泥封堵良好，无小动物侵入；配电箱（柜）仪表完好，指示正确，各部件联接紧固无松动或变形；电气设备间的电气间隙和爬电距离符合要求；供电电源电缆部分安装规范良好，无线三遥智能监控终端运行正常。（3分）</w:t>
            </w:r>
          </w:p>
        </w:tc>
        <w:tc>
          <w:tcPr>
            <w:tcW w:w="1424" w:type="pct"/>
            <w:gridSpan w:val="2"/>
            <w:tcBorders>
              <w:top w:val="single" w:color="auto" w:sz="4" w:space="0"/>
              <w:left w:val="single" w:color="auto" w:sz="4" w:space="0"/>
              <w:bottom w:val="single" w:color="auto" w:sz="4" w:space="0"/>
              <w:right w:val="single" w:color="auto" w:sz="4" w:space="0"/>
            </w:tcBorders>
            <w:vAlign w:val="center"/>
          </w:tcPr>
          <w:p w14:paraId="0426D175">
            <w:pPr>
              <w:spacing w:line="360" w:lineRule="auto"/>
              <w:rPr>
                <w:rFonts w:ascii="宋体" w:hAnsi="宋体" w:cs="宋体"/>
                <w:szCs w:val="21"/>
                <w:highlight w:val="none"/>
              </w:rPr>
            </w:pPr>
            <w:r>
              <w:rPr>
                <w:rFonts w:hint="eastAsia" w:ascii="宋体" w:hAnsi="宋体" w:cs="宋体"/>
                <w:szCs w:val="21"/>
                <w:highlight w:val="none"/>
              </w:rPr>
              <w:t>每发现一处，扣0.5分</w:t>
            </w:r>
          </w:p>
        </w:tc>
        <w:tc>
          <w:tcPr>
            <w:tcW w:w="559" w:type="pct"/>
            <w:tcBorders>
              <w:top w:val="single" w:color="auto" w:sz="4" w:space="0"/>
              <w:left w:val="single" w:color="auto" w:sz="4" w:space="0"/>
              <w:bottom w:val="single" w:color="auto" w:sz="4" w:space="0"/>
              <w:right w:val="single" w:color="auto" w:sz="4" w:space="0"/>
            </w:tcBorders>
            <w:vAlign w:val="center"/>
          </w:tcPr>
          <w:p w14:paraId="7F590004">
            <w:pPr>
              <w:widowControl/>
              <w:spacing w:line="360" w:lineRule="auto"/>
              <w:rPr>
                <w:rFonts w:ascii="宋体" w:hAnsi="宋体" w:cs="宋体"/>
                <w:szCs w:val="21"/>
                <w:highlight w:val="none"/>
              </w:rPr>
            </w:pPr>
          </w:p>
        </w:tc>
      </w:tr>
      <w:tr w14:paraId="44E3E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41" w:type="pct"/>
            <w:vMerge w:val="continue"/>
            <w:tcBorders>
              <w:left w:val="single" w:color="auto" w:sz="4" w:space="0"/>
              <w:right w:val="single" w:color="auto" w:sz="4" w:space="0"/>
            </w:tcBorders>
            <w:vAlign w:val="center"/>
          </w:tcPr>
          <w:p w14:paraId="13C2CA1A">
            <w:pPr>
              <w:spacing w:line="360" w:lineRule="auto"/>
              <w:jc w:val="center"/>
              <w:rPr>
                <w:rFonts w:ascii="宋体" w:hAnsi="宋体" w:cs="宋体"/>
                <w:szCs w:val="21"/>
                <w:highlight w:val="none"/>
              </w:rPr>
            </w:pPr>
          </w:p>
        </w:tc>
        <w:tc>
          <w:tcPr>
            <w:tcW w:w="625" w:type="pct"/>
            <w:vMerge w:val="continue"/>
            <w:tcBorders>
              <w:left w:val="single" w:color="auto" w:sz="4" w:space="0"/>
              <w:right w:val="single" w:color="auto" w:sz="4" w:space="0"/>
            </w:tcBorders>
            <w:vAlign w:val="center"/>
          </w:tcPr>
          <w:p w14:paraId="688C219C">
            <w:pPr>
              <w:spacing w:line="360" w:lineRule="auto"/>
              <w:jc w:val="center"/>
              <w:rPr>
                <w:rFonts w:ascii="宋体" w:hAnsi="宋体" w:cs="宋体"/>
                <w:szCs w:val="21"/>
                <w:highlight w:val="none"/>
              </w:rPr>
            </w:pPr>
          </w:p>
        </w:tc>
        <w:tc>
          <w:tcPr>
            <w:tcW w:w="2148" w:type="pct"/>
            <w:gridSpan w:val="2"/>
            <w:tcBorders>
              <w:top w:val="single" w:color="auto" w:sz="4" w:space="0"/>
              <w:left w:val="single" w:color="auto" w:sz="4" w:space="0"/>
              <w:bottom w:val="single" w:color="auto" w:sz="4" w:space="0"/>
              <w:right w:val="single" w:color="auto" w:sz="4" w:space="0"/>
            </w:tcBorders>
            <w:vAlign w:val="center"/>
          </w:tcPr>
          <w:p w14:paraId="5C604CC6">
            <w:pPr>
              <w:widowControl/>
              <w:spacing w:line="360" w:lineRule="auto"/>
              <w:rPr>
                <w:rFonts w:ascii="宋体" w:hAnsi="宋体" w:cs="宋体"/>
                <w:szCs w:val="21"/>
                <w:highlight w:val="none"/>
              </w:rPr>
            </w:pPr>
            <w:r>
              <w:rPr>
                <w:rFonts w:hint="eastAsia" w:ascii="宋体" w:hAnsi="宋体" w:cs="宋体"/>
                <w:szCs w:val="21"/>
                <w:highlight w:val="none"/>
              </w:rPr>
              <w:t>定期巡检电缆线路与架空线路，未发现或未制止在电缆管线路面上方开挖、建筑打桩、植树和堆放有腐蚀性化学物品等行为；电缆线路在地上部分的钢带、保护管、固定设备无锈蚀，标桩完整无缺；电缆接头无松动、无发热，绝缘包带无老化开裂，钢带接地良好；灯座箱、工作井完好，井内无异物，电缆标志牌齐全、字迹清楚，金属井盖接地良好；巡视检查对严重缺陷和损伤，并已无法处理的电缆（穿越导线）线路应分段或全部更新；架空线路无松弛，更换或修复损伤的导线，所有横担、瓷瓶、抱箍、拉线等紧固螺栓无松动和锈蚀现象。（4分）</w:t>
            </w:r>
          </w:p>
        </w:tc>
        <w:tc>
          <w:tcPr>
            <w:tcW w:w="1424" w:type="pct"/>
            <w:gridSpan w:val="2"/>
            <w:tcBorders>
              <w:top w:val="single" w:color="auto" w:sz="4" w:space="0"/>
              <w:left w:val="single" w:color="auto" w:sz="4" w:space="0"/>
              <w:bottom w:val="single" w:color="auto" w:sz="4" w:space="0"/>
              <w:right w:val="single" w:color="auto" w:sz="4" w:space="0"/>
            </w:tcBorders>
            <w:vAlign w:val="center"/>
          </w:tcPr>
          <w:p w14:paraId="78C7BF1B">
            <w:pPr>
              <w:widowControl/>
              <w:spacing w:line="360" w:lineRule="auto"/>
              <w:rPr>
                <w:rFonts w:ascii="宋体" w:hAnsi="宋体" w:cs="宋体"/>
                <w:szCs w:val="21"/>
                <w:highlight w:val="none"/>
              </w:rPr>
            </w:pPr>
            <w:r>
              <w:rPr>
                <w:rFonts w:hint="eastAsia" w:ascii="宋体" w:hAnsi="宋体" w:cs="宋体"/>
                <w:szCs w:val="21"/>
                <w:highlight w:val="none"/>
              </w:rPr>
              <w:t>每发现一处，扣0.5分</w:t>
            </w:r>
          </w:p>
        </w:tc>
        <w:tc>
          <w:tcPr>
            <w:tcW w:w="559" w:type="pct"/>
            <w:tcBorders>
              <w:top w:val="single" w:color="auto" w:sz="4" w:space="0"/>
              <w:left w:val="single" w:color="auto" w:sz="4" w:space="0"/>
              <w:right w:val="single" w:color="auto" w:sz="4" w:space="0"/>
            </w:tcBorders>
            <w:vAlign w:val="center"/>
          </w:tcPr>
          <w:p w14:paraId="591FAA60">
            <w:pPr>
              <w:widowControl/>
              <w:spacing w:line="360" w:lineRule="auto"/>
              <w:rPr>
                <w:rFonts w:ascii="宋体" w:hAnsi="宋体" w:cs="宋体"/>
                <w:szCs w:val="21"/>
                <w:highlight w:val="none"/>
              </w:rPr>
            </w:pPr>
          </w:p>
        </w:tc>
      </w:tr>
      <w:tr w14:paraId="14D6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241" w:type="pct"/>
            <w:vMerge w:val="continue"/>
            <w:tcBorders>
              <w:left w:val="single" w:color="auto" w:sz="4" w:space="0"/>
              <w:bottom w:val="single" w:color="auto" w:sz="4" w:space="0"/>
              <w:right w:val="single" w:color="auto" w:sz="4" w:space="0"/>
            </w:tcBorders>
            <w:vAlign w:val="center"/>
          </w:tcPr>
          <w:p w14:paraId="6B2DC0C4">
            <w:pPr>
              <w:widowControl/>
              <w:spacing w:line="360" w:lineRule="auto"/>
              <w:jc w:val="center"/>
              <w:rPr>
                <w:rFonts w:ascii="宋体" w:hAnsi="宋体" w:cs="宋体"/>
                <w:szCs w:val="21"/>
                <w:highlight w:val="none"/>
              </w:rPr>
            </w:pPr>
          </w:p>
        </w:tc>
        <w:tc>
          <w:tcPr>
            <w:tcW w:w="625" w:type="pct"/>
            <w:tcBorders>
              <w:top w:val="single" w:color="auto" w:sz="4" w:space="0"/>
              <w:left w:val="single" w:color="auto" w:sz="4" w:space="0"/>
              <w:bottom w:val="single" w:color="auto" w:sz="4" w:space="0"/>
              <w:right w:val="single" w:color="auto" w:sz="4" w:space="0"/>
            </w:tcBorders>
            <w:vAlign w:val="center"/>
          </w:tcPr>
          <w:p w14:paraId="5654CA50">
            <w:pPr>
              <w:widowControl/>
              <w:spacing w:line="360" w:lineRule="auto"/>
              <w:jc w:val="center"/>
              <w:rPr>
                <w:rFonts w:ascii="宋体" w:hAnsi="宋体" w:cs="宋体"/>
                <w:szCs w:val="21"/>
                <w:highlight w:val="none"/>
              </w:rPr>
            </w:pPr>
            <w:r>
              <w:rPr>
                <w:rFonts w:hint="eastAsia" w:ascii="宋体" w:hAnsi="宋体" w:cs="宋体"/>
                <w:szCs w:val="21"/>
                <w:highlight w:val="none"/>
              </w:rPr>
              <w:t>整改率</w:t>
            </w:r>
          </w:p>
          <w:p w14:paraId="1A8A6399">
            <w:pPr>
              <w:spacing w:line="360" w:lineRule="auto"/>
              <w:jc w:val="center"/>
              <w:rPr>
                <w:rFonts w:ascii="宋体" w:hAnsi="宋体" w:cs="宋体"/>
                <w:szCs w:val="21"/>
                <w:highlight w:val="none"/>
              </w:rPr>
            </w:pPr>
            <w:r>
              <w:rPr>
                <w:rFonts w:hint="eastAsia" w:ascii="宋体" w:hAnsi="宋体" w:cs="宋体"/>
                <w:szCs w:val="21"/>
                <w:highlight w:val="none"/>
              </w:rPr>
              <w:t>（20分）</w:t>
            </w:r>
          </w:p>
        </w:tc>
        <w:tc>
          <w:tcPr>
            <w:tcW w:w="2148" w:type="pct"/>
            <w:gridSpan w:val="2"/>
            <w:tcBorders>
              <w:top w:val="single" w:color="auto" w:sz="4" w:space="0"/>
              <w:left w:val="single" w:color="auto" w:sz="4" w:space="0"/>
              <w:bottom w:val="single" w:color="auto" w:sz="4" w:space="0"/>
              <w:right w:val="single" w:color="auto" w:sz="4" w:space="0"/>
            </w:tcBorders>
            <w:vAlign w:val="center"/>
          </w:tcPr>
          <w:p w14:paraId="5DACF0CA">
            <w:pPr>
              <w:widowControl/>
              <w:spacing w:line="360" w:lineRule="auto"/>
              <w:rPr>
                <w:rFonts w:ascii="宋体" w:hAnsi="宋体" w:cs="宋体"/>
                <w:szCs w:val="21"/>
                <w:highlight w:val="none"/>
              </w:rPr>
            </w:pPr>
            <w:r>
              <w:rPr>
                <w:rFonts w:hint="eastAsia" w:ascii="宋体" w:hAnsi="宋体" w:cs="宋体"/>
                <w:szCs w:val="21"/>
                <w:highlight w:val="none"/>
              </w:rPr>
              <w:t>巡（检）查发现、中控故障、群众投诉等问题。（20分）</w:t>
            </w:r>
          </w:p>
        </w:tc>
        <w:tc>
          <w:tcPr>
            <w:tcW w:w="1424" w:type="pct"/>
            <w:gridSpan w:val="2"/>
            <w:tcBorders>
              <w:top w:val="single" w:color="auto" w:sz="4" w:space="0"/>
              <w:left w:val="single" w:color="auto" w:sz="4" w:space="0"/>
              <w:bottom w:val="single" w:color="auto" w:sz="4" w:space="0"/>
              <w:right w:val="single" w:color="auto" w:sz="4" w:space="0"/>
            </w:tcBorders>
            <w:vAlign w:val="center"/>
          </w:tcPr>
          <w:p w14:paraId="3AAC7739">
            <w:pPr>
              <w:widowControl/>
              <w:spacing w:line="360" w:lineRule="auto"/>
              <w:rPr>
                <w:rFonts w:ascii="宋体" w:hAnsi="宋体" w:cs="宋体"/>
                <w:szCs w:val="21"/>
                <w:highlight w:val="none"/>
              </w:rPr>
            </w:pPr>
            <w:r>
              <w:rPr>
                <w:rFonts w:hint="eastAsia" w:ascii="宋体" w:hAnsi="宋体" w:cs="宋体"/>
                <w:szCs w:val="21"/>
                <w:highlight w:val="none"/>
              </w:rPr>
              <w:t>规定时间内未整改到位，每次扣1分；未及时回复，每次扣1分；回复不实，每次扣2分</w:t>
            </w:r>
          </w:p>
        </w:tc>
        <w:tc>
          <w:tcPr>
            <w:tcW w:w="559" w:type="pct"/>
            <w:tcBorders>
              <w:top w:val="single" w:color="auto" w:sz="4" w:space="0"/>
              <w:left w:val="single" w:color="auto" w:sz="4" w:space="0"/>
              <w:bottom w:val="single" w:color="auto" w:sz="4" w:space="0"/>
              <w:right w:val="single" w:color="auto" w:sz="4" w:space="0"/>
            </w:tcBorders>
            <w:vAlign w:val="center"/>
          </w:tcPr>
          <w:p w14:paraId="74CD7185">
            <w:pPr>
              <w:widowControl/>
              <w:spacing w:line="360" w:lineRule="auto"/>
              <w:rPr>
                <w:rFonts w:ascii="宋体" w:hAnsi="宋体" w:cs="宋体"/>
                <w:szCs w:val="21"/>
                <w:highlight w:val="none"/>
              </w:rPr>
            </w:pPr>
          </w:p>
        </w:tc>
      </w:tr>
      <w:tr w14:paraId="6AE7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866" w:type="pct"/>
            <w:gridSpan w:val="2"/>
            <w:tcBorders>
              <w:top w:val="single" w:color="auto" w:sz="4" w:space="0"/>
              <w:left w:val="single" w:color="auto" w:sz="4" w:space="0"/>
              <w:bottom w:val="single" w:color="auto" w:sz="4" w:space="0"/>
              <w:right w:val="single" w:color="auto" w:sz="4" w:space="0"/>
            </w:tcBorders>
            <w:vAlign w:val="center"/>
          </w:tcPr>
          <w:p w14:paraId="62B62F88">
            <w:pPr>
              <w:widowControl/>
              <w:spacing w:line="360" w:lineRule="auto"/>
              <w:jc w:val="center"/>
              <w:rPr>
                <w:rFonts w:ascii="宋体" w:hAnsi="宋体" w:cs="宋体"/>
                <w:szCs w:val="21"/>
                <w:highlight w:val="none"/>
              </w:rPr>
            </w:pPr>
            <w:r>
              <w:rPr>
                <w:rFonts w:hint="eastAsia" w:ascii="宋体" w:hAnsi="宋体" w:cs="宋体"/>
                <w:szCs w:val="21"/>
                <w:highlight w:val="none"/>
              </w:rPr>
              <w:t>重点工作</w:t>
            </w:r>
          </w:p>
          <w:p w14:paraId="07CCDCB4">
            <w:pPr>
              <w:widowControl/>
              <w:spacing w:line="360" w:lineRule="auto"/>
              <w:jc w:val="center"/>
              <w:rPr>
                <w:rFonts w:ascii="宋体" w:hAnsi="宋体" w:cs="宋体"/>
                <w:szCs w:val="21"/>
                <w:highlight w:val="none"/>
              </w:rPr>
            </w:pPr>
            <w:r>
              <w:rPr>
                <w:rFonts w:hint="eastAsia" w:ascii="宋体" w:hAnsi="宋体" w:cs="宋体"/>
                <w:szCs w:val="21"/>
                <w:highlight w:val="none"/>
              </w:rPr>
              <w:t>（10分）</w:t>
            </w:r>
          </w:p>
        </w:tc>
        <w:tc>
          <w:tcPr>
            <w:tcW w:w="2148" w:type="pct"/>
            <w:gridSpan w:val="2"/>
            <w:tcBorders>
              <w:top w:val="single" w:color="auto" w:sz="4" w:space="0"/>
              <w:left w:val="single" w:color="auto" w:sz="4" w:space="0"/>
              <w:bottom w:val="single" w:color="auto" w:sz="4" w:space="0"/>
              <w:right w:val="single" w:color="auto" w:sz="4" w:space="0"/>
            </w:tcBorders>
            <w:vAlign w:val="center"/>
          </w:tcPr>
          <w:p w14:paraId="76E14BE9">
            <w:pPr>
              <w:widowControl/>
              <w:spacing w:line="360" w:lineRule="auto"/>
              <w:rPr>
                <w:rFonts w:ascii="宋体" w:hAnsi="宋体" w:cs="宋体"/>
                <w:szCs w:val="21"/>
                <w:highlight w:val="none"/>
              </w:rPr>
            </w:pPr>
            <w:r>
              <w:rPr>
                <w:rFonts w:hint="eastAsia" w:ascii="宋体" w:hAnsi="宋体" w:cs="宋体"/>
                <w:kern w:val="21"/>
                <w:szCs w:val="21"/>
                <w:highlight w:val="none"/>
              </w:rPr>
              <w:t>养护计划月完成情况、作业重点月完成情况、管理部门交办工作完成情况等。（10分）</w:t>
            </w:r>
          </w:p>
        </w:tc>
        <w:tc>
          <w:tcPr>
            <w:tcW w:w="1424" w:type="pct"/>
            <w:gridSpan w:val="2"/>
            <w:tcBorders>
              <w:top w:val="single" w:color="auto" w:sz="4" w:space="0"/>
              <w:left w:val="single" w:color="auto" w:sz="4" w:space="0"/>
              <w:bottom w:val="single" w:color="auto" w:sz="4" w:space="0"/>
              <w:right w:val="single" w:color="auto" w:sz="4" w:space="0"/>
            </w:tcBorders>
            <w:vAlign w:val="center"/>
          </w:tcPr>
          <w:p w14:paraId="76AD5B07">
            <w:pPr>
              <w:widowControl/>
              <w:spacing w:line="360" w:lineRule="auto"/>
              <w:rPr>
                <w:rFonts w:ascii="宋体" w:hAnsi="宋体" w:cs="宋体"/>
                <w:szCs w:val="21"/>
                <w:highlight w:val="none"/>
              </w:rPr>
            </w:pPr>
            <w:r>
              <w:rPr>
                <w:rFonts w:hint="eastAsia" w:ascii="宋体" w:hAnsi="宋体" w:cs="宋体"/>
                <w:kern w:val="21"/>
                <w:szCs w:val="21"/>
                <w:highlight w:val="none"/>
              </w:rPr>
              <w:t>未及时落实或落实不到位，根据情节程度每次酌情扣分</w:t>
            </w:r>
          </w:p>
        </w:tc>
        <w:tc>
          <w:tcPr>
            <w:tcW w:w="559" w:type="pct"/>
            <w:tcBorders>
              <w:top w:val="single" w:color="auto" w:sz="4" w:space="0"/>
              <w:left w:val="single" w:color="auto" w:sz="4" w:space="0"/>
              <w:bottom w:val="single" w:color="auto" w:sz="4" w:space="0"/>
              <w:right w:val="single" w:color="auto" w:sz="4" w:space="0"/>
            </w:tcBorders>
            <w:vAlign w:val="center"/>
          </w:tcPr>
          <w:p w14:paraId="1459D943">
            <w:pPr>
              <w:widowControl/>
              <w:spacing w:line="360" w:lineRule="auto"/>
              <w:rPr>
                <w:rFonts w:ascii="宋体" w:hAnsi="宋体" w:cs="宋体"/>
                <w:szCs w:val="21"/>
                <w:highlight w:val="none"/>
              </w:rPr>
            </w:pPr>
          </w:p>
        </w:tc>
      </w:tr>
      <w:tr w14:paraId="7EE86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866" w:type="pct"/>
            <w:gridSpan w:val="2"/>
            <w:tcBorders>
              <w:top w:val="single" w:color="auto" w:sz="4" w:space="0"/>
              <w:left w:val="single" w:color="auto" w:sz="4" w:space="0"/>
              <w:bottom w:val="single" w:color="auto" w:sz="4" w:space="0"/>
              <w:right w:val="single" w:color="auto" w:sz="4" w:space="0"/>
            </w:tcBorders>
            <w:vAlign w:val="center"/>
          </w:tcPr>
          <w:p w14:paraId="6BD5E1B2">
            <w:pPr>
              <w:widowControl/>
              <w:spacing w:line="360" w:lineRule="auto"/>
              <w:jc w:val="center"/>
              <w:rPr>
                <w:rFonts w:ascii="宋体" w:hAnsi="宋体" w:cs="宋体"/>
                <w:szCs w:val="21"/>
                <w:highlight w:val="none"/>
              </w:rPr>
            </w:pPr>
            <w:r>
              <w:rPr>
                <w:rFonts w:hint="eastAsia" w:ascii="宋体" w:hAnsi="宋体" w:cs="宋体"/>
                <w:szCs w:val="21"/>
                <w:highlight w:val="none"/>
              </w:rPr>
              <w:t>社会监督</w:t>
            </w:r>
          </w:p>
          <w:p w14:paraId="0BA6315A">
            <w:pPr>
              <w:widowControl/>
              <w:spacing w:line="360" w:lineRule="auto"/>
              <w:jc w:val="center"/>
              <w:rPr>
                <w:rFonts w:ascii="宋体" w:hAnsi="宋体" w:cs="宋体"/>
                <w:szCs w:val="21"/>
                <w:highlight w:val="none"/>
              </w:rPr>
            </w:pPr>
            <w:r>
              <w:rPr>
                <w:rFonts w:hint="eastAsia" w:ascii="宋体" w:hAnsi="宋体" w:cs="宋体"/>
                <w:szCs w:val="21"/>
                <w:highlight w:val="none"/>
              </w:rPr>
              <w:t>（10分）</w:t>
            </w:r>
          </w:p>
        </w:tc>
        <w:tc>
          <w:tcPr>
            <w:tcW w:w="2148" w:type="pct"/>
            <w:gridSpan w:val="2"/>
            <w:tcBorders>
              <w:top w:val="single" w:color="auto" w:sz="4" w:space="0"/>
              <w:left w:val="single" w:color="auto" w:sz="4" w:space="0"/>
              <w:bottom w:val="single" w:color="auto" w:sz="4" w:space="0"/>
              <w:right w:val="single" w:color="auto" w:sz="4" w:space="0"/>
            </w:tcBorders>
            <w:vAlign w:val="center"/>
          </w:tcPr>
          <w:p w14:paraId="05194A52">
            <w:pPr>
              <w:widowControl/>
              <w:spacing w:line="360" w:lineRule="auto"/>
              <w:rPr>
                <w:rFonts w:ascii="宋体" w:hAnsi="宋体" w:cs="宋体"/>
                <w:szCs w:val="21"/>
                <w:highlight w:val="none"/>
              </w:rPr>
            </w:pPr>
            <w:r>
              <w:rPr>
                <w:rFonts w:hint="eastAsia" w:ascii="宋体" w:hAnsi="宋体" w:cs="宋体"/>
                <w:szCs w:val="21"/>
                <w:highlight w:val="none"/>
              </w:rPr>
              <w:t>主管及上级部门发现、群众投诉、媒体曝光等问题。（10分）</w:t>
            </w:r>
          </w:p>
        </w:tc>
        <w:tc>
          <w:tcPr>
            <w:tcW w:w="1424" w:type="pct"/>
            <w:gridSpan w:val="2"/>
            <w:tcBorders>
              <w:top w:val="single" w:color="auto" w:sz="4" w:space="0"/>
              <w:left w:val="single" w:color="auto" w:sz="4" w:space="0"/>
              <w:bottom w:val="single" w:color="auto" w:sz="4" w:space="0"/>
              <w:right w:val="single" w:color="auto" w:sz="4" w:space="0"/>
            </w:tcBorders>
            <w:vAlign w:val="center"/>
          </w:tcPr>
          <w:p w14:paraId="522117B1">
            <w:pPr>
              <w:widowControl/>
              <w:spacing w:line="360" w:lineRule="auto"/>
              <w:rPr>
                <w:rFonts w:ascii="宋体" w:hAnsi="宋体" w:cs="宋体"/>
                <w:szCs w:val="21"/>
                <w:highlight w:val="none"/>
              </w:rPr>
            </w:pPr>
            <w:r>
              <w:rPr>
                <w:rFonts w:hint="eastAsia" w:ascii="宋体" w:hAnsi="宋体" w:cs="宋体"/>
                <w:szCs w:val="21"/>
                <w:highlight w:val="none"/>
              </w:rPr>
              <w:t>经查证属实，情节轻微每次扣1-3分，情节严重每次扣5分，情节特别严重的，一次扣10分</w:t>
            </w:r>
          </w:p>
        </w:tc>
        <w:tc>
          <w:tcPr>
            <w:tcW w:w="559" w:type="pct"/>
            <w:tcBorders>
              <w:top w:val="single" w:color="auto" w:sz="4" w:space="0"/>
              <w:left w:val="single" w:color="auto" w:sz="4" w:space="0"/>
              <w:bottom w:val="single" w:color="auto" w:sz="4" w:space="0"/>
              <w:right w:val="single" w:color="auto" w:sz="4" w:space="0"/>
            </w:tcBorders>
            <w:vAlign w:val="center"/>
          </w:tcPr>
          <w:p w14:paraId="1AEA0C5B">
            <w:pPr>
              <w:widowControl/>
              <w:spacing w:line="360" w:lineRule="auto"/>
              <w:rPr>
                <w:rFonts w:ascii="宋体" w:hAnsi="宋体" w:cs="宋体"/>
                <w:szCs w:val="21"/>
                <w:highlight w:val="none"/>
              </w:rPr>
            </w:pPr>
          </w:p>
        </w:tc>
      </w:tr>
      <w:tr w14:paraId="68C11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465" w:type="pct"/>
            <w:gridSpan w:val="3"/>
            <w:tcBorders>
              <w:top w:val="single" w:color="auto" w:sz="4" w:space="0"/>
              <w:left w:val="single" w:color="auto" w:sz="4" w:space="0"/>
              <w:bottom w:val="single" w:color="auto" w:sz="4" w:space="0"/>
              <w:right w:val="single" w:color="auto" w:sz="4" w:space="0"/>
            </w:tcBorders>
            <w:vAlign w:val="center"/>
          </w:tcPr>
          <w:p w14:paraId="230643CD">
            <w:pPr>
              <w:spacing w:line="360" w:lineRule="auto"/>
              <w:jc w:val="center"/>
              <w:rPr>
                <w:rFonts w:ascii="宋体" w:hAnsi="宋体" w:cs="宋体"/>
                <w:szCs w:val="21"/>
                <w:highlight w:val="none"/>
              </w:rPr>
            </w:pPr>
            <w:r>
              <w:rPr>
                <w:rFonts w:hint="eastAsia" w:ascii="宋体" w:hAnsi="宋体" w:cs="宋体"/>
                <w:szCs w:val="21"/>
                <w:highlight w:val="none"/>
              </w:rPr>
              <w:t>月度得分</w:t>
            </w:r>
          </w:p>
        </w:tc>
        <w:tc>
          <w:tcPr>
            <w:tcW w:w="3534" w:type="pct"/>
            <w:gridSpan w:val="4"/>
            <w:tcBorders>
              <w:top w:val="single" w:color="auto" w:sz="4" w:space="0"/>
              <w:left w:val="single" w:color="auto" w:sz="4" w:space="0"/>
              <w:bottom w:val="single" w:color="auto" w:sz="4" w:space="0"/>
              <w:right w:val="single" w:color="auto" w:sz="4" w:space="0"/>
            </w:tcBorders>
            <w:vAlign w:val="center"/>
          </w:tcPr>
          <w:p w14:paraId="297CA1C5">
            <w:pPr>
              <w:spacing w:line="360" w:lineRule="auto"/>
              <w:jc w:val="center"/>
              <w:rPr>
                <w:rFonts w:ascii="宋体" w:hAnsi="宋体" w:cs="宋体"/>
                <w:szCs w:val="21"/>
                <w:highlight w:val="none"/>
              </w:rPr>
            </w:pPr>
          </w:p>
        </w:tc>
      </w:tr>
      <w:tr w14:paraId="50509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465" w:type="pct"/>
            <w:gridSpan w:val="3"/>
            <w:vAlign w:val="center"/>
          </w:tcPr>
          <w:p w14:paraId="2F03BF7F">
            <w:pPr>
              <w:spacing w:line="360" w:lineRule="auto"/>
              <w:jc w:val="center"/>
              <w:rPr>
                <w:rFonts w:ascii="宋体" w:hAnsi="宋体" w:cs="宋体"/>
                <w:szCs w:val="21"/>
                <w:highlight w:val="none"/>
              </w:rPr>
            </w:pPr>
            <w:r>
              <w:rPr>
                <w:rFonts w:hint="eastAsia" w:ascii="宋体" w:hAnsi="宋体" w:cs="宋体"/>
                <w:szCs w:val="21"/>
                <w:highlight w:val="none"/>
              </w:rPr>
              <w:t>养护单位负责人签名</w:t>
            </w:r>
          </w:p>
        </w:tc>
        <w:tc>
          <w:tcPr>
            <w:tcW w:w="1549" w:type="pct"/>
            <w:vAlign w:val="center"/>
          </w:tcPr>
          <w:p w14:paraId="78B34165">
            <w:pPr>
              <w:spacing w:line="360" w:lineRule="auto"/>
              <w:jc w:val="center"/>
              <w:rPr>
                <w:rFonts w:ascii="宋体" w:hAnsi="宋体" w:cs="宋体"/>
                <w:szCs w:val="21"/>
                <w:highlight w:val="none"/>
              </w:rPr>
            </w:pPr>
          </w:p>
        </w:tc>
        <w:tc>
          <w:tcPr>
            <w:tcW w:w="591" w:type="pct"/>
            <w:vAlign w:val="center"/>
          </w:tcPr>
          <w:p w14:paraId="64469DA1">
            <w:pPr>
              <w:spacing w:line="360" w:lineRule="auto"/>
              <w:rPr>
                <w:rFonts w:ascii="宋体" w:hAnsi="宋体" w:cs="宋体"/>
                <w:szCs w:val="21"/>
                <w:highlight w:val="none"/>
              </w:rPr>
            </w:pPr>
            <w:r>
              <w:rPr>
                <w:rFonts w:hint="eastAsia" w:ascii="宋体" w:hAnsi="宋体" w:cs="宋体"/>
                <w:szCs w:val="21"/>
                <w:highlight w:val="none"/>
              </w:rPr>
              <w:t>考核人员签名</w:t>
            </w:r>
          </w:p>
        </w:tc>
        <w:tc>
          <w:tcPr>
            <w:tcW w:w="1393" w:type="pct"/>
            <w:gridSpan w:val="2"/>
            <w:vAlign w:val="center"/>
          </w:tcPr>
          <w:p w14:paraId="4E5064EE">
            <w:pPr>
              <w:spacing w:line="360" w:lineRule="auto"/>
              <w:jc w:val="center"/>
              <w:rPr>
                <w:rFonts w:ascii="宋体" w:hAnsi="宋体" w:cs="宋体"/>
                <w:szCs w:val="21"/>
                <w:highlight w:val="none"/>
              </w:rPr>
            </w:pPr>
          </w:p>
        </w:tc>
      </w:tr>
      <w:tr w14:paraId="19DD7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5000" w:type="pct"/>
            <w:gridSpan w:val="7"/>
            <w:vAlign w:val="center"/>
          </w:tcPr>
          <w:p w14:paraId="0CAC3A8F">
            <w:pPr>
              <w:widowControl/>
              <w:spacing w:line="560" w:lineRule="exact"/>
              <w:ind w:firstLine="600"/>
              <w:jc w:val="left"/>
              <w:rPr>
                <w:rFonts w:ascii="宋体" w:hAnsi="宋体" w:cs="宋体"/>
                <w:b/>
                <w:bCs/>
                <w:kern w:val="0"/>
                <w:szCs w:val="21"/>
                <w:highlight w:val="none"/>
                <w:shd w:val="clear" w:color="auto" w:fill="FFFFFF"/>
              </w:rPr>
            </w:pPr>
            <w:r>
              <w:rPr>
                <w:rFonts w:hint="eastAsia" w:ascii="宋体" w:hAnsi="宋体" w:cs="宋体"/>
                <w:b/>
                <w:bCs/>
                <w:kern w:val="0"/>
                <w:szCs w:val="21"/>
                <w:highlight w:val="none"/>
                <w:shd w:val="clear" w:color="auto" w:fill="FFFFFF"/>
              </w:rPr>
              <w:t>考核结果与经费支付</w:t>
            </w:r>
          </w:p>
          <w:p w14:paraId="7BC2362F">
            <w:pPr>
              <w:spacing w:line="560" w:lineRule="exact"/>
              <w:ind w:firstLine="420" w:firstLineChars="200"/>
              <w:rPr>
                <w:rFonts w:ascii="宋体" w:hAnsi="宋体" w:cs="宋体"/>
                <w:szCs w:val="21"/>
                <w:highlight w:val="none"/>
              </w:rPr>
            </w:pPr>
            <w:r>
              <w:rPr>
                <w:rFonts w:hint="eastAsia" w:ascii="宋体" w:hAnsi="宋体" w:cs="宋体"/>
                <w:szCs w:val="21"/>
                <w:highlight w:val="none"/>
              </w:rPr>
              <w:t>月度考核结果与养护管理单位月养护管理经费挂钩，具体计算方法如下：</w:t>
            </w:r>
          </w:p>
          <w:p w14:paraId="6D3587FE">
            <w:pPr>
              <w:spacing w:line="580" w:lineRule="exact"/>
              <w:ind w:firstLine="420" w:firstLineChars="200"/>
              <w:rPr>
                <w:rFonts w:ascii="宋体" w:hAnsi="宋体" w:cs="宋体"/>
                <w:szCs w:val="21"/>
                <w:highlight w:val="none"/>
              </w:rPr>
            </w:pPr>
            <w:r>
              <w:rPr>
                <w:rFonts w:hint="eastAsia" w:ascii="宋体" w:hAnsi="宋体" w:cs="宋体"/>
                <w:szCs w:val="21"/>
                <w:highlight w:val="none"/>
              </w:rPr>
              <w:t>每月日常考核得分为95分以上的，可全额结算养护实施单位当月度应得的养护费；低于95分的，将在当月度养护费中按百分比进行扣减，具体标准如下：养护费按照得分在90-95分之间的（含90分，不包含95分），每低1分扣除养护结算金额的1%（如本月度得90分，则扣除1%×5=5%的养护费）；得分在85-90分之间的，每低1分扣除养护结算金额的2%（如本月度得85分，则扣除2%×5=10%加上之前的5%，共扣除15%养护费，以此类推）；得分在80-85分之间的，每低1分扣除养护结算金额的4%（如本月度得80分，则扣除4%×5=20%加上之前的15%，共扣除35%养护费，以此类推）；得分在80以下的，每低1分扣除养护结算金额的6%（如本月度得75分，则扣除6%×5=30%加上之前的35%，共扣除65%养护费，以此类推）。</w:t>
            </w:r>
          </w:p>
        </w:tc>
      </w:tr>
      <w:bookmarkEnd w:id="4"/>
    </w:tbl>
    <w:p w14:paraId="0A9DFC58">
      <w:pPr>
        <w:rPr>
          <w:highlight w:val="none"/>
        </w:rPr>
      </w:pPr>
    </w:p>
    <w:p w14:paraId="11424525">
      <w:pPr>
        <w:widowControl/>
        <w:jc w:val="left"/>
        <w:rPr>
          <w:rFonts w:eastAsia="楷体_GB2312"/>
          <w:kern w:val="0"/>
          <w:sz w:val="28"/>
          <w:szCs w:val="20"/>
          <w:highlight w:val="none"/>
        </w:rPr>
      </w:pPr>
      <w:r>
        <w:rPr>
          <w:highlight w:val="none"/>
        </w:rPr>
        <w:br w:type="page"/>
      </w:r>
    </w:p>
    <w:p w14:paraId="499E130C">
      <w:pPr>
        <w:pStyle w:val="7"/>
        <w:rPr>
          <w:highlight w:val="none"/>
        </w:rPr>
      </w:pPr>
      <w:r>
        <w:rPr>
          <w:rFonts w:hint="eastAsia"/>
          <w:highlight w:val="none"/>
        </w:rPr>
        <w:t>7、拆违、垃圾清运服务项目考核管理办法</w:t>
      </w:r>
    </w:p>
    <w:p w14:paraId="504D97FD">
      <w:pPr>
        <w:spacing w:line="360" w:lineRule="auto"/>
        <w:ind w:firstLine="420"/>
        <w:rPr>
          <w:rFonts w:ascii="宋体" w:hAnsi="宋体" w:cs="宋体"/>
          <w:szCs w:val="21"/>
          <w:highlight w:val="none"/>
        </w:rPr>
      </w:pPr>
      <w:r>
        <w:rPr>
          <w:rFonts w:hint="eastAsia" w:ascii="宋体" w:hAnsi="宋体" w:cs="宋体"/>
          <w:szCs w:val="21"/>
          <w:highlight w:val="none"/>
        </w:rPr>
        <w:t>1、项目抽查和每月度的定期项目检查相结合，项目考核：工作人员发现的问题所扣分值记录月度考核表中。</w:t>
      </w:r>
    </w:p>
    <w:p w14:paraId="4BCC9C93">
      <w:pPr>
        <w:spacing w:line="360" w:lineRule="auto"/>
        <w:ind w:firstLine="420"/>
        <w:rPr>
          <w:rFonts w:ascii="宋体" w:hAnsi="宋体" w:cs="宋体"/>
          <w:szCs w:val="21"/>
          <w:highlight w:val="none"/>
        </w:rPr>
      </w:pPr>
      <w:r>
        <w:rPr>
          <w:rFonts w:hint="eastAsia" w:ascii="宋体" w:hAnsi="宋体" w:cs="宋体"/>
          <w:szCs w:val="21"/>
          <w:highlight w:val="none"/>
        </w:rPr>
        <w:t>2、考核满分为100分，90分以上（含90分）不扣款，90分以下每扣减1分，扣款200元。</w:t>
      </w:r>
    </w:p>
    <w:p w14:paraId="039FA12D">
      <w:pPr>
        <w:spacing w:line="360" w:lineRule="auto"/>
        <w:ind w:firstLine="420"/>
        <w:rPr>
          <w:rFonts w:ascii="宋体" w:hAnsi="宋体" w:cs="宋体"/>
          <w:szCs w:val="21"/>
          <w:highlight w:val="none"/>
        </w:rPr>
      </w:pPr>
      <w:r>
        <w:rPr>
          <w:rFonts w:hint="eastAsia" w:ascii="宋体" w:hAnsi="宋体" w:cs="宋体"/>
          <w:szCs w:val="21"/>
          <w:highlight w:val="none"/>
        </w:rPr>
        <w:t>3、服务商按照拆违内容、要求和考核细则，设专人负责系统运行拆违工作，并接受采购人的检查和考核（考核标准以采购人意见为准）。服务商必须向采购人提供拆违人员的联系方式，负责内容及使用的维修车辆等有关资料。</w:t>
      </w:r>
    </w:p>
    <w:p w14:paraId="1C36A6F8">
      <w:pPr>
        <w:tabs>
          <w:tab w:val="left" w:pos="420"/>
        </w:tabs>
        <w:spacing w:line="360" w:lineRule="auto"/>
        <w:ind w:firstLine="420"/>
        <w:rPr>
          <w:rFonts w:ascii="宋体" w:hAnsi="宋体" w:cs="宋体"/>
          <w:szCs w:val="21"/>
          <w:highlight w:val="none"/>
        </w:rPr>
      </w:pPr>
      <w:r>
        <w:rPr>
          <w:rFonts w:hint="eastAsia" w:ascii="宋体" w:hAnsi="宋体" w:cs="宋体"/>
          <w:szCs w:val="21"/>
          <w:highlight w:val="none"/>
        </w:rPr>
        <w:t>4、若中标单位在服务管理期间，违反下列规定将被解除相关综合服务合同：</w:t>
      </w:r>
    </w:p>
    <w:p w14:paraId="77B03741">
      <w:pPr>
        <w:spacing w:line="360" w:lineRule="auto"/>
        <w:ind w:firstLine="420"/>
        <w:rPr>
          <w:rFonts w:ascii="宋体" w:hAnsi="宋体" w:cs="宋体"/>
          <w:szCs w:val="21"/>
          <w:highlight w:val="none"/>
        </w:rPr>
      </w:pPr>
      <w:r>
        <w:rPr>
          <w:rFonts w:hint="eastAsia" w:ascii="宋体" w:hAnsi="宋体" w:cs="宋体"/>
          <w:szCs w:val="21"/>
          <w:highlight w:val="none"/>
        </w:rPr>
        <w:t>1）未经采购人许可，将承包的服务整体转包、分包他人；</w:t>
      </w:r>
    </w:p>
    <w:p w14:paraId="3E44BD89">
      <w:pPr>
        <w:spacing w:line="360" w:lineRule="auto"/>
        <w:ind w:firstLine="420"/>
        <w:rPr>
          <w:rFonts w:ascii="宋体" w:hAnsi="宋体" w:cs="宋体"/>
          <w:szCs w:val="21"/>
          <w:highlight w:val="none"/>
        </w:rPr>
      </w:pPr>
      <w:r>
        <w:rPr>
          <w:rFonts w:hint="eastAsia" w:ascii="宋体" w:hAnsi="宋体" w:cs="宋体"/>
          <w:szCs w:val="21"/>
          <w:highlight w:val="none"/>
        </w:rPr>
        <w:t>2）严重违反《服务考核办法》的有关规定；</w:t>
      </w:r>
    </w:p>
    <w:p w14:paraId="6E281373">
      <w:pPr>
        <w:spacing w:line="360" w:lineRule="auto"/>
        <w:ind w:firstLine="420"/>
        <w:rPr>
          <w:rFonts w:ascii="宋体" w:hAnsi="宋体" w:cs="宋体"/>
          <w:szCs w:val="21"/>
          <w:highlight w:val="none"/>
        </w:rPr>
      </w:pPr>
      <w:r>
        <w:rPr>
          <w:rFonts w:hint="eastAsia" w:ascii="宋体" w:hAnsi="宋体" w:cs="宋体"/>
          <w:szCs w:val="21"/>
          <w:highlight w:val="none"/>
        </w:rPr>
        <w:t>3）当月考核得分低于60分的（不含60分）或连续三个月考核得分低于70分的（不含70分）；</w:t>
      </w:r>
    </w:p>
    <w:p w14:paraId="127F0516">
      <w:pPr>
        <w:spacing w:line="360" w:lineRule="auto"/>
        <w:ind w:firstLine="420"/>
        <w:rPr>
          <w:rFonts w:ascii="宋体" w:hAnsi="宋体" w:cs="宋体"/>
          <w:szCs w:val="21"/>
          <w:highlight w:val="none"/>
        </w:rPr>
      </w:pPr>
      <w:r>
        <w:rPr>
          <w:rFonts w:hint="eastAsia" w:ascii="宋体" w:hAnsi="宋体" w:cs="宋体"/>
          <w:szCs w:val="21"/>
          <w:highlight w:val="none"/>
        </w:rPr>
        <w:t>4）出现重大事故或问题。</w:t>
      </w:r>
    </w:p>
    <w:p w14:paraId="2DF2DC75">
      <w:pPr>
        <w:spacing w:line="360" w:lineRule="auto"/>
        <w:ind w:firstLine="420"/>
        <w:rPr>
          <w:highlight w:val="none"/>
        </w:rPr>
      </w:pPr>
      <w:r>
        <w:rPr>
          <w:rFonts w:hint="eastAsia"/>
          <w:highlight w:val="none"/>
        </w:rPr>
        <w:t>5、其他考核管理内容</w:t>
      </w:r>
    </w:p>
    <w:tbl>
      <w:tblPr>
        <w:tblStyle w:val="9"/>
        <w:tblW w:w="9900" w:type="dxa"/>
        <w:tblInd w:w="0" w:type="dxa"/>
        <w:tblLayout w:type="autofit"/>
        <w:tblCellMar>
          <w:top w:w="0" w:type="dxa"/>
          <w:left w:w="108" w:type="dxa"/>
          <w:bottom w:w="0" w:type="dxa"/>
          <w:right w:w="108" w:type="dxa"/>
        </w:tblCellMar>
      </w:tblPr>
      <w:tblGrid>
        <w:gridCol w:w="1470"/>
        <w:gridCol w:w="1080"/>
        <w:gridCol w:w="2925"/>
        <w:gridCol w:w="2775"/>
        <w:gridCol w:w="795"/>
        <w:gridCol w:w="855"/>
      </w:tblGrid>
      <w:tr w14:paraId="5942CCD6">
        <w:tblPrEx>
          <w:tblCellMar>
            <w:top w:w="0" w:type="dxa"/>
            <w:left w:w="108" w:type="dxa"/>
            <w:bottom w:w="0" w:type="dxa"/>
            <w:right w:w="108" w:type="dxa"/>
          </w:tblCellMar>
        </w:tblPrEx>
        <w:trPr>
          <w:trHeight w:val="660" w:hRule="atLeast"/>
        </w:trPr>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04892">
            <w:pPr>
              <w:spacing w:line="360" w:lineRule="auto"/>
              <w:rPr>
                <w:rFonts w:ascii="宋体" w:hAnsi="宋体" w:cs="宋体"/>
                <w:szCs w:val="21"/>
                <w:highlight w:val="none"/>
              </w:rPr>
            </w:pPr>
            <w:r>
              <w:rPr>
                <w:rFonts w:hint="eastAsia" w:ascii="宋体" w:hAnsi="宋体" w:cs="宋体"/>
                <w:szCs w:val="21"/>
                <w:highlight w:val="none"/>
              </w:rPr>
              <w:t>目标名称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D0198">
            <w:pPr>
              <w:spacing w:line="360" w:lineRule="auto"/>
              <w:rPr>
                <w:rFonts w:ascii="宋体" w:hAnsi="宋体" w:cs="宋体"/>
                <w:szCs w:val="21"/>
                <w:highlight w:val="none"/>
              </w:rPr>
            </w:pPr>
            <w:r>
              <w:rPr>
                <w:rFonts w:hint="eastAsia" w:ascii="宋体" w:hAnsi="宋体" w:cs="宋体"/>
                <w:szCs w:val="21"/>
                <w:highlight w:val="none"/>
              </w:rPr>
              <w:t>分值</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32E62">
            <w:pPr>
              <w:spacing w:line="360" w:lineRule="auto"/>
              <w:rPr>
                <w:rFonts w:ascii="宋体" w:hAnsi="宋体" w:cs="宋体"/>
                <w:szCs w:val="21"/>
                <w:highlight w:val="none"/>
              </w:rPr>
            </w:pPr>
            <w:r>
              <w:rPr>
                <w:rFonts w:hint="eastAsia" w:ascii="宋体" w:hAnsi="宋体" w:cs="宋体"/>
                <w:szCs w:val="21"/>
                <w:highlight w:val="none"/>
              </w:rPr>
              <w:t>考核内容及要求</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763B6">
            <w:pPr>
              <w:spacing w:line="360" w:lineRule="auto"/>
              <w:rPr>
                <w:rFonts w:ascii="宋体" w:hAnsi="宋体" w:cs="宋体"/>
                <w:szCs w:val="21"/>
                <w:highlight w:val="none"/>
              </w:rPr>
            </w:pPr>
            <w:r>
              <w:rPr>
                <w:rFonts w:hint="eastAsia" w:ascii="宋体" w:hAnsi="宋体" w:cs="宋体"/>
                <w:szCs w:val="21"/>
                <w:highlight w:val="none"/>
              </w:rPr>
              <w:t>扣分办法</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8E535">
            <w:pPr>
              <w:spacing w:line="360" w:lineRule="auto"/>
              <w:rPr>
                <w:rFonts w:ascii="宋体" w:hAnsi="宋体" w:cs="宋体"/>
                <w:szCs w:val="21"/>
                <w:highlight w:val="none"/>
              </w:rPr>
            </w:pPr>
            <w:r>
              <w:rPr>
                <w:rFonts w:hint="eastAsia" w:ascii="宋体" w:hAnsi="宋体" w:cs="宋体"/>
                <w:szCs w:val="21"/>
                <w:highlight w:val="none"/>
              </w:rPr>
              <w:t>得分</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DDC8C">
            <w:pPr>
              <w:spacing w:line="360" w:lineRule="auto"/>
              <w:rPr>
                <w:rFonts w:ascii="宋体" w:hAnsi="宋体" w:cs="宋体"/>
                <w:szCs w:val="21"/>
                <w:highlight w:val="none"/>
              </w:rPr>
            </w:pPr>
            <w:r>
              <w:rPr>
                <w:rFonts w:hint="eastAsia" w:ascii="宋体" w:hAnsi="宋体" w:cs="宋体"/>
                <w:szCs w:val="21"/>
                <w:highlight w:val="none"/>
              </w:rPr>
              <w:t>备注</w:t>
            </w:r>
          </w:p>
        </w:tc>
      </w:tr>
      <w:tr w14:paraId="50ED7E00">
        <w:tblPrEx>
          <w:tblCellMar>
            <w:top w:w="0" w:type="dxa"/>
            <w:left w:w="108" w:type="dxa"/>
            <w:bottom w:w="0" w:type="dxa"/>
            <w:right w:w="108" w:type="dxa"/>
          </w:tblCellMar>
        </w:tblPrEx>
        <w:trPr>
          <w:trHeight w:val="1350" w:hRule="atLeast"/>
        </w:trPr>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90FBF">
            <w:pPr>
              <w:spacing w:line="360" w:lineRule="auto"/>
              <w:rPr>
                <w:rFonts w:ascii="宋体" w:hAnsi="宋体" w:cs="宋体"/>
                <w:szCs w:val="21"/>
                <w:highlight w:val="none"/>
              </w:rPr>
            </w:pPr>
            <w:r>
              <w:rPr>
                <w:rFonts w:hint="eastAsia" w:ascii="宋体" w:hAnsi="宋体" w:cs="宋体"/>
                <w:szCs w:val="21"/>
                <w:highlight w:val="none"/>
              </w:rPr>
              <w:t>资质履约与人员设备保障</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E02B4">
            <w:pPr>
              <w:spacing w:line="360" w:lineRule="auto"/>
              <w:rPr>
                <w:rFonts w:ascii="宋体" w:hAnsi="宋体" w:cs="宋体"/>
                <w:szCs w:val="21"/>
                <w:highlight w:val="none"/>
              </w:rPr>
            </w:pPr>
            <w:r>
              <w:rPr>
                <w:rFonts w:hint="eastAsia" w:ascii="宋体" w:hAnsi="宋体" w:cs="宋体"/>
                <w:szCs w:val="21"/>
                <w:highlight w:val="none"/>
              </w:rPr>
              <w:t>20分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A9806">
            <w:pPr>
              <w:spacing w:line="360" w:lineRule="auto"/>
              <w:rPr>
                <w:rFonts w:ascii="宋体" w:hAnsi="宋体" w:cs="宋体"/>
                <w:szCs w:val="21"/>
                <w:highlight w:val="none"/>
              </w:rPr>
            </w:pPr>
            <w:r>
              <w:rPr>
                <w:rFonts w:hint="eastAsia" w:ascii="宋体" w:hAnsi="宋体" w:cs="宋体"/>
                <w:szCs w:val="21"/>
                <w:highlight w:val="none"/>
              </w:rPr>
              <w:t>1.施工资质、安全生产许可证、特种作业证件齐全有效；2.现场负责人、安全员、施工人员足额在岗；3.施工设备、防护器械配备到位</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6CF7C">
            <w:pPr>
              <w:spacing w:line="360" w:lineRule="auto"/>
              <w:rPr>
                <w:rFonts w:ascii="宋体" w:hAnsi="宋体" w:cs="宋体"/>
                <w:szCs w:val="21"/>
                <w:highlight w:val="none"/>
              </w:rPr>
            </w:pPr>
            <w:r>
              <w:rPr>
                <w:rFonts w:hint="eastAsia" w:ascii="宋体" w:hAnsi="宋体" w:cs="宋体"/>
                <w:szCs w:val="21"/>
                <w:highlight w:val="none"/>
              </w:rPr>
              <w:t>证件过期/缺失1项扣4分，无证施工本项0分；人员/设备每缺1项扣2分，扣完为止</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28F74">
            <w:pPr>
              <w:spacing w:line="360" w:lineRule="auto"/>
              <w:rPr>
                <w:rFonts w:ascii="宋体" w:hAnsi="宋体" w:cs="宋体"/>
                <w:szCs w:val="21"/>
                <w:highlight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632F3">
            <w:pPr>
              <w:spacing w:line="360" w:lineRule="auto"/>
              <w:rPr>
                <w:rFonts w:ascii="宋体" w:hAnsi="宋体" w:cs="宋体"/>
                <w:szCs w:val="21"/>
                <w:highlight w:val="none"/>
              </w:rPr>
            </w:pPr>
          </w:p>
        </w:tc>
      </w:tr>
      <w:tr w14:paraId="4860AB91">
        <w:tblPrEx>
          <w:tblCellMar>
            <w:top w:w="0" w:type="dxa"/>
            <w:left w:w="108" w:type="dxa"/>
            <w:bottom w:w="0" w:type="dxa"/>
            <w:right w:w="108" w:type="dxa"/>
          </w:tblCellMar>
        </w:tblPrEx>
        <w:trPr>
          <w:trHeight w:val="1620" w:hRule="atLeast"/>
        </w:trPr>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7AB27">
            <w:pPr>
              <w:spacing w:line="360" w:lineRule="auto"/>
              <w:rPr>
                <w:rFonts w:ascii="宋体" w:hAnsi="宋体" w:cs="宋体"/>
                <w:szCs w:val="21"/>
                <w:highlight w:val="none"/>
              </w:rPr>
            </w:pPr>
            <w:r>
              <w:rPr>
                <w:rFonts w:hint="eastAsia" w:ascii="宋体" w:hAnsi="宋体" w:cs="宋体"/>
                <w:szCs w:val="21"/>
                <w:highlight w:val="none"/>
              </w:rPr>
              <w:t>安全生产管理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DD940">
            <w:pPr>
              <w:spacing w:line="360" w:lineRule="auto"/>
              <w:rPr>
                <w:rFonts w:ascii="宋体" w:hAnsi="宋体" w:cs="宋体"/>
                <w:szCs w:val="21"/>
                <w:highlight w:val="none"/>
              </w:rPr>
            </w:pPr>
            <w:r>
              <w:rPr>
                <w:rFonts w:hint="eastAsia" w:ascii="宋体" w:hAnsi="宋体" w:cs="宋体"/>
                <w:szCs w:val="21"/>
                <w:highlight w:val="none"/>
              </w:rPr>
              <w:t>25分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43D2C">
            <w:pPr>
              <w:spacing w:line="360" w:lineRule="auto"/>
              <w:rPr>
                <w:rFonts w:ascii="宋体" w:hAnsi="宋体" w:cs="宋体"/>
                <w:szCs w:val="21"/>
                <w:highlight w:val="none"/>
              </w:rPr>
            </w:pPr>
            <w:r>
              <w:rPr>
                <w:rFonts w:hint="eastAsia" w:ascii="宋体" w:hAnsi="宋体" w:cs="宋体"/>
                <w:szCs w:val="21"/>
                <w:highlight w:val="none"/>
              </w:rPr>
              <w:t>1.施工人员全程规范佩戴劳保用品，特种作业持证上岗；2.施工现场规范设置围挡、警示标识、专人值守；3.无安全事故、无安全隐患遗留</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A16A">
            <w:pPr>
              <w:spacing w:line="360" w:lineRule="auto"/>
              <w:rPr>
                <w:rFonts w:ascii="宋体" w:hAnsi="宋体" w:cs="宋体"/>
                <w:szCs w:val="21"/>
                <w:highlight w:val="none"/>
              </w:rPr>
            </w:pPr>
            <w:r>
              <w:rPr>
                <w:rFonts w:hint="eastAsia" w:ascii="宋体" w:hAnsi="宋体" w:cs="宋体"/>
                <w:szCs w:val="21"/>
                <w:highlight w:val="none"/>
              </w:rPr>
              <w:t>未规范佩戴防护用品单人单次扣1分，违规操作单次扣3分；未设置围挡警示扣5分；发生一般安全事故本项0分，重大事故本次作业考核不合格</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C56F2">
            <w:pPr>
              <w:spacing w:line="360" w:lineRule="auto"/>
              <w:rPr>
                <w:rFonts w:ascii="宋体" w:hAnsi="宋体" w:cs="宋体"/>
                <w:szCs w:val="21"/>
                <w:highlight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049ED">
            <w:pPr>
              <w:spacing w:line="360" w:lineRule="auto"/>
              <w:rPr>
                <w:rFonts w:ascii="宋体" w:hAnsi="宋体" w:cs="宋体"/>
                <w:szCs w:val="21"/>
                <w:highlight w:val="none"/>
              </w:rPr>
            </w:pPr>
          </w:p>
        </w:tc>
      </w:tr>
      <w:tr w14:paraId="69AAACEB">
        <w:tblPrEx>
          <w:tblCellMar>
            <w:top w:w="0" w:type="dxa"/>
            <w:left w:w="108" w:type="dxa"/>
            <w:bottom w:w="0" w:type="dxa"/>
            <w:right w:w="108" w:type="dxa"/>
          </w:tblCellMar>
        </w:tblPrEx>
        <w:trPr>
          <w:trHeight w:val="1350" w:hRule="atLeast"/>
        </w:trPr>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2A26E">
            <w:pPr>
              <w:spacing w:line="360" w:lineRule="auto"/>
              <w:rPr>
                <w:rFonts w:ascii="宋体" w:hAnsi="宋体" w:cs="宋体"/>
                <w:szCs w:val="21"/>
                <w:highlight w:val="none"/>
              </w:rPr>
            </w:pPr>
            <w:r>
              <w:rPr>
                <w:rFonts w:hint="eastAsia" w:ascii="宋体" w:hAnsi="宋体" w:cs="宋体"/>
                <w:szCs w:val="21"/>
                <w:highlight w:val="none"/>
              </w:rPr>
              <w:t>拆违作业质量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E3E1C">
            <w:pPr>
              <w:spacing w:line="360" w:lineRule="auto"/>
              <w:rPr>
                <w:rFonts w:ascii="宋体" w:hAnsi="宋体" w:cs="宋体"/>
                <w:szCs w:val="21"/>
                <w:highlight w:val="none"/>
              </w:rPr>
            </w:pPr>
            <w:r>
              <w:rPr>
                <w:rFonts w:hint="eastAsia" w:ascii="宋体" w:hAnsi="宋体" w:cs="宋体"/>
                <w:szCs w:val="21"/>
                <w:highlight w:val="none"/>
              </w:rPr>
              <w:t>20分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1A472">
            <w:pPr>
              <w:spacing w:line="360" w:lineRule="auto"/>
              <w:rPr>
                <w:rFonts w:ascii="宋体" w:hAnsi="宋体" w:cs="宋体"/>
                <w:szCs w:val="21"/>
                <w:highlight w:val="none"/>
              </w:rPr>
            </w:pPr>
            <w:r>
              <w:rPr>
                <w:rFonts w:hint="eastAsia" w:ascii="宋体" w:hAnsi="宋体" w:cs="宋体"/>
                <w:szCs w:val="21"/>
                <w:highlight w:val="none"/>
              </w:rPr>
              <w:t>1.按要求完成拆除范围，违建主体、附属物拆除彻底无残留；2.妥善保护周边设施，无损坏；3.按审批方案规范施工</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6EF2">
            <w:pPr>
              <w:spacing w:line="360" w:lineRule="auto"/>
              <w:rPr>
                <w:rFonts w:ascii="宋体" w:hAnsi="宋体" w:cs="宋体"/>
                <w:szCs w:val="21"/>
                <w:highlight w:val="none"/>
              </w:rPr>
            </w:pPr>
            <w:r>
              <w:rPr>
                <w:rFonts w:hint="eastAsia" w:ascii="宋体" w:hAnsi="宋体" w:cs="宋体"/>
                <w:szCs w:val="21"/>
                <w:highlight w:val="none"/>
              </w:rPr>
              <w:t>拆除不彻底/漏拆单次扣3-6分，擅自缩减范围扣10分；损坏周边设施单次扣2-5分，需全额赔偿</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32955">
            <w:pPr>
              <w:spacing w:line="360" w:lineRule="auto"/>
              <w:rPr>
                <w:rFonts w:ascii="宋体" w:hAnsi="宋体" w:cs="宋体"/>
                <w:szCs w:val="21"/>
                <w:highlight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57F8A">
            <w:pPr>
              <w:spacing w:line="360" w:lineRule="auto"/>
              <w:rPr>
                <w:rFonts w:ascii="宋体" w:hAnsi="宋体" w:cs="宋体"/>
                <w:szCs w:val="21"/>
                <w:highlight w:val="none"/>
              </w:rPr>
            </w:pPr>
          </w:p>
        </w:tc>
      </w:tr>
      <w:tr w14:paraId="2CCA9AD5">
        <w:tblPrEx>
          <w:tblCellMar>
            <w:top w:w="0" w:type="dxa"/>
            <w:left w:w="108" w:type="dxa"/>
            <w:bottom w:w="0" w:type="dxa"/>
            <w:right w:w="108" w:type="dxa"/>
          </w:tblCellMar>
        </w:tblPrEx>
        <w:trPr>
          <w:trHeight w:val="1080" w:hRule="atLeast"/>
        </w:trPr>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8A0C4">
            <w:pPr>
              <w:spacing w:line="360" w:lineRule="auto"/>
              <w:rPr>
                <w:rFonts w:ascii="宋体" w:hAnsi="宋体" w:cs="宋体"/>
                <w:szCs w:val="21"/>
                <w:highlight w:val="none"/>
              </w:rPr>
            </w:pPr>
            <w:r>
              <w:rPr>
                <w:rFonts w:hint="eastAsia" w:ascii="宋体" w:hAnsi="宋体" w:cs="宋体"/>
                <w:szCs w:val="21"/>
                <w:highlight w:val="none"/>
              </w:rPr>
              <w:t>作业时效与工单执行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C6088">
            <w:pPr>
              <w:spacing w:line="360" w:lineRule="auto"/>
              <w:rPr>
                <w:rFonts w:ascii="宋体" w:hAnsi="宋体" w:cs="宋体"/>
                <w:szCs w:val="21"/>
                <w:highlight w:val="none"/>
              </w:rPr>
            </w:pPr>
            <w:r>
              <w:rPr>
                <w:rFonts w:hint="eastAsia" w:ascii="宋体" w:hAnsi="宋体" w:cs="宋体"/>
                <w:szCs w:val="21"/>
                <w:highlight w:val="none"/>
              </w:rPr>
              <w:t>15分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03FBD">
            <w:pPr>
              <w:spacing w:line="360" w:lineRule="auto"/>
              <w:rPr>
                <w:rFonts w:ascii="宋体" w:hAnsi="宋体" w:cs="宋体"/>
                <w:szCs w:val="21"/>
                <w:highlight w:val="none"/>
              </w:rPr>
            </w:pPr>
            <w:r>
              <w:rPr>
                <w:rFonts w:hint="eastAsia" w:ascii="宋体" w:hAnsi="宋体" w:cs="宋体"/>
                <w:szCs w:val="21"/>
                <w:highlight w:val="none"/>
              </w:rPr>
              <w:t>1.接指令后按时抵达现场；2.按规定时限完成拆除清场；3.工单资料填报真实、完整、及时</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9F293">
            <w:pPr>
              <w:spacing w:line="360" w:lineRule="auto"/>
              <w:rPr>
                <w:rFonts w:ascii="宋体" w:hAnsi="宋体" w:cs="宋体"/>
                <w:szCs w:val="21"/>
                <w:highlight w:val="none"/>
              </w:rPr>
            </w:pPr>
            <w:r>
              <w:rPr>
                <w:rFonts w:hint="eastAsia" w:ascii="宋体" w:hAnsi="宋体" w:cs="宋体"/>
                <w:szCs w:val="21"/>
                <w:highlight w:val="none"/>
              </w:rPr>
              <w:t>超时到场单次扣2分，拒不到场扣5分；逾期未完成单次扣3-7分；资料缺失/虚假填报单次扣1-3分</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BE517">
            <w:pPr>
              <w:spacing w:line="360" w:lineRule="auto"/>
              <w:rPr>
                <w:rFonts w:ascii="宋体" w:hAnsi="宋体" w:cs="宋体"/>
                <w:szCs w:val="21"/>
                <w:highlight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08E93">
            <w:pPr>
              <w:spacing w:line="360" w:lineRule="auto"/>
              <w:rPr>
                <w:rFonts w:ascii="宋体" w:hAnsi="宋体" w:cs="宋体"/>
                <w:szCs w:val="21"/>
                <w:highlight w:val="none"/>
              </w:rPr>
            </w:pPr>
          </w:p>
        </w:tc>
      </w:tr>
      <w:tr w14:paraId="546DF1F7">
        <w:tblPrEx>
          <w:tblCellMar>
            <w:top w:w="0" w:type="dxa"/>
            <w:left w:w="108" w:type="dxa"/>
            <w:bottom w:w="0" w:type="dxa"/>
            <w:right w:w="108" w:type="dxa"/>
          </w:tblCellMar>
        </w:tblPrEx>
        <w:trPr>
          <w:trHeight w:val="1080" w:hRule="atLeast"/>
        </w:trPr>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2B9C3">
            <w:pPr>
              <w:spacing w:line="360" w:lineRule="auto"/>
              <w:rPr>
                <w:rFonts w:ascii="宋体" w:hAnsi="宋体" w:cs="宋体"/>
                <w:szCs w:val="21"/>
                <w:highlight w:val="none"/>
              </w:rPr>
            </w:pPr>
            <w:r>
              <w:rPr>
                <w:rFonts w:hint="eastAsia" w:ascii="宋体" w:hAnsi="宋体" w:cs="宋体"/>
                <w:szCs w:val="21"/>
                <w:highlight w:val="none"/>
              </w:rPr>
              <w:t>现场环境与垃圾清运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D6C9E">
            <w:pPr>
              <w:spacing w:line="360" w:lineRule="auto"/>
              <w:rPr>
                <w:rFonts w:ascii="宋体" w:hAnsi="宋体" w:cs="宋体"/>
                <w:szCs w:val="21"/>
                <w:highlight w:val="none"/>
              </w:rPr>
            </w:pPr>
            <w:r>
              <w:rPr>
                <w:rFonts w:hint="eastAsia" w:ascii="宋体" w:hAnsi="宋体" w:cs="宋体"/>
                <w:szCs w:val="21"/>
                <w:highlight w:val="none"/>
              </w:rPr>
              <w:t>10分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CD020">
            <w:pPr>
              <w:spacing w:line="360" w:lineRule="auto"/>
              <w:rPr>
                <w:rFonts w:ascii="宋体" w:hAnsi="宋体" w:cs="宋体"/>
                <w:szCs w:val="21"/>
                <w:highlight w:val="none"/>
              </w:rPr>
            </w:pPr>
            <w:r>
              <w:rPr>
                <w:rFonts w:hint="eastAsia" w:ascii="宋体" w:hAnsi="宋体" w:cs="宋体"/>
                <w:szCs w:val="21"/>
                <w:highlight w:val="none"/>
              </w:rPr>
              <w:t>1.施工期间落实降尘、降噪措施，无扰民施工；2.建筑垃圾及时清运至合规场所，无乱倒、无残留</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93696">
            <w:pPr>
              <w:spacing w:line="360" w:lineRule="auto"/>
              <w:rPr>
                <w:rFonts w:ascii="宋体" w:hAnsi="宋体" w:cs="宋体"/>
                <w:szCs w:val="21"/>
                <w:highlight w:val="none"/>
              </w:rPr>
            </w:pPr>
            <w:r>
              <w:rPr>
                <w:rFonts w:hint="eastAsia" w:ascii="宋体" w:hAnsi="宋体" w:cs="宋体"/>
                <w:szCs w:val="21"/>
                <w:highlight w:val="none"/>
              </w:rPr>
              <w:t>未落实降尘/违规扰民单次扣2分；垃圾残留单次扣3分，随意倾倒本项0分</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005F7">
            <w:pPr>
              <w:spacing w:line="360" w:lineRule="auto"/>
              <w:rPr>
                <w:rFonts w:ascii="宋体" w:hAnsi="宋体" w:cs="宋体"/>
                <w:szCs w:val="21"/>
                <w:highlight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196AB">
            <w:pPr>
              <w:spacing w:line="360" w:lineRule="auto"/>
              <w:rPr>
                <w:rFonts w:ascii="宋体" w:hAnsi="宋体" w:cs="宋体"/>
                <w:szCs w:val="21"/>
                <w:highlight w:val="none"/>
              </w:rPr>
            </w:pPr>
          </w:p>
        </w:tc>
      </w:tr>
      <w:tr w14:paraId="229464BD">
        <w:tblPrEx>
          <w:tblCellMar>
            <w:top w:w="0" w:type="dxa"/>
            <w:left w:w="108" w:type="dxa"/>
            <w:bottom w:w="0" w:type="dxa"/>
            <w:right w:w="108" w:type="dxa"/>
          </w:tblCellMar>
        </w:tblPrEx>
        <w:trPr>
          <w:trHeight w:val="1350" w:hRule="atLeast"/>
        </w:trPr>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87463">
            <w:pPr>
              <w:spacing w:line="360" w:lineRule="auto"/>
              <w:rPr>
                <w:rFonts w:ascii="宋体" w:hAnsi="宋体" w:cs="宋体"/>
                <w:szCs w:val="21"/>
                <w:highlight w:val="none"/>
              </w:rPr>
            </w:pPr>
            <w:r>
              <w:rPr>
                <w:rFonts w:hint="eastAsia" w:ascii="宋体" w:hAnsi="宋体" w:cs="宋体"/>
                <w:szCs w:val="21"/>
                <w:highlight w:val="none"/>
              </w:rPr>
              <w:t>服务合规与投诉处置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5C3C5">
            <w:pPr>
              <w:spacing w:line="360" w:lineRule="auto"/>
              <w:rPr>
                <w:rFonts w:ascii="宋体" w:hAnsi="宋体" w:cs="宋体"/>
                <w:szCs w:val="21"/>
                <w:highlight w:val="none"/>
              </w:rPr>
            </w:pPr>
            <w:r>
              <w:rPr>
                <w:rFonts w:hint="eastAsia" w:ascii="宋体" w:hAnsi="宋体" w:cs="宋体"/>
                <w:szCs w:val="21"/>
                <w:highlight w:val="none"/>
              </w:rPr>
              <w:t>10分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4332F">
            <w:pPr>
              <w:spacing w:line="360" w:lineRule="auto"/>
              <w:rPr>
                <w:rFonts w:ascii="宋体" w:hAnsi="宋体" w:cs="宋体"/>
                <w:szCs w:val="21"/>
                <w:highlight w:val="none"/>
              </w:rPr>
            </w:pPr>
            <w:r>
              <w:rPr>
                <w:rFonts w:hint="eastAsia" w:ascii="宋体" w:hAnsi="宋体" w:cs="宋体"/>
                <w:szCs w:val="21"/>
                <w:highlight w:val="none"/>
              </w:rPr>
              <w:t>1.服从现场执法调度，积极配合核查整改；2.无有效投诉、舆情，投诉1小时内响应、24小时内处置；3.问题整改按时到位</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C6B04">
            <w:pPr>
              <w:spacing w:line="360" w:lineRule="auto"/>
              <w:rPr>
                <w:rFonts w:ascii="宋体" w:hAnsi="宋体" w:cs="宋体"/>
                <w:szCs w:val="21"/>
                <w:highlight w:val="none"/>
              </w:rPr>
            </w:pPr>
            <w:r>
              <w:rPr>
                <w:rFonts w:hint="eastAsia" w:ascii="宋体" w:hAnsi="宋体" w:cs="宋体"/>
                <w:szCs w:val="21"/>
                <w:highlight w:val="none"/>
              </w:rPr>
              <w:t>拒不配合调度单次扣2-4分；有效投诉单次扣2分，处置不到位扣4分；整改逾期/不到位单次扣2分</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2433C">
            <w:pPr>
              <w:spacing w:line="360" w:lineRule="auto"/>
              <w:rPr>
                <w:rFonts w:ascii="宋体" w:hAnsi="宋体" w:cs="宋体"/>
                <w:szCs w:val="21"/>
                <w:highlight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A12EA">
            <w:pPr>
              <w:spacing w:line="360" w:lineRule="auto"/>
              <w:rPr>
                <w:rFonts w:ascii="宋体" w:hAnsi="宋体" w:cs="宋体"/>
                <w:szCs w:val="21"/>
                <w:highlight w:val="none"/>
              </w:rPr>
            </w:pPr>
          </w:p>
        </w:tc>
      </w:tr>
      <w:tr w14:paraId="23827FBE">
        <w:tblPrEx>
          <w:tblCellMar>
            <w:top w:w="0" w:type="dxa"/>
            <w:left w:w="108" w:type="dxa"/>
            <w:bottom w:w="0" w:type="dxa"/>
            <w:right w:w="108" w:type="dxa"/>
          </w:tblCellMar>
        </w:tblPrEx>
        <w:trPr>
          <w:trHeight w:val="270" w:hRule="atLeast"/>
        </w:trPr>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9764F">
            <w:pPr>
              <w:spacing w:line="360" w:lineRule="auto"/>
              <w:rPr>
                <w:rFonts w:ascii="宋体" w:hAnsi="宋体" w:cs="宋体"/>
                <w:szCs w:val="21"/>
                <w:highlight w:val="none"/>
              </w:rPr>
            </w:pPr>
            <w:r>
              <w:rPr>
                <w:rFonts w:hint="eastAsia" w:ascii="宋体" w:hAnsi="宋体" w:cs="宋体"/>
                <w:szCs w:val="21"/>
                <w:highlight w:val="none"/>
              </w:rPr>
              <w:t>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C91C2">
            <w:pPr>
              <w:spacing w:line="360" w:lineRule="auto"/>
              <w:rPr>
                <w:rFonts w:ascii="宋体" w:hAnsi="宋体" w:cs="宋体"/>
                <w:szCs w:val="21"/>
                <w:highlight w:val="none"/>
              </w:rPr>
            </w:pPr>
            <w:r>
              <w:rPr>
                <w:rFonts w:hint="eastAsia" w:ascii="宋体" w:hAnsi="宋体" w:cs="宋体"/>
                <w:szCs w:val="21"/>
                <w:highlight w:val="none"/>
              </w:rPr>
              <w:t>100分</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0B03F">
            <w:pPr>
              <w:spacing w:line="360" w:lineRule="auto"/>
              <w:rPr>
                <w:rFonts w:ascii="宋体" w:hAnsi="宋体" w:cs="宋体"/>
                <w:szCs w:val="21"/>
                <w:highlight w:val="none"/>
              </w:rPr>
            </w:pPr>
            <w:r>
              <w:rPr>
                <w:rFonts w:hint="eastAsia" w:ascii="宋体" w:hAnsi="宋体" w:cs="宋体"/>
                <w:szCs w:val="21"/>
                <w:highlight w:val="none"/>
              </w:rPr>
              <w:t>—</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62286">
            <w:pPr>
              <w:spacing w:line="360" w:lineRule="auto"/>
              <w:rPr>
                <w:rFonts w:ascii="宋体" w:hAnsi="宋体" w:cs="宋体"/>
                <w:szCs w:val="21"/>
                <w:highlight w:val="none"/>
              </w:rPr>
            </w:pPr>
            <w:r>
              <w:rPr>
                <w:rFonts w:hint="eastAsia" w:ascii="宋体" w:hAnsi="宋体" w:cs="宋体"/>
                <w:szCs w:val="21"/>
                <w:highlight w:val="none"/>
              </w:rPr>
              <w:t>—</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74D04">
            <w:pPr>
              <w:spacing w:line="360" w:lineRule="auto"/>
              <w:rPr>
                <w:rFonts w:ascii="宋体" w:hAnsi="宋体" w:cs="宋体"/>
                <w:szCs w:val="21"/>
                <w:highlight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2603A">
            <w:pPr>
              <w:spacing w:line="360" w:lineRule="auto"/>
              <w:rPr>
                <w:rFonts w:ascii="宋体" w:hAnsi="宋体" w:cs="宋体"/>
                <w:szCs w:val="21"/>
                <w:highlight w:val="none"/>
              </w:rPr>
            </w:pPr>
          </w:p>
        </w:tc>
      </w:tr>
    </w:tbl>
    <w:p w14:paraId="6A8B91A1">
      <w:pPr>
        <w:tabs>
          <w:tab w:val="left" w:pos="420"/>
        </w:tabs>
        <w:spacing w:line="360" w:lineRule="auto"/>
        <w:jc w:val="left"/>
        <w:rPr>
          <w:rFonts w:ascii="宋体" w:hAnsi="宋体" w:cs="宋体"/>
          <w:szCs w:val="21"/>
          <w:highlight w:val="none"/>
        </w:rPr>
      </w:pPr>
      <w:r>
        <w:rPr>
          <w:rFonts w:hint="eastAsia" w:ascii="宋体" w:hAnsi="宋体" w:cs="宋体"/>
          <w:szCs w:val="21"/>
          <w:highlight w:val="none"/>
        </w:rPr>
        <w:t>注:在拆违过程中，采购单位有权根据实际情况对考核办法作出适当修改。</w:t>
      </w:r>
    </w:p>
    <w:p w14:paraId="6C2797F3">
      <w:pPr>
        <w:widowControl/>
        <w:jc w:val="left"/>
        <w:rPr>
          <w:rFonts w:ascii="宋体" w:hAnsi="宋体" w:cs="宋体"/>
          <w:szCs w:val="21"/>
          <w:highlight w:val="none"/>
        </w:rPr>
      </w:pPr>
      <w:r>
        <w:rPr>
          <w:rFonts w:ascii="宋体" w:hAnsi="宋体" w:cs="宋体"/>
          <w:szCs w:val="21"/>
          <w:highlight w:val="none"/>
        </w:rPr>
        <w:br w:type="page"/>
      </w:r>
    </w:p>
    <w:p w14:paraId="45FD47E1">
      <w:pPr>
        <w:pStyle w:val="7"/>
        <w:rPr>
          <w:highlight w:val="none"/>
        </w:rPr>
      </w:pPr>
      <w:r>
        <w:rPr>
          <w:rFonts w:hint="eastAsia"/>
          <w:highlight w:val="none"/>
        </w:rPr>
        <w:t>8、</w:t>
      </w:r>
      <w:r>
        <w:rPr>
          <w:highlight w:val="none"/>
        </w:rPr>
        <w:t>隔离桩、交通划线服务考核管理办法</w:t>
      </w:r>
    </w:p>
    <w:p w14:paraId="20BB4D4B">
      <w:pPr>
        <w:widowControl/>
        <w:spacing w:line="360" w:lineRule="auto"/>
        <w:ind w:firstLine="422" w:firstLineChars="200"/>
        <w:jc w:val="left"/>
        <w:rPr>
          <w:rFonts w:ascii="宋体" w:hAnsi="宋体" w:cs="宋体"/>
          <w:kern w:val="0"/>
          <w:szCs w:val="21"/>
          <w:highlight w:val="none"/>
        </w:rPr>
      </w:pPr>
      <w:r>
        <w:rPr>
          <w:rFonts w:ascii="宋体" w:hAnsi="宋体" w:cs="宋体"/>
          <w:b/>
          <w:bCs/>
          <w:kern w:val="0"/>
          <w:szCs w:val="21"/>
          <w:highlight w:val="none"/>
        </w:rPr>
        <w:t>一、考核目的</w:t>
      </w:r>
    </w:p>
    <w:p w14:paraId="4C9105D2">
      <w:pPr>
        <w:widowControl/>
        <w:spacing w:line="360" w:lineRule="auto"/>
        <w:ind w:firstLine="420" w:firstLineChars="200"/>
        <w:jc w:val="left"/>
        <w:rPr>
          <w:rFonts w:ascii="宋体" w:hAnsi="宋体" w:cs="宋体"/>
          <w:kern w:val="0"/>
          <w:szCs w:val="21"/>
          <w:highlight w:val="none"/>
        </w:rPr>
      </w:pPr>
      <w:r>
        <w:rPr>
          <w:rFonts w:ascii="宋体" w:hAnsi="宋体" w:cs="宋体"/>
          <w:kern w:val="0"/>
          <w:szCs w:val="21"/>
          <w:highlight w:val="none"/>
        </w:rPr>
        <w:t>为规范陆家镇“物业城市”一期项目中护栏、隔离桩、划线等服务的管理，督促服务单位（乙方）及时修复、规范施工，保障道路交通设施完好与市民出行安全，特制定本办法。</w:t>
      </w:r>
    </w:p>
    <w:p w14:paraId="72991F61">
      <w:pPr>
        <w:widowControl/>
        <w:spacing w:line="360" w:lineRule="auto"/>
        <w:ind w:firstLine="422" w:firstLineChars="200"/>
        <w:jc w:val="left"/>
        <w:rPr>
          <w:rFonts w:ascii="宋体" w:hAnsi="宋体" w:cs="宋体"/>
          <w:kern w:val="0"/>
          <w:szCs w:val="21"/>
          <w:highlight w:val="none"/>
        </w:rPr>
      </w:pPr>
      <w:r>
        <w:rPr>
          <w:rFonts w:ascii="宋体" w:hAnsi="宋体" w:cs="宋体"/>
          <w:b/>
          <w:bCs/>
          <w:kern w:val="0"/>
          <w:szCs w:val="21"/>
          <w:highlight w:val="none"/>
        </w:rPr>
        <w:t>二、考核对象</w:t>
      </w:r>
    </w:p>
    <w:p w14:paraId="7755C120">
      <w:pPr>
        <w:widowControl/>
        <w:spacing w:line="360" w:lineRule="auto"/>
        <w:ind w:firstLine="420" w:firstLineChars="200"/>
        <w:jc w:val="left"/>
        <w:rPr>
          <w:rFonts w:ascii="宋体" w:hAnsi="宋体" w:cs="宋体"/>
          <w:kern w:val="0"/>
          <w:szCs w:val="21"/>
          <w:highlight w:val="none"/>
        </w:rPr>
      </w:pPr>
      <w:r>
        <w:rPr>
          <w:rFonts w:ascii="宋体" w:hAnsi="宋体" w:cs="宋体"/>
          <w:kern w:val="0"/>
          <w:szCs w:val="21"/>
          <w:highlight w:val="none"/>
        </w:rPr>
        <w:t>承担本项目中“护栏、隔离桩、划线等服务”的中标单位。</w:t>
      </w:r>
    </w:p>
    <w:p w14:paraId="2FDED041">
      <w:pPr>
        <w:widowControl/>
        <w:spacing w:line="360" w:lineRule="auto"/>
        <w:ind w:firstLine="422" w:firstLineChars="200"/>
        <w:jc w:val="left"/>
        <w:rPr>
          <w:rFonts w:ascii="宋体" w:hAnsi="宋体" w:cs="宋体"/>
          <w:kern w:val="0"/>
          <w:szCs w:val="21"/>
          <w:highlight w:val="none"/>
        </w:rPr>
      </w:pPr>
      <w:r>
        <w:rPr>
          <w:rFonts w:ascii="宋体" w:hAnsi="宋体" w:cs="宋体"/>
          <w:b/>
          <w:bCs/>
          <w:kern w:val="0"/>
          <w:szCs w:val="21"/>
          <w:highlight w:val="none"/>
        </w:rPr>
        <w:t>三、考核组织</w:t>
      </w:r>
    </w:p>
    <w:p w14:paraId="11E8092F">
      <w:pPr>
        <w:widowControl/>
        <w:spacing w:line="360" w:lineRule="auto"/>
        <w:ind w:firstLine="420" w:firstLineChars="200"/>
        <w:jc w:val="left"/>
        <w:rPr>
          <w:rFonts w:ascii="宋体" w:hAnsi="宋体" w:cs="宋体"/>
          <w:kern w:val="0"/>
          <w:szCs w:val="21"/>
          <w:highlight w:val="none"/>
        </w:rPr>
      </w:pPr>
      <w:r>
        <w:rPr>
          <w:rFonts w:ascii="宋体" w:hAnsi="宋体" w:cs="宋体"/>
          <w:kern w:val="0"/>
          <w:szCs w:val="21"/>
          <w:highlight w:val="none"/>
        </w:rPr>
        <w:t>由昆山市陆家镇人民政府（甲方）或其指定职能部门组成考核小组，采取“日常巡查+月度定期检查+不定期抽查”方式，每月对乙方服务进行考核评分，考核结果与服务费用挂钩。</w:t>
      </w:r>
    </w:p>
    <w:p w14:paraId="0DB51310">
      <w:pPr>
        <w:widowControl/>
        <w:spacing w:line="360" w:lineRule="auto"/>
        <w:ind w:firstLine="422" w:firstLineChars="200"/>
        <w:jc w:val="left"/>
        <w:rPr>
          <w:rFonts w:ascii="宋体" w:hAnsi="宋体" w:cs="宋体"/>
          <w:kern w:val="0"/>
          <w:szCs w:val="21"/>
          <w:highlight w:val="none"/>
        </w:rPr>
      </w:pPr>
      <w:r>
        <w:rPr>
          <w:rFonts w:ascii="宋体" w:hAnsi="宋体" w:cs="宋体"/>
          <w:b/>
          <w:bCs/>
          <w:kern w:val="0"/>
          <w:szCs w:val="21"/>
          <w:highlight w:val="none"/>
        </w:rPr>
        <w:t>四、考核内容及评分标准</w:t>
      </w:r>
      <w:r>
        <w:rPr>
          <w:rFonts w:ascii="宋体" w:hAnsi="宋体" w:cs="宋体"/>
          <w:kern w:val="0"/>
          <w:szCs w:val="21"/>
          <w:highlight w:val="none"/>
        </w:rPr>
        <w:t>（满分100分）</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98"/>
        <w:gridCol w:w="850"/>
        <w:gridCol w:w="4551"/>
        <w:gridCol w:w="3255"/>
      </w:tblGrid>
      <w:tr w14:paraId="3E11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998" w:type="dxa"/>
            <w:tcMar>
              <w:top w:w="161" w:type="dxa"/>
              <w:left w:w="0" w:type="dxa"/>
              <w:bottom w:w="161" w:type="dxa"/>
              <w:right w:w="193" w:type="dxa"/>
            </w:tcMar>
            <w:vAlign w:val="center"/>
          </w:tcPr>
          <w:p w14:paraId="76A90F1F">
            <w:pPr>
              <w:widowControl/>
              <w:spacing w:line="360" w:lineRule="auto"/>
              <w:jc w:val="center"/>
              <w:rPr>
                <w:rFonts w:ascii="宋体" w:hAnsi="宋体" w:cs="宋体"/>
                <w:b/>
                <w:bCs/>
                <w:kern w:val="0"/>
                <w:szCs w:val="21"/>
                <w:highlight w:val="none"/>
              </w:rPr>
            </w:pPr>
            <w:r>
              <w:rPr>
                <w:rFonts w:ascii="宋体" w:hAnsi="宋体" w:cs="宋体"/>
                <w:b/>
                <w:bCs/>
                <w:kern w:val="0"/>
                <w:szCs w:val="21"/>
                <w:highlight w:val="none"/>
              </w:rPr>
              <w:t>目标名称</w:t>
            </w:r>
          </w:p>
        </w:tc>
        <w:tc>
          <w:tcPr>
            <w:tcW w:w="850" w:type="dxa"/>
            <w:tcMar>
              <w:top w:w="161" w:type="dxa"/>
              <w:left w:w="0" w:type="dxa"/>
              <w:bottom w:w="161" w:type="dxa"/>
              <w:right w:w="193" w:type="dxa"/>
            </w:tcMar>
            <w:vAlign w:val="center"/>
          </w:tcPr>
          <w:p w14:paraId="4EB60EF3">
            <w:pPr>
              <w:widowControl/>
              <w:spacing w:line="360" w:lineRule="auto"/>
              <w:jc w:val="center"/>
              <w:rPr>
                <w:rFonts w:ascii="宋体" w:hAnsi="宋体" w:cs="宋体"/>
                <w:b/>
                <w:bCs/>
                <w:kern w:val="0"/>
                <w:szCs w:val="21"/>
                <w:highlight w:val="none"/>
              </w:rPr>
            </w:pPr>
            <w:r>
              <w:rPr>
                <w:rFonts w:ascii="宋体" w:hAnsi="宋体" w:cs="宋体"/>
                <w:b/>
                <w:bCs/>
                <w:kern w:val="0"/>
                <w:szCs w:val="21"/>
                <w:highlight w:val="none"/>
              </w:rPr>
              <w:t>分值</w:t>
            </w:r>
          </w:p>
        </w:tc>
        <w:tc>
          <w:tcPr>
            <w:tcW w:w="4551" w:type="dxa"/>
            <w:tcMar>
              <w:top w:w="161" w:type="dxa"/>
              <w:left w:w="0" w:type="dxa"/>
              <w:bottom w:w="161" w:type="dxa"/>
              <w:right w:w="193" w:type="dxa"/>
            </w:tcMar>
            <w:vAlign w:val="center"/>
          </w:tcPr>
          <w:p w14:paraId="39684F54">
            <w:pPr>
              <w:widowControl/>
              <w:spacing w:line="360" w:lineRule="auto"/>
              <w:jc w:val="center"/>
              <w:rPr>
                <w:rFonts w:ascii="宋体" w:hAnsi="宋体" w:cs="宋体"/>
                <w:b/>
                <w:bCs/>
                <w:kern w:val="0"/>
                <w:szCs w:val="21"/>
                <w:highlight w:val="none"/>
              </w:rPr>
            </w:pPr>
            <w:r>
              <w:rPr>
                <w:rFonts w:ascii="宋体" w:hAnsi="宋体" w:cs="宋体"/>
                <w:b/>
                <w:bCs/>
                <w:kern w:val="0"/>
                <w:szCs w:val="21"/>
                <w:highlight w:val="none"/>
              </w:rPr>
              <w:t>考核内容及要求</w:t>
            </w:r>
          </w:p>
        </w:tc>
        <w:tc>
          <w:tcPr>
            <w:tcW w:w="3255" w:type="dxa"/>
            <w:tcMar>
              <w:top w:w="161" w:type="dxa"/>
              <w:left w:w="0" w:type="dxa"/>
              <w:bottom w:w="161" w:type="dxa"/>
              <w:right w:w="193" w:type="dxa"/>
            </w:tcMar>
            <w:vAlign w:val="center"/>
          </w:tcPr>
          <w:p w14:paraId="71B81531">
            <w:pPr>
              <w:widowControl/>
              <w:spacing w:line="360" w:lineRule="auto"/>
              <w:jc w:val="center"/>
              <w:rPr>
                <w:rFonts w:ascii="宋体" w:hAnsi="宋体" w:cs="宋体"/>
                <w:b/>
                <w:bCs/>
                <w:kern w:val="0"/>
                <w:szCs w:val="21"/>
                <w:highlight w:val="none"/>
              </w:rPr>
            </w:pPr>
            <w:r>
              <w:rPr>
                <w:rFonts w:ascii="宋体" w:hAnsi="宋体" w:cs="宋体"/>
                <w:b/>
                <w:bCs/>
                <w:kern w:val="0"/>
                <w:szCs w:val="21"/>
                <w:highlight w:val="none"/>
              </w:rPr>
              <w:t>扣分办法</w:t>
            </w:r>
          </w:p>
        </w:tc>
      </w:tr>
      <w:tr w14:paraId="6E1E6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98" w:type="dxa"/>
            <w:tcMar>
              <w:top w:w="161" w:type="dxa"/>
              <w:left w:w="0" w:type="dxa"/>
              <w:bottom w:w="161" w:type="dxa"/>
              <w:right w:w="193" w:type="dxa"/>
            </w:tcMar>
            <w:vAlign w:val="center"/>
          </w:tcPr>
          <w:p w14:paraId="4F6B5110">
            <w:pPr>
              <w:widowControl/>
              <w:spacing w:line="360" w:lineRule="auto"/>
              <w:jc w:val="left"/>
              <w:rPr>
                <w:rFonts w:ascii="宋体" w:hAnsi="宋体" w:cs="宋体"/>
                <w:kern w:val="0"/>
                <w:szCs w:val="21"/>
                <w:highlight w:val="none"/>
              </w:rPr>
            </w:pPr>
            <w:r>
              <w:rPr>
                <w:rFonts w:ascii="宋体" w:hAnsi="宋体" w:cs="宋体"/>
                <w:b/>
                <w:bCs/>
                <w:kern w:val="0"/>
                <w:szCs w:val="21"/>
                <w:highlight w:val="none"/>
              </w:rPr>
              <w:t>人员设备保障</w:t>
            </w:r>
          </w:p>
        </w:tc>
        <w:tc>
          <w:tcPr>
            <w:tcW w:w="850" w:type="dxa"/>
            <w:tcMar>
              <w:top w:w="161" w:type="dxa"/>
              <w:left w:w="0" w:type="dxa"/>
              <w:bottom w:w="161" w:type="dxa"/>
              <w:right w:w="193" w:type="dxa"/>
            </w:tcMar>
            <w:vAlign w:val="center"/>
          </w:tcPr>
          <w:p w14:paraId="6311ADEC">
            <w:pPr>
              <w:widowControl/>
              <w:spacing w:line="360" w:lineRule="auto"/>
              <w:jc w:val="center"/>
              <w:rPr>
                <w:rFonts w:ascii="宋体" w:hAnsi="宋体" w:cs="宋体"/>
                <w:kern w:val="0"/>
                <w:szCs w:val="21"/>
                <w:highlight w:val="none"/>
              </w:rPr>
            </w:pPr>
            <w:r>
              <w:rPr>
                <w:rFonts w:ascii="宋体" w:hAnsi="宋体" w:cs="宋体"/>
                <w:kern w:val="0"/>
                <w:szCs w:val="21"/>
                <w:highlight w:val="none"/>
              </w:rPr>
              <w:t>20分</w:t>
            </w:r>
          </w:p>
        </w:tc>
        <w:tc>
          <w:tcPr>
            <w:tcW w:w="4551" w:type="dxa"/>
            <w:tcMar>
              <w:top w:w="161" w:type="dxa"/>
              <w:left w:w="0" w:type="dxa"/>
              <w:bottom w:w="161" w:type="dxa"/>
              <w:right w:w="193" w:type="dxa"/>
            </w:tcMar>
            <w:vAlign w:val="center"/>
          </w:tcPr>
          <w:p w14:paraId="384A3224">
            <w:pPr>
              <w:widowControl/>
              <w:spacing w:line="360" w:lineRule="auto"/>
              <w:jc w:val="left"/>
              <w:rPr>
                <w:rFonts w:ascii="宋体" w:hAnsi="宋体" w:cs="宋体"/>
                <w:kern w:val="0"/>
                <w:szCs w:val="21"/>
                <w:highlight w:val="none"/>
              </w:rPr>
            </w:pPr>
            <w:r>
              <w:rPr>
                <w:rFonts w:ascii="宋体" w:hAnsi="宋体" w:cs="宋体"/>
                <w:kern w:val="0"/>
                <w:szCs w:val="21"/>
                <w:highlight w:val="none"/>
              </w:rPr>
              <w:t>1.特种作业证件（如电焊、高空作业等）齐全有效；</w:t>
            </w:r>
            <w:r>
              <w:rPr>
                <w:rFonts w:ascii="宋体" w:hAnsi="宋体" w:cs="宋体"/>
                <w:kern w:val="0"/>
                <w:szCs w:val="21"/>
                <w:highlight w:val="none"/>
              </w:rPr>
              <w:br w:type="textWrapping"/>
            </w:r>
            <w:r>
              <w:rPr>
                <w:rFonts w:ascii="宋体" w:hAnsi="宋体" w:cs="宋体"/>
                <w:kern w:val="0"/>
                <w:szCs w:val="21"/>
                <w:highlight w:val="none"/>
              </w:rPr>
              <w:t>2. 现场负责人、安全员、施工人员足额在岗；</w:t>
            </w:r>
            <w:r>
              <w:rPr>
                <w:rFonts w:ascii="宋体" w:hAnsi="宋体" w:cs="宋体"/>
                <w:kern w:val="0"/>
                <w:szCs w:val="21"/>
                <w:highlight w:val="none"/>
              </w:rPr>
              <w:br w:type="textWrapping"/>
            </w:r>
            <w:r>
              <w:rPr>
                <w:rFonts w:ascii="宋体" w:hAnsi="宋体" w:cs="宋体"/>
                <w:kern w:val="0"/>
                <w:szCs w:val="21"/>
                <w:highlight w:val="none"/>
              </w:rPr>
              <w:t>3. 施工设备（气割、打桩、划线机等）、防护器械（围挡、警示牌、反光背心）配备到位。</w:t>
            </w:r>
          </w:p>
        </w:tc>
        <w:tc>
          <w:tcPr>
            <w:tcW w:w="3255" w:type="dxa"/>
            <w:tcMar>
              <w:top w:w="161" w:type="dxa"/>
              <w:left w:w="0" w:type="dxa"/>
              <w:bottom w:w="161" w:type="dxa"/>
              <w:right w:w="193" w:type="dxa"/>
            </w:tcMar>
            <w:vAlign w:val="center"/>
          </w:tcPr>
          <w:p w14:paraId="11726F24">
            <w:pPr>
              <w:widowControl/>
              <w:spacing w:line="360" w:lineRule="auto"/>
              <w:jc w:val="left"/>
              <w:rPr>
                <w:rFonts w:ascii="宋体" w:hAnsi="宋体" w:cs="宋体"/>
                <w:kern w:val="0"/>
                <w:szCs w:val="21"/>
                <w:highlight w:val="none"/>
              </w:rPr>
            </w:pPr>
            <w:r>
              <w:rPr>
                <w:rFonts w:ascii="宋体" w:hAnsi="宋体" w:cs="宋体"/>
                <w:kern w:val="0"/>
                <w:szCs w:val="21"/>
                <w:highlight w:val="none"/>
              </w:rPr>
              <w:t>证件过期/缺失1项扣4分，无证施工本项0分；人员/设备每缺1项扣2分，扣完为止。</w:t>
            </w:r>
          </w:p>
        </w:tc>
      </w:tr>
      <w:tr w14:paraId="030F8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98" w:type="dxa"/>
            <w:tcMar>
              <w:top w:w="161" w:type="dxa"/>
              <w:left w:w="0" w:type="dxa"/>
              <w:bottom w:w="161" w:type="dxa"/>
              <w:right w:w="193" w:type="dxa"/>
            </w:tcMar>
            <w:vAlign w:val="center"/>
          </w:tcPr>
          <w:p w14:paraId="1F47C150">
            <w:pPr>
              <w:widowControl/>
              <w:spacing w:line="360" w:lineRule="auto"/>
              <w:jc w:val="left"/>
              <w:rPr>
                <w:rFonts w:ascii="宋体" w:hAnsi="宋体" w:cs="宋体"/>
                <w:kern w:val="0"/>
                <w:szCs w:val="21"/>
                <w:highlight w:val="none"/>
              </w:rPr>
            </w:pPr>
            <w:r>
              <w:rPr>
                <w:rFonts w:ascii="宋体" w:hAnsi="宋体" w:cs="宋体"/>
                <w:b/>
                <w:bCs/>
                <w:kern w:val="0"/>
                <w:szCs w:val="21"/>
                <w:highlight w:val="none"/>
              </w:rPr>
              <w:t>安全生产管理</w:t>
            </w:r>
          </w:p>
        </w:tc>
        <w:tc>
          <w:tcPr>
            <w:tcW w:w="850" w:type="dxa"/>
            <w:tcMar>
              <w:top w:w="161" w:type="dxa"/>
              <w:left w:w="0" w:type="dxa"/>
              <w:bottom w:w="161" w:type="dxa"/>
              <w:right w:w="193" w:type="dxa"/>
            </w:tcMar>
            <w:vAlign w:val="center"/>
          </w:tcPr>
          <w:p w14:paraId="1ECFE106">
            <w:pPr>
              <w:widowControl/>
              <w:spacing w:line="360" w:lineRule="auto"/>
              <w:jc w:val="center"/>
              <w:rPr>
                <w:rFonts w:ascii="宋体" w:hAnsi="宋体" w:cs="宋体"/>
                <w:kern w:val="0"/>
                <w:szCs w:val="21"/>
                <w:highlight w:val="none"/>
              </w:rPr>
            </w:pPr>
            <w:r>
              <w:rPr>
                <w:rFonts w:ascii="宋体" w:hAnsi="宋体" w:cs="宋体"/>
                <w:kern w:val="0"/>
                <w:szCs w:val="21"/>
                <w:highlight w:val="none"/>
              </w:rPr>
              <w:t>25分</w:t>
            </w:r>
          </w:p>
        </w:tc>
        <w:tc>
          <w:tcPr>
            <w:tcW w:w="4551" w:type="dxa"/>
            <w:tcMar>
              <w:top w:w="161" w:type="dxa"/>
              <w:left w:w="0" w:type="dxa"/>
              <w:bottom w:w="161" w:type="dxa"/>
              <w:right w:w="193" w:type="dxa"/>
            </w:tcMar>
            <w:vAlign w:val="center"/>
          </w:tcPr>
          <w:p w14:paraId="27F8572F">
            <w:pPr>
              <w:widowControl/>
              <w:spacing w:line="360" w:lineRule="auto"/>
              <w:jc w:val="left"/>
              <w:rPr>
                <w:rFonts w:ascii="宋体" w:hAnsi="宋体" w:cs="宋体"/>
                <w:kern w:val="0"/>
                <w:szCs w:val="21"/>
                <w:highlight w:val="none"/>
              </w:rPr>
            </w:pPr>
            <w:r>
              <w:rPr>
                <w:rFonts w:ascii="宋体" w:hAnsi="宋体" w:cs="宋体"/>
                <w:kern w:val="0"/>
                <w:szCs w:val="21"/>
                <w:highlight w:val="none"/>
              </w:rPr>
              <w:t>1. 施工人员全程规范佩戴劳保用品，特种作业持证上岗；</w:t>
            </w:r>
            <w:r>
              <w:rPr>
                <w:rFonts w:ascii="宋体" w:hAnsi="宋体" w:cs="宋体"/>
                <w:kern w:val="0"/>
                <w:szCs w:val="21"/>
                <w:highlight w:val="none"/>
              </w:rPr>
              <w:br w:type="textWrapping"/>
            </w:r>
            <w:r>
              <w:rPr>
                <w:rFonts w:ascii="宋体" w:hAnsi="宋体" w:cs="宋体"/>
                <w:kern w:val="0"/>
                <w:szCs w:val="21"/>
                <w:highlight w:val="none"/>
              </w:rPr>
              <w:t>2. 施工现场规范设置围挡、警示标识、专人值守；</w:t>
            </w:r>
            <w:r>
              <w:rPr>
                <w:rFonts w:ascii="宋体" w:hAnsi="宋体" w:cs="宋体"/>
                <w:kern w:val="0"/>
                <w:szCs w:val="21"/>
                <w:highlight w:val="none"/>
              </w:rPr>
              <w:br w:type="textWrapping"/>
            </w:r>
            <w:r>
              <w:rPr>
                <w:rFonts w:ascii="宋体" w:hAnsi="宋体" w:cs="宋体"/>
                <w:kern w:val="0"/>
                <w:szCs w:val="21"/>
                <w:highlight w:val="none"/>
              </w:rPr>
              <w:t>3. 无安全事故、无安全隐患遗留；</w:t>
            </w:r>
            <w:r>
              <w:rPr>
                <w:rFonts w:ascii="宋体" w:hAnsi="宋体" w:cs="宋体"/>
                <w:kern w:val="0"/>
                <w:szCs w:val="21"/>
                <w:highlight w:val="none"/>
              </w:rPr>
              <w:br w:type="textWrapping"/>
            </w:r>
            <w:r>
              <w:rPr>
                <w:rFonts w:ascii="宋体" w:hAnsi="宋体" w:cs="宋体"/>
                <w:kern w:val="0"/>
                <w:szCs w:val="21"/>
                <w:highlight w:val="none"/>
              </w:rPr>
              <w:t>4. 事故或意外导致的破损修复后，现场清理彻底，无残留物影响交通。</w:t>
            </w:r>
          </w:p>
        </w:tc>
        <w:tc>
          <w:tcPr>
            <w:tcW w:w="3255" w:type="dxa"/>
            <w:tcMar>
              <w:top w:w="161" w:type="dxa"/>
              <w:left w:w="0" w:type="dxa"/>
              <w:bottom w:w="161" w:type="dxa"/>
              <w:right w:w="193" w:type="dxa"/>
            </w:tcMar>
            <w:vAlign w:val="center"/>
          </w:tcPr>
          <w:p w14:paraId="7D355BCB">
            <w:pPr>
              <w:widowControl/>
              <w:spacing w:line="360" w:lineRule="auto"/>
              <w:jc w:val="left"/>
              <w:rPr>
                <w:rFonts w:ascii="宋体" w:hAnsi="宋体" w:cs="宋体"/>
                <w:kern w:val="0"/>
                <w:szCs w:val="21"/>
                <w:highlight w:val="none"/>
              </w:rPr>
            </w:pPr>
            <w:r>
              <w:rPr>
                <w:rFonts w:ascii="宋体" w:hAnsi="宋体" w:cs="宋体"/>
                <w:kern w:val="0"/>
                <w:szCs w:val="21"/>
                <w:highlight w:val="none"/>
              </w:rPr>
              <w:t>未规范佩戴防护用品单人单次扣1分，违规操作单次扣3分；未设置围挡警示扣5分；发生一般安全事故本项0分，重大事故本次作业考核不合格。</w:t>
            </w:r>
          </w:p>
        </w:tc>
      </w:tr>
      <w:tr w14:paraId="4506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98" w:type="dxa"/>
            <w:tcMar>
              <w:top w:w="161" w:type="dxa"/>
              <w:left w:w="0" w:type="dxa"/>
              <w:bottom w:w="161" w:type="dxa"/>
              <w:right w:w="193" w:type="dxa"/>
            </w:tcMar>
            <w:vAlign w:val="center"/>
          </w:tcPr>
          <w:p w14:paraId="05485E4E">
            <w:pPr>
              <w:widowControl/>
              <w:spacing w:line="360" w:lineRule="auto"/>
              <w:jc w:val="left"/>
              <w:rPr>
                <w:rFonts w:ascii="宋体" w:hAnsi="宋体" w:cs="宋体"/>
                <w:kern w:val="0"/>
                <w:szCs w:val="21"/>
                <w:highlight w:val="none"/>
              </w:rPr>
            </w:pPr>
            <w:r>
              <w:rPr>
                <w:rFonts w:ascii="宋体" w:hAnsi="宋体" w:cs="宋体"/>
                <w:b/>
                <w:bCs/>
                <w:kern w:val="0"/>
                <w:szCs w:val="21"/>
                <w:highlight w:val="none"/>
              </w:rPr>
              <w:t>维修与安装作业质量</w:t>
            </w:r>
          </w:p>
        </w:tc>
        <w:tc>
          <w:tcPr>
            <w:tcW w:w="850" w:type="dxa"/>
            <w:tcMar>
              <w:top w:w="161" w:type="dxa"/>
              <w:left w:w="0" w:type="dxa"/>
              <w:bottom w:w="161" w:type="dxa"/>
              <w:right w:w="193" w:type="dxa"/>
            </w:tcMar>
            <w:vAlign w:val="center"/>
          </w:tcPr>
          <w:p w14:paraId="44568970">
            <w:pPr>
              <w:widowControl/>
              <w:spacing w:line="360" w:lineRule="auto"/>
              <w:jc w:val="center"/>
              <w:rPr>
                <w:rFonts w:ascii="宋体" w:hAnsi="宋体" w:cs="宋体"/>
                <w:kern w:val="0"/>
                <w:szCs w:val="21"/>
                <w:highlight w:val="none"/>
              </w:rPr>
            </w:pPr>
            <w:r>
              <w:rPr>
                <w:rFonts w:ascii="宋体" w:hAnsi="宋体" w:cs="宋体"/>
                <w:kern w:val="0"/>
                <w:szCs w:val="21"/>
                <w:highlight w:val="none"/>
              </w:rPr>
              <w:t>20分</w:t>
            </w:r>
          </w:p>
        </w:tc>
        <w:tc>
          <w:tcPr>
            <w:tcW w:w="4551" w:type="dxa"/>
            <w:tcMar>
              <w:top w:w="161" w:type="dxa"/>
              <w:left w:w="0" w:type="dxa"/>
              <w:bottom w:w="161" w:type="dxa"/>
              <w:right w:w="193" w:type="dxa"/>
            </w:tcMar>
            <w:vAlign w:val="center"/>
          </w:tcPr>
          <w:p w14:paraId="46E379E1">
            <w:pPr>
              <w:widowControl/>
              <w:spacing w:line="360" w:lineRule="auto"/>
              <w:jc w:val="left"/>
              <w:rPr>
                <w:rFonts w:ascii="宋体" w:hAnsi="宋体" w:cs="宋体"/>
                <w:kern w:val="0"/>
                <w:szCs w:val="21"/>
                <w:highlight w:val="none"/>
              </w:rPr>
            </w:pPr>
            <w:r>
              <w:rPr>
                <w:rFonts w:ascii="宋体" w:hAnsi="宋体" w:cs="宋体"/>
                <w:kern w:val="0"/>
                <w:szCs w:val="21"/>
                <w:highlight w:val="none"/>
              </w:rPr>
              <w:t>1. 隔离护栏褪色、开裂、生锈、变形等常规病态及时修复或更换，修复后技术参数不低于原合格产品；</w:t>
            </w:r>
            <w:r>
              <w:rPr>
                <w:rFonts w:ascii="宋体" w:hAnsi="宋体" w:cs="宋体"/>
                <w:kern w:val="0"/>
                <w:szCs w:val="21"/>
                <w:highlight w:val="none"/>
              </w:rPr>
              <w:br w:type="textWrapping"/>
            </w:r>
            <w:r>
              <w:rPr>
                <w:rFonts w:ascii="宋体" w:hAnsi="宋体" w:cs="宋体"/>
                <w:kern w:val="0"/>
                <w:szCs w:val="21"/>
                <w:highlight w:val="none"/>
              </w:rPr>
              <w:t>2. 隔离桩（警示柱）影响使用及美观的及时更换、维保；</w:t>
            </w:r>
            <w:r>
              <w:rPr>
                <w:rFonts w:ascii="宋体" w:hAnsi="宋体" w:cs="宋体"/>
                <w:kern w:val="0"/>
                <w:szCs w:val="21"/>
                <w:highlight w:val="none"/>
              </w:rPr>
              <w:br w:type="textWrapping"/>
            </w:r>
            <w:r>
              <w:rPr>
                <w:rFonts w:ascii="宋体" w:hAnsi="宋体" w:cs="宋体"/>
                <w:kern w:val="0"/>
                <w:szCs w:val="21"/>
                <w:highlight w:val="none"/>
              </w:rPr>
              <w:t>3. 交通标线（热熔/冷喷）清晰、完整，缺损及时补划，厚度、反光性能符合国标；</w:t>
            </w:r>
            <w:r>
              <w:rPr>
                <w:rFonts w:ascii="宋体" w:hAnsi="宋体" w:cs="宋体"/>
                <w:kern w:val="0"/>
                <w:szCs w:val="21"/>
                <w:highlight w:val="none"/>
              </w:rPr>
              <w:br w:type="textWrapping"/>
            </w:r>
            <w:r>
              <w:rPr>
                <w:rFonts w:ascii="宋体" w:hAnsi="宋体" w:cs="宋体"/>
                <w:kern w:val="0"/>
                <w:szCs w:val="21"/>
                <w:highlight w:val="none"/>
              </w:rPr>
              <w:t>4. 因施工、大型活动、交通组织调整等导致的护栏安装、迁移与恢复规范到位。</w:t>
            </w:r>
          </w:p>
        </w:tc>
        <w:tc>
          <w:tcPr>
            <w:tcW w:w="3255" w:type="dxa"/>
            <w:tcMar>
              <w:top w:w="161" w:type="dxa"/>
              <w:left w:w="0" w:type="dxa"/>
              <w:bottom w:w="161" w:type="dxa"/>
              <w:right w:w="193" w:type="dxa"/>
            </w:tcMar>
            <w:vAlign w:val="center"/>
          </w:tcPr>
          <w:p w14:paraId="1FC78A07">
            <w:pPr>
              <w:widowControl/>
              <w:spacing w:line="360" w:lineRule="auto"/>
              <w:jc w:val="left"/>
              <w:rPr>
                <w:rFonts w:ascii="宋体" w:hAnsi="宋体" w:cs="宋体"/>
                <w:kern w:val="0"/>
                <w:szCs w:val="21"/>
                <w:highlight w:val="none"/>
              </w:rPr>
            </w:pPr>
            <w:r>
              <w:rPr>
                <w:rFonts w:ascii="宋体" w:hAnsi="宋体" w:cs="宋体"/>
                <w:kern w:val="0"/>
                <w:szCs w:val="21"/>
                <w:highlight w:val="none"/>
              </w:rPr>
              <w:t>修复不彻底/漏修单次扣3-6分；擅自缩减范围扣10分；标线反光不足、厚度不够每项扣2-5分，需全额赔偿或返工。</w:t>
            </w:r>
          </w:p>
        </w:tc>
      </w:tr>
      <w:tr w14:paraId="5C45F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98" w:type="dxa"/>
            <w:tcMar>
              <w:top w:w="161" w:type="dxa"/>
              <w:left w:w="0" w:type="dxa"/>
              <w:bottom w:w="161" w:type="dxa"/>
              <w:right w:w="193" w:type="dxa"/>
            </w:tcMar>
            <w:vAlign w:val="center"/>
          </w:tcPr>
          <w:p w14:paraId="34EB820C">
            <w:pPr>
              <w:widowControl/>
              <w:spacing w:line="360" w:lineRule="auto"/>
              <w:jc w:val="left"/>
              <w:rPr>
                <w:rFonts w:ascii="宋体" w:hAnsi="宋体" w:cs="宋体"/>
                <w:kern w:val="0"/>
                <w:szCs w:val="21"/>
                <w:highlight w:val="none"/>
              </w:rPr>
            </w:pPr>
            <w:r>
              <w:rPr>
                <w:rFonts w:ascii="宋体" w:hAnsi="宋体" w:cs="宋体"/>
                <w:b/>
                <w:bCs/>
                <w:kern w:val="0"/>
                <w:szCs w:val="21"/>
                <w:highlight w:val="none"/>
              </w:rPr>
              <w:t>作业时效与工单执行</w:t>
            </w:r>
          </w:p>
        </w:tc>
        <w:tc>
          <w:tcPr>
            <w:tcW w:w="850" w:type="dxa"/>
            <w:tcMar>
              <w:top w:w="161" w:type="dxa"/>
              <w:left w:w="0" w:type="dxa"/>
              <w:bottom w:w="161" w:type="dxa"/>
              <w:right w:w="193" w:type="dxa"/>
            </w:tcMar>
            <w:vAlign w:val="center"/>
          </w:tcPr>
          <w:p w14:paraId="49E8E5D1">
            <w:pPr>
              <w:widowControl/>
              <w:spacing w:line="360" w:lineRule="auto"/>
              <w:jc w:val="center"/>
              <w:rPr>
                <w:rFonts w:ascii="宋体" w:hAnsi="宋体" w:cs="宋体"/>
                <w:kern w:val="0"/>
                <w:szCs w:val="21"/>
                <w:highlight w:val="none"/>
              </w:rPr>
            </w:pPr>
            <w:r>
              <w:rPr>
                <w:rFonts w:ascii="宋体" w:hAnsi="宋体" w:cs="宋体"/>
                <w:kern w:val="0"/>
                <w:szCs w:val="21"/>
                <w:highlight w:val="none"/>
              </w:rPr>
              <w:t>15分</w:t>
            </w:r>
          </w:p>
        </w:tc>
        <w:tc>
          <w:tcPr>
            <w:tcW w:w="4551" w:type="dxa"/>
            <w:tcMar>
              <w:top w:w="161" w:type="dxa"/>
              <w:left w:w="0" w:type="dxa"/>
              <w:bottom w:w="161" w:type="dxa"/>
              <w:right w:w="193" w:type="dxa"/>
            </w:tcMar>
            <w:vAlign w:val="center"/>
          </w:tcPr>
          <w:p w14:paraId="06C56C81">
            <w:pPr>
              <w:widowControl/>
              <w:spacing w:line="360" w:lineRule="auto"/>
              <w:jc w:val="left"/>
              <w:rPr>
                <w:rFonts w:ascii="宋体" w:hAnsi="宋体" w:cs="宋体"/>
                <w:kern w:val="0"/>
                <w:szCs w:val="21"/>
                <w:highlight w:val="none"/>
              </w:rPr>
            </w:pPr>
            <w:r>
              <w:rPr>
                <w:rFonts w:ascii="宋体" w:hAnsi="宋体" w:cs="宋体"/>
                <w:kern w:val="0"/>
                <w:szCs w:val="21"/>
                <w:highlight w:val="none"/>
              </w:rPr>
              <w:t>1. 接指令后按时抵达现场（一般报修2小时内，紧急情况30分钟内）；</w:t>
            </w:r>
            <w:r>
              <w:rPr>
                <w:rFonts w:ascii="宋体" w:hAnsi="宋体" w:cs="宋体"/>
                <w:kern w:val="0"/>
                <w:szCs w:val="21"/>
                <w:highlight w:val="none"/>
              </w:rPr>
              <w:br w:type="textWrapping"/>
            </w:r>
            <w:r>
              <w:rPr>
                <w:rFonts w:ascii="宋体" w:hAnsi="宋体" w:cs="宋体"/>
                <w:kern w:val="0"/>
                <w:szCs w:val="21"/>
                <w:highlight w:val="none"/>
              </w:rPr>
              <w:t>2. 按规定时限完成修复/安装清场（常规病害24小时内，应急任务按甲方要求）；</w:t>
            </w:r>
            <w:r>
              <w:rPr>
                <w:rFonts w:ascii="宋体" w:hAnsi="宋体" w:cs="宋体"/>
                <w:kern w:val="0"/>
                <w:szCs w:val="21"/>
                <w:highlight w:val="none"/>
              </w:rPr>
              <w:br w:type="textWrapping"/>
            </w:r>
            <w:r>
              <w:rPr>
                <w:rFonts w:ascii="宋体" w:hAnsi="宋体" w:cs="宋体"/>
                <w:kern w:val="0"/>
                <w:szCs w:val="21"/>
                <w:highlight w:val="none"/>
              </w:rPr>
              <w:t>3. 工单资料填报真实、完整、及时。</w:t>
            </w:r>
          </w:p>
        </w:tc>
        <w:tc>
          <w:tcPr>
            <w:tcW w:w="3255" w:type="dxa"/>
            <w:tcMar>
              <w:top w:w="161" w:type="dxa"/>
              <w:left w:w="0" w:type="dxa"/>
              <w:bottom w:w="161" w:type="dxa"/>
              <w:right w:w="193" w:type="dxa"/>
            </w:tcMar>
            <w:vAlign w:val="center"/>
          </w:tcPr>
          <w:p w14:paraId="5EE041B7">
            <w:pPr>
              <w:widowControl/>
              <w:spacing w:line="360" w:lineRule="auto"/>
              <w:jc w:val="left"/>
              <w:rPr>
                <w:rFonts w:ascii="宋体" w:hAnsi="宋体" w:cs="宋体"/>
                <w:kern w:val="0"/>
                <w:szCs w:val="21"/>
                <w:highlight w:val="none"/>
              </w:rPr>
            </w:pPr>
            <w:r>
              <w:rPr>
                <w:rFonts w:ascii="宋体" w:hAnsi="宋体" w:cs="宋体"/>
                <w:kern w:val="0"/>
                <w:szCs w:val="21"/>
                <w:highlight w:val="none"/>
              </w:rPr>
              <w:t>超时到场单次扣2分，拒不到场扣5分；逾期未完成单次扣3-7分；资料缺失/虚假填报单次扣1-3分。</w:t>
            </w:r>
          </w:p>
        </w:tc>
      </w:tr>
      <w:tr w14:paraId="2C0F9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98" w:type="dxa"/>
            <w:tcMar>
              <w:top w:w="161" w:type="dxa"/>
              <w:left w:w="0" w:type="dxa"/>
              <w:bottom w:w="161" w:type="dxa"/>
              <w:right w:w="193" w:type="dxa"/>
            </w:tcMar>
            <w:vAlign w:val="center"/>
          </w:tcPr>
          <w:p w14:paraId="02A6F603">
            <w:pPr>
              <w:widowControl/>
              <w:spacing w:line="360" w:lineRule="auto"/>
              <w:jc w:val="left"/>
              <w:rPr>
                <w:rFonts w:ascii="宋体" w:hAnsi="宋体" w:cs="宋体"/>
                <w:kern w:val="0"/>
                <w:szCs w:val="21"/>
                <w:highlight w:val="none"/>
              </w:rPr>
            </w:pPr>
            <w:r>
              <w:rPr>
                <w:rFonts w:ascii="宋体" w:hAnsi="宋体" w:cs="宋体"/>
                <w:b/>
                <w:bCs/>
                <w:kern w:val="0"/>
                <w:szCs w:val="21"/>
                <w:highlight w:val="none"/>
              </w:rPr>
              <w:t>现场环境与垃圾清运</w:t>
            </w:r>
          </w:p>
        </w:tc>
        <w:tc>
          <w:tcPr>
            <w:tcW w:w="850" w:type="dxa"/>
            <w:tcMar>
              <w:top w:w="161" w:type="dxa"/>
              <w:left w:w="0" w:type="dxa"/>
              <w:bottom w:w="161" w:type="dxa"/>
              <w:right w:w="193" w:type="dxa"/>
            </w:tcMar>
            <w:vAlign w:val="center"/>
          </w:tcPr>
          <w:p w14:paraId="5A389234">
            <w:pPr>
              <w:widowControl/>
              <w:spacing w:line="360" w:lineRule="auto"/>
              <w:jc w:val="center"/>
              <w:rPr>
                <w:rFonts w:ascii="宋体" w:hAnsi="宋体" w:cs="宋体"/>
                <w:kern w:val="0"/>
                <w:szCs w:val="21"/>
                <w:highlight w:val="none"/>
              </w:rPr>
            </w:pPr>
            <w:r>
              <w:rPr>
                <w:rFonts w:ascii="宋体" w:hAnsi="宋体" w:cs="宋体"/>
                <w:kern w:val="0"/>
                <w:szCs w:val="21"/>
                <w:highlight w:val="none"/>
              </w:rPr>
              <w:t>10分</w:t>
            </w:r>
          </w:p>
        </w:tc>
        <w:tc>
          <w:tcPr>
            <w:tcW w:w="4551" w:type="dxa"/>
            <w:tcMar>
              <w:top w:w="161" w:type="dxa"/>
              <w:left w:w="0" w:type="dxa"/>
              <w:bottom w:w="161" w:type="dxa"/>
              <w:right w:w="193" w:type="dxa"/>
            </w:tcMar>
            <w:vAlign w:val="center"/>
          </w:tcPr>
          <w:p w14:paraId="474DA8D0">
            <w:pPr>
              <w:widowControl/>
              <w:spacing w:line="360" w:lineRule="auto"/>
              <w:jc w:val="left"/>
              <w:rPr>
                <w:rFonts w:ascii="宋体" w:hAnsi="宋体" w:cs="宋体"/>
                <w:kern w:val="0"/>
                <w:szCs w:val="21"/>
                <w:highlight w:val="none"/>
              </w:rPr>
            </w:pPr>
            <w:r>
              <w:rPr>
                <w:rFonts w:ascii="宋体" w:hAnsi="宋体" w:cs="宋体"/>
                <w:kern w:val="0"/>
                <w:szCs w:val="21"/>
                <w:highlight w:val="none"/>
              </w:rPr>
              <w:t>1. 施工期间落实降尘、降噪措施，无扰民施工；</w:t>
            </w:r>
            <w:r>
              <w:rPr>
                <w:rFonts w:ascii="宋体" w:hAnsi="宋体" w:cs="宋体"/>
                <w:kern w:val="0"/>
                <w:szCs w:val="21"/>
                <w:highlight w:val="none"/>
              </w:rPr>
              <w:br w:type="textWrapping"/>
            </w:r>
            <w:r>
              <w:rPr>
                <w:rFonts w:ascii="宋体" w:hAnsi="宋体" w:cs="宋体"/>
                <w:kern w:val="0"/>
                <w:szCs w:val="21"/>
                <w:highlight w:val="none"/>
              </w:rPr>
              <w:t>2. 建筑垃圾（旧护栏、废料、标线残渣等）及时清运至合规场所，无乱倒、无残留。</w:t>
            </w:r>
          </w:p>
        </w:tc>
        <w:tc>
          <w:tcPr>
            <w:tcW w:w="3255" w:type="dxa"/>
            <w:tcMar>
              <w:top w:w="161" w:type="dxa"/>
              <w:left w:w="0" w:type="dxa"/>
              <w:bottom w:w="161" w:type="dxa"/>
              <w:right w:w="193" w:type="dxa"/>
            </w:tcMar>
            <w:vAlign w:val="center"/>
          </w:tcPr>
          <w:p w14:paraId="09520ED4">
            <w:pPr>
              <w:widowControl/>
              <w:spacing w:line="360" w:lineRule="auto"/>
              <w:jc w:val="left"/>
              <w:rPr>
                <w:rFonts w:ascii="宋体" w:hAnsi="宋体" w:cs="宋体"/>
                <w:kern w:val="0"/>
                <w:szCs w:val="21"/>
                <w:highlight w:val="none"/>
              </w:rPr>
            </w:pPr>
            <w:r>
              <w:rPr>
                <w:rFonts w:ascii="宋体" w:hAnsi="宋体" w:cs="宋体"/>
                <w:kern w:val="0"/>
                <w:szCs w:val="21"/>
                <w:highlight w:val="none"/>
              </w:rPr>
              <w:t>未落实降尘/违规扰民单次扣2分；垃圾残留单次扣3分，随意倾倒本项0分。</w:t>
            </w:r>
          </w:p>
        </w:tc>
      </w:tr>
      <w:tr w14:paraId="5B0D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98" w:type="dxa"/>
            <w:tcMar>
              <w:top w:w="161" w:type="dxa"/>
              <w:left w:w="0" w:type="dxa"/>
              <w:bottom w:w="161" w:type="dxa"/>
              <w:right w:w="193" w:type="dxa"/>
            </w:tcMar>
            <w:vAlign w:val="center"/>
          </w:tcPr>
          <w:p w14:paraId="6D38F9AA">
            <w:pPr>
              <w:widowControl/>
              <w:spacing w:line="360" w:lineRule="auto"/>
              <w:jc w:val="left"/>
              <w:rPr>
                <w:rFonts w:ascii="宋体" w:hAnsi="宋体" w:cs="宋体"/>
                <w:kern w:val="0"/>
                <w:szCs w:val="21"/>
                <w:highlight w:val="none"/>
              </w:rPr>
            </w:pPr>
            <w:r>
              <w:rPr>
                <w:rFonts w:ascii="宋体" w:hAnsi="宋体" w:cs="宋体"/>
                <w:b/>
                <w:bCs/>
                <w:kern w:val="0"/>
                <w:szCs w:val="21"/>
                <w:highlight w:val="none"/>
              </w:rPr>
              <w:t>服务合规与投诉处置</w:t>
            </w:r>
          </w:p>
        </w:tc>
        <w:tc>
          <w:tcPr>
            <w:tcW w:w="850" w:type="dxa"/>
            <w:tcMar>
              <w:top w:w="161" w:type="dxa"/>
              <w:left w:w="0" w:type="dxa"/>
              <w:bottom w:w="161" w:type="dxa"/>
              <w:right w:w="193" w:type="dxa"/>
            </w:tcMar>
            <w:vAlign w:val="center"/>
          </w:tcPr>
          <w:p w14:paraId="3DCEEA77">
            <w:pPr>
              <w:widowControl/>
              <w:spacing w:line="360" w:lineRule="auto"/>
              <w:jc w:val="center"/>
              <w:rPr>
                <w:rFonts w:ascii="宋体" w:hAnsi="宋体" w:cs="宋体"/>
                <w:kern w:val="0"/>
                <w:szCs w:val="21"/>
                <w:highlight w:val="none"/>
              </w:rPr>
            </w:pPr>
            <w:r>
              <w:rPr>
                <w:rFonts w:ascii="宋体" w:hAnsi="宋体" w:cs="宋体"/>
                <w:kern w:val="0"/>
                <w:szCs w:val="21"/>
                <w:highlight w:val="none"/>
              </w:rPr>
              <w:t>10分</w:t>
            </w:r>
          </w:p>
        </w:tc>
        <w:tc>
          <w:tcPr>
            <w:tcW w:w="4551" w:type="dxa"/>
            <w:tcMar>
              <w:top w:w="161" w:type="dxa"/>
              <w:left w:w="0" w:type="dxa"/>
              <w:bottom w:w="161" w:type="dxa"/>
              <w:right w:w="193" w:type="dxa"/>
            </w:tcMar>
            <w:vAlign w:val="center"/>
          </w:tcPr>
          <w:p w14:paraId="4605ACE0">
            <w:pPr>
              <w:widowControl/>
              <w:spacing w:line="360" w:lineRule="auto"/>
              <w:jc w:val="left"/>
              <w:rPr>
                <w:rFonts w:ascii="宋体" w:hAnsi="宋体" w:cs="宋体"/>
                <w:kern w:val="0"/>
                <w:szCs w:val="21"/>
                <w:highlight w:val="none"/>
              </w:rPr>
            </w:pPr>
            <w:r>
              <w:rPr>
                <w:rFonts w:ascii="宋体" w:hAnsi="宋体" w:cs="宋体"/>
                <w:kern w:val="0"/>
                <w:szCs w:val="21"/>
                <w:highlight w:val="none"/>
              </w:rPr>
              <w:t>1. 服从现场交警/城管调度，积极配合核查整改；</w:t>
            </w:r>
            <w:r>
              <w:rPr>
                <w:rFonts w:ascii="宋体" w:hAnsi="宋体" w:cs="宋体"/>
                <w:kern w:val="0"/>
                <w:szCs w:val="21"/>
                <w:highlight w:val="none"/>
              </w:rPr>
              <w:br w:type="textWrapping"/>
            </w:r>
            <w:r>
              <w:rPr>
                <w:rFonts w:ascii="宋体" w:hAnsi="宋体" w:cs="宋体"/>
                <w:kern w:val="0"/>
                <w:szCs w:val="21"/>
                <w:highlight w:val="none"/>
              </w:rPr>
              <w:t>2. 无有效投诉、无舆情，投诉1小时内响应、24小时内处置；</w:t>
            </w:r>
            <w:r>
              <w:rPr>
                <w:rFonts w:ascii="宋体" w:hAnsi="宋体" w:cs="宋体"/>
                <w:kern w:val="0"/>
                <w:szCs w:val="21"/>
                <w:highlight w:val="none"/>
              </w:rPr>
              <w:br w:type="textWrapping"/>
            </w:r>
            <w:r>
              <w:rPr>
                <w:rFonts w:ascii="宋体" w:hAnsi="宋体" w:cs="宋体"/>
                <w:kern w:val="0"/>
                <w:szCs w:val="21"/>
                <w:highlight w:val="none"/>
              </w:rPr>
              <w:t>3. 问题整改按时到位。</w:t>
            </w:r>
          </w:p>
        </w:tc>
        <w:tc>
          <w:tcPr>
            <w:tcW w:w="3255" w:type="dxa"/>
            <w:tcMar>
              <w:top w:w="161" w:type="dxa"/>
              <w:left w:w="0" w:type="dxa"/>
              <w:bottom w:w="161" w:type="dxa"/>
              <w:right w:w="193" w:type="dxa"/>
            </w:tcMar>
            <w:vAlign w:val="center"/>
          </w:tcPr>
          <w:p w14:paraId="62C5D874">
            <w:pPr>
              <w:widowControl/>
              <w:spacing w:line="360" w:lineRule="auto"/>
              <w:jc w:val="left"/>
              <w:rPr>
                <w:rFonts w:ascii="宋体" w:hAnsi="宋体" w:cs="宋体"/>
                <w:kern w:val="0"/>
                <w:szCs w:val="21"/>
                <w:highlight w:val="none"/>
              </w:rPr>
            </w:pPr>
            <w:r>
              <w:rPr>
                <w:rFonts w:ascii="宋体" w:hAnsi="宋体" w:cs="宋体"/>
                <w:kern w:val="0"/>
                <w:szCs w:val="21"/>
                <w:highlight w:val="none"/>
              </w:rPr>
              <w:t>拒不配合调度单次扣2-4分；有效投诉单次扣2分，处置不到位扣4分；整改逾期/不到位单次扣2分。</w:t>
            </w:r>
          </w:p>
        </w:tc>
      </w:tr>
      <w:tr w14:paraId="599E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98" w:type="dxa"/>
            <w:tcMar>
              <w:top w:w="161" w:type="dxa"/>
              <w:left w:w="0" w:type="dxa"/>
              <w:bottom w:w="161" w:type="dxa"/>
              <w:right w:w="193" w:type="dxa"/>
            </w:tcMar>
            <w:vAlign w:val="center"/>
          </w:tcPr>
          <w:p w14:paraId="37C43599">
            <w:pPr>
              <w:widowControl/>
              <w:spacing w:line="360" w:lineRule="auto"/>
              <w:jc w:val="left"/>
              <w:rPr>
                <w:rFonts w:ascii="宋体" w:hAnsi="宋体" w:cs="宋体"/>
                <w:kern w:val="0"/>
                <w:szCs w:val="21"/>
                <w:highlight w:val="none"/>
              </w:rPr>
            </w:pPr>
            <w:r>
              <w:rPr>
                <w:rFonts w:ascii="宋体" w:hAnsi="宋体" w:cs="宋体"/>
                <w:b/>
                <w:bCs/>
                <w:kern w:val="0"/>
                <w:szCs w:val="21"/>
                <w:highlight w:val="none"/>
              </w:rPr>
              <w:t>合计</w:t>
            </w:r>
          </w:p>
        </w:tc>
        <w:tc>
          <w:tcPr>
            <w:tcW w:w="850" w:type="dxa"/>
            <w:tcMar>
              <w:top w:w="161" w:type="dxa"/>
              <w:left w:w="0" w:type="dxa"/>
              <w:bottom w:w="161" w:type="dxa"/>
              <w:right w:w="193" w:type="dxa"/>
            </w:tcMar>
            <w:vAlign w:val="center"/>
          </w:tcPr>
          <w:p w14:paraId="7D48FFBA">
            <w:pPr>
              <w:widowControl/>
              <w:spacing w:line="360" w:lineRule="auto"/>
              <w:jc w:val="center"/>
              <w:rPr>
                <w:rFonts w:ascii="宋体" w:hAnsi="宋体" w:cs="宋体"/>
                <w:kern w:val="0"/>
                <w:szCs w:val="21"/>
                <w:highlight w:val="none"/>
              </w:rPr>
            </w:pPr>
            <w:r>
              <w:rPr>
                <w:rFonts w:ascii="宋体" w:hAnsi="宋体" w:cs="宋体"/>
                <w:b/>
                <w:bCs/>
                <w:kern w:val="0"/>
                <w:szCs w:val="21"/>
                <w:highlight w:val="none"/>
              </w:rPr>
              <w:t>100分</w:t>
            </w:r>
          </w:p>
        </w:tc>
        <w:tc>
          <w:tcPr>
            <w:tcW w:w="4551" w:type="dxa"/>
            <w:tcMar>
              <w:top w:w="161" w:type="dxa"/>
              <w:left w:w="0" w:type="dxa"/>
              <w:bottom w:w="161" w:type="dxa"/>
              <w:right w:w="193" w:type="dxa"/>
            </w:tcMar>
            <w:vAlign w:val="center"/>
          </w:tcPr>
          <w:p w14:paraId="748777E8">
            <w:pPr>
              <w:widowControl/>
              <w:spacing w:line="360" w:lineRule="auto"/>
              <w:jc w:val="left"/>
              <w:rPr>
                <w:rFonts w:ascii="宋体" w:hAnsi="宋体" w:cs="宋体"/>
                <w:kern w:val="0"/>
                <w:szCs w:val="21"/>
                <w:highlight w:val="none"/>
              </w:rPr>
            </w:pPr>
          </w:p>
        </w:tc>
        <w:tc>
          <w:tcPr>
            <w:tcW w:w="3255" w:type="dxa"/>
            <w:tcMar>
              <w:top w:w="161" w:type="dxa"/>
              <w:left w:w="0" w:type="dxa"/>
              <w:bottom w:w="161" w:type="dxa"/>
              <w:right w:w="193" w:type="dxa"/>
            </w:tcMar>
            <w:vAlign w:val="center"/>
          </w:tcPr>
          <w:p w14:paraId="0C0FEA5B">
            <w:pPr>
              <w:widowControl/>
              <w:spacing w:line="360" w:lineRule="auto"/>
              <w:jc w:val="left"/>
              <w:rPr>
                <w:rFonts w:ascii="宋体" w:hAnsi="宋体" w:cs="宋体"/>
                <w:kern w:val="0"/>
                <w:szCs w:val="21"/>
                <w:highlight w:val="none"/>
              </w:rPr>
            </w:pPr>
          </w:p>
        </w:tc>
      </w:tr>
    </w:tbl>
    <w:p w14:paraId="2DF8EBF0">
      <w:pPr>
        <w:widowControl/>
        <w:tabs>
          <w:tab w:val="left" w:pos="993"/>
        </w:tabs>
        <w:spacing w:line="360" w:lineRule="auto"/>
        <w:ind w:firstLine="422" w:firstLineChars="200"/>
        <w:jc w:val="left"/>
        <w:rPr>
          <w:rFonts w:ascii="宋体" w:hAnsi="宋体" w:cs="宋体"/>
          <w:kern w:val="0"/>
          <w:szCs w:val="21"/>
          <w:highlight w:val="none"/>
        </w:rPr>
      </w:pPr>
      <w:r>
        <w:rPr>
          <w:rFonts w:ascii="宋体" w:hAnsi="宋体" w:cs="宋体"/>
          <w:b/>
          <w:bCs/>
          <w:kern w:val="0"/>
          <w:szCs w:val="21"/>
          <w:highlight w:val="none"/>
        </w:rPr>
        <w:t>五、考核结果应用</w:t>
      </w:r>
    </w:p>
    <w:p w14:paraId="418029BC">
      <w:pPr>
        <w:widowControl/>
        <w:numPr>
          <w:ilvl w:val="0"/>
          <w:numId w:val="2"/>
        </w:numPr>
        <w:tabs>
          <w:tab w:val="left" w:pos="993"/>
        </w:tabs>
        <w:spacing w:before="100" w:beforeAutospacing="1" w:after="100" w:afterAutospacing="1" w:line="360" w:lineRule="auto"/>
        <w:ind w:left="0" w:firstLine="422" w:firstLineChars="200"/>
        <w:jc w:val="left"/>
        <w:rPr>
          <w:rFonts w:ascii="宋体" w:hAnsi="宋体" w:cs="宋体"/>
          <w:b/>
          <w:bCs/>
          <w:kern w:val="0"/>
          <w:szCs w:val="21"/>
          <w:highlight w:val="none"/>
        </w:rPr>
      </w:pPr>
      <w:r>
        <w:rPr>
          <w:rFonts w:hint="eastAsia" w:ascii="宋体" w:hAnsi="宋体" w:cs="宋体"/>
          <w:b/>
          <w:bCs/>
          <w:kern w:val="0"/>
          <w:szCs w:val="21"/>
          <w:highlight w:val="none"/>
        </w:rPr>
        <w:t xml:space="preserve">费用核算： </w:t>
      </w:r>
    </w:p>
    <w:p w14:paraId="6CCDD913">
      <w:pPr>
        <w:widowControl/>
        <w:numPr>
          <w:ilvl w:val="1"/>
          <w:numId w:val="2"/>
        </w:numPr>
        <w:tabs>
          <w:tab w:val="left" w:pos="993"/>
        </w:tabs>
        <w:spacing w:before="100" w:beforeAutospacing="1" w:after="100" w:afterAutospacing="1" w:line="360" w:lineRule="auto"/>
        <w:ind w:left="0"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得分≥90分：不扣款，全额支付当月应付服务费。 </w:t>
      </w:r>
    </w:p>
    <w:p w14:paraId="300DAE8E">
      <w:pPr>
        <w:widowControl/>
        <w:numPr>
          <w:ilvl w:val="1"/>
          <w:numId w:val="2"/>
        </w:numPr>
        <w:tabs>
          <w:tab w:val="left" w:pos="993"/>
        </w:tabs>
        <w:spacing w:before="100" w:beforeAutospacing="1" w:after="100" w:afterAutospacing="1" w:line="360" w:lineRule="auto"/>
        <w:ind w:left="0"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80分≤得分＜90分：每扣1分，扣款200元，从当月服务费中扣除。 </w:t>
      </w:r>
    </w:p>
    <w:p w14:paraId="17EE52C8">
      <w:pPr>
        <w:widowControl/>
        <w:numPr>
          <w:ilvl w:val="1"/>
          <w:numId w:val="2"/>
        </w:numPr>
        <w:tabs>
          <w:tab w:val="left" w:pos="993"/>
        </w:tabs>
        <w:spacing w:before="100" w:beforeAutospacing="1" w:after="100" w:afterAutospacing="1" w:line="360" w:lineRule="auto"/>
        <w:ind w:left="0"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70分≤得分＜80分：每扣1分，扣款300元，并约谈项目总负责人。 </w:t>
      </w:r>
    </w:p>
    <w:p w14:paraId="2CEA8A4A">
      <w:pPr>
        <w:widowControl/>
        <w:numPr>
          <w:ilvl w:val="1"/>
          <w:numId w:val="2"/>
        </w:numPr>
        <w:tabs>
          <w:tab w:val="left" w:pos="993"/>
        </w:tabs>
        <w:spacing w:before="100" w:beforeAutospacing="1" w:after="100" w:afterAutospacing="1" w:line="360" w:lineRule="auto"/>
        <w:ind w:left="0"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60分≤得分＜70分：每扣1分，扣款500元，甲方可发书面警告。 </w:t>
      </w:r>
    </w:p>
    <w:p w14:paraId="3CC8053C">
      <w:pPr>
        <w:widowControl/>
        <w:numPr>
          <w:ilvl w:val="1"/>
          <w:numId w:val="2"/>
        </w:numPr>
        <w:tabs>
          <w:tab w:val="left" w:pos="993"/>
        </w:tabs>
        <w:spacing w:before="100" w:beforeAutospacing="1" w:after="100" w:afterAutospacing="1" w:line="360" w:lineRule="auto"/>
        <w:ind w:left="0"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得分＜60分：视为严重违约，甲方有权暂停支付服务费，并追究违约责任，直至解除合同。 </w:t>
      </w:r>
    </w:p>
    <w:p w14:paraId="607DAC28">
      <w:pPr>
        <w:widowControl/>
        <w:numPr>
          <w:ilvl w:val="0"/>
          <w:numId w:val="2"/>
        </w:numPr>
        <w:tabs>
          <w:tab w:val="left" w:pos="993"/>
        </w:tabs>
        <w:spacing w:before="100" w:beforeAutospacing="1" w:after="100" w:afterAutospacing="1" w:line="360" w:lineRule="auto"/>
        <w:ind w:left="0" w:firstLine="422" w:firstLineChars="200"/>
        <w:jc w:val="left"/>
        <w:rPr>
          <w:rFonts w:ascii="宋体" w:hAnsi="宋体" w:cs="宋体"/>
          <w:kern w:val="0"/>
          <w:szCs w:val="21"/>
          <w:highlight w:val="none"/>
        </w:rPr>
      </w:pPr>
      <w:r>
        <w:rPr>
          <w:rFonts w:hint="eastAsia" w:ascii="宋体" w:hAnsi="宋体" w:cs="宋体"/>
          <w:b/>
          <w:bCs/>
          <w:kern w:val="0"/>
          <w:szCs w:val="21"/>
          <w:highlight w:val="none"/>
        </w:rPr>
        <w:t>累计处罚</w:t>
      </w:r>
      <w:r>
        <w:rPr>
          <w:rFonts w:hint="eastAsia" w:ascii="宋体" w:hAnsi="宋体" w:cs="宋体"/>
          <w:kern w:val="0"/>
          <w:szCs w:val="21"/>
          <w:highlight w:val="none"/>
        </w:rPr>
        <w:t xml:space="preserve">： </w:t>
      </w:r>
    </w:p>
    <w:p w14:paraId="504260CF">
      <w:pPr>
        <w:widowControl/>
        <w:numPr>
          <w:ilvl w:val="1"/>
          <w:numId w:val="2"/>
        </w:numPr>
        <w:tabs>
          <w:tab w:val="left" w:pos="993"/>
        </w:tabs>
        <w:spacing w:before="100" w:beforeAutospacing="1" w:after="100" w:afterAutospacing="1" w:line="360" w:lineRule="auto"/>
        <w:ind w:left="0"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当月扣分累计达20分以上，额外扣除1000元；累计达30分以上，额外扣除3000元。 </w:t>
      </w:r>
    </w:p>
    <w:p w14:paraId="1D88BCB8">
      <w:pPr>
        <w:widowControl/>
        <w:numPr>
          <w:ilvl w:val="1"/>
          <w:numId w:val="2"/>
        </w:numPr>
        <w:tabs>
          <w:tab w:val="left" w:pos="993"/>
        </w:tabs>
        <w:spacing w:before="100" w:beforeAutospacing="1" w:after="100" w:afterAutospacing="1" w:line="360" w:lineRule="auto"/>
        <w:ind w:left="0"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连续两个月考核低于70分，甲方可发出黄牌警告；连续三个月考核低于70分，甲方有权解除合同。 </w:t>
      </w:r>
    </w:p>
    <w:p w14:paraId="21BC9851">
      <w:pPr>
        <w:widowControl/>
        <w:tabs>
          <w:tab w:val="left" w:pos="993"/>
        </w:tabs>
        <w:spacing w:line="360" w:lineRule="auto"/>
        <w:ind w:firstLine="422" w:firstLineChars="200"/>
        <w:jc w:val="left"/>
        <w:rPr>
          <w:rFonts w:ascii="宋体" w:hAnsi="宋体" w:cs="宋体"/>
          <w:kern w:val="0"/>
          <w:szCs w:val="21"/>
          <w:highlight w:val="none"/>
        </w:rPr>
      </w:pPr>
      <w:r>
        <w:rPr>
          <w:rFonts w:hint="eastAsia" w:ascii="宋体" w:hAnsi="宋体" w:cs="宋体"/>
          <w:b/>
          <w:bCs/>
          <w:kern w:val="0"/>
          <w:szCs w:val="21"/>
          <w:highlight w:val="none"/>
        </w:rPr>
        <w:t>六、退出机制</w:t>
      </w:r>
      <w:r>
        <w:rPr>
          <w:rFonts w:hint="eastAsia" w:ascii="宋体" w:hAnsi="宋体" w:cs="宋体"/>
          <w:kern w:val="0"/>
          <w:szCs w:val="21"/>
          <w:highlight w:val="none"/>
        </w:rPr>
        <w:t>​</w:t>
      </w:r>
    </w:p>
    <w:p w14:paraId="5B2C1B1D">
      <w:pPr>
        <w:widowControl/>
        <w:tabs>
          <w:tab w:val="left" w:pos="993"/>
        </w:tabs>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乙方出现下列情况之一的，甲方有权解除合同，并列入失信企业名单：</w:t>
      </w:r>
    </w:p>
    <w:p w14:paraId="46191082">
      <w:pPr>
        <w:widowControl/>
        <w:numPr>
          <w:ilvl w:val="0"/>
          <w:numId w:val="3"/>
        </w:numPr>
        <w:tabs>
          <w:tab w:val="left" w:pos="993"/>
        </w:tabs>
        <w:spacing w:before="100" w:beforeAutospacing="1" w:after="100" w:afterAutospacing="1" w:line="360" w:lineRule="auto"/>
        <w:ind w:left="0"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考核得分低于60分且拒不整改； </w:t>
      </w:r>
    </w:p>
    <w:p w14:paraId="4A9B376C">
      <w:pPr>
        <w:widowControl/>
        <w:numPr>
          <w:ilvl w:val="0"/>
          <w:numId w:val="3"/>
        </w:numPr>
        <w:tabs>
          <w:tab w:val="left" w:pos="993"/>
        </w:tabs>
        <w:spacing w:before="100" w:beforeAutospacing="1" w:after="100" w:afterAutospacing="1" w:line="360" w:lineRule="auto"/>
        <w:ind w:left="0"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一年内累计3次以上考核低于70分； </w:t>
      </w:r>
    </w:p>
    <w:p w14:paraId="3FAA0F2A">
      <w:pPr>
        <w:widowControl/>
        <w:numPr>
          <w:ilvl w:val="0"/>
          <w:numId w:val="3"/>
        </w:numPr>
        <w:tabs>
          <w:tab w:val="left" w:pos="993"/>
        </w:tabs>
        <w:spacing w:before="100" w:beforeAutospacing="1" w:after="100" w:afterAutospacing="1" w:line="360" w:lineRule="auto"/>
        <w:ind w:left="0"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发生重大安全责任事故（1人以上死亡或3人以上重伤）并负主要责任； </w:t>
      </w:r>
    </w:p>
    <w:p w14:paraId="7A148B6E">
      <w:pPr>
        <w:widowControl/>
        <w:numPr>
          <w:ilvl w:val="0"/>
          <w:numId w:val="3"/>
        </w:numPr>
        <w:tabs>
          <w:tab w:val="left" w:pos="993"/>
        </w:tabs>
        <w:spacing w:before="100" w:beforeAutospacing="1" w:after="100" w:afterAutospacing="1" w:line="360" w:lineRule="auto"/>
        <w:ind w:left="0"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将项目转包、违法分包或交由个人承包； </w:t>
      </w:r>
    </w:p>
    <w:p w14:paraId="0135FE9D">
      <w:pPr>
        <w:widowControl/>
        <w:numPr>
          <w:ilvl w:val="0"/>
          <w:numId w:val="3"/>
        </w:numPr>
        <w:tabs>
          <w:tab w:val="left" w:pos="993"/>
        </w:tabs>
        <w:spacing w:before="100" w:beforeAutospacing="1" w:after="100" w:afterAutospacing="1" w:line="360" w:lineRule="auto"/>
        <w:ind w:left="0"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弄虚作假（如提供虚假维修记录、材料合格证明等）； </w:t>
      </w:r>
    </w:p>
    <w:p w14:paraId="0F75860F">
      <w:pPr>
        <w:widowControl/>
        <w:numPr>
          <w:ilvl w:val="0"/>
          <w:numId w:val="3"/>
        </w:numPr>
        <w:tabs>
          <w:tab w:val="left" w:pos="993"/>
        </w:tabs>
        <w:spacing w:before="100" w:beforeAutospacing="1" w:after="100" w:afterAutospacing="1" w:line="360" w:lineRule="auto"/>
        <w:ind w:left="0"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因管理不善引发群体性投诉或上访事件； </w:t>
      </w:r>
    </w:p>
    <w:p w14:paraId="2AA4A9B2">
      <w:pPr>
        <w:widowControl/>
        <w:numPr>
          <w:ilvl w:val="0"/>
          <w:numId w:val="3"/>
        </w:numPr>
        <w:tabs>
          <w:tab w:val="left" w:pos="993"/>
        </w:tabs>
        <w:spacing w:before="100" w:beforeAutospacing="1" w:after="100" w:afterAutospacing="1" w:line="360" w:lineRule="auto"/>
        <w:ind w:left="0"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招标文件或合同约定的其他解除情形。 </w:t>
      </w:r>
    </w:p>
    <w:p w14:paraId="6E75B5C4">
      <w:pPr>
        <w:widowControl/>
        <w:tabs>
          <w:tab w:val="left" w:pos="993"/>
        </w:tabs>
        <w:spacing w:before="100" w:beforeAutospacing="1" w:after="100" w:afterAutospacing="1" w:line="360" w:lineRule="auto"/>
        <w:jc w:val="left"/>
        <w:rPr>
          <w:rFonts w:ascii="宋体" w:hAnsi="宋体" w:cs="宋体"/>
          <w:kern w:val="0"/>
          <w:szCs w:val="21"/>
          <w:highlight w:val="none"/>
        </w:rPr>
      </w:pPr>
    </w:p>
    <w:p w14:paraId="4CC6BFDA">
      <w:pPr>
        <w:widowControl/>
        <w:tabs>
          <w:tab w:val="left" w:pos="993"/>
        </w:tabs>
        <w:spacing w:before="100" w:beforeAutospacing="1" w:after="100" w:afterAutospacing="1" w:line="360" w:lineRule="auto"/>
        <w:jc w:val="left"/>
        <w:rPr>
          <w:rFonts w:ascii="宋体" w:hAnsi="宋体" w:cs="宋体"/>
          <w:kern w:val="0"/>
          <w:szCs w:val="21"/>
          <w:highlight w:val="none"/>
        </w:rPr>
      </w:pPr>
    </w:p>
    <w:p w14:paraId="76329322">
      <w:pPr>
        <w:widowControl/>
        <w:tabs>
          <w:tab w:val="left" w:pos="993"/>
        </w:tabs>
        <w:spacing w:before="100" w:beforeAutospacing="1" w:after="100" w:afterAutospacing="1" w:line="360" w:lineRule="auto"/>
        <w:jc w:val="left"/>
        <w:rPr>
          <w:rFonts w:ascii="宋体" w:hAnsi="宋体" w:cs="宋体"/>
          <w:kern w:val="0"/>
          <w:szCs w:val="21"/>
          <w:highlight w:val="none"/>
        </w:rPr>
      </w:pPr>
    </w:p>
    <w:p w14:paraId="7DB2024C">
      <w:pPr>
        <w:widowControl/>
        <w:tabs>
          <w:tab w:val="left" w:pos="993"/>
        </w:tabs>
        <w:spacing w:before="100" w:beforeAutospacing="1" w:after="100" w:afterAutospacing="1" w:line="360" w:lineRule="auto"/>
        <w:jc w:val="left"/>
        <w:rPr>
          <w:rFonts w:ascii="宋体" w:hAnsi="宋体" w:cs="宋体"/>
          <w:kern w:val="0"/>
          <w:szCs w:val="21"/>
          <w:highlight w:val="none"/>
        </w:rPr>
      </w:pPr>
    </w:p>
    <w:p w14:paraId="6A2CF787">
      <w:pPr>
        <w:widowControl/>
        <w:tabs>
          <w:tab w:val="left" w:pos="993"/>
        </w:tabs>
        <w:spacing w:before="100" w:beforeAutospacing="1" w:after="100" w:afterAutospacing="1" w:line="360" w:lineRule="auto"/>
        <w:jc w:val="left"/>
        <w:rPr>
          <w:rFonts w:ascii="宋体" w:hAnsi="宋体" w:cs="宋体"/>
          <w:kern w:val="0"/>
          <w:szCs w:val="21"/>
          <w:highlight w:val="none"/>
        </w:rPr>
      </w:pPr>
    </w:p>
    <w:p w14:paraId="46C14677">
      <w:pPr>
        <w:widowControl/>
        <w:tabs>
          <w:tab w:val="left" w:pos="993"/>
        </w:tabs>
        <w:spacing w:before="100" w:beforeAutospacing="1" w:after="100" w:afterAutospacing="1" w:line="360" w:lineRule="auto"/>
        <w:jc w:val="left"/>
        <w:rPr>
          <w:rFonts w:ascii="宋体" w:hAnsi="宋体" w:cs="宋体"/>
          <w:kern w:val="0"/>
          <w:szCs w:val="21"/>
          <w:highlight w:val="none"/>
        </w:rPr>
      </w:pPr>
    </w:p>
    <w:p w14:paraId="4133B174">
      <w:pPr>
        <w:widowControl/>
        <w:tabs>
          <w:tab w:val="left" w:pos="993"/>
        </w:tabs>
        <w:spacing w:before="100" w:beforeAutospacing="1" w:after="100" w:afterAutospacing="1" w:line="360" w:lineRule="auto"/>
        <w:jc w:val="left"/>
        <w:rPr>
          <w:rFonts w:ascii="宋体" w:hAnsi="宋体" w:cs="宋体"/>
          <w:kern w:val="0"/>
          <w:szCs w:val="21"/>
          <w:highlight w:val="none"/>
        </w:rPr>
      </w:pPr>
    </w:p>
    <w:p w14:paraId="0A0ED225">
      <w:pPr>
        <w:spacing w:line="360" w:lineRule="auto"/>
        <w:rPr>
          <w:szCs w:val="21"/>
          <w:highlight w:val="none"/>
        </w:rPr>
      </w:pPr>
    </w:p>
    <w:p w14:paraId="4B2B6139">
      <w:pPr>
        <w:pStyle w:val="7"/>
        <w:rPr>
          <w:rFonts w:ascii="宋体" w:hAnsi="宋体"/>
          <w:highlight w:val="none"/>
        </w:rPr>
      </w:pPr>
      <w:r>
        <w:rPr>
          <w:rFonts w:hint="eastAsia"/>
          <w:highlight w:val="none"/>
        </w:rPr>
        <w:t>9、城市保安管理和考核办法</w:t>
      </w:r>
    </w:p>
    <w:p w14:paraId="5A3D93E8">
      <w:pPr>
        <w:spacing w:line="360" w:lineRule="auto"/>
        <w:ind w:firstLine="422" w:firstLineChars="201"/>
        <w:jc w:val="left"/>
        <w:rPr>
          <w:rFonts w:ascii="宋体" w:hAnsi="宋体" w:cs="宋体"/>
          <w:kern w:val="0"/>
          <w:szCs w:val="21"/>
          <w:highlight w:val="none"/>
          <w:lang w:val="zh-CN"/>
        </w:rPr>
      </w:pPr>
      <w:r>
        <w:rPr>
          <w:rFonts w:hint="eastAsia" w:ascii="宋体" w:hAnsi="宋体" w:cs="宋体"/>
          <w:kern w:val="0"/>
          <w:szCs w:val="21"/>
          <w:highlight w:val="none"/>
          <w:lang w:val="zh-CN"/>
        </w:rPr>
        <w:t>队伍管理人员负责日常管理及每日考核工作，考核小组将定期或不定期进行抽查，检查记录通报中标单位相关负责人，并由中标单位按考核情况进行服务反馈。服务人员考核标准见附表，扣分记录计入考核评分中。</w:t>
      </w:r>
    </w:p>
    <w:p w14:paraId="07602113">
      <w:pPr>
        <w:spacing w:line="360" w:lineRule="auto"/>
        <w:ind w:firstLine="422" w:firstLineChars="201"/>
        <w:rPr>
          <w:rFonts w:ascii="宋体" w:hAnsi="宋体" w:cs="宋体"/>
          <w:kern w:val="0"/>
          <w:szCs w:val="21"/>
          <w:highlight w:val="none"/>
          <w:lang w:val="zh-CN"/>
        </w:rPr>
      </w:pPr>
      <w:r>
        <w:rPr>
          <w:rFonts w:hint="eastAsia" w:ascii="宋体" w:hAnsi="宋体" w:cs="宋体"/>
          <w:kern w:val="0"/>
          <w:szCs w:val="21"/>
          <w:highlight w:val="none"/>
          <w:lang w:val="zh-CN"/>
        </w:rPr>
        <w:t>附表：考核扣分细则</w:t>
      </w:r>
    </w:p>
    <w:tbl>
      <w:tblPr>
        <w:tblStyle w:val="9"/>
        <w:tblW w:w="950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7655"/>
        <w:gridCol w:w="1050"/>
      </w:tblGrid>
      <w:tr w14:paraId="0B81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799" w:type="dxa"/>
            <w:tcBorders>
              <w:top w:val="single" w:color="auto" w:sz="4" w:space="0"/>
              <w:left w:val="single" w:color="auto" w:sz="4" w:space="0"/>
              <w:bottom w:val="single" w:color="auto" w:sz="4" w:space="0"/>
              <w:right w:val="single" w:color="auto" w:sz="4" w:space="0"/>
            </w:tcBorders>
            <w:vAlign w:val="center"/>
          </w:tcPr>
          <w:p w14:paraId="0DE177B3">
            <w:pPr>
              <w:spacing w:before="240" w:line="360" w:lineRule="auto"/>
              <w:jc w:val="center"/>
              <w:rPr>
                <w:rFonts w:ascii="宋体" w:hAnsi="宋体" w:cs="宋体"/>
                <w:kern w:val="0"/>
                <w:szCs w:val="21"/>
                <w:highlight w:val="none"/>
                <w:lang w:val="zh-CN"/>
              </w:rPr>
            </w:pPr>
            <w:r>
              <w:rPr>
                <w:rFonts w:hint="eastAsia" w:ascii="宋体" w:hAnsi="宋体" w:cs="宋体"/>
                <w:kern w:val="0"/>
                <w:szCs w:val="21"/>
                <w:highlight w:val="none"/>
                <w:lang w:val="zh-CN"/>
              </w:rPr>
              <w:t>序号</w:t>
            </w:r>
          </w:p>
        </w:tc>
        <w:tc>
          <w:tcPr>
            <w:tcW w:w="7655" w:type="dxa"/>
            <w:tcBorders>
              <w:top w:val="single" w:color="auto" w:sz="4" w:space="0"/>
              <w:left w:val="single" w:color="auto" w:sz="4" w:space="0"/>
              <w:bottom w:val="single" w:color="auto" w:sz="4" w:space="0"/>
              <w:right w:val="single" w:color="auto" w:sz="4" w:space="0"/>
            </w:tcBorders>
            <w:vAlign w:val="center"/>
          </w:tcPr>
          <w:p w14:paraId="1DB9BE6F">
            <w:pPr>
              <w:spacing w:before="240" w:line="360" w:lineRule="auto"/>
              <w:jc w:val="center"/>
              <w:rPr>
                <w:rFonts w:ascii="宋体" w:hAnsi="宋体" w:cs="宋体"/>
                <w:kern w:val="0"/>
                <w:szCs w:val="21"/>
                <w:highlight w:val="none"/>
                <w:lang w:val="zh-CN"/>
              </w:rPr>
            </w:pPr>
            <w:r>
              <w:rPr>
                <w:rFonts w:hint="eastAsia" w:ascii="宋体" w:hAnsi="宋体" w:cs="宋体"/>
                <w:kern w:val="0"/>
                <w:szCs w:val="21"/>
                <w:highlight w:val="none"/>
                <w:lang w:val="zh-CN"/>
              </w:rPr>
              <w:t>考核内容</w:t>
            </w:r>
          </w:p>
        </w:tc>
        <w:tc>
          <w:tcPr>
            <w:tcW w:w="1050" w:type="dxa"/>
            <w:tcBorders>
              <w:top w:val="single" w:color="auto" w:sz="4" w:space="0"/>
              <w:left w:val="single" w:color="auto" w:sz="4" w:space="0"/>
              <w:bottom w:val="single" w:color="auto" w:sz="4" w:space="0"/>
              <w:right w:val="single" w:color="auto" w:sz="4" w:space="0"/>
            </w:tcBorders>
            <w:vAlign w:val="bottom"/>
          </w:tcPr>
          <w:p w14:paraId="79CB68D6">
            <w:pPr>
              <w:spacing w:line="360" w:lineRule="auto"/>
              <w:jc w:val="center"/>
              <w:rPr>
                <w:rFonts w:ascii="宋体" w:hAnsi="宋体" w:cs="宋体"/>
                <w:kern w:val="0"/>
                <w:szCs w:val="21"/>
                <w:highlight w:val="none"/>
                <w:lang w:val="zh-CN"/>
              </w:rPr>
            </w:pPr>
            <w:r>
              <w:rPr>
                <w:rFonts w:hint="eastAsia" w:ascii="宋体" w:hAnsi="宋体" w:cs="宋体"/>
                <w:kern w:val="0"/>
                <w:szCs w:val="21"/>
                <w:highlight w:val="none"/>
                <w:lang w:val="zh-CN"/>
              </w:rPr>
              <w:t>扣分</w:t>
            </w:r>
          </w:p>
        </w:tc>
      </w:tr>
      <w:tr w14:paraId="1DE1F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99" w:type="dxa"/>
            <w:tcBorders>
              <w:top w:val="single" w:color="auto" w:sz="4" w:space="0"/>
              <w:left w:val="single" w:color="auto" w:sz="4" w:space="0"/>
              <w:bottom w:val="single" w:color="auto" w:sz="4" w:space="0"/>
              <w:right w:val="single" w:color="auto" w:sz="4" w:space="0"/>
            </w:tcBorders>
            <w:vAlign w:val="center"/>
          </w:tcPr>
          <w:p w14:paraId="0C14F2CF">
            <w:pPr>
              <w:spacing w:line="360" w:lineRule="auto"/>
              <w:jc w:val="center"/>
              <w:rPr>
                <w:rFonts w:ascii="宋体" w:hAnsi="宋体" w:cs="宋体"/>
                <w:kern w:val="0"/>
                <w:szCs w:val="21"/>
                <w:highlight w:val="none"/>
              </w:rPr>
            </w:pPr>
            <w:r>
              <w:rPr>
                <w:rFonts w:hint="eastAsia" w:ascii="宋体" w:hAnsi="宋体" w:cs="宋体"/>
                <w:kern w:val="0"/>
                <w:szCs w:val="21"/>
                <w:highlight w:val="none"/>
              </w:rPr>
              <w:t>1</w:t>
            </w:r>
          </w:p>
        </w:tc>
        <w:tc>
          <w:tcPr>
            <w:tcW w:w="7655" w:type="dxa"/>
            <w:tcBorders>
              <w:top w:val="single" w:color="auto" w:sz="4" w:space="0"/>
              <w:left w:val="single" w:color="auto" w:sz="4" w:space="0"/>
              <w:bottom w:val="single" w:color="auto" w:sz="4" w:space="0"/>
              <w:right w:val="single" w:color="auto" w:sz="4" w:space="0"/>
            </w:tcBorders>
            <w:vAlign w:val="center"/>
          </w:tcPr>
          <w:p w14:paraId="1AB3B1E3">
            <w:pPr>
              <w:spacing w:before="240" w:line="360" w:lineRule="auto"/>
              <w:rPr>
                <w:rFonts w:ascii="宋体" w:hAnsi="宋体" w:cs="宋体"/>
                <w:kern w:val="0"/>
                <w:szCs w:val="21"/>
                <w:highlight w:val="none"/>
                <w:lang w:val="zh-CN"/>
              </w:rPr>
            </w:pPr>
            <w:r>
              <w:rPr>
                <w:rFonts w:hint="eastAsia" w:ascii="宋体" w:hAnsi="宋体" w:cs="宋体"/>
                <w:kern w:val="0"/>
                <w:szCs w:val="21"/>
                <w:highlight w:val="none"/>
                <w:lang w:val="zh-CN"/>
              </w:rPr>
              <w:t>执勤时衣着不得体、未穿制服或混穿其他服装、未佩戴必要装备。</w:t>
            </w:r>
          </w:p>
        </w:tc>
        <w:tc>
          <w:tcPr>
            <w:tcW w:w="1050" w:type="dxa"/>
            <w:tcBorders>
              <w:top w:val="single" w:color="auto" w:sz="4" w:space="0"/>
              <w:left w:val="single" w:color="auto" w:sz="4" w:space="0"/>
              <w:bottom w:val="single" w:color="auto" w:sz="4" w:space="0"/>
              <w:right w:val="single" w:color="auto" w:sz="4" w:space="0"/>
            </w:tcBorders>
            <w:vAlign w:val="center"/>
          </w:tcPr>
          <w:p w14:paraId="7ABC1E43">
            <w:pPr>
              <w:spacing w:line="360" w:lineRule="auto"/>
              <w:jc w:val="center"/>
              <w:rPr>
                <w:rFonts w:ascii="宋体" w:hAnsi="宋体" w:cs="宋体"/>
                <w:kern w:val="0"/>
                <w:szCs w:val="21"/>
                <w:highlight w:val="none"/>
              </w:rPr>
            </w:pPr>
            <w:r>
              <w:rPr>
                <w:rFonts w:hint="eastAsia" w:ascii="宋体" w:hAnsi="宋体" w:cs="宋体"/>
                <w:kern w:val="0"/>
                <w:szCs w:val="21"/>
                <w:highlight w:val="none"/>
              </w:rPr>
              <w:t>5分</w:t>
            </w:r>
          </w:p>
        </w:tc>
      </w:tr>
      <w:tr w14:paraId="34DFE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799" w:type="dxa"/>
            <w:vAlign w:val="center"/>
          </w:tcPr>
          <w:p w14:paraId="00E12A25">
            <w:pPr>
              <w:spacing w:line="360" w:lineRule="auto"/>
              <w:jc w:val="center"/>
              <w:rPr>
                <w:rFonts w:ascii="宋体" w:hAnsi="宋体" w:cs="宋体"/>
                <w:kern w:val="0"/>
                <w:szCs w:val="21"/>
                <w:highlight w:val="none"/>
              </w:rPr>
            </w:pPr>
            <w:r>
              <w:rPr>
                <w:rFonts w:hint="eastAsia" w:ascii="宋体" w:hAnsi="宋体" w:cs="宋体"/>
                <w:kern w:val="0"/>
                <w:szCs w:val="21"/>
                <w:highlight w:val="none"/>
              </w:rPr>
              <w:t>2</w:t>
            </w:r>
          </w:p>
        </w:tc>
        <w:tc>
          <w:tcPr>
            <w:tcW w:w="7655" w:type="dxa"/>
            <w:vAlign w:val="center"/>
          </w:tcPr>
          <w:p w14:paraId="591A80D7">
            <w:pPr>
              <w:spacing w:line="360" w:lineRule="auto"/>
              <w:rPr>
                <w:rFonts w:ascii="宋体" w:hAnsi="宋体" w:cs="宋体"/>
                <w:kern w:val="0"/>
                <w:szCs w:val="21"/>
                <w:highlight w:val="none"/>
                <w:lang w:val="zh-CN"/>
              </w:rPr>
            </w:pPr>
            <w:r>
              <w:rPr>
                <w:rFonts w:hint="eastAsia" w:ascii="宋体" w:hAnsi="宋体" w:cs="宋体"/>
                <w:kern w:val="0"/>
                <w:szCs w:val="21"/>
                <w:highlight w:val="none"/>
                <w:lang w:val="zh-CN"/>
              </w:rPr>
              <w:t>仪容仪表不符合标准，留长头发、长胡须、长指甲、染发、佩戴首饰的。</w:t>
            </w:r>
          </w:p>
        </w:tc>
        <w:tc>
          <w:tcPr>
            <w:tcW w:w="1050" w:type="dxa"/>
            <w:vAlign w:val="center"/>
          </w:tcPr>
          <w:p w14:paraId="68CDA92C">
            <w:pPr>
              <w:spacing w:line="360" w:lineRule="auto"/>
              <w:jc w:val="center"/>
              <w:rPr>
                <w:rFonts w:ascii="宋体" w:hAnsi="宋体" w:cs="宋体"/>
                <w:szCs w:val="21"/>
                <w:highlight w:val="none"/>
              </w:rPr>
            </w:pPr>
            <w:r>
              <w:rPr>
                <w:rFonts w:hint="eastAsia" w:ascii="宋体" w:hAnsi="宋体" w:cs="宋体"/>
                <w:szCs w:val="21"/>
                <w:highlight w:val="none"/>
              </w:rPr>
              <w:t>5</w:t>
            </w:r>
            <w:r>
              <w:rPr>
                <w:rFonts w:hint="eastAsia" w:ascii="宋体" w:hAnsi="宋体" w:cs="宋体"/>
                <w:kern w:val="0"/>
                <w:szCs w:val="21"/>
                <w:highlight w:val="none"/>
              </w:rPr>
              <w:t>分</w:t>
            </w:r>
          </w:p>
        </w:tc>
      </w:tr>
      <w:tr w14:paraId="214B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99" w:type="dxa"/>
            <w:vAlign w:val="center"/>
          </w:tcPr>
          <w:p w14:paraId="0C85D434">
            <w:pPr>
              <w:spacing w:line="360" w:lineRule="auto"/>
              <w:jc w:val="center"/>
              <w:rPr>
                <w:rFonts w:ascii="宋体" w:hAnsi="宋体" w:cs="宋体"/>
                <w:kern w:val="0"/>
                <w:szCs w:val="21"/>
                <w:highlight w:val="none"/>
              </w:rPr>
            </w:pPr>
            <w:r>
              <w:rPr>
                <w:rFonts w:hint="eastAsia" w:ascii="宋体" w:hAnsi="宋体" w:cs="宋体"/>
                <w:kern w:val="0"/>
                <w:szCs w:val="21"/>
                <w:highlight w:val="none"/>
              </w:rPr>
              <w:t>3</w:t>
            </w:r>
          </w:p>
        </w:tc>
        <w:tc>
          <w:tcPr>
            <w:tcW w:w="7655" w:type="dxa"/>
            <w:vAlign w:val="center"/>
          </w:tcPr>
          <w:p w14:paraId="052A8D76">
            <w:pPr>
              <w:spacing w:line="360" w:lineRule="auto"/>
              <w:rPr>
                <w:rFonts w:ascii="宋体" w:hAnsi="宋体" w:cs="宋体"/>
                <w:kern w:val="0"/>
                <w:szCs w:val="21"/>
                <w:highlight w:val="none"/>
                <w:lang w:val="zh-CN"/>
              </w:rPr>
            </w:pPr>
            <w:r>
              <w:rPr>
                <w:rFonts w:hint="eastAsia" w:ascii="宋体" w:hAnsi="宋体" w:cs="宋体"/>
                <w:kern w:val="0"/>
                <w:szCs w:val="21"/>
                <w:highlight w:val="none"/>
                <w:lang w:val="zh-CN"/>
              </w:rPr>
              <w:t>在岗期间吸烟、吃东西、睡觉、玩手机等与工作无关的。</w:t>
            </w:r>
          </w:p>
        </w:tc>
        <w:tc>
          <w:tcPr>
            <w:tcW w:w="1050" w:type="dxa"/>
            <w:vAlign w:val="center"/>
          </w:tcPr>
          <w:p w14:paraId="4C818EAE">
            <w:pPr>
              <w:spacing w:line="360" w:lineRule="auto"/>
              <w:jc w:val="center"/>
              <w:rPr>
                <w:rFonts w:ascii="宋体" w:hAnsi="宋体" w:cs="宋体"/>
                <w:szCs w:val="21"/>
                <w:highlight w:val="none"/>
              </w:rPr>
            </w:pPr>
            <w:r>
              <w:rPr>
                <w:rFonts w:hint="eastAsia" w:ascii="宋体" w:hAnsi="宋体" w:cs="宋体"/>
                <w:szCs w:val="21"/>
                <w:highlight w:val="none"/>
              </w:rPr>
              <w:t>5</w:t>
            </w:r>
            <w:r>
              <w:rPr>
                <w:rFonts w:hint="eastAsia" w:ascii="宋体" w:hAnsi="宋体" w:cs="宋体"/>
                <w:kern w:val="0"/>
                <w:szCs w:val="21"/>
                <w:highlight w:val="none"/>
              </w:rPr>
              <w:t>分</w:t>
            </w:r>
          </w:p>
        </w:tc>
      </w:tr>
      <w:tr w14:paraId="01BB3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799" w:type="dxa"/>
            <w:vAlign w:val="center"/>
          </w:tcPr>
          <w:p w14:paraId="69739571">
            <w:pPr>
              <w:spacing w:line="360" w:lineRule="auto"/>
              <w:jc w:val="center"/>
              <w:rPr>
                <w:rFonts w:ascii="宋体" w:hAnsi="宋体" w:cs="宋体"/>
                <w:kern w:val="0"/>
                <w:szCs w:val="21"/>
                <w:highlight w:val="none"/>
              </w:rPr>
            </w:pPr>
            <w:r>
              <w:rPr>
                <w:rFonts w:hint="eastAsia" w:ascii="宋体" w:hAnsi="宋体" w:cs="宋体"/>
                <w:kern w:val="0"/>
                <w:szCs w:val="21"/>
                <w:highlight w:val="none"/>
              </w:rPr>
              <w:t>4</w:t>
            </w:r>
          </w:p>
        </w:tc>
        <w:tc>
          <w:tcPr>
            <w:tcW w:w="7655" w:type="dxa"/>
            <w:vAlign w:val="center"/>
          </w:tcPr>
          <w:p w14:paraId="1239120E">
            <w:pPr>
              <w:spacing w:line="360" w:lineRule="auto"/>
              <w:rPr>
                <w:rFonts w:ascii="宋体" w:hAnsi="宋体" w:cs="宋体"/>
                <w:kern w:val="0"/>
                <w:szCs w:val="21"/>
                <w:highlight w:val="none"/>
                <w:lang w:val="zh-CN"/>
              </w:rPr>
            </w:pPr>
            <w:r>
              <w:rPr>
                <w:rFonts w:hint="eastAsia" w:ascii="宋体" w:hAnsi="宋体" w:cs="宋体"/>
                <w:kern w:val="0"/>
                <w:szCs w:val="21"/>
                <w:highlight w:val="none"/>
                <w:lang w:val="zh-CN"/>
              </w:rPr>
              <w:t>在岗期间</w:t>
            </w:r>
            <w:r>
              <w:rPr>
                <w:rFonts w:hint="eastAsia" w:ascii="宋体" w:hAnsi="宋体" w:cs="宋体"/>
                <w:szCs w:val="21"/>
                <w:highlight w:val="none"/>
              </w:rPr>
              <w:t>擅自离开岗位，到沿街店面、花坛等非工作区域休息的。</w:t>
            </w:r>
          </w:p>
        </w:tc>
        <w:tc>
          <w:tcPr>
            <w:tcW w:w="1050" w:type="dxa"/>
            <w:vAlign w:val="center"/>
          </w:tcPr>
          <w:p w14:paraId="32765C2F">
            <w:pPr>
              <w:spacing w:line="360" w:lineRule="auto"/>
              <w:jc w:val="center"/>
              <w:rPr>
                <w:rFonts w:ascii="宋体" w:hAnsi="宋体" w:cs="宋体"/>
                <w:szCs w:val="21"/>
                <w:highlight w:val="none"/>
              </w:rPr>
            </w:pPr>
            <w:r>
              <w:rPr>
                <w:rFonts w:hint="eastAsia" w:ascii="宋体" w:hAnsi="宋体" w:cs="宋体"/>
                <w:szCs w:val="21"/>
                <w:highlight w:val="none"/>
              </w:rPr>
              <w:t>5</w:t>
            </w:r>
            <w:r>
              <w:rPr>
                <w:rFonts w:hint="eastAsia" w:ascii="宋体" w:hAnsi="宋体" w:cs="宋体"/>
                <w:kern w:val="0"/>
                <w:szCs w:val="21"/>
                <w:highlight w:val="none"/>
              </w:rPr>
              <w:t>分</w:t>
            </w:r>
          </w:p>
        </w:tc>
      </w:tr>
      <w:tr w14:paraId="1BC3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799" w:type="dxa"/>
            <w:vAlign w:val="center"/>
          </w:tcPr>
          <w:p w14:paraId="06B7D9BD">
            <w:pPr>
              <w:spacing w:line="360" w:lineRule="auto"/>
              <w:jc w:val="center"/>
              <w:rPr>
                <w:rFonts w:ascii="宋体" w:hAnsi="宋体" w:cs="宋体"/>
                <w:kern w:val="0"/>
                <w:szCs w:val="21"/>
                <w:highlight w:val="none"/>
              </w:rPr>
            </w:pPr>
            <w:r>
              <w:rPr>
                <w:rFonts w:hint="eastAsia" w:ascii="宋体" w:hAnsi="宋体" w:cs="宋体"/>
                <w:kern w:val="0"/>
                <w:szCs w:val="21"/>
                <w:highlight w:val="none"/>
              </w:rPr>
              <w:t>5</w:t>
            </w:r>
          </w:p>
        </w:tc>
        <w:tc>
          <w:tcPr>
            <w:tcW w:w="7655" w:type="dxa"/>
            <w:vAlign w:val="center"/>
          </w:tcPr>
          <w:p w14:paraId="5628EB9F">
            <w:pPr>
              <w:spacing w:line="360" w:lineRule="auto"/>
              <w:rPr>
                <w:rFonts w:ascii="宋体" w:hAnsi="宋体" w:cs="宋体"/>
                <w:kern w:val="0"/>
                <w:szCs w:val="21"/>
                <w:highlight w:val="none"/>
                <w:lang w:val="zh-CN"/>
              </w:rPr>
            </w:pPr>
            <w:r>
              <w:rPr>
                <w:rFonts w:hint="eastAsia" w:ascii="宋体" w:hAnsi="宋体" w:cs="宋体"/>
                <w:kern w:val="0"/>
                <w:szCs w:val="21"/>
                <w:highlight w:val="none"/>
                <w:lang w:val="zh-CN"/>
              </w:rPr>
              <w:t>在岗期间</w:t>
            </w:r>
            <w:r>
              <w:rPr>
                <w:rFonts w:hint="eastAsia" w:ascii="宋体" w:hAnsi="宋体" w:cs="宋体"/>
                <w:szCs w:val="21"/>
                <w:highlight w:val="none"/>
              </w:rPr>
              <w:t>无故脱岗、串岗、闲聊、吸烟、睡觉、嬉笑打闹、将手插入口袋、背手、挽臂揽腰巡逻的。</w:t>
            </w:r>
          </w:p>
        </w:tc>
        <w:tc>
          <w:tcPr>
            <w:tcW w:w="1050" w:type="dxa"/>
            <w:vAlign w:val="center"/>
          </w:tcPr>
          <w:p w14:paraId="7AE419ED">
            <w:pPr>
              <w:spacing w:line="360" w:lineRule="auto"/>
              <w:jc w:val="center"/>
              <w:rPr>
                <w:rFonts w:ascii="宋体" w:hAnsi="宋体" w:cs="宋体"/>
                <w:szCs w:val="21"/>
                <w:highlight w:val="none"/>
              </w:rPr>
            </w:pPr>
            <w:r>
              <w:rPr>
                <w:rFonts w:hint="eastAsia" w:ascii="宋体" w:hAnsi="宋体" w:cs="宋体"/>
                <w:szCs w:val="21"/>
                <w:highlight w:val="none"/>
              </w:rPr>
              <w:t>5</w:t>
            </w:r>
            <w:r>
              <w:rPr>
                <w:rFonts w:hint="eastAsia" w:ascii="宋体" w:hAnsi="宋体" w:cs="宋体"/>
                <w:kern w:val="0"/>
                <w:szCs w:val="21"/>
                <w:highlight w:val="none"/>
              </w:rPr>
              <w:t>分</w:t>
            </w:r>
          </w:p>
        </w:tc>
      </w:tr>
      <w:tr w14:paraId="51FA2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799" w:type="dxa"/>
            <w:vAlign w:val="center"/>
          </w:tcPr>
          <w:p w14:paraId="3841E324">
            <w:pPr>
              <w:spacing w:line="360" w:lineRule="auto"/>
              <w:jc w:val="center"/>
              <w:rPr>
                <w:rFonts w:ascii="宋体" w:hAnsi="宋体" w:cs="宋体"/>
                <w:kern w:val="0"/>
                <w:szCs w:val="21"/>
                <w:highlight w:val="none"/>
              </w:rPr>
            </w:pPr>
            <w:r>
              <w:rPr>
                <w:rFonts w:hint="eastAsia" w:ascii="宋体" w:hAnsi="宋体" w:cs="宋体"/>
                <w:kern w:val="0"/>
                <w:szCs w:val="21"/>
                <w:highlight w:val="none"/>
              </w:rPr>
              <w:t>6</w:t>
            </w:r>
          </w:p>
        </w:tc>
        <w:tc>
          <w:tcPr>
            <w:tcW w:w="7655" w:type="dxa"/>
            <w:vAlign w:val="center"/>
          </w:tcPr>
          <w:p w14:paraId="52B39CF7">
            <w:pPr>
              <w:spacing w:line="360" w:lineRule="auto"/>
              <w:rPr>
                <w:rFonts w:ascii="宋体" w:hAnsi="宋体" w:cs="宋体"/>
                <w:kern w:val="0"/>
                <w:szCs w:val="21"/>
                <w:highlight w:val="none"/>
                <w:lang w:val="zh-CN"/>
              </w:rPr>
            </w:pPr>
            <w:r>
              <w:rPr>
                <w:rFonts w:hint="eastAsia" w:ascii="宋体" w:hAnsi="宋体" w:cs="宋体"/>
                <w:kern w:val="0"/>
                <w:szCs w:val="21"/>
                <w:highlight w:val="none"/>
                <w:lang w:val="zh-CN"/>
              </w:rPr>
              <w:t>不服从指挥、不服管教的。</w:t>
            </w:r>
          </w:p>
        </w:tc>
        <w:tc>
          <w:tcPr>
            <w:tcW w:w="1050" w:type="dxa"/>
            <w:vAlign w:val="center"/>
          </w:tcPr>
          <w:p w14:paraId="4F99951C">
            <w:pPr>
              <w:spacing w:line="360" w:lineRule="auto"/>
              <w:jc w:val="center"/>
              <w:rPr>
                <w:rFonts w:ascii="宋体" w:hAnsi="宋体" w:cs="宋体"/>
                <w:szCs w:val="21"/>
                <w:highlight w:val="none"/>
              </w:rPr>
            </w:pPr>
            <w:r>
              <w:rPr>
                <w:rFonts w:hint="eastAsia" w:ascii="宋体" w:hAnsi="宋体" w:cs="宋体"/>
                <w:szCs w:val="21"/>
                <w:highlight w:val="none"/>
              </w:rPr>
              <w:t>10</w:t>
            </w:r>
            <w:r>
              <w:rPr>
                <w:rFonts w:hint="eastAsia" w:ascii="宋体" w:hAnsi="宋体" w:cs="宋体"/>
                <w:kern w:val="0"/>
                <w:szCs w:val="21"/>
                <w:highlight w:val="none"/>
              </w:rPr>
              <w:t>分</w:t>
            </w:r>
          </w:p>
        </w:tc>
      </w:tr>
      <w:tr w14:paraId="7047C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799" w:type="dxa"/>
            <w:vAlign w:val="center"/>
          </w:tcPr>
          <w:p w14:paraId="043C0DAC">
            <w:pPr>
              <w:spacing w:line="360" w:lineRule="auto"/>
              <w:jc w:val="center"/>
              <w:rPr>
                <w:rFonts w:ascii="宋体" w:hAnsi="宋体" w:cs="宋体"/>
                <w:kern w:val="0"/>
                <w:szCs w:val="21"/>
                <w:highlight w:val="none"/>
              </w:rPr>
            </w:pPr>
            <w:r>
              <w:rPr>
                <w:rFonts w:hint="eastAsia" w:ascii="宋体" w:hAnsi="宋体" w:cs="宋体"/>
                <w:kern w:val="0"/>
                <w:szCs w:val="21"/>
                <w:highlight w:val="none"/>
              </w:rPr>
              <w:t>7</w:t>
            </w:r>
          </w:p>
        </w:tc>
        <w:tc>
          <w:tcPr>
            <w:tcW w:w="7655" w:type="dxa"/>
            <w:vAlign w:val="center"/>
          </w:tcPr>
          <w:p w14:paraId="0EE53AAE">
            <w:pPr>
              <w:spacing w:line="360" w:lineRule="auto"/>
              <w:rPr>
                <w:rFonts w:ascii="宋体" w:hAnsi="宋体" w:cs="宋体"/>
                <w:kern w:val="0"/>
                <w:szCs w:val="21"/>
                <w:highlight w:val="none"/>
                <w:lang w:val="zh-CN"/>
              </w:rPr>
            </w:pPr>
            <w:r>
              <w:rPr>
                <w:rFonts w:hint="eastAsia" w:ascii="宋体" w:hAnsi="宋体" w:cs="宋体"/>
                <w:kern w:val="0"/>
                <w:szCs w:val="21"/>
                <w:highlight w:val="none"/>
                <w:lang w:val="zh-CN"/>
              </w:rPr>
              <w:t>不按时交接班、无故迟到、早退的。</w:t>
            </w:r>
          </w:p>
        </w:tc>
        <w:tc>
          <w:tcPr>
            <w:tcW w:w="1050" w:type="dxa"/>
            <w:vAlign w:val="center"/>
          </w:tcPr>
          <w:p w14:paraId="0B08EBB9">
            <w:pPr>
              <w:spacing w:line="360" w:lineRule="auto"/>
              <w:jc w:val="center"/>
              <w:rPr>
                <w:rFonts w:ascii="宋体" w:hAnsi="宋体" w:cs="宋体"/>
                <w:szCs w:val="21"/>
                <w:highlight w:val="none"/>
              </w:rPr>
            </w:pPr>
            <w:r>
              <w:rPr>
                <w:rFonts w:hint="eastAsia" w:ascii="宋体" w:hAnsi="宋体" w:cs="宋体"/>
                <w:szCs w:val="21"/>
                <w:highlight w:val="none"/>
              </w:rPr>
              <w:t>5</w:t>
            </w:r>
            <w:r>
              <w:rPr>
                <w:rFonts w:hint="eastAsia" w:ascii="宋体" w:hAnsi="宋体" w:cs="宋体"/>
                <w:kern w:val="0"/>
                <w:szCs w:val="21"/>
                <w:highlight w:val="none"/>
              </w:rPr>
              <w:t>分</w:t>
            </w:r>
          </w:p>
        </w:tc>
      </w:tr>
      <w:tr w14:paraId="4F0A9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799" w:type="dxa"/>
            <w:vAlign w:val="center"/>
          </w:tcPr>
          <w:p w14:paraId="0CEDAF4B">
            <w:pPr>
              <w:spacing w:line="360" w:lineRule="auto"/>
              <w:jc w:val="center"/>
              <w:rPr>
                <w:rFonts w:ascii="宋体" w:hAnsi="宋体" w:cs="宋体"/>
                <w:kern w:val="0"/>
                <w:szCs w:val="21"/>
                <w:highlight w:val="none"/>
              </w:rPr>
            </w:pPr>
            <w:r>
              <w:rPr>
                <w:rFonts w:hint="eastAsia" w:ascii="宋体" w:hAnsi="宋体" w:cs="宋体"/>
                <w:kern w:val="0"/>
                <w:szCs w:val="21"/>
                <w:highlight w:val="none"/>
              </w:rPr>
              <w:t>8</w:t>
            </w:r>
          </w:p>
        </w:tc>
        <w:tc>
          <w:tcPr>
            <w:tcW w:w="7655" w:type="dxa"/>
            <w:vAlign w:val="center"/>
          </w:tcPr>
          <w:p w14:paraId="156A8A9E">
            <w:pPr>
              <w:spacing w:line="360" w:lineRule="auto"/>
              <w:rPr>
                <w:rFonts w:ascii="宋体" w:hAnsi="宋体" w:cs="宋体"/>
                <w:kern w:val="0"/>
                <w:szCs w:val="21"/>
                <w:highlight w:val="none"/>
                <w:lang w:val="zh-CN"/>
              </w:rPr>
            </w:pPr>
            <w:r>
              <w:rPr>
                <w:rFonts w:hint="eastAsia" w:ascii="宋体" w:hAnsi="宋体" w:cs="宋体"/>
                <w:kern w:val="0"/>
                <w:szCs w:val="21"/>
                <w:highlight w:val="none"/>
                <w:lang w:val="zh-CN"/>
              </w:rPr>
              <w:t>无故缺勤的。</w:t>
            </w:r>
          </w:p>
        </w:tc>
        <w:tc>
          <w:tcPr>
            <w:tcW w:w="1050" w:type="dxa"/>
            <w:vAlign w:val="center"/>
          </w:tcPr>
          <w:p w14:paraId="335495FB">
            <w:pPr>
              <w:spacing w:line="360" w:lineRule="auto"/>
              <w:jc w:val="center"/>
              <w:rPr>
                <w:rFonts w:ascii="宋体" w:hAnsi="宋体" w:cs="宋体"/>
                <w:szCs w:val="21"/>
                <w:highlight w:val="none"/>
              </w:rPr>
            </w:pPr>
            <w:r>
              <w:rPr>
                <w:rFonts w:hint="eastAsia" w:ascii="宋体" w:hAnsi="宋体" w:cs="宋体"/>
                <w:szCs w:val="21"/>
                <w:highlight w:val="none"/>
              </w:rPr>
              <w:t>20</w:t>
            </w:r>
            <w:r>
              <w:rPr>
                <w:rFonts w:hint="eastAsia" w:ascii="宋体" w:hAnsi="宋体" w:cs="宋体"/>
                <w:kern w:val="0"/>
                <w:szCs w:val="21"/>
                <w:highlight w:val="none"/>
              </w:rPr>
              <w:t>分</w:t>
            </w:r>
          </w:p>
        </w:tc>
      </w:tr>
      <w:tr w14:paraId="64D24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799" w:type="dxa"/>
            <w:vAlign w:val="center"/>
          </w:tcPr>
          <w:p w14:paraId="651228DE">
            <w:pPr>
              <w:spacing w:line="360" w:lineRule="auto"/>
              <w:jc w:val="center"/>
              <w:rPr>
                <w:rFonts w:ascii="宋体" w:hAnsi="宋体" w:cs="宋体"/>
                <w:kern w:val="0"/>
                <w:szCs w:val="21"/>
                <w:highlight w:val="none"/>
              </w:rPr>
            </w:pPr>
            <w:r>
              <w:rPr>
                <w:rFonts w:hint="eastAsia" w:ascii="宋体" w:hAnsi="宋体" w:cs="宋体"/>
                <w:kern w:val="0"/>
                <w:szCs w:val="21"/>
                <w:highlight w:val="none"/>
              </w:rPr>
              <w:t>9</w:t>
            </w:r>
          </w:p>
        </w:tc>
        <w:tc>
          <w:tcPr>
            <w:tcW w:w="7655" w:type="dxa"/>
            <w:vAlign w:val="center"/>
          </w:tcPr>
          <w:p w14:paraId="04B6ADAF">
            <w:pPr>
              <w:spacing w:line="360" w:lineRule="auto"/>
              <w:rPr>
                <w:rFonts w:ascii="宋体" w:hAnsi="宋体" w:cs="宋体"/>
                <w:kern w:val="0"/>
                <w:szCs w:val="21"/>
                <w:highlight w:val="none"/>
                <w:lang w:val="zh-CN"/>
              </w:rPr>
            </w:pPr>
            <w:r>
              <w:rPr>
                <w:rFonts w:hint="eastAsia" w:ascii="宋体" w:hAnsi="宋体" w:cs="宋体"/>
                <w:kern w:val="0"/>
                <w:szCs w:val="21"/>
                <w:highlight w:val="none"/>
                <w:lang w:val="zh-CN"/>
              </w:rPr>
              <w:t>因事因病（提供相关证明）不能到岗、未办理请假手续的。</w:t>
            </w:r>
          </w:p>
        </w:tc>
        <w:tc>
          <w:tcPr>
            <w:tcW w:w="1050" w:type="dxa"/>
            <w:vAlign w:val="center"/>
          </w:tcPr>
          <w:p w14:paraId="6F31CEAA">
            <w:pPr>
              <w:spacing w:line="360" w:lineRule="auto"/>
              <w:jc w:val="center"/>
              <w:rPr>
                <w:rFonts w:ascii="宋体" w:hAnsi="宋体" w:cs="宋体"/>
                <w:szCs w:val="21"/>
                <w:highlight w:val="none"/>
              </w:rPr>
            </w:pPr>
            <w:r>
              <w:rPr>
                <w:rFonts w:hint="eastAsia" w:ascii="宋体" w:hAnsi="宋体" w:cs="宋体"/>
                <w:szCs w:val="21"/>
                <w:highlight w:val="none"/>
              </w:rPr>
              <w:t>10</w:t>
            </w:r>
            <w:r>
              <w:rPr>
                <w:rFonts w:hint="eastAsia" w:ascii="宋体" w:hAnsi="宋体" w:cs="宋体"/>
                <w:kern w:val="0"/>
                <w:szCs w:val="21"/>
                <w:highlight w:val="none"/>
              </w:rPr>
              <w:t>分</w:t>
            </w:r>
          </w:p>
        </w:tc>
      </w:tr>
      <w:tr w14:paraId="4EF43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99" w:type="dxa"/>
            <w:vAlign w:val="center"/>
          </w:tcPr>
          <w:p w14:paraId="71753794">
            <w:pPr>
              <w:spacing w:line="360" w:lineRule="auto"/>
              <w:jc w:val="center"/>
              <w:rPr>
                <w:rFonts w:ascii="宋体" w:hAnsi="宋体" w:cs="宋体"/>
                <w:kern w:val="0"/>
                <w:szCs w:val="21"/>
                <w:highlight w:val="none"/>
              </w:rPr>
            </w:pPr>
            <w:r>
              <w:rPr>
                <w:rFonts w:hint="eastAsia" w:ascii="宋体" w:hAnsi="宋体" w:cs="宋体"/>
                <w:kern w:val="0"/>
                <w:szCs w:val="21"/>
                <w:highlight w:val="none"/>
              </w:rPr>
              <w:t>10</w:t>
            </w:r>
          </w:p>
        </w:tc>
        <w:tc>
          <w:tcPr>
            <w:tcW w:w="7655" w:type="dxa"/>
            <w:vAlign w:val="center"/>
          </w:tcPr>
          <w:p w14:paraId="38E2290B">
            <w:pPr>
              <w:spacing w:line="360" w:lineRule="auto"/>
              <w:rPr>
                <w:rFonts w:ascii="宋体" w:hAnsi="宋体" w:cs="宋体"/>
                <w:kern w:val="0"/>
                <w:szCs w:val="21"/>
                <w:highlight w:val="none"/>
                <w:lang w:val="zh-CN"/>
              </w:rPr>
            </w:pPr>
            <w:r>
              <w:rPr>
                <w:rFonts w:hint="eastAsia" w:ascii="宋体" w:hAnsi="宋体" w:cs="宋体"/>
                <w:kern w:val="0"/>
                <w:szCs w:val="21"/>
                <w:highlight w:val="none"/>
                <w:lang w:val="zh-CN"/>
              </w:rPr>
              <w:t>执勤时，发现隐患、事故和犯罪行为等可疑情况没有果断处理、及时汇报的。</w:t>
            </w:r>
          </w:p>
        </w:tc>
        <w:tc>
          <w:tcPr>
            <w:tcW w:w="1050" w:type="dxa"/>
            <w:vAlign w:val="center"/>
          </w:tcPr>
          <w:p w14:paraId="574D63A3">
            <w:pPr>
              <w:spacing w:line="360" w:lineRule="auto"/>
              <w:jc w:val="center"/>
              <w:rPr>
                <w:rFonts w:ascii="宋体" w:hAnsi="宋体" w:cs="宋体"/>
                <w:szCs w:val="21"/>
                <w:highlight w:val="none"/>
              </w:rPr>
            </w:pPr>
            <w:r>
              <w:rPr>
                <w:rFonts w:hint="eastAsia" w:ascii="宋体" w:hAnsi="宋体" w:cs="宋体"/>
                <w:szCs w:val="21"/>
                <w:highlight w:val="none"/>
              </w:rPr>
              <w:t>20</w:t>
            </w:r>
            <w:r>
              <w:rPr>
                <w:rFonts w:hint="eastAsia" w:ascii="宋体" w:hAnsi="宋体" w:cs="宋体"/>
                <w:kern w:val="0"/>
                <w:szCs w:val="21"/>
                <w:highlight w:val="none"/>
              </w:rPr>
              <w:t>分</w:t>
            </w:r>
          </w:p>
        </w:tc>
      </w:tr>
      <w:tr w14:paraId="5F1F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799" w:type="dxa"/>
            <w:vAlign w:val="center"/>
          </w:tcPr>
          <w:p w14:paraId="0A4E18A6">
            <w:pPr>
              <w:spacing w:line="360" w:lineRule="auto"/>
              <w:jc w:val="center"/>
              <w:rPr>
                <w:rFonts w:ascii="宋体" w:hAnsi="宋体" w:cs="宋体"/>
                <w:kern w:val="0"/>
                <w:szCs w:val="21"/>
                <w:highlight w:val="none"/>
              </w:rPr>
            </w:pPr>
            <w:r>
              <w:rPr>
                <w:rFonts w:hint="eastAsia" w:ascii="宋体" w:hAnsi="宋体" w:cs="宋体"/>
                <w:kern w:val="0"/>
                <w:szCs w:val="21"/>
                <w:highlight w:val="none"/>
              </w:rPr>
              <w:t>11</w:t>
            </w:r>
          </w:p>
        </w:tc>
        <w:tc>
          <w:tcPr>
            <w:tcW w:w="7655" w:type="dxa"/>
            <w:vAlign w:val="center"/>
          </w:tcPr>
          <w:p w14:paraId="71146088">
            <w:pPr>
              <w:spacing w:line="360" w:lineRule="auto"/>
              <w:rPr>
                <w:rFonts w:ascii="宋体" w:hAnsi="宋体" w:cs="宋体"/>
                <w:kern w:val="0"/>
                <w:szCs w:val="21"/>
                <w:highlight w:val="none"/>
                <w:lang w:val="zh-CN"/>
              </w:rPr>
            </w:pPr>
            <w:r>
              <w:rPr>
                <w:rFonts w:hint="eastAsia" w:ascii="宋体" w:hAnsi="宋体" w:cs="宋体"/>
                <w:kern w:val="0"/>
                <w:szCs w:val="21"/>
                <w:highlight w:val="none"/>
                <w:lang w:val="zh-CN"/>
              </w:rPr>
              <w:t>执勤时，与他人发生争执、肢体冲突的、经查证存在过错的。</w:t>
            </w:r>
          </w:p>
        </w:tc>
        <w:tc>
          <w:tcPr>
            <w:tcW w:w="1050" w:type="dxa"/>
            <w:vAlign w:val="center"/>
          </w:tcPr>
          <w:p w14:paraId="35C84581">
            <w:pPr>
              <w:spacing w:line="360" w:lineRule="auto"/>
              <w:jc w:val="center"/>
              <w:rPr>
                <w:rFonts w:ascii="宋体" w:hAnsi="宋体" w:cs="宋体"/>
                <w:szCs w:val="21"/>
                <w:highlight w:val="none"/>
              </w:rPr>
            </w:pPr>
            <w:r>
              <w:rPr>
                <w:rFonts w:hint="eastAsia" w:ascii="宋体" w:hAnsi="宋体" w:cs="宋体"/>
                <w:szCs w:val="21"/>
                <w:highlight w:val="none"/>
              </w:rPr>
              <w:t>10-30</w:t>
            </w:r>
            <w:r>
              <w:rPr>
                <w:rFonts w:hint="eastAsia" w:ascii="宋体" w:hAnsi="宋体" w:cs="宋体"/>
                <w:kern w:val="0"/>
                <w:szCs w:val="21"/>
                <w:highlight w:val="none"/>
              </w:rPr>
              <w:t>分</w:t>
            </w:r>
          </w:p>
        </w:tc>
      </w:tr>
      <w:tr w14:paraId="275D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99" w:type="dxa"/>
            <w:vAlign w:val="center"/>
          </w:tcPr>
          <w:p w14:paraId="4E349E8B">
            <w:pPr>
              <w:spacing w:line="360" w:lineRule="auto"/>
              <w:jc w:val="center"/>
              <w:rPr>
                <w:rFonts w:ascii="宋体" w:hAnsi="宋体" w:cs="宋体"/>
                <w:kern w:val="0"/>
                <w:szCs w:val="21"/>
                <w:highlight w:val="none"/>
              </w:rPr>
            </w:pPr>
            <w:r>
              <w:rPr>
                <w:rFonts w:hint="eastAsia" w:ascii="宋体" w:hAnsi="宋体" w:cs="宋体"/>
                <w:kern w:val="0"/>
                <w:szCs w:val="21"/>
                <w:highlight w:val="none"/>
              </w:rPr>
              <w:t>12</w:t>
            </w:r>
          </w:p>
        </w:tc>
        <w:tc>
          <w:tcPr>
            <w:tcW w:w="7655" w:type="dxa"/>
            <w:vAlign w:val="center"/>
          </w:tcPr>
          <w:p w14:paraId="53B31815">
            <w:pPr>
              <w:spacing w:line="360" w:lineRule="auto"/>
              <w:rPr>
                <w:rFonts w:ascii="宋体" w:hAnsi="宋体" w:cs="宋体"/>
                <w:kern w:val="0"/>
                <w:szCs w:val="21"/>
                <w:highlight w:val="none"/>
                <w:lang w:val="zh-CN"/>
              </w:rPr>
            </w:pPr>
            <w:r>
              <w:rPr>
                <w:rFonts w:hint="eastAsia" w:ascii="宋体" w:hAnsi="宋体" w:cs="宋体"/>
                <w:kern w:val="0"/>
                <w:szCs w:val="21"/>
                <w:highlight w:val="none"/>
                <w:lang w:val="zh-CN"/>
              </w:rPr>
              <w:t>在岗期间，执勤站位不到位、经指出不予改正的。</w:t>
            </w:r>
          </w:p>
        </w:tc>
        <w:tc>
          <w:tcPr>
            <w:tcW w:w="1050" w:type="dxa"/>
            <w:vAlign w:val="center"/>
          </w:tcPr>
          <w:p w14:paraId="18AFB273">
            <w:pPr>
              <w:spacing w:line="360" w:lineRule="auto"/>
              <w:jc w:val="center"/>
              <w:rPr>
                <w:rFonts w:ascii="宋体" w:hAnsi="宋体" w:cs="宋体"/>
                <w:szCs w:val="21"/>
                <w:highlight w:val="none"/>
              </w:rPr>
            </w:pPr>
            <w:r>
              <w:rPr>
                <w:rFonts w:hint="eastAsia" w:ascii="宋体" w:hAnsi="宋体" w:cs="宋体"/>
                <w:szCs w:val="21"/>
                <w:highlight w:val="none"/>
              </w:rPr>
              <w:t>每次5分</w:t>
            </w:r>
          </w:p>
        </w:tc>
      </w:tr>
      <w:tr w14:paraId="7B916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799" w:type="dxa"/>
            <w:vAlign w:val="center"/>
          </w:tcPr>
          <w:p w14:paraId="50597B6B">
            <w:pPr>
              <w:spacing w:line="360" w:lineRule="auto"/>
              <w:jc w:val="center"/>
              <w:rPr>
                <w:rFonts w:ascii="宋体" w:hAnsi="宋体" w:cs="宋体"/>
                <w:kern w:val="0"/>
                <w:szCs w:val="21"/>
                <w:highlight w:val="none"/>
              </w:rPr>
            </w:pPr>
            <w:r>
              <w:rPr>
                <w:rFonts w:hint="eastAsia" w:ascii="宋体" w:hAnsi="宋体" w:cs="宋体"/>
                <w:kern w:val="0"/>
                <w:szCs w:val="21"/>
                <w:highlight w:val="none"/>
              </w:rPr>
              <w:t>13</w:t>
            </w:r>
          </w:p>
        </w:tc>
        <w:tc>
          <w:tcPr>
            <w:tcW w:w="7655" w:type="dxa"/>
            <w:vAlign w:val="center"/>
          </w:tcPr>
          <w:p w14:paraId="13E0935D">
            <w:pPr>
              <w:spacing w:line="360" w:lineRule="auto"/>
              <w:rPr>
                <w:rFonts w:ascii="宋体" w:hAnsi="宋体" w:cs="宋体"/>
                <w:kern w:val="0"/>
                <w:szCs w:val="21"/>
                <w:highlight w:val="none"/>
                <w:lang w:val="zh-CN"/>
              </w:rPr>
            </w:pPr>
            <w:r>
              <w:rPr>
                <w:rFonts w:hint="eastAsia" w:ascii="宋体" w:hAnsi="宋体" w:cs="宋体"/>
                <w:kern w:val="0"/>
                <w:szCs w:val="21"/>
                <w:highlight w:val="none"/>
                <w:lang w:val="zh-CN"/>
              </w:rPr>
              <w:t>在岗期间管理不力，对违法行为、违反城市管理规定行为视而不见的。</w:t>
            </w:r>
          </w:p>
        </w:tc>
        <w:tc>
          <w:tcPr>
            <w:tcW w:w="1050" w:type="dxa"/>
            <w:vAlign w:val="center"/>
          </w:tcPr>
          <w:p w14:paraId="298201F2">
            <w:pPr>
              <w:spacing w:line="360" w:lineRule="auto"/>
              <w:jc w:val="center"/>
              <w:rPr>
                <w:rFonts w:ascii="宋体" w:hAnsi="宋体" w:cs="宋体"/>
                <w:szCs w:val="21"/>
                <w:highlight w:val="none"/>
              </w:rPr>
            </w:pPr>
            <w:r>
              <w:rPr>
                <w:rFonts w:hint="eastAsia" w:ascii="宋体" w:hAnsi="宋体" w:cs="宋体"/>
                <w:szCs w:val="21"/>
                <w:highlight w:val="none"/>
              </w:rPr>
              <w:t>10</w:t>
            </w:r>
            <w:r>
              <w:rPr>
                <w:rFonts w:hint="eastAsia" w:ascii="宋体" w:hAnsi="宋体" w:cs="宋体"/>
                <w:kern w:val="0"/>
                <w:szCs w:val="21"/>
                <w:highlight w:val="none"/>
              </w:rPr>
              <w:t>分</w:t>
            </w:r>
          </w:p>
        </w:tc>
      </w:tr>
      <w:tr w14:paraId="627BA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799" w:type="dxa"/>
            <w:vAlign w:val="center"/>
          </w:tcPr>
          <w:p w14:paraId="14F7289E">
            <w:pPr>
              <w:spacing w:line="360" w:lineRule="auto"/>
              <w:jc w:val="center"/>
              <w:rPr>
                <w:rFonts w:ascii="宋体" w:hAnsi="宋体" w:cs="宋体"/>
                <w:kern w:val="0"/>
                <w:szCs w:val="21"/>
                <w:highlight w:val="none"/>
              </w:rPr>
            </w:pPr>
            <w:r>
              <w:rPr>
                <w:rFonts w:hint="eastAsia" w:ascii="宋体" w:hAnsi="宋体" w:cs="宋体"/>
                <w:kern w:val="0"/>
                <w:szCs w:val="21"/>
                <w:highlight w:val="none"/>
              </w:rPr>
              <w:t>14</w:t>
            </w:r>
          </w:p>
        </w:tc>
        <w:tc>
          <w:tcPr>
            <w:tcW w:w="7655" w:type="dxa"/>
            <w:vAlign w:val="center"/>
          </w:tcPr>
          <w:p w14:paraId="68DE0066">
            <w:pPr>
              <w:spacing w:line="360" w:lineRule="auto"/>
              <w:rPr>
                <w:rFonts w:ascii="宋体" w:hAnsi="宋体" w:cs="宋体"/>
                <w:kern w:val="0"/>
                <w:szCs w:val="21"/>
                <w:highlight w:val="none"/>
                <w:lang w:val="zh-CN"/>
              </w:rPr>
            </w:pPr>
            <w:r>
              <w:rPr>
                <w:rFonts w:hint="eastAsia" w:ascii="宋体" w:hAnsi="宋体" w:cs="宋体"/>
                <w:kern w:val="0"/>
                <w:szCs w:val="21"/>
                <w:highlight w:val="none"/>
                <w:lang w:val="zh-CN"/>
              </w:rPr>
              <w:t>在岗期间，路口附近出现交通事故、不作出反应的；对城管应急处置呼叫不响应的。</w:t>
            </w:r>
          </w:p>
        </w:tc>
        <w:tc>
          <w:tcPr>
            <w:tcW w:w="1050" w:type="dxa"/>
            <w:vAlign w:val="center"/>
          </w:tcPr>
          <w:p w14:paraId="27C24271">
            <w:pPr>
              <w:spacing w:line="360" w:lineRule="auto"/>
              <w:jc w:val="center"/>
              <w:rPr>
                <w:rFonts w:ascii="宋体" w:hAnsi="宋体" w:cs="宋体"/>
                <w:szCs w:val="21"/>
                <w:highlight w:val="none"/>
              </w:rPr>
            </w:pPr>
            <w:r>
              <w:rPr>
                <w:rFonts w:hint="eastAsia" w:ascii="宋体" w:hAnsi="宋体" w:cs="宋体"/>
                <w:szCs w:val="21"/>
                <w:highlight w:val="none"/>
              </w:rPr>
              <w:t>10</w:t>
            </w:r>
            <w:r>
              <w:rPr>
                <w:rFonts w:hint="eastAsia" w:ascii="宋体" w:hAnsi="宋体" w:cs="宋体"/>
                <w:kern w:val="0"/>
                <w:szCs w:val="21"/>
                <w:highlight w:val="none"/>
              </w:rPr>
              <w:t>分</w:t>
            </w:r>
          </w:p>
        </w:tc>
      </w:tr>
      <w:tr w14:paraId="2A88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799" w:type="dxa"/>
            <w:vAlign w:val="center"/>
          </w:tcPr>
          <w:p w14:paraId="3CAC27A5">
            <w:pPr>
              <w:spacing w:line="360" w:lineRule="auto"/>
              <w:jc w:val="center"/>
              <w:rPr>
                <w:rFonts w:ascii="宋体" w:hAnsi="宋体" w:cs="宋体"/>
                <w:kern w:val="0"/>
                <w:szCs w:val="21"/>
                <w:highlight w:val="none"/>
              </w:rPr>
            </w:pPr>
            <w:r>
              <w:rPr>
                <w:rFonts w:hint="eastAsia" w:ascii="宋体" w:hAnsi="宋体" w:cs="宋体"/>
                <w:kern w:val="0"/>
                <w:szCs w:val="21"/>
                <w:highlight w:val="none"/>
              </w:rPr>
              <w:t>15</w:t>
            </w:r>
          </w:p>
        </w:tc>
        <w:tc>
          <w:tcPr>
            <w:tcW w:w="7655" w:type="dxa"/>
            <w:vAlign w:val="center"/>
          </w:tcPr>
          <w:p w14:paraId="3379B770">
            <w:pPr>
              <w:spacing w:line="360" w:lineRule="auto"/>
              <w:rPr>
                <w:rFonts w:ascii="宋体" w:hAnsi="宋体" w:cs="宋体"/>
                <w:kern w:val="0"/>
                <w:szCs w:val="21"/>
                <w:highlight w:val="none"/>
                <w:lang w:val="zh-CN"/>
              </w:rPr>
            </w:pPr>
            <w:r>
              <w:rPr>
                <w:rFonts w:hint="eastAsia" w:ascii="宋体" w:hAnsi="宋体" w:cs="宋体"/>
                <w:kern w:val="0"/>
                <w:szCs w:val="21"/>
                <w:highlight w:val="none"/>
                <w:lang w:val="zh-CN"/>
              </w:rPr>
              <w:t>在岗期间，遇车流量较大，不主动指挥车辆、对道路堵塞熟视无睹的；对严重违反城市管理规定放任不管的。</w:t>
            </w:r>
          </w:p>
        </w:tc>
        <w:tc>
          <w:tcPr>
            <w:tcW w:w="1050" w:type="dxa"/>
            <w:vAlign w:val="center"/>
          </w:tcPr>
          <w:p w14:paraId="5F7F1D00">
            <w:pPr>
              <w:spacing w:line="360" w:lineRule="auto"/>
              <w:jc w:val="center"/>
              <w:rPr>
                <w:rFonts w:ascii="宋体" w:hAnsi="宋体" w:cs="宋体"/>
                <w:szCs w:val="21"/>
                <w:highlight w:val="none"/>
              </w:rPr>
            </w:pPr>
            <w:r>
              <w:rPr>
                <w:rFonts w:hint="eastAsia" w:ascii="宋体" w:hAnsi="宋体" w:cs="宋体"/>
                <w:szCs w:val="21"/>
                <w:highlight w:val="none"/>
              </w:rPr>
              <w:t>20</w:t>
            </w:r>
            <w:r>
              <w:rPr>
                <w:rFonts w:hint="eastAsia" w:ascii="宋体" w:hAnsi="宋体" w:cs="宋体"/>
                <w:kern w:val="0"/>
                <w:szCs w:val="21"/>
                <w:highlight w:val="none"/>
              </w:rPr>
              <w:t>分</w:t>
            </w:r>
          </w:p>
        </w:tc>
      </w:tr>
      <w:tr w14:paraId="7DAF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799" w:type="dxa"/>
            <w:vAlign w:val="center"/>
          </w:tcPr>
          <w:p w14:paraId="503B81A2">
            <w:pPr>
              <w:spacing w:line="360" w:lineRule="auto"/>
              <w:jc w:val="center"/>
              <w:rPr>
                <w:rFonts w:ascii="宋体" w:hAnsi="宋体" w:cs="宋体"/>
                <w:kern w:val="0"/>
                <w:szCs w:val="21"/>
                <w:highlight w:val="none"/>
              </w:rPr>
            </w:pPr>
            <w:r>
              <w:rPr>
                <w:rFonts w:hint="eastAsia" w:ascii="宋体" w:hAnsi="宋体" w:cs="宋体"/>
                <w:kern w:val="0"/>
                <w:szCs w:val="21"/>
                <w:highlight w:val="none"/>
              </w:rPr>
              <w:t>16</w:t>
            </w:r>
          </w:p>
        </w:tc>
        <w:tc>
          <w:tcPr>
            <w:tcW w:w="7655" w:type="dxa"/>
            <w:vAlign w:val="center"/>
          </w:tcPr>
          <w:p w14:paraId="15E915D2">
            <w:pPr>
              <w:spacing w:line="360" w:lineRule="auto"/>
              <w:rPr>
                <w:rFonts w:ascii="宋体" w:hAnsi="宋体" w:cs="宋体"/>
                <w:kern w:val="0"/>
                <w:szCs w:val="21"/>
                <w:highlight w:val="none"/>
                <w:lang w:val="zh-CN"/>
              </w:rPr>
            </w:pPr>
            <w:r>
              <w:rPr>
                <w:rFonts w:hint="eastAsia" w:ascii="宋体" w:hAnsi="宋体" w:cs="宋体"/>
                <w:kern w:val="0"/>
                <w:szCs w:val="21"/>
                <w:highlight w:val="none"/>
                <w:lang w:val="zh-CN"/>
              </w:rPr>
              <w:t>在岗期间喝酒，或出现吃拿卡要、敲诈勒索等情形以及存在其他违法行为的，一票否决。</w:t>
            </w:r>
          </w:p>
        </w:tc>
        <w:tc>
          <w:tcPr>
            <w:tcW w:w="1050" w:type="dxa"/>
            <w:vAlign w:val="center"/>
          </w:tcPr>
          <w:p w14:paraId="29F6D755">
            <w:pPr>
              <w:spacing w:line="360" w:lineRule="auto"/>
              <w:jc w:val="center"/>
              <w:rPr>
                <w:rFonts w:ascii="宋体" w:hAnsi="宋体" w:cs="宋体"/>
                <w:szCs w:val="21"/>
                <w:highlight w:val="none"/>
              </w:rPr>
            </w:pPr>
            <w:r>
              <w:rPr>
                <w:rFonts w:hint="eastAsia" w:ascii="宋体" w:hAnsi="宋体" w:cs="宋体"/>
                <w:szCs w:val="21"/>
                <w:highlight w:val="none"/>
              </w:rPr>
              <w:t>辞退</w:t>
            </w:r>
          </w:p>
        </w:tc>
      </w:tr>
      <w:tr w14:paraId="46C25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799" w:type="dxa"/>
            <w:tcBorders>
              <w:top w:val="single" w:color="auto" w:sz="4" w:space="0"/>
              <w:left w:val="single" w:color="auto" w:sz="4" w:space="0"/>
              <w:bottom w:val="single" w:color="auto" w:sz="4" w:space="0"/>
              <w:right w:val="single" w:color="auto" w:sz="4" w:space="0"/>
            </w:tcBorders>
            <w:vAlign w:val="center"/>
          </w:tcPr>
          <w:p w14:paraId="54CC5959">
            <w:pPr>
              <w:spacing w:line="360" w:lineRule="auto"/>
              <w:jc w:val="center"/>
              <w:rPr>
                <w:rFonts w:ascii="宋体" w:hAnsi="宋体" w:cs="宋体"/>
                <w:kern w:val="0"/>
                <w:szCs w:val="21"/>
                <w:highlight w:val="none"/>
              </w:rPr>
            </w:pPr>
            <w:r>
              <w:rPr>
                <w:rFonts w:hint="eastAsia" w:ascii="宋体" w:hAnsi="宋体" w:cs="宋体"/>
                <w:kern w:val="0"/>
                <w:szCs w:val="21"/>
                <w:highlight w:val="none"/>
              </w:rPr>
              <w:t>17</w:t>
            </w:r>
          </w:p>
        </w:tc>
        <w:tc>
          <w:tcPr>
            <w:tcW w:w="7655" w:type="dxa"/>
            <w:tcBorders>
              <w:top w:val="single" w:color="auto" w:sz="4" w:space="0"/>
              <w:left w:val="single" w:color="auto" w:sz="4" w:space="0"/>
              <w:bottom w:val="single" w:color="auto" w:sz="4" w:space="0"/>
              <w:right w:val="single" w:color="auto" w:sz="4" w:space="0"/>
            </w:tcBorders>
            <w:vAlign w:val="center"/>
          </w:tcPr>
          <w:p w14:paraId="3E8C8805">
            <w:pPr>
              <w:spacing w:line="360" w:lineRule="auto"/>
              <w:rPr>
                <w:rFonts w:ascii="宋体" w:hAnsi="宋体" w:cs="宋体"/>
                <w:kern w:val="0"/>
                <w:szCs w:val="21"/>
                <w:highlight w:val="none"/>
                <w:lang w:val="zh-CN"/>
              </w:rPr>
            </w:pPr>
            <w:r>
              <w:rPr>
                <w:rFonts w:hint="eastAsia" w:ascii="宋体" w:hAnsi="宋体" w:cs="宋体"/>
                <w:kern w:val="0"/>
                <w:szCs w:val="21"/>
                <w:highlight w:val="none"/>
                <w:lang w:val="zh-CN"/>
              </w:rPr>
              <w:t>乙方服务人员无故缺勤的。</w:t>
            </w:r>
          </w:p>
        </w:tc>
        <w:tc>
          <w:tcPr>
            <w:tcW w:w="1050" w:type="dxa"/>
            <w:tcBorders>
              <w:top w:val="single" w:color="auto" w:sz="4" w:space="0"/>
              <w:left w:val="single" w:color="auto" w:sz="4" w:space="0"/>
              <w:bottom w:val="single" w:color="auto" w:sz="4" w:space="0"/>
              <w:right w:val="single" w:color="auto" w:sz="4" w:space="0"/>
            </w:tcBorders>
            <w:vAlign w:val="center"/>
          </w:tcPr>
          <w:p w14:paraId="304AF5BE">
            <w:pPr>
              <w:spacing w:line="360" w:lineRule="auto"/>
              <w:jc w:val="center"/>
              <w:rPr>
                <w:rFonts w:ascii="宋体" w:hAnsi="宋体" w:cs="宋体"/>
                <w:szCs w:val="21"/>
                <w:highlight w:val="none"/>
              </w:rPr>
            </w:pPr>
            <w:r>
              <w:rPr>
                <w:rFonts w:hint="eastAsia" w:ascii="宋体" w:hAnsi="宋体" w:cs="宋体"/>
                <w:szCs w:val="21"/>
                <w:highlight w:val="none"/>
              </w:rPr>
              <w:t>警告</w:t>
            </w:r>
          </w:p>
        </w:tc>
      </w:tr>
      <w:tr w14:paraId="78B0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99" w:type="dxa"/>
            <w:tcBorders>
              <w:top w:val="single" w:color="auto" w:sz="4" w:space="0"/>
              <w:left w:val="single" w:color="auto" w:sz="4" w:space="0"/>
              <w:bottom w:val="single" w:color="auto" w:sz="4" w:space="0"/>
              <w:right w:val="single" w:color="auto" w:sz="4" w:space="0"/>
            </w:tcBorders>
            <w:vAlign w:val="center"/>
          </w:tcPr>
          <w:p w14:paraId="278E1D2B">
            <w:pPr>
              <w:spacing w:line="360" w:lineRule="auto"/>
              <w:jc w:val="center"/>
              <w:rPr>
                <w:rFonts w:ascii="宋体" w:hAnsi="宋体" w:cs="宋体"/>
                <w:kern w:val="0"/>
                <w:szCs w:val="21"/>
                <w:highlight w:val="none"/>
              </w:rPr>
            </w:pPr>
            <w:r>
              <w:rPr>
                <w:rFonts w:hint="eastAsia" w:ascii="宋体" w:hAnsi="宋体" w:cs="宋体"/>
                <w:kern w:val="0"/>
                <w:szCs w:val="21"/>
                <w:highlight w:val="none"/>
              </w:rPr>
              <w:t>18</w:t>
            </w:r>
          </w:p>
        </w:tc>
        <w:tc>
          <w:tcPr>
            <w:tcW w:w="7655" w:type="dxa"/>
            <w:tcBorders>
              <w:top w:val="single" w:color="auto" w:sz="4" w:space="0"/>
              <w:left w:val="single" w:color="auto" w:sz="4" w:space="0"/>
              <w:bottom w:val="single" w:color="auto" w:sz="4" w:space="0"/>
              <w:right w:val="single" w:color="auto" w:sz="4" w:space="0"/>
            </w:tcBorders>
            <w:vAlign w:val="center"/>
          </w:tcPr>
          <w:p w14:paraId="1201B3A5">
            <w:pPr>
              <w:spacing w:line="360" w:lineRule="auto"/>
              <w:rPr>
                <w:rFonts w:ascii="宋体" w:hAnsi="宋体" w:cs="宋体"/>
                <w:kern w:val="0"/>
                <w:szCs w:val="21"/>
                <w:highlight w:val="none"/>
                <w:lang w:val="zh-CN"/>
              </w:rPr>
            </w:pPr>
            <w:r>
              <w:rPr>
                <w:rFonts w:hint="eastAsia" w:ascii="宋体" w:hAnsi="宋体" w:cs="宋体"/>
                <w:kern w:val="0"/>
                <w:szCs w:val="21"/>
                <w:highlight w:val="none"/>
                <w:lang w:val="zh-CN"/>
              </w:rPr>
              <w:t>乙方服务人员上岗人数少于招标文件或甲方要求的</w:t>
            </w:r>
          </w:p>
        </w:tc>
        <w:tc>
          <w:tcPr>
            <w:tcW w:w="1050" w:type="dxa"/>
            <w:tcBorders>
              <w:top w:val="single" w:color="auto" w:sz="4" w:space="0"/>
              <w:left w:val="single" w:color="auto" w:sz="4" w:space="0"/>
              <w:bottom w:val="single" w:color="auto" w:sz="4" w:space="0"/>
              <w:right w:val="single" w:color="auto" w:sz="4" w:space="0"/>
            </w:tcBorders>
            <w:vAlign w:val="center"/>
          </w:tcPr>
          <w:p w14:paraId="66557D2F">
            <w:pPr>
              <w:spacing w:line="360" w:lineRule="auto"/>
              <w:jc w:val="center"/>
              <w:rPr>
                <w:rFonts w:ascii="宋体" w:hAnsi="宋体" w:cs="宋体"/>
                <w:szCs w:val="21"/>
                <w:highlight w:val="none"/>
              </w:rPr>
            </w:pPr>
            <w:r>
              <w:rPr>
                <w:rFonts w:hint="eastAsia" w:ascii="宋体" w:hAnsi="宋体" w:cs="宋体"/>
                <w:szCs w:val="21"/>
                <w:highlight w:val="none"/>
              </w:rPr>
              <w:t>警告</w:t>
            </w:r>
          </w:p>
        </w:tc>
      </w:tr>
      <w:tr w14:paraId="3E6DE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99" w:type="dxa"/>
            <w:tcBorders>
              <w:top w:val="single" w:color="auto" w:sz="4" w:space="0"/>
              <w:left w:val="single" w:color="auto" w:sz="4" w:space="0"/>
              <w:bottom w:val="single" w:color="auto" w:sz="4" w:space="0"/>
              <w:right w:val="single" w:color="auto" w:sz="4" w:space="0"/>
            </w:tcBorders>
            <w:vAlign w:val="center"/>
          </w:tcPr>
          <w:p w14:paraId="1EE35918">
            <w:pPr>
              <w:spacing w:line="360" w:lineRule="auto"/>
              <w:jc w:val="center"/>
              <w:rPr>
                <w:rFonts w:ascii="宋体" w:hAnsi="宋体" w:cs="宋体"/>
                <w:kern w:val="0"/>
                <w:szCs w:val="21"/>
                <w:highlight w:val="none"/>
              </w:rPr>
            </w:pPr>
            <w:r>
              <w:rPr>
                <w:rFonts w:hint="eastAsia" w:ascii="宋体" w:hAnsi="宋体" w:cs="宋体"/>
                <w:kern w:val="0"/>
                <w:szCs w:val="21"/>
                <w:highlight w:val="none"/>
              </w:rPr>
              <w:t>19</w:t>
            </w:r>
          </w:p>
        </w:tc>
        <w:tc>
          <w:tcPr>
            <w:tcW w:w="7655" w:type="dxa"/>
            <w:tcBorders>
              <w:top w:val="single" w:color="auto" w:sz="4" w:space="0"/>
              <w:left w:val="single" w:color="auto" w:sz="4" w:space="0"/>
              <w:bottom w:val="single" w:color="auto" w:sz="4" w:space="0"/>
              <w:right w:val="single" w:color="auto" w:sz="4" w:space="0"/>
            </w:tcBorders>
            <w:vAlign w:val="center"/>
          </w:tcPr>
          <w:p w14:paraId="12DDC16B">
            <w:pPr>
              <w:spacing w:line="360" w:lineRule="auto"/>
              <w:rPr>
                <w:rFonts w:ascii="宋体" w:hAnsi="宋体" w:cs="宋体"/>
                <w:kern w:val="0"/>
                <w:szCs w:val="21"/>
                <w:highlight w:val="none"/>
                <w:lang w:val="zh-CN"/>
              </w:rPr>
            </w:pPr>
            <w:r>
              <w:rPr>
                <w:rFonts w:hint="eastAsia" w:ascii="宋体" w:hAnsi="宋体" w:cs="宋体"/>
                <w:kern w:val="0"/>
                <w:szCs w:val="21"/>
                <w:highlight w:val="none"/>
                <w:lang w:val="zh-CN"/>
              </w:rPr>
              <w:t>乙方服务人员与人员岗位名录不符、三班轮值人员名单重复。</w:t>
            </w:r>
          </w:p>
        </w:tc>
        <w:tc>
          <w:tcPr>
            <w:tcW w:w="1050" w:type="dxa"/>
            <w:tcBorders>
              <w:top w:val="single" w:color="auto" w:sz="4" w:space="0"/>
              <w:left w:val="single" w:color="auto" w:sz="4" w:space="0"/>
              <w:bottom w:val="single" w:color="auto" w:sz="4" w:space="0"/>
              <w:right w:val="single" w:color="auto" w:sz="4" w:space="0"/>
            </w:tcBorders>
            <w:vAlign w:val="center"/>
          </w:tcPr>
          <w:p w14:paraId="6051D539">
            <w:pPr>
              <w:spacing w:line="360" w:lineRule="auto"/>
              <w:jc w:val="center"/>
              <w:rPr>
                <w:rFonts w:ascii="宋体" w:hAnsi="宋体" w:cs="宋体"/>
                <w:szCs w:val="21"/>
                <w:highlight w:val="none"/>
              </w:rPr>
            </w:pPr>
            <w:r>
              <w:rPr>
                <w:rFonts w:hint="eastAsia" w:ascii="宋体" w:hAnsi="宋体" w:cs="宋体"/>
                <w:szCs w:val="21"/>
                <w:highlight w:val="none"/>
              </w:rPr>
              <w:t>警告</w:t>
            </w:r>
          </w:p>
        </w:tc>
      </w:tr>
      <w:tr w14:paraId="6A452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799" w:type="dxa"/>
            <w:tcBorders>
              <w:top w:val="single" w:color="auto" w:sz="4" w:space="0"/>
              <w:left w:val="single" w:color="auto" w:sz="4" w:space="0"/>
              <w:bottom w:val="single" w:color="auto" w:sz="4" w:space="0"/>
              <w:right w:val="single" w:color="auto" w:sz="4" w:space="0"/>
            </w:tcBorders>
            <w:vAlign w:val="center"/>
          </w:tcPr>
          <w:p w14:paraId="18D528C5">
            <w:pPr>
              <w:spacing w:line="360" w:lineRule="auto"/>
              <w:jc w:val="center"/>
              <w:rPr>
                <w:rFonts w:ascii="宋体" w:hAnsi="宋体" w:cs="宋体"/>
                <w:kern w:val="0"/>
                <w:szCs w:val="21"/>
                <w:highlight w:val="none"/>
              </w:rPr>
            </w:pPr>
            <w:r>
              <w:rPr>
                <w:rFonts w:hint="eastAsia" w:ascii="宋体" w:hAnsi="宋体" w:cs="宋体"/>
                <w:kern w:val="0"/>
                <w:szCs w:val="21"/>
                <w:highlight w:val="none"/>
              </w:rPr>
              <w:t>20</w:t>
            </w:r>
          </w:p>
        </w:tc>
        <w:tc>
          <w:tcPr>
            <w:tcW w:w="7655" w:type="dxa"/>
            <w:tcBorders>
              <w:top w:val="single" w:color="auto" w:sz="4" w:space="0"/>
              <w:left w:val="single" w:color="auto" w:sz="4" w:space="0"/>
              <w:bottom w:val="single" w:color="auto" w:sz="4" w:space="0"/>
              <w:right w:val="single" w:color="auto" w:sz="4" w:space="0"/>
            </w:tcBorders>
            <w:vAlign w:val="center"/>
          </w:tcPr>
          <w:p w14:paraId="4489C730">
            <w:pPr>
              <w:spacing w:line="360" w:lineRule="auto"/>
              <w:rPr>
                <w:rFonts w:ascii="宋体" w:hAnsi="宋体" w:cs="宋体"/>
                <w:kern w:val="0"/>
                <w:szCs w:val="21"/>
                <w:highlight w:val="none"/>
                <w:lang w:val="zh-CN"/>
              </w:rPr>
            </w:pPr>
            <w:r>
              <w:rPr>
                <w:rFonts w:hint="eastAsia" w:ascii="宋体" w:hAnsi="宋体" w:cs="宋体"/>
                <w:kern w:val="0"/>
                <w:szCs w:val="21"/>
                <w:highlight w:val="none"/>
                <w:lang w:val="zh-CN"/>
              </w:rPr>
              <w:t>乙方服务人员在服务期间有违法犯罪行为的。</w:t>
            </w:r>
          </w:p>
        </w:tc>
        <w:tc>
          <w:tcPr>
            <w:tcW w:w="1050" w:type="dxa"/>
            <w:tcBorders>
              <w:top w:val="single" w:color="auto" w:sz="4" w:space="0"/>
              <w:left w:val="single" w:color="auto" w:sz="4" w:space="0"/>
              <w:bottom w:val="single" w:color="auto" w:sz="4" w:space="0"/>
              <w:right w:val="single" w:color="auto" w:sz="4" w:space="0"/>
            </w:tcBorders>
            <w:vAlign w:val="center"/>
          </w:tcPr>
          <w:p w14:paraId="74AB4A0F">
            <w:pPr>
              <w:spacing w:line="360" w:lineRule="auto"/>
              <w:jc w:val="center"/>
              <w:rPr>
                <w:rFonts w:ascii="宋体" w:hAnsi="宋体" w:cs="宋体"/>
                <w:szCs w:val="21"/>
                <w:highlight w:val="none"/>
              </w:rPr>
            </w:pPr>
            <w:r>
              <w:rPr>
                <w:rFonts w:hint="eastAsia" w:ascii="宋体" w:hAnsi="宋体" w:cs="宋体"/>
                <w:szCs w:val="21"/>
                <w:highlight w:val="none"/>
              </w:rPr>
              <w:t>黄牌</w:t>
            </w:r>
          </w:p>
        </w:tc>
      </w:tr>
      <w:tr w14:paraId="48C8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799" w:type="dxa"/>
            <w:tcBorders>
              <w:top w:val="single" w:color="auto" w:sz="4" w:space="0"/>
              <w:left w:val="single" w:color="auto" w:sz="4" w:space="0"/>
              <w:bottom w:val="single" w:color="auto" w:sz="4" w:space="0"/>
              <w:right w:val="single" w:color="auto" w:sz="4" w:space="0"/>
            </w:tcBorders>
            <w:vAlign w:val="center"/>
          </w:tcPr>
          <w:p w14:paraId="7A314983">
            <w:pPr>
              <w:spacing w:line="360" w:lineRule="auto"/>
              <w:jc w:val="center"/>
              <w:rPr>
                <w:rFonts w:ascii="宋体" w:hAnsi="宋体" w:cs="宋体"/>
                <w:kern w:val="0"/>
                <w:szCs w:val="21"/>
                <w:highlight w:val="none"/>
              </w:rPr>
            </w:pPr>
            <w:r>
              <w:rPr>
                <w:rFonts w:hint="eastAsia" w:ascii="宋体" w:hAnsi="宋体" w:cs="宋体"/>
                <w:kern w:val="0"/>
                <w:szCs w:val="21"/>
                <w:highlight w:val="none"/>
              </w:rPr>
              <w:t>21</w:t>
            </w:r>
          </w:p>
        </w:tc>
        <w:tc>
          <w:tcPr>
            <w:tcW w:w="7655" w:type="dxa"/>
            <w:tcBorders>
              <w:top w:val="single" w:color="auto" w:sz="4" w:space="0"/>
              <w:left w:val="single" w:color="auto" w:sz="4" w:space="0"/>
              <w:bottom w:val="single" w:color="auto" w:sz="4" w:space="0"/>
              <w:right w:val="single" w:color="auto" w:sz="4" w:space="0"/>
            </w:tcBorders>
            <w:vAlign w:val="center"/>
          </w:tcPr>
          <w:p w14:paraId="4FDE31CE">
            <w:pPr>
              <w:spacing w:line="360" w:lineRule="auto"/>
              <w:rPr>
                <w:rFonts w:ascii="宋体" w:hAnsi="宋体" w:cs="宋体"/>
                <w:kern w:val="0"/>
                <w:szCs w:val="21"/>
                <w:highlight w:val="none"/>
                <w:lang w:val="zh-CN"/>
              </w:rPr>
            </w:pPr>
            <w:r>
              <w:rPr>
                <w:rFonts w:hint="eastAsia" w:ascii="宋体" w:hAnsi="宋体" w:cs="宋体"/>
                <w:kern w:val="0"/>
                <w:szCs w:val="21"/>
                <w:highlight w:val="none"/>
                <w:lang w:val="zh-CN"/>
              </w:rPr>
              <w:t>乙方服务人员饮酒后上岗的。</w:t>
            </w:r>
          </w:p>
        </w:tc>
        <w:tc>
          <w:tcPr>
            <w:tcW w:w="1050" w:type="dxa"/>
            <w:tcBorders>
              <w:top w:val="single" w:color="auto" w:sz="4" w:space="0"/>
              <w:left w:val="single" w:color="auto" w:sz="4" w:space="0"/>
              <w:bottom w:val="single" w:color="auto" w:sz="4" w:space="0"/>
              <w:right w:val="single" w:color="auto" w:sz="4" w:space="0"/>
            </w:tcBorders>
            <w:vAlign w:val="center"/>
          </w:tcPr>
          <w:p w14:paraId="1A299869">
            <w:pPr>
              <w:spacing w:line="360" w:lineRule="auto"/>
              <w:jc w:val="center"/>
              <w:rPr>
                <w:rFonts w:ascii="宋体" w:hAnsi="宋体" w:cs="宋体"/>
                <w:szCs w:val="21"/>
                <w:highlight w:val="none"/>
              </w:rPr>
            </w:pPr>
            <w:r>
              <w:rPr>
                <w:rFonts w:hint="eastAsia" w:ascii="宋体" w:hAnsi="宋体" w:cs="宋体"/>
                <w:szCs w:val="21"/>
                <w:highlight w:val="none"/>
              </w:rPr>
              <w:t>黄牌</w:t>
            </w:r>
          </w:p>
        </w:tc>
      </w:tr>
      <w:tr w14:paraId="106B1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799" w:type="dxa"/>
            <w:tcBorders>
              <w:top w:val="single" w:color="auto" w:sz="4" w:space="0"/>
              <w:left w:val="single" w:color="auto" w:sz="4" w:space="0"/>
              <w:bottom w:val="single" w:color="auto" w:sz="4" w:space="0"/>
              <w:right w:val="single" w:color="auto" w:sz="4" w:space="0"/>
            </w:tcBorders>
            <w:vAlign w:val="center"/>
          </w:tcPr>
          <w:p w14:paraId="55F5A35F">
            <w:pPr>
              <w:spacing w:line="360" w:lineRule="auto"/>
              <w:jc w:val="center"/>
              <w:rPr>
                <w:rFonts w:ascii="宋体" w:hAnsi="宋体" w:cs="宋体"/>
                <w:kern w:val="0"/>
                <w:szCs w:val="21"/>
                <w:highlight w:val="none"/>
              </w:rPr>
            </w:pPr>
            <w:r>
              <w:rPr>
                <w:rFonts w:hint="eastAsia" w:ascii="宋体" w:hAnsi="宋体" w:cs="宋体"/>
                <w:kern w:val="0"/>
                <w:szCs w:val="21"/>
                <w:highlight w:val="none"/>
              </w:rPr>
              <w:t>22</w:t>
            </w:r>
          </w:p>
        </w:tc>
        <w:tc>
          <w:tcPr>
            <w:tcW w:w="7655" w:type="dxa"/>
            <w:tcBorders>
              <w:top w:val="single" w:color="auto" w:sz="4" w:space="0"/>
              <w:left w:val="single" w:color="auto" w:sz="4" w:space="0"/>
              <w:bottom w:val="single" w:color="auto" w:sz="4" w:space="0"/>
              <w:right w:val="single" w:color="auto" w:sz="4" w:space="0"/>
            </w:tcBorders>
            <w:vAlign w:val="center"/>
          </w:tcPr>
          <w:p w14:paraId="4B8952AC">
            <w:pPr>
              <w:spacing w:line="360" w:lineRule="auto"/>
              <w:rPr>
                <w:rFonts w:ascii="宋体" w:hAnsi="宋体" w:cs="宋体"/>
                <w:kern w:val="0"/>
                <w:szCs w:val="21"/>
                <w:highlight w:val="none"/>
                <w:lang w:val="zh-CN"/>
              </w:rPr>
            </w:pPr>
            <w:r>
              <w:rPr>
                <w:rFonts w:hint="eastAsia" w:ascii="宋体" w:hAnsi="宋体" w:cs="宋体"/>
                <w:kern w:val="0"/>
                <w:szCs w:val="21"/>
                <w:highlight w:val="none"/>
                <w:lang w:val="zh-CN"/>
              </w:rPr>
              <w:t>乙方在合同期内出现严重违法犯罪行为的。</w:t>
            </w:r>
          </w:p>
        </w:tc>
        <w:tc>
          <w:tcPr>
            <w:tcW w:w="1050" w:type="dxa"/>
            <w:tcBorders>
              <w:top w:val="single" w:color="auto" w:sz="4" w:space="0"/>
              <w:left w:val="single" w:color="auto" w:sz="4" w:space="0"/>
              <w:bottom w:val="single" w:color="auto" w:sz="4" w:space="0"/>
              <w:right w:val="single" w:color="auto" w:sz="4" w:space="0"/>
            </w:tcBorders>
            <w:vAlign w:val="center"/>
          </w:tcPr>
          <w:p w14:paraId="6E355E2F">
            <w:pPr>
              <w:spacing w:line="360" w:lineRule="auto"/>
              <w:jc w:val="center"/>
              <w:rPr>
                <w:rFonts w:ascii="宋体" w:hAnsi="宋体" w:cs="宋体"/>
                <w:szCs w:val="21"/>
                <w:highlight w:val="none"/>
              </w:rPr>
            </w:pPr>
            <w:r>
              <w:rPr>
                <w:rFonts w:hint="eastAsia" w:ascii="宋体" w:hAnsi="宋体" w:cs="宋体"/>
                <w:szCs w:val="21"/>
                <w:highlight w:val="none"/>
              </w:rPr>
              <w:t>红牌</w:t>
            </w:r>
          </w:p>
        </w:tc>
      </w:tr>
    </w:tbl>
    <w:p w14:paraId="77A24CC0">
      <w:pPr>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 xml:space="preserve">考核小组根据定期或不定期的抽查和考核登记，统计和汇总中标单位的扣分情况，并以此核算每月的保安费用。   </w:t>
      </w:r>
    </w:p>
    <w:p w14:paraId="28676660">
      <w:pPr>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（1）费用核算总体原则是：每扣1分，扣10元人民币，按月累计计算。</w:t>
      </w:r>
    </w:p>
    <w:p w14:paraId="21CF37AF">
      <w:pPr>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（2）对于无故缺勤的，除扣除每天工资外，还根据扣分，同时扣除相应费用。因事因病（提供相关证明）不能到岗，未办理请假手续的，也要同时扣除相应费用。</w:t>
      </w:r>
    </w:p>
    <w:p w14:paraId="25980101">
      <w:pPr>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（3）上述附表中，保安个人任何一项每月违反3次以上或者每月违反3项以上，对中标单位再额外扣除500元人民币。每月违反累计超过5次的，予以辞退。</w:t>
      </w:r>
    </w:p>
    <w:p w14:paraId="536B4154">
      <w:pPr>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4）上述附表中，出现3人及以上每月违反规定超过3次的，除按罚则（3）相应费用外，同时扣除中标单位1000元人民币；出现5人及以上每月违反规定超过5次的，同时扣除中标单位3000元人民币；出现10人及以上每月违反规定超过10次的，解除合约。</w:t>
      </w:r>
    </w:p>
    <w:p w14:paraId="54B615AC">
      <w:pPr>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（5）若存在保安在岗期间喝酒，或出现吃拿卡要、敲诈勒索等情形以及存在其他违法行为的，除直接辞退相关人员外，同时扣除中标单位5000元。</w:t>
      </w:r>
    </w:p>
    <w:p w14:paraId="686A3F60">
      <w:pPr>
        <w:spacing w:line="360" w:lineRule="auto"/>
        <w:ind w:firstLine="420" w:firstLineChars="200"/>
        <w:jc w:val="left"/>
        <w:rPr>
          <w:rFonts w:ascii="宋体" w:hAnsi="宋体" w:cs="宋体"/>
          <w:kern w:val="0"/>
          <w:szCs w:val="21"/>
          <w:highlight w:val="none"/>
        </w:rPr>
      </w:pPr>
      <w:r>
        <w:rPr>
          <w:rFonts w:hint="eastAsia" w:ascii="宋体" w:hAnsi="宋体" w:cs="宋体"/>
          <w:highlight w:val="none"/>
          <w:shd w:val="clear" w:color="auto" w:fill="FFFFFF"/>
        </w:rPr>
        <w:t>（6）在重大事件发生或防疫重要时期，保安人员未以身作则，违反相关规定的，违反1次，对中标单位额外扣除300元人民币。保安个人违反累计超过3次的，予以辞退。</w:t>
      </w:r>
    </w:p>
    <w:p w14:paraId="4F0E2230">
      <w:pPr>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（7）</w:t>
      </w:r>
      <w:r>
        <w:rPr>
          <w:rFonts w:hint="eastAsia" w:ascii="宋体" w:hAnsi="宋体" w:cs="宋体"/>
          <w:highlight w:val="none"/>
          <w:shd w:val="clear" w:color="auto" w:fill="FFFFFF"/>
        </w:rPr>
        <w:t>中标单位</w:t>
      </w:r>
      <w:r>
        <w:rPr>
          <w:rFonts w:hint="eastAsia" w:ascii="宋体" w:hAnsi="宋体" w:cs="宋体"/>
          <w:kern w:val="0"/>
          <w:szCs w:val="21"/>
          <w:highlight w:val="none"/>
        </w:rPr>
        <w:t>受到警告处罚的，扣除服务单位1000元；累计受到3次及3次以上警告处罚的，予以黄牌处罚。</w:t>
      </w:r>
    </w:p>
    <w:p w14:paraId="6C425CE2">
      <w:pPr>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（8）</w:t>
      </w:r>
      <w:r>
        <w:rPr>
          <w:rFonts w:hint="eastAsia" w:ascii="宋体" w:hAnsi="宋体" w:cs="宋体"/>
          <w:highlight w:val="none"/>
          <w:shd w:val="clear" w:color="auto" w:fill="FFFFFF"/>
        </w:rPr>
        <w:t>中标单位</w:t>
      </w:r>
      <w:r>
        <w:rPr>
          <w:rFonts w:hint="eastAsia" w:ascii="宋体" w:hAnsi="宋体" w:cs="宋体"/>
          <w:kern w:val="0"/>
          <w:szCs w:val="21"/>
          <w:highlight w:val="none"/>
        </w:rPr>
        <w:t>受到黄牌处罚的，扣除服务单位5000元；累计受到3次及3次以上黄牌处罚的，予以红牌处罚。</w:t>
      </w:r>
    </w:p>
    <w:p w14:paraId="48F234F3">
      <w:pPr>
        <w:spacing w:line="360" w:lineRule="auto"/>
        <w:ind w:firstLine="420" w:firstLineChars="200"/>
        <w:jc w:val="left"/>
        <w:rPr>
          <w:rFonts w:ascii="宋体" w:hAnsi="宋体" w:cs="宋体"/>
          <w:kern w:val="0"/>
          <w:szCs w:val="21"/>
          <w:highlight w:val="none"/>
        </w:rPr>
      </w:pPr>
      <w:r>
        <w:rPr>
          <w:rFonts w:hint="eastAsia" w:ascii="宋体" w:hAnsi="宋体" w:cs="宋体"/>
          <w:kern w:val="0"/>
          <w:szCs w:val="21"/>
          <w:highlight w:val="none"/>
        </w:rPr>
        <w:t>（9）</w:t>
      </w:r>
      <w:r>
        <w:rPr>
          <w:rFonts w:hint="eastAsia" w:ascii="宋体" w:hAnsi="宋体" w:cs="宋体"/>
          <w:highlight w:val="none"/>
          <w:shd w:val="clear" w:color="auto" w:fill="FFFFFF"/>
        </w:rPr>
        <w:t>中标单位</w:t>
      </w:r>
      <w:r>
        <w:rPr>
          <w:rFonts w:hint="eastAsia" w:ascii="宋体" w:hAnsi="宋体" w:cs="宋体"/>
          <w:kern w:val="0"/>
          <w:szCs w:val="21"/>
          <w:highlight w:val="none"/>
        </w:rPr>
        <w:t>受到红牌处罚的，扣除服务单位10000元，甲方有权与乙方解除服务合同。</w:t>
      </w:r>
    </w:p>
    <w:p w14:paraId="0EE628DE">
      <w:pPr>
        <w:rPr>
          <w:highlight w:val="none"/>
        </w:rPr>
      </w:pPr>
    </w:p>
    <w:p w14:paraId="7FD3745B">
      <w:pPr>
        <w:widowControl/>
        <w:jc w:val="left"/>
        <w:rPr>
          <w:rFonts w:ascii="宋体" w:hAnsi="宋体" w:cs="宋体"/>
          <w:szCs w:val="21"/>
          <w:highlight w:val="none"/>
        </w:rPr>
      </w:pPr>
      <w:r>
        <w:rPr>
          <w:rFonts w:ascii="宋体" w:hAnsi="宋体" w:cs="宋体"/>
          <w:szCs w:val="21"/>
          <w:highlight w:val="none"/>
        </w:rPr>
        <w:br w:type="page"/>
      </w:r>
    </w:p>
    <w:p w14:paraId="4F195C23">
      <w:pPr>
        <w:pStyle w:val="7"/>
        <w:rPr>
          <w:szCs w:val="21"/>
          <w:highlight w:val="none"/>
        </w:rPr>
      </w:pPr>
      <w:r>
        <w:rPr>
          <w:rFonts w:hint="eastAsia"/>
          <w:highlight w:val="none"/>
        </w:rPr>
        <w:t>10、</w:t>
      </w:r>
      <w:r>
        <w:rPr>
          <w:highlight w:val="none"/>
        </w:rPr>
        <w:t>动迁房屋维修项目考核管理办法</w:t>
      </w:r>
    </w:p>
    <w:p w14:paraId="1AF07B91">
      <w:pPr>
        <w:widowControl/>
        <w:spacing w:line="360" w:lineRule="auto"/>
        <w:ind w:firstLine="424" w:firstLineChars="201"/>
        <w:jc w:val="left"/>
        <w:rPr>
          <w:rFonts w:ascii="宋体" w:hAnsi="宋体" w:cs="宋体"/>
          <w:kern w:val="0"/>
          <w:szCs w:val="21"/>
          <w:highlight w:val="none"/>
        </w:rPr>
      </w:pPr>
      <w:r>
        <w:rPr>
          <w:rFonts w:ascii="宋体" w:hAnsi="宋体" w:cs="宋体"/>
          <w:b/>
          <w:bCs/>
          <w:kern w:val="0"/>
          <w:szCs w:val="21"/>
          <w:highlight w:val="none"/>
        </w:rPr>
        <w:t>一、考核目的</w:t>
      </w:r>
    </w:p>
    <w:p w14:paraId="16C11CC8">
      <w:pPr>
        <w:widowControl/>
        <w:spacing w:line="360" w:lineRule="auto"/>
        <w:ind w:firstLine="422" w:firstLineChars="201"/>
        <w:jc w:val="left"/>
        <w:rPr>
          <w:rFonts w:ascii="宋体" w:hAnsi="宋体" w:cs="宋体"/>
          <w:kern w:val="0"/>
          <w:szCs w:val="21"/>
          <w:highlight w:val="none"/>
        </w:rPr>
      </w:pPr>
      <w:r>
        <w:rPr>
          <w:rFonts w:ascii="宋体" w:hAnsi="宋体" w:cs="宋体"/>
          <w:kern w:val="0"/>
          <w:szCs w:val="21"/>
          <w:highlight w:val="none"/>
        </w:rPr>
        <w:t>为规范陆家镇动迁房屋维修服务外包项目的管理，提高维修质量和服务水平，保障居民住房安全与居住环境，根据招标文件、合同约定及相关法律法规，制定本办法。</w:t>
      </w:r>
    </w:p>
    <w:p w14:paraId="0979D37D">
      <w:pPr>
        <w:widowControl/>
        <w:spacing w:line="360" w:lineRule="auto"/>
        <w:ind w:firstLine="424" w:firstLineChars="201"/>
        <w:jc w:val="left"/>
        <w:rPr>
          <w:rFonts w:ascii="宋体" w:hAnsi="宋体" w:cs="宋体"/>
          <w:kern w:val="0"/>
          <w:szCs w:val="21"/>
          <w:highlight w:val="none"/>
        </w:rPr>
      </w:pPr>
      <w:r>
        <w:rPr>
          <w:rFonts w:ascii="宋体" w:hAnsi="宋体" w:cs="宋体"/>
          <w:b/>
          <w:bCs/>
          <w:kern w:val="0"/>
          <w:szCs w:val="21"/>
          <w:highlight w:val="none"/>
        </w:rPr>
        <w:t>二、考核对象</w:t>
      </w:r>
      <w:r>
        <w:rPr>
          <w:rFonts w:ascii="MS Mincho" w:hAnsi="MS Mincho" w:eastAsia="MS Mincho" w:cs="MS Mincho"/>
          <w:kern w:val="0"/>
          <w:szCs w:val="21"/>
          <w:highlight w:val="none"/>
        </w:rPr>
        <w:t>​</w:t>
      </w:r>
    </w:p>
    <w:p w14:paraId="21B32A0B">
      <w:pPr>
        <w:widowControl/>
        <w:spacing w:line="360" w:lineRule="auto"/>
        <w:ind w:firstLine="422" w:firstLineChars="201"/>
        <w:jc w:val="left"/>
        <w:rPr>
          <w:rFonts w:ascii="宋体" w:hAnsi="宋体" w:cs="宋体"/>
          <w:kern w:val="0"/>
          <w:szCs w:val="21"/>
          <w:highlight w:val="none"/>
        </w:rPr>
      </w:pPr>
      <w:r>
        <w:rPr>
          <w:rFonts w:ascii="宋体" w:hAnsi="宋体" w:cs="宋体"/>
          <w:kern w:val="0"/>
          <w:szCs w:val="21"/>
          <w:highlight w:val="none"/>
        </w:rPr>
        <w:t>承担陆家镇“物业城市”一期项目服务采购中“陆家镇动迁房屋维修”服务的中标单位（乙方）。</w:t>
      </w:r>
    </w:p>
    <w:p w14:paraId="7160B458">
      <w:pPr>
        <w:widowControl/>
        <w:spacing w:line="360" w:lineRule="auto"/>
        <w:ind w:firstLine="424" w:firstLineChars="201"/>
        <w:jc w:val="left"/>
        <w:rPr>
          <w:rFonts w:ascii="宋体" w:hAnsi="宋体" w:cs="宋体"/>
          <w:kern w:val="0"/>
          <w:szCs w:val="21"/>
          <w:highlight w:val="none"/>
        </w:rPr>
      </w:pPr>
      <w:r>
        <w:rPr>
          <w:rFonts w:ascii="宋体" w:hAnsi="宋体" w:cs="宋体"/>
          <w:b/>
          <w:bCs/>
          <w:kern w:val="0"/>
          <w:szCs w:val="21"/>
          <w:highlight w:val="none"/>
        </w:rPr>
        <w:t>三、考核组织</w:t>
      </w:r>
      <w:r>
        <w:rPr>
          <w:rFonts w:ascii="MS Mincho" w:hAnsi="MS Mincho" w:eastAsia="MS Mincho" w:cs="MS Mincho"/>
          <w:kern w:val="0"/>
          <w:szCs w:val="21"/>
          <w:highlight w:val="none"/>
        </w:rPr>
        <w:t>​</w:t>
      </w:r>
    </w:p>
    <w:p w14:paraId="25F397B2">
      <w:pPr>
        <w:widowControl/>
        <w:spacing w:line="360" w:lineRule="auto"/>
        <w:ind w:firstLine="422" w:firstLineChars="201"/>
        <w:jc w:val="left"/>
        <w:rPr>
          <w:rFonts w:ascii="宋体" w:hAnsi="宋体" w:cs="宋体"/>
          <w:kern w:val="0"/>
          <w:szCs w:val="21"/>
          <w:highlight w:val="none"/>
        </w:rPr>
      </w:pPr>
      <w:r>
        <w:rPr>
          <w:rFonts w:ascii="宋体" w:hAnsi="宋体" w:cs="宋体"/>
          <w:kern w:val="0"/>
          <w:szCs w:val="21"/>
          <w:highlight w:val="none"/>
        </w:rPr>
        <w:t>由昆山市陆家镇人民政府（甲方）或其指定职能部门组成考核小组，每月对乙方服务进行定期考核，并不定期开展抽查。考核结果与服务费用支付挂钩。</w:t>
      </w:r>
    </w:p>
    <w:p w14:paraId="0D0F4795">
      <w:pPr>
        <w:widowControl/>
        <w:spacing w:line="360" w:lineRule="auto"/>
        <w:ind w:firstLine="424" w:firstLineChars="201"/>
        <w:jc w:val="left"/>
        <w:rPr>
          <w:rFonts w:ascii="宋体" w:hAnsi="宋体" w:cs="宋体"/>
          <w:kern w:val="0"/>
          <w:szCs w:val="21"/>
          <w:highlight w:val="none"/>
        </w:rPr>
      </w:pPr>
      <w:r>
        <w:rPr>
          <w:rFonts w:ascii="宋体" w:hAnsi="宋体" w:cs="宋体"/>
          <w:b/>
          <w:bCs/>
          <w:kern w:val="0"/>
          <w:szCs w:val="21"/>
          <w:highlight w:val="none"/>
        </w:rPr>
        <w:t>四、考核方式</w:t>
      </w:r>
    </w:p>
    <w:p w14:paraId="1E39D049">
      <w:pPr>
        <w:widowControl/>
        <w:numPr>
          <w:ilvl w:val="0"/>
          <w:numId w:val="4"/>
        </w:numPr>
        <w:spacing w:before="100" w:beforeAutospacing="1" w:after="100" w:afterAutospacing="1" w:line="360" w:lineRule="auto"/>
        <w:ind w:left="0" w:firstLine="424" w:firstLineChars="201"/>
        <w:jc w:val="left"/>
        <w:rPr>
          <w:rFonts w:ascii="宋体" w:hAnsi="宋体" w:cs="宋体"/>
          <w:kern w:val="0"/>
          <w:szCs w:val="21"/>
          <w:highlight w:val="none"/>
        </w:rPr>
      </w:pPr>
      <w:r>
        <w:rPr>
          <w:rFonts w:ascii="宋体" w:hAnsi="宋体" w:cs="宋体"/>
          <w:b/>
          <w:bCs/>
          <w:kern w:val="0"/>
          <w:szCs w:val="21"/>
          <w:highlight w:val="none"/>
        </w:rPr>
        <w:t>日常巡查与投诉处理</w:t>
      </w:r>
      <w:r>
        <w:rPr>
          <w:rFonts w:ascii="宋体" w:hAnsi="宋体" w:cs="宋体"/>
          <w:kern w:val="0"/>
          <w:szCs w:val="21"/>
          <w:highlight w:val="none"/>
        </w:rPr>
        <w:t xml:space="preserve">：甲方在日常管理中发现问题或接到群众投诉，记录并计入当月考核。 </w:t>
      </w:r>
    </w:p>
    <w:p w14:paraId="2AF839FE">
      <w:pPr>
        <w:widowControl/>
        <w:numPr>
          <w:ilvl w:val="0"/>
          <w:numId w:val="4"/>
        </w:numPr>
        <w:spacing w:before="100" w:beforeAutospacing="1" w:after="100" w:afterAutospacing="1" w:line="360" w:lineRule="auto"/>
        <w:ind w:left="0" w:firstLine="424" w:firstLineChars="201"/>
        <w:jc w:val="left"/>
        <w:rPr>
          <w:rFonts w:ascii="宋体" w:hAnsi="宋体" w:cs="宋体"/>
          <w:kern w:val="0"/>
          <w:szCs w:val="21"/>
          <w:highlight w:val="none"/>
        </w:rPr>
      </w:pPr>
      <w:r>
        <w:rPr>
          <w:rFonts w:ascii="宋体" w:hAnsi="宋体" w:cs="宋体"/>
          <w:b/>
          <w:bCs/>
          <w:kern w:val="0"/>
          <w:szCs w:val="21"/>
          <w:highlight w:val="none"/>
        </w:rPr>
        <w:t>月度定期检查</w:t>
      </w:r>
      <w:r>
        <w:rPr>
          <w:rFonts w:ascii="宋体" w:hAnsi="宋体" w:cs="宋体"/>
          <w:kern w:val="0"/>
          <w:szCs w:val="21"/>
          <w:highlight w:val="none"/>
        </w:rPr>
        <w:t xml:space="preserve">：每月至少进行一次全面检查，覆盖维修质量、时效、安全、人员设备、环境清理等方面。 </w:t>
      </w:r>
    </w:p>
    <w:p w14:paraId="0FD584F7">
      <w:pPr>
        <w:widowControl/>
        <w:numPr>
          <w:ilvl w:val="0"/>
          <w:numId w:val="4"/>
        </w:numPr>
        <w:spacing w:before="100" w:beforeAutospacing="1" w:after="100" w:afterAutospacing="1" w:line="360" w:lineRule="auto"/>
        <w:ind w:left="0" w:firstLine="424" w:firstLineChars="201"/>
        <w:jc w:val="left"/>
        <w:rPr>
          <w:rFonts w:ascii="宋体" w:hAnsi="宋体" w:cs="宋体"/>
          <w:kern w:val="0"/>
          <w:szCs w:val="21"/>
          <w:highlight w:val="none"/>
        </w:rPr>
      </w:pPr>
      <w:r>
        <w:rPr>
          <w:rFonts w:ascii="宋体" w:hAnsi="宋体" w:cs="宋体"/>
          <w:b/>
          <w:bCs/>
          <w:kern w:val="0"/>
          <w:szCs w:val="21"/>
          <w:highlight w:val="none"/>
        </w:rPr>
        <w:t>季度汇总</w:t>
      </w:r>
      <w:r>
        <w:rPr>
          <w:rFonts w:ascii="宋体" w:hAnsi="宋体" w:cs="宋体"/>
          <w:kern w:val="0"/>
          <w:szCs w:val="21"/>
          <w:highlight w:val="none"/>
        </w:rPr>
        <w:t xml:space="preserve">：每季度对月度考核结果进行汇总，作为合同履约评价的重要依据。 </w:t>
      </w:r>
    </w:p>
    <w:p w14:paraId="0D5ABA58">
      <w:pPr>
        <w:widowControl/>
        <w:spacing w:line="360" w:lineRule="auto"/>
        <w:ind w:firstLine="424" w:firstLineChars="201"/>
        <w:jc w:val="left"/>
        <w:rPr>
          <w:rFonts w:ascii="宋体" w:hAnsi="宋体" w:cs="宋体"/>
          <w:kern w:val="0"/>
          <w:szCs w:val="21"/>
          <w:highlight w:val="none"/>
        </w:rPr>
      </w:pPr>
      <w:r>
        <w:rPr>
          <w:rFonts w:ascii="宋体" w:hAnsi="宋体" w:cs="宋体"/>
          <w:b/>
          <w:bCs/>
          <w:kern w:val="0"/>
          <w:szCs w:val="21"/>
          <w:highlight w:val="none"/>
        </w:rPr>
        <w:t>五、考核内容与评分标准</w:t>
      </w:r>
      <w:r>
        <w:rPr>
          <w:rFonts w:ascii="MS Mincho" w:hAnsi="MS Mincho" w:eastAsia="MS Mincho" w:cs="MS Mincho"/>
          <w:kern w:val="0"/>
          <w:szCs w:val="21"/>
          <w:highlight w:val="none"/>
        </w:rPr>
        <w:t>​</w:t>
      </w:r>
    </w:p>
    <w:p w14:paraId="6CAB87CD">
      <w:pPr>
        <w:widowControl/>
        <w:spacing w:line="360" w:lineRule="auto"/>
        <w:ind w:firstLine="422" w:firstLineChars="201"/>
        <w:jc w:val="left"/>
        <w:rPr>
          <w:rFonts w:ascii="宋体" w:hAnsi="宋体" w:cs="宋体"/>
          <w:kern w:val="0"/>
          <w:szCs w:val="21"/>
          <w:highlight w:val="none"/>
        </w:rPr>
      </w:pPr>
      <w:r>
        <w:rPr>
          <w:rFonts w:ascii="宋体" w:hAnsi="宋体" w:cs="宋体"/>
          <w:kern w:val="0"/>
          <w:szCs w:val="21"/>
          <w:highlight w:val="none"/>
        </w:rPr>
        <w:t>考核满分100分，具体分值分配及扣分办法如下：</w:t>
      </w:r>
    </w:p>
    <w:tbl>
      <w:tblPr>
        <w:tblStyle w:val="9"/>
        <w:tblW w:w="96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65"/>
        <w:gridCol w:w="850"/>
        <w:gridCol w:w="3969"/>
        <w:gridCol w:w="3260"/>
      </w:tblGrid>
      <w:tr w14:paraId="74FDB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1565" w:type="dxa"/>
            <w:tcMar>
              <w:top w:w="161" w:type="dxa"/>
              <w:left w:w="0" w:type="dxa"/>
              <w:bottom w:w="161" w:type="dxa"/>
              <w:right w:w="193" w:type="dxa"/>
            </w:tcMar>
            <w:vAlign w:val="center"/>
          </w:tcPr>
          <w:p w14:paraId="0B85A868">
            <w:pPr>
              <w:spacing w:line="360" w:lineRule="auto"/>
              <w:rPr>
                <w:highlight w:val="none"/>
              </w:rPr>
            </w:pPr>
            <w:r>
              <w:rPr>
                <w:highlight w:val="none"/>
              </w:rPr>
              <w:t>目标名称</w:t>
            </w:r>
          </w:p>
        </w:tc>
        <w:tc>
          <w:tcPr>
            <w:tcW w:w="850" w:type="dxa"/>
            <w:tcMar>
              <w:top w:w="161" w:type="dxa"/>
              <w:left w:w="0" w:type="dxa"/>
              <w:bottom w:w="161" w:type="dxa"/>
              <w:right w:w="193" w:type="dxa"/>
            </w:tcMar>
            <w:vAlign w:val="center"/>
          </w:tcPr>
          <w:p w14:paraId="219A44AC">
            <w:pPr>
              <w:spacing w:line="360" w:lineRule="auto"/>
              <w:rPr>
                <w:highlight w:val="none"/>
              </w:rPr>
            </w:pPr>
            <w:r>
              <w:rPr>
                <w:highlight w:val="none"/>
              </w:rPr>
              <w:t>分值</w:t>
            </w:r>
          </w:p>
        </w:tc>
        <w:tc>
          <w:tcPr>
            <w:tcW w:w="3969" w:type="dxa"/>
            <w:tcMar>
              <w:top w:w="161" w:type="dxa"/>
              <w:left w:w="0" w:type="dxa"/>
              <w:bottom w:w="161" w:type="dxa"/>
              <w:right w:w="193" w:type="dxa"/>
            </w:tcMar>
            <w:vAlign w:val="center"/>
          </w:tcPr>
          <w:p w14:paraId="36493860">
            <w:pPr>
              <w:spacing w:line="360" w:lineRule="auto"/>
              <w:rPr>
                <w:highlight w:val="none"/>
              </w:rPr>
            </w:pPr>
            <w:r>
              <w:rPr>
                <w:highlight w:val="none"/>
              </w:rPr>
              <w:t>考核内容及要求</w:t>
            </w:r>
          </w:p>
        </w:tc>
        <w:tc>
          <w:tcPr>
            <w:tcW w:w="3260" w:type="dxa"/>
            <w:tcMar>
              <w:top w:w="161" w:type="dxa"/>
              <w:left w:w="0" w:type="dxa"/>
              <w:bottom w:w="161" w:type="dxa"/>
              <w:right w:w="193" w:type="dxa"/>
            </w:tcMar>
            <w:vAlign w:val="center"/>
          </w:tcPr>
          <w:p w14:paraId="32049610">
            <w:pPr>
              <w:spacing w:line="360" w:lineRule="auto"/>
              <w:rPr>
                <w:highlight w:val="none"/>
              </w:rPr>
            </w:pPr>
            <w:r>
              <w:rPr>
                <w:highlight w:val="none"/>
              </w:rPr>
              <w:t>扣分办法</w:t>
            </w:r>
          </w:p>
        </w:tc>
      </w:tr>
      <w:tr w14:paraId="08EF1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65" w:type="dxa"/>
            <w:tcMar>
              <w:top w:w="161" w:type="dxa"/>
              <w:left w:w="0" w:type="dxa"/>
              <w:bottom w:w="161" w:type="dxa"/>
              <w:right w:w="193" w:type="dxa"/>
            </w:tcMar>
            <w:vAlign w:val="center"/>
          </w:tcPr>
          <w:p w14:paraId="45B4DD97">
            <w:pPr>
              <w:spacing w:line="360" w:lineRule="auto"/>
              <w:rPr>
                <w:highlight w:val="none"/>
              </w:rPr>
            </w:pPr>
            <w:r>
              <w:rPr>
                <w:highlight w:val="none"/>
              </w:rPr>
              <w:t>资质履约与人员设备保障</w:t>
            </w:r>
          </w:p>
        </w:tc>
        <w:tc>
          <w:tcPr>
            <w:tcW w:w="850" w:type="dxa"/>
            <w:tcMar>
              <w:top w:w="161" w:type="dxa"/>
              <w:left w:w="0" w:type="dxa"/>
              <w:bottom w:w="161" w:type="dxa"/>
              <w:right w:w="193" w:type="dxa"/>
            </w:tcMar>
            <w:vAlign w:val="center"/>
          </w:tcPr>
          <w:p w14:paraId="46A5BEE6">
            <w:pPr>
              <w:spacing w:line="360" w:lineRule="auto"/>
              <w:rPr>
                <w:highlight w:val="none"/>
              </w:rPr>
            </w:pPr>
            <w:r>
              <w:rPr>
                <w:highlight w:val="none"/>
              </w:rPr>
              <w:t>20分</w:t>
            </w:r>
          </w:p>
        </w:tc>
        <w:tc>
          <w:tcPr>
            <w:tcW w:w="3969" w:type="dxa"/>
            <w:tcMar>
              <w:top w:w="161" w:type="dxa"/>
              <w:left w:w="0" w:type="dxa"/>
              <w:bottom w:w="161" w:type="dxa"/>
              <w:right w:w="193" w:type="dxa"/>
            </w:tcMar>
            <w:vAlign w:val="center"/>
          </w:tcPr>
          <w:p w14:paraId="5F995D9C">
            <w:pPr>
              <w:spacing w:line="360" w:lineRule="auto"/>
              <w:rPr>
                <w:highlight w:val="none"/>
              </w:rPr>
            </w:pPr>
            <w:r>
              <w:rPr>
                <w:highlight w:val="none"/>
              </w:rPr>
              <w:t>1. 人员持证（如电工、高空作业等）上岗；</w:t>
            </w:r>
            <w:r>
              <w:rPr>
                <w:highlight w:val="none"/>
              </w:rPr>
              <w:br w:type="textWrapping"/>
            </w:r>
            <w:r>
              <w:rPr>
                <w:highlight w:val="none"/>
              </w:rPr>
              <w:t>2. 现场负责人、安全员足额在岗；</w:t>
            </w:r>
            <w:r>
              <w:rPr>
                <w:highlight w:val="none"/>
              </w:rPr>
              <w:br w:type="textWrapping"/>
            </w:r>
            <w:r>
              <w:rPr>
                <w:highlight w:val="none"/>
              </w:rPr>
              <w:t>3. 维修设备、防护器械配备到位，车辆完好。</w:t>
            </w:r>
          </w:p>
        </w:tc>
        <w:tc>
          <w:tcPr>
            <w:tcW w:w="3260" w:type="dxa"/>
            <w:tcMar>
              <w:top w:w="161" w:type="dxa"/>
              <w:left w:w="0" w:type="dxa"/>
              <w:bottom w:w="161" w:type="dxa"/>
              <w:right w:w="193" w:type="dxa"/>
            </w:tcMar>
            <w:vAlign w:val="center"/>
          </w:tcPr>
          <w:p w14:paraId="19A924A2">
            <w:pPr>
              <w:spacing w:line="360" w:lineRule="auto"/>
              <w:rPr>
                <w:highlight w:val="none"/>
              </w:rPr>
            </w:pPr>
            <w:r>
              <w:rPr>
                <w:highlight w:val="none"/>
              </w:rPr>
              <w:t>证件过期/缺失1项扣4分，无证施工本项0分；人员/设备每缺1项扣2分，扣完为止。</w:t>
            </w:r>
          </w:p>
        </w:tc>
      </w:tr>
      <w:tr w14:paraId="39119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65" w:type="dxa"/>
            <w:tcMar>
              <w:top w:w="161" w:type="dxa"/>
              <w:left w:w="0" w:type="dxa"/>
              <w:bottom w:w="161" w:type="dxa"/>
              <w:right w:w="193" w:type="dxa"/>
            </w:tcMar>
            <w:vAlign w:val="center"/>
          </w:tcPr>
          <w:p w14:paraId="566FD967">
            <w:pPr>
              <w:spacing w:line="360" w:lineRule="auto"/>
              <w:rPr>
                <w:highlight w:val="none"/>
              </w:rPr>
            </w:pPr>
            <w:r>
              <w:rPr>
                <w:highlight w:val="none"/>
              </w:rPr>
              <w:t>安全生产管理</w:t>
            </w:r>
          </w:p>
        </w:tc>
        <w:tc>
          <w:tcPr>
            <w:tcW w:w="850" w:type="dxa"/>
            <w:tcMar>
              <w:top w:w="161" w:type="dxa"/>
              <w:left w:w="0" w:type="dxa"/>
              <w:bottom w:w="161" w:type="dxa"/>
              <w:right w:w="193" w:type="dxa"/>
            </w:tcMar>
            <w:vAlign w:val="center"/>
          </w:tcPr>
          <w:p w14:paraId="1BF41EC9">
            <w:pPr>
              <w:spacing w:line="360" w:lineRule="auto"/>
              <w:rPr>
                <w:highlight w:val="none"/>
              </w:rPr>
            </w:pPr>
            <w:r>
              <w:rPr>
                <w:highlight w:val="none"/>
              </w:rPr>
              <w:t>25分</w:t>
            </w:r>
          </w:p>
        </w:tc>
        <w:tc>
          <w:tcPr>
            <w:tcW w:w="3969" w:type="dxa"/>
            <w:tcMar>
              <w:top w:w="161" w:type="dxa"/>
              <w:left w:w="0" w:type="dxa"/>
              <w:bottom w:w="161" w:type="dxa"/>
              <w:right w:w="193" w:type="dxa"/>
            </w:tcMar>
            <w:vAlign w:val="center"/>
          </w:tcPr>
          <w:p w14:paraId="7F4DBABD">
            <w:pPr>
              <w:spacing w:line="360" w:lineRule="auto"/>
              <w:rPr>
                <w:highlight w:val="none"/>
              </w:rPr>
            </w:pPr>
            <w:r>
              <w:rPr>
                <w:highlight w:val="none"/>
              </w:rPr>
              <w:t>1. 维修人员规范佩戴劳保用品（安全帽、安全带等）；</w:t>
            </w:r>
            <w:r>
              <w:rPr>
                <w:highlight w:val="none"/>
              </w:rPr>
              <w:br w:type="textWrapping"/>
            </w:r>
            <w:r>
              <w:rPr>
                <w:highlight w:val="none"/>
              </w:rPr>
              <w:t>2. 施工现场规范设置围挡、警示标识，专人值守；</w:t>
            </w:r>
            <w:r>
              <w:rPr>
                <w:highlight w:val="none"/>
              </w:rPr>
              <w:br w:type="textWrapping"/>
            </w:r>
            <w:r>
              <w:rPr>
                <w:highlight w:val="none"/>
              </w:rPr>
              <w:t>3. 无安全事故，无安全隐患遗留；</w:t>
            </w:r>
            <w:r>
              <w:rPr>
                <w:highlight w:val="none"/>
              </w:rPr>
              <w:br w:type="textWrapping"/>
            </w:r>
            <w:r>
              <w:rPr>
                <w:highlight w:val="none"/>
              </w:rPr>
              <w:t>4. 高空、带电、有限空间等危险作业遵守操作规程。</w:t>
            </w:r>
          </w:p>
        </w:tc>
        <w:tc>
          <w:tcPr>
            <w:tcW w:w="3260" w:type="dxa"/>
            <w:tcMar>
              <w:top w:w="161" w:type="dxa"/>
              <w:left w:w="0" w:type="dxa"/>
              <w:bottom w:w="161" w:type="dxa"/>
              <w:right w:w="193" w:type="dxa"/>
            </w:tcMar>
            <w:vAlign w:val="center"/>
          </w:tcPr>
          <w:p w14:paraId="6401EDED">
            <w:pPr>
              <w:spacing w:line="360" w:lineRule="auto"/>
              <w:rPr>
                <w:highlight w:val="none"/>
              </w:rPr>
            </w:pPr>
            <w:r>
              <w:rPr>
                <w:highlight w:val="none"/>
              </w:rPr>
              <w:t>未规范佩戴防护用品单人单次扣1分，违规操作单次扣3分；未设置围挡警示扣5分；发生一般安全事故本项0分，重大事故本次作业考核不合格。</w:t>
            </w:r>
          </w:p>
        </w:tc>
      </w:tr>
      <w:tr w14:paraId="17DC2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65" w:type="dxa"/>
            <w:tcMar>
              <w:top w:w="161" w:type="dxa"/>
              <w:left w:w="0" w:type="dxa"/>
              <w:bottom w:w="161" w:type="dxa"/>
              <w:right w:w="193" w:type="dxa"/>
            </w:tcMar>
            <w:vAlign w:val="center"/>
          </w:tcPr>
          <w:p w14:paraId="72737429">
            <w:pPr>
              <w:spacing w:line="360" w:lineRule="auto"/>
              <w:rPr>
                <w:highlight w:val="none"/>
              </w:rPr>
            </w:pPr>
            <w:r>
              <w:rPr>
                <w:highlight w:val="none"/>
              </w:rPr>
              <w:t>维修作业质量</w:t>
            </w:r>
          </w:p>
        </w:tc>
        <w:tc>
          <w:tcPr>
            <w:tcW w:w="850" w:type="dxa"/>
            <w:tcMar>
              <w:top w:w="161" w:type="dxa"/>
              <w:left w:w="0" w:type="dxa"/>
              <w:bottom w:w="161" w:type="dxa"/>
              <w:right w:w="193" w:type="dxa"/>
            </w:tcMar>
            <w:vAlign w:val="center"/>
          </w:tcPr>
          <w:p w14:paraId="523C4473">
            <w:pPr>
              <w:spacing w:line="360" w:lineRule="auto"/>
              <w:rPr>
                <w:highlight w:val="none"/>
              </w:rPr>
            </w:pPr>
            <w:r>
              <w:rPr>
                <w:highlight w:val="none"/>
              </w:rPr>
              <w:t>20分</w:t>
            </w:r>
          </w:p>
        </w:tc>
        <w:tc>
          <w:tcPr>
            <w:tcW w:w="3969" w:type="dxa"/>
            <w:tcMar>
              <w:top w:w="161" w:type="dxa"/>
              <w:left w:w="0" w:type="dxa"/>
              <w:bottom w:w="161" w:type="dxa"/>
              <w:right w:w="193" w:type="dxa"/>
            </w:tcMar>
            <w:vAlign w:val="center"/>
          </w:tcPr>
          <w:p w14:paraId="6D1ADDD8">
            <w:pPr>
              <w:spacing w:line="360" w:lineRule="auto"/>
              <w:rPr>
                <w:highlight w:val="none"/>
              </w:rPr>
            </w:pPr>
            <w:r>
              <w:rPr>
                <w:highlight w:val="none"/>
              </w:rPr>
              <w:t>1. 按甲方派单要求完成维修范围，主体及附属设施修复彻底；</w:t>
            </w:r>
            <w:r>
              <w:rPr>
                <w:highlight w:val="none"/>
              </w:rPr>
              <w:br w:type="textWrapping"/>
            </w:r>
            <w:r>
              <w:rPr>
                <w:highlight w:val="none"/>
              </w:rPr>
              <w:t>2. 维修材料符合招标文件要求（提供合格证、检测报告），严禁使用伪劣产品；</w:t>
            </w:r>
            <w:r>
              <w:rPr>
                <w:highlight w:val="none"/>
              </w:rPr>
              <w:br w:type="textWrapping"/>
            </w:r>
            <w:r>
              <w:rPr>
                <w:highlight w:val="none"/>
              </w:rPr>
              <w:t>3. 维修后达到规定标准（防水不渗漏、墙面地面无空鼓裂缝、水电畅通、门窗开关灵活等）；</w:t>
            </w:r>
            <w:r>
              <w:rPr>
                <w:highlight w:val="none"/>
              </w:rPr>
              <w:br w:type="textWrapping"/>
            </w:r>
            <w:r>
              <w:rPr>
                <w:highlight w:val="none"/>
              </w:rPr>
              <w:t>4. 观感整洁，与周边环境协调，无明显修补痕迹。</w:t>
            </w:r>
          </w:p>
        </w:tc>
        <w:tc>
          <w:tcPr>
            <w:tcW w:w="3260" w:type="dxa"/>
            <w:tcMar>
              <w:top w:w="161" w:type="dxa"/>
              <w:left w:w="0" w:type="dxa"/>
              <w:bottom w:w="161" w:type="dxa"/>
              <w:right w:w="193" w:type="dxa"/>
            </w:tcMar>
            <w:vAlign w:val="center"/>
          </w:tcPr>
          <w:p w14:paraId="3ABDA127">
            <w:pPr>
              <w:spacing w:line="360" w:lineRule="auto"/>
              <w:rPr>
                <w:highlight w:val="none"/>
              </w:rPr>
            </w:pPr>
            <w:r>
              <w:rPr>
                <w:highlight w:val="none"/>
              </w:rPr>
              <w:t>维修不彻底/漏修单次扣3-6分；材料不合格扣10分，并责令返工；质量不达标每项扣2-5分，需全额赔偿或返修。</w:t>
            </w:r>
          </w:p>
        </w:tc>
      </w:tr>
      <w:tr w14:paraId="47294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65" w:type="dxa"/>
            <w:tcMar>
              <w:top w:w="161" w:type="dxa"/>
              <w:left w:w="0" w:type="dxa"/>
              <w:bottom w:w="161" w:type="dxa"/>
              <w:right w:w="193" w:type="dxa"/>
            </w:tcMar>
            <w:vAlign w:val="center"/>
          </w:tcPr>
          <w:p w14:paraId="74ED326E">
            <w:pPr>
              <w:spacing w:line="360" w:lineRule="auto"/>
              <w:rPr>
                <w:highlight w:val="none"/>
              </w:rPr>
            </w:pPr>
            <w:r>
              <w:rPr>
                <w:highlight w:val="none"/>
              </w:rPr>
              <w:t>作业时效与工单执行</w:t>
            </w:r>
          </w:p>
        </w:tc>
        <w:tc>
          <w:tcPr>
            <w:tcW w:w="850" w:type="dxa"/>
            <w:tcMar>
              <w:top w:w="161" w:type="dxa"/>
              <w:left w:w="0" w:type="dxa"/>
              <w:bottom w:w="161" w:type="dxa"/>
              <w:right w:w="193" w:type="dxa"/>
            </w:tcMar>
            <w:vAlign w:val="center"/>
          </w:tcPr>
          <w:p w14:paraId="4AB4A052">
            <w:pPr>
              <w:spacing w:line="360" w:lineRule="auto"/>
              <w:rPr>
                <w:highlight w:val="none"/>
              </w:rPr>
            </w:pPr>
            <w:r>
              <w:rPr>
                <w:highlight w:val="none"/>
              </w:rPr>
              <w:t>15分</w:t>
            </w:r>
          </w:p>
        </w:tc>
        <w:tc>
          <w:tcPr>
            <w:tcW w:w="3969" w:type="dxa"/>
            <w:tcMar>
              <w:top w:w="161" w:type="dxa"/>
              <w:left w:w="0" w:type="dxa"/>
              <w:bottom w:w="161" w:type="dxa"/>
              <w:right w:w="193" w:type="dxa"/>
            </w:tcMar>
            <w:vAlign w:val="center"/>
          </w:tcPr>
          <w:p w14:paraId="0E773518">
            <w:pPr>
              <w:spacing w:line="360" w:lineRule="auto"/>
              <w:rPr>
                <w:highlight w:val="none"/>
              </w:rPr>
            </w:pPr>
            <w:r>
              <w:rPr>
                <w:highlight w:val="none"/>
              </w:rPr>
              <w:t>1. 接甲方维修指令后按时抵达现场（一般故障2小时内到场，紧急情况30分钟内到场）；</w:t>
            </w:r>
            <w:r>
              <w:rPr>
                <w:highlight w:val="none"/>
              </w:rPr>
              <w:br w:type="textWrapping"/>
            </w:r>
            <w:r>
              <w:rPr>
                <w:highlight w:val="none"/>
              </w:rPr>
              <w:t>2. 按规定时限完成维修并清场（小修24小时内，中修按约定，大修不超过合同工期）；</w:t>
            </w:r>
            <w:r>
              <w:rPr>
                <w:highlight w:val="none"/>
              </w:rPr>
              <w:br w:type="textWrapping"/>
            </w:r>
            <w:r>
              <w:rPr>
                <w:highlight w:val="none"/>
              </w:rPr>
              <w:t>3. 工单资料填报真实、完整、及时。</w:t>
            </w:r>
          </w:p>
        </w:tc>
        <w:tc>
          <w:tcPr>
            <w:tcW w:w="3260" w:type="dxa"/>
            <w:tcMar>
              <w:top w:w="161" w:type="dxa"/>
              <w:left w:w="0" w:type="dxa"/>
              <w:bottom w:w="161" w:type="dxa"/>
              <w:right w:w="193" w:type="dxa"/>
            </w:tcMar>
            <w:vAlign w:val="center"/>
          </w:tcPr>
          <w:p w14:paraId="0E3CA241">
            <w:pPr>
              <w:spacing w:line="360" w:lineRule="auto"/>
              <w:rPr>
                <w:highlight w:val="none"/>
              </w:rPr>
            </w:pPr>
            <w:r>
              <w:rPr>
                <w:highlight w:val="none"/>
              </w:rPr>
              <w:t>超时到场单次扣2分，拒不到场扣5分；逾期未完成单次扣3-7分；资料缺失/虚假填报单次扣1-3分。</w:t>
            </w:r>
          </w:p>
        </w:tc>
      </w:tr>
      <w:tr w14:paraId="0F36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65" w:type="dxa"/>
            <w:tcMar>
              <w:top w:w="161" w:type="dxa"/>
              <w:left w:w="0" w:type="dxa"/>
              <w:bottom w:w="161" w:type="dxa"/>
              <w:right w:w="193" w:type="dxa"/>
            </w:tcMar>
            <w:vAlign w:val="center"/>
          </w:tcPr>
          <w:p w14:paraId="15358E69">
            <w:pPr>
              <w:spacing w:line="360" w:lineRule="auto"/>
              <w:rPr>
                <w:highlight w:val="none"/>
              </w:rPr>
            </w:pPr>
            <w:r>
              <w:rPr>
                <w:highlight w:val="none"/>
              </w:rPr>
              <w:t>现场环境与垃圾清运</w:t>
            </w:r>
          </w:p>
        </w:tc>
        <w:tc>
          <w:tcPr>
            <w:tcW w:w="850" w:type="dxa"/>
            <w:tcMar>
              <w:top w:w="161" w:type="dxa"/>
              <w:left w:w="0" w:type="dxa"/>
              <w:bottom w:w="161" w:type="dxa"/>
              <w:right w:w="193" w:type="dxa"/>
            </w:tcMar>
            <w:vAlign w:val="center"/>
          </w:tcPr>
          <w:p w14:paraId="42A5168E">
            <w:pPr>
              <w:spacing w:line="360" w:lineRule="auto"/>
              <w:rPr>
                <w:highlight w:val="none"/>
              </w:rPr>
            </w:pPr>
            <w:r>
              <w:rPr>
                <w:highlight w:val="none"/>
              </w:rPr>
              <w:t>10分</w:t>
            </w:r>
          </w:p>
        </w:tc>
        <w:tc>
          <w:tcPr>
            <w:tcW w:w="3969" w:type="dxa"/>
            <w:tcMar>
              <w:top w:w="161" w:type="dxa"/>
              <w:left w:w="0" w:type="dxa"/>
              <w:bottom w:w="161" w:type="dxa"/>
              <w:right w:w="193" w:type="dxa"/>
            </w:tcMar>
            <w:vAlign w:val="center"/>
          </w:tcPr>
          <w:p w14:paraId="525F1935">
            <w:pPr>
              <w:spacing w:line="360" w:lineRule="auto"/>
              <w:rPr>
                <w:highlight w:val="none"/>
              </w:rPr>
            </w:pPr>
            <w:r>
              <w:rPr>
                <w:highlight w:val="none"/>
              </w:rPr>
              <w:t>1. 施工期间落实降尘、降噪措施，减少扰民；</w:t>
            </w:r>
            <w:r>
              <w:rPr>
                <w:highlight w:val="none"/>
              </w:rPr>
              <w:br w:type="textWrapping"/>
            </w:r>
            <w:r>
              <w:rPr>
                <w:highlight w:val="none"/>
              </w:rPr>
              <w:t>2. 建筑垃圾及时清运至合规场所，无乱倒、无残留；</w:t>
            </w:r>
            <w:r>
              <w:rPr>
                <w:highlight w:val="none"/>
              </w:rPr>
              <w:br w:type="textWrapping"/>
            </w:r>
            <w:r>
              <w:rPr>
                <w:highlight w:val="none"/>
              </w:rPr>
              <w:t>3. 工完场清，恢复现场原貌。</w:t>
            </w:r>
          </w:p>
        </w:tc>
        <w:tc>
          <w:tcPr>
            <w:tcW w:w="3260" w:type="dxa"/>
            <w:tcMar>
              <w:top w:w="161" w:type="dxa"/>
              <w:left w:w="0" w:type="dxa"/>
              <w:bottom w:w="161" w:type="dxa"/>
              <w:right w:w="193" w:type="dxa"/>
            </w:tcMar>
            <w:vAlign w:val="center"/>
          </w:tcPr>
          <w:p w14:paraId="2556D501">
            <w:pPr>
              <w:spacing w:line="360" w:lineRule="auto"/>
              <w:rPr>
                <w:highlight w:val="none"/>
              </w:rPr>
            </w:pPr>
            <w:r>
              <w:rPr>
                <w:highlight w:val="none"/>
              </w:rPr>
              <w:t>未落实降尘/违规扰民单次扣2分；垃圾残留单次扣3分，随意倾倒本项0分。</w:t>
            </w:r>
          </w:p>
        </w:tc>
      </w:tr>
      <w:tr w14:paraId="4BDB5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65" w:type="dxa"/>
            <w:tcMar>
              <w:top w:w="161" w:type="dxa"/>
              <w:left w:w="0" w:type="dxa"/>
              <w:bottom w:w="161" w:type="dxa"/>
              <w:right w:w="193" w:type="dxa"/>
            </w:tcMar>
            <w:vAlign w:val="center"/>
          </w:tcPr>
          <w:p w14:paraId="33AEFFE7">
            <w:pPr>
              <w:spacing w:line="360" w:lineRule="auto"/>
              <w:rPr>
                <w:highlight w:val="none"/>
              </w:rPr>
            </w:pPr>
            <w:r>
              <w:rPr>
                <w:highlight w:val="none"/>
              </w:rPr>
              <w:t>服务合规与投诉处置</w:t>
            </w:r>
          </w:p>
        </w:tc>
        <w:tc>
          <w:tcPr>
            <w:tcW w:w="850" w:type="dxa"/>
            <w:tcMar>
              <w:top w:w="161" w:type="dxa"/>
              <w:left w:w="0" w:type="dxa"/>
              <w:bottom w:w="161" w:type="dxa"/>
              <w:right w:w="193" w:type="dxa"/>
            </w:tcMar>
            <w:vAlign w:val="center"/>
          </w:tcPr>
          <w:p w14:paraId="5B9BFE0F">
            <w:pPr>
              <w:spacing w:line="360" w:lineRule="auto"/>
              <w:rPr>
                <w:highlight w:val="none"/>
              </w:rPr>
            </w:pPr>
            <w:r>
              <w:rPr>
                <w:highlight w:val="none"/>
              </w:rPr>
              <w:t>10分</w:t>
            </w:r>
          </w:p>
        </w:tc>
        <w:tc>
          <w:tcPr>
            <w:tcW w:w="3969" w:type="dxa"/>
            <w:tcMar>
              <w:top w:w="161" w:type="dxa"/>
              <w:left w:w="0" w:type="dxa"/>
              <w:bottom w:w="161" w:type="dxa"/>
              <w:right w:w="193" w:type="dxa"/>
            </w:tcMar>
            <w:vAlign w:val="center"/>
          </w:tcPr>
          <w:p w14:paraId="0A6E67AF">
            <w:pPr>
              <w:spacing w:line="360" w:lineRule="auto"/>
              <w:rPr>
                <w:highlight w:val="none"/>
              </w:rPr>
            </w:pPr>
            <w:r>
              <w:rPr>
                <w:highlight w:val="none"/>
              </w:rPr>
              <w:t>1. 服从甲方调度，积极配合核查整改；</w:t>
            </w:r>
            <w:r>
              <w:rPr>
                <w:highlight w:val="none"/>
              </w:rPr>
              <w:br w:type="textWrapping"/>
            </w:r>
            <w:r>
              <w:rPr>
                <w:highlight w:val="none"/>
              </w:rPr>
              <w:t>2. 无有效投诉、无负面舆情，投诉1小时内响应、24小时内处置；</w:t>
            </w:r>
            <w:r>
              <w:rPr>
                <w:highlight w:val="none"/>
              </w:rPr>
              <w:br w:type="textWrapping"/>
            </w:r>
            <w:r>
              <w:rPr>
                <w:highlight w:val="none"/>
              </w:rPr>
              <w:t>3. 问题整改按时到位。</w:t>
            </w:r>
          </w:p>
        </w:tc>
        <w:tc>
          <w:tcPr>
            <w:tcW w:w="3260" w:type="dxa"/>
            <w:tcMar>
              <w:top w:w="161" w:type="dxa"/>
              <w:left w:w="0" w:type="dxa"/>
              <w:bottom w:w="161" w:type="dxa"/>
              <w:right w:w="193" w:type="dxa"/>
            </w:tcMar>
            <w:vAlign w:val="center"/>
          </w:tcPr>
          <w:p w14:paraId="488C5D12">
            <w:pPr>
              <w:spacing w:line="360" w:lineRule="auto"/>
              <w:rPr>
                <w:highlight w:val="none"/>
              </w:rPr>
            </w:pPr>
            <w:r>
              <w:rPr>
                <w:highlight w:val="none"/>
              </w:rPr>
              <w:t>拒不配合调度单次扣2-4分；有效投诉单次扣2分，处置不到位扣4分；整改逾期/不到位单次扣2分。</w:t>
            </w:r>
          </w:p>
        </w:tc>
      </w:tr>
      <w:tr w14:paraId="1A417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65" w:type="dxa"/>
            <w:tcMar>
              <w:top w:w="161" w:type="dxa"/>
              <w:left w:w="0" w:type="dxa"/>
              <w:bottom w:w="161" w:type="dxa"/>
              <w:right w:w="193" w:type="dxa"/>
            </w:tcMar>
            <w:vAlign w:val="center"/>
          </w:tcPr>
          <w:p w14:paraId="3827FEC2">
            <w:pPr>
              <w:spacing w:line="360" w:lineRule="auto"/>
              <w:rPr>
                <w:highlight w:val="none"/>
              </w:rPr>
            </w:pPr>
            <w:r>
              <w:rPr>
                <w:highlight w:val="none"/>
              </w:rPr>
              <w:t>合计</w:t>
            </w:r>
          </w:p>
        </w:tc>
        <w:tc>
          <w:tcPr>
            <w:tcW w:w="850" w:type="dxa"/>
            <w:tcMar>
              <w:top w:w="161" w:type="dxa"/>
              <w:left w:w="0" w:type="dxa"/>
              <w:bottom w:w="161" w:type="dxa"/>
              <w:right w:w="193" w:type="dxa"/>
            </w:tcMar>
            <w:vAlign w:val="center"/>
          </w:tcPr>
          <w:p w14:paraId="71651970">
            <w:pPr>
              <w:spacing w:line="360" w:lineRule="auto"/>
              <w:rPr>
                <w:highlight w:val="none"/>
              </w:rPr>
            </w:pPr>
            <w:r>
              <w:rPr>
                <w:highlight w:val="none"/>
              </w:rPr>
              <w:t>100分</w:t>
            </w:r>
          </w:p>
        </w:tc>
        <w:tc>
          <w:tcPr>
            <w:tcW w:w="3969" w:type="dxa"/>
            <w:tcMar>
              <w:top w:w="161" w:type="dxa"/>
              <w:left w:w="0" w:type="dxa"/>
              <w:bottom w:w="161" w:type="dxa"/>
              <w:right w:w="193" w:type="dxa"/>
            </w:tcMar>
            <w:vAlign w:val="center"/>
          </w:tcPr>
          <w:p w14:paraId="4E8DCA09">
            <w:pPr>
              <w:spacing w:line="360" w:lineRule="auto"/>
              <w:rPr>
                <w:highlight w:val="none"/>
              </w:rPr>
            </w:pPr>
          </w:p>
        </w:tc>
        <w:tc>
          <w:tcPr>
            <w:tcW w:w="3260" w:type="dxa"/>
            <w:tcMar>
              <w:top w:w="161" w:type="dxa"/>
              <w:left w:w="0" w:type="dxa"/>
              <w:bottom w:w="161" w:type="dxa"/>
              <w:right w:w="193" w:type="dxa"/>
            </w:tcMar>
            <w:vAlign w:val="center"/>
          </w:tcPr>
          <w:p w14:paraId="308C87C6">
            <w:pPr>
              <w:spacing w:line="360" w:lineRule="auto"/>
              <w:rPr>
                <w:highlight w:val="none"/>
              </w:rPr>
            </w:pPr>
          </w:p>
        </w:tc>
      </w:tr>
    </w:tbl>
    <w:p w14:paraId="5D39AB52">
      <w:pPr>
        <w:widowControl/>
        <w:tabs>
          <w:tab w:val="left" w:pos="851"/>
        </w:tabs>
        <w:spacing w:line="360" w:lineRule="auto"/>
        <w:ind w:firstLine="422" w:firstLineChars="200"/>
        <w:jc w:val="left"/>
        <w:rPr>
          <w:rFonts w:ascii="宋体" w:hAnsi="宋体" w:cs="宋体"/>
          <w:kern w:val="0"/>
          <w:szCs w:val="21"/>
          <w:highlight w:val="none"/>
        </w:rPr>
      </w:pPr>
      <w:r>
        <w:rPr>
          <w:rFonts w:ascii="宋体" w:hAnsi="宋体" w:cs="宋体"/>
          <w:b/>
          <w:bCs/>
          <w:kern w:val="0"/>
          <w:szCs w:val="21"/>
          <w:highlight w:val="none"/>
        </w:rPr>
        <w:t>六、考核结果应用</w:t>
      </w:r>
    </w:p>
    <w:p w14:paraId="086E410F">
      <w:pPr>
        <w:widowControl/>
        <w:numPr>
          <w:ilvl w:val="0"/>
          <w:numId w:val="5"/>
        </w:numPr>
        <w:tabs>
          <w:tab w:val="left" w:pos="851"/>
        </w:tabs>
        <w:spacing w:before="100" w:beforeAutospacing="1" w:after="100" w:afterAutospacing="1" w:line="360" w:lineRule="auto"/>
        <w:ind w:left="0" w:firstLine="422" w:firstLineChars="200"/>
        <w:jc w:val="left"/>
        <w:rPr>
          <w:rFonts w:ascii="宋体" w:hAnsi="宋体" w:cs="宋体"/>
          <w:kern w:val="0"/>
          <w:szCs w:val="21"/>
          <w:highlight w:val="none"/>
        </w:rPr>
      </w:pPr>
      <w:r>
        <w:rPr>
          <w:rFonts w:ascii="宋体" w:hAnsi="宋体" w:cs="宋体"/>
          <w:b/>
          <w:bCs/>
          <w:kern w:val="0"/>
          <w:szCs w:val="21"/>
          <w:highlight w:val="none"/>
        </w:rPr>
        <w:t>费用核算</w:t>
      </w:r>
      <w:r>
        <w:rPr>
          <w:rFonts w:ascii="宋体" w:hAnsi="宋体" w:cs="宋体"/>
          <w:kern w:val="0"/>
          <w:szCs w:val="21"/>
          <w:highlight w:val="none"/>
        </w:rPr>
        <w:t xml:space="preserve">： </w:t>
      </w:r>
    </w:p>
    <w:p w14:paraId="08C28EE1">
      <w:pPr>
        <w:widowControl/>
        <w:numPr>
          <w:ilvl w:val="1"/>
          <w:numId w:val="5"/>
        </w:numPr>
        <w:tabs>
          <w:tab w:val="left" w:pos="851"/>
        </w:tabs>
        <w:spacing w:before="100" w:beforeAutospacing="1" w:after="100" w:afterAutospacing="1" w:line="360" w:lineRule="auto"/>
        <w:ind w:left="0" w:firstLine="420" w:firstLineChars="200"/>
        <w:jc w:val="left"/>
        <w:rPr>
          <w:rFonts w:ascii="宋体" w:hAnsi="宋体" w:cs="宋体"/>
          <w:kern w:val="0"/>
          <w:szCs w:val="21"/>
          <w:highlight w:val="none"/>
        </w:rPr>
      </w:pPr>
      <w:r>
        <w:rPr>
          <w:rFonts w:ascii="宋体" w:hAnsi="宋体" w:cs="宋体"/>
          <w:kern w:val="0"/>
          <w:szCs w:val="21"/>
          <w:highlight w:val="none"/>
        </w:rPr>
        <w:t xml:space="preserve">考核得分90分（含）以上：不扣款，全额支付当月应付服务费。 </w:t>
      </w:r>
    </w:p>
    <w:p w14:paraId="2AF00A95">
      <w:pPr>
        <w:widowControl/>
        <w:numPr>
          <w:ilvl w:val="1"/>
          <w:numId w:val="5"/>
        </w:numPr>
        <w:tabs>
          <w:tab w:val="left" w:pos="851"/>
        </w:tabs>
        <w:spacing w:before="100" w:beforeAutospacing="1" w:after="100" w:afterAutospacing="1" w:line="360" w:lineRule="auto"/>
        <w:ind w:left="0" w:firstLine="420" w:firstLineChars="200"/>
        <w:jc w:val="left"/>
        <w:rPr>
          <w:rFonts w:ascii="宋体" w:hAnsi="宋体" w:cs="宋体"/>
          <w:kern w:val="0"/>
          <w:szCs w:val="21"/>
          <w:highlight w:val="none"/>
        </w:rPr>
      </w:pPr>
      <w:r>
        <w:rPr>
          <w:rFonts w:ascii="宋体" w:hAnsi="宋体" w:cs="宋体"/>
          <w:kern w:val="0"/>
          <w:szCs w:val="21"/>
          <w:highlight w:val="none"/>
        </w:rPr>
        <w:t xml:space="preserve">考核得分80-89分：每扣1分，扣款200元人民币，从当月服务费中扣除。 </w:t>
      </w:r>
    </w:p>
    <w:p w14:paraId="55D2BC7C">
      <w:pPr>
        <w:widowControl/>
        <w:numPr>
          <w:ilvl w:val="1"/>
          <w:numId w:val="5"/>
        </w:numPr>
        <w:tabs>
          <w:tab w:val="left" w:pos="851"/>
        </w:tabs>
        <w:spacing w:before="100" w:beforeAutospacing="1" w:after="100" w:afterAutospacing="1" w:line="360" w:lineRule="auto"/>
        <w:ind w:left="0" w:firstLine="420" w:firstLineChars="200"/>
        <w:jc w:val="left"/>
        <w:rPr>
          <w:rFonts w:ascii="宋体" w:hAnsi="宋体" w:cs="宋体"/>
          <w:kern w:val="0"/>
          <w:szCs w:val="21"/>
          <w:highlight w:val="none"/>
        </w:rPr>
      </w:pPr>
      <w:r>
        <w:rPr>
          <w:rFonts w:ascii="宋体" w:hAnsi="宋体" w:cs="宋体"/>
          <w:kern w:val="0"/>
          <w:szCs w:val="21"/>
          <w:highlight w:val="none"/>
        </w:rPr>
        <w:t xml:space="preserve">考核得分70-79分：每扣1分，扣款300元人民币，并约谈项目总负责人。 </w:t>
      </w:r>
    </w:p>
    <w:p w14:paraId="1095D065">
      <w:pPr>
        <w:widowControl/>
        <w:numPr>
          <w:ilvl w:val="1"/>
          <w:numId w:val="5"/>
        </w:numPr>
        <w:tabs>
          <w:tab w:val="left" w:pos="851"/>
        </w:tabs>
        <w:spacing w:before="100" w:beforeAutospacing="1" w:after="100" w:afterAutospacing="1" w:line="360" w:lineRule="auto"/>
        <w:ind w:left="0" w:firstLine="420" w:firstLineChars="200"/>
        <w:jc w:val="left"/>
        <w:rPr>
          <w:rFonts w:ascii="宋体" w:hAnsi="宋体" w:cs="宋体"/>
          <w:kern w:val="0"/>
          <w:szCs w:val="21"/>
          <w:highlight w:val="none"/>
        </w:rPr>
      </w:pPr>
      <w:r>
        <w:rPr>
          <w:rFonts w:ascii="宋体" w:hAnsi="宋体" w:cs="宋体"/>
          <w:kern w:val="0"/>
          <w:szCs w:val="21"/>
          <w:highlight w:val="none"/>
        </w:rPr>
        <w:t xml:space="preserve">考核得分60-69分：每扣1分，扣款500元人民币，甲方可发书面警告。 </w:t>
      </w:r>
    </w:p>
    <w:p w14:paraId="5E686305">
      <w:pPr>
        <w:widowControl/>
        <w:numPr>
          <w:ilvl w:val="1"/>
          <w:numId w:val="5"/>
        </w:numPr>
        <w:tabs>
          <w:tab w:val="left" w:pos="851"/>
        </w:tabs>
        <w:spacing w:before="100" w:beforeAutospacing="1" w:after="100" w:afterAutospacing="1" w:line="360" w:lineRule="auto"/>
        <w:ind w:left="0" w:firstLine="420" w:firstLineChars="200"/>
        <w:jc w:val="left"/>
        <w:rPr>
          <w:rFonts w:ascii="宋体" w:hAnsi="宋体" w:cs="宋体"/>
          <w:kern w:val="0"/>
          <w:szCs w:val="21"/>
          <w:highlight w:val="none"/>
        </w:rPr>
      </w:pPr>
      <w:r>
        <w:rPr>
          <w:rFonts w:ascii="宋体" w:hAnsi="宋体" w:cs="宋体"/>
          <w:kern w:val="0"/>
          <w:szCs w:val="21"/>
          <w:highlight w:val="none"/>
        </w:rPr>
        <w:t xml:space="preserve">考核得分低于60分：视为严重违约，甲方有权暂停支付服务费，并追究违约责任，直至解除合同。 </w:t>
      </w:r>
    </w:p>
    <w:p w14:paraId="65AB96B9">
      <w:pPr>
        <w:widowControl/>
        <w:numPr>
          <w:ilvl w:val="0"/>
          <w:numId w:val="5"/>
        </w:numPr>
        <w:tabs>
          <w:tab w:val="left" w:pos="851"/>
        </w:tabs>
        <w:spacing w:before="100" w:beforeAutospacing="1" w:after="100" w:afterAutospacing="1" w:line="360" w:lineRule="auto"/>
        <w:ind w:left="0" w:firstLine="422" w:firstLineChars="200"/>
        <w:jc w:val="left"/>
        <w:rPr>
          <w:rFonts w:ascii="宋体" w:hAnsi="宋体" w:cs="宋体"/>
          <w:kern w:val="0"/>
          <w:szCs w:val="21"/>
          <w:highlight w:val="none"/>
        </w:rPr>
      </w:pPr>
      <w:r>
        <w:rPr>
          <w:rFonts w:ascii="宋体" w:hAnsi="宋体" w:cs="宋体"/>
          <w:b/>
          <w:bCs/>
          <w:kern w:val="0"/>
          <w:szCs w:val="21"/>
          <w:highlight w:val="none"/>
        </w:rPr>
        <w:t>人员与设备处罚</w:t>
      </w:r>
      <w:r>
        <w:rPr>
          <w:rFonts w:ascii="宋体" w:hAnsi="宋体" w:cs="宋体"/>
          <w:kern w:val="0"/>
          <w:szCs w:val="21"/>
          <w:highlight w:val="none"/>
        </w:rPr>
        <w:t xml:space="preserve">： </w:t>
      </w:r>
    </w:p>
    <w:p w14:paraId="02C2243B">
      <w:pPr>
        <w:widowControl/>
        <w:numPr>
          <w:ilvl w:val="1"/>
          <w:numId w:val="5"/>
        </w:numPr>
        <w:tabs>
          <w:tab w:val="left" w:pos="851"/>
        </w:tabs>
        <w:spacing w:before="100" w:beforeAutospacing="1" w:after="100" w:afterAutospacing="1" w:line="360" w:lineRule="auto"/>
        <w:ind w:left="0" w:firstLine="420" w:firstLineChars="200"/>
        <w:jc w:val="left"/>
        <w:rPr>
          <w:rFonts w:ascii="宋体" w:hAnsi="宋体" w:cs="宋体"/>
          <w:kern w:val="0"/>
          <w:szCs w:val="21"/>
          <w:highlight w:val="none"/>
        </w:rPr>
      </w:pPr>
      <w:r>
        <w:rPr>
          <w:rFonts w:ascii="宋体" w:hAnsi="宋体" w:cs="宋体"/>
          <w:kern w:val="0"/>
          <w:szCs w:val="21"/>
          <w:highlight w:val="none"/>
        </w:rPr>
        <w:t xml:space="preserve">乙方服务人员无证上岗或证件过期的，除扣分外，甲方有权要求立即更换人员。 </w:t>
      </w:r>
    </w:p>
    <w:p w14:paraId="6CF4A9EC">
      <w:pPr>
        <w:widowControl/>
        <w:numPr>
          <w:ilvl w:val="1"/>
          <w:numId w:val="5"/>
        </w:numPr>
        <w:tabs>
          <w:tab w:val="left" w:pos="851"/>
        </w:tabs>
        <w:spacing w:before="100" w:beforeAutospacing="1" w:after="100" w:afterAutospacing="1" w:line="360" w:lineRule="auto"/>
        <w:ind w:left="0" w:firstLine="420" w:firstLineChars="200"/>
        <w:jc w:val="left"/>
        <w:rPr>
          <w:rFonts w:ascii="宋体" w:hAnsi="宋体" w:cs="宋体"/>
          <w:kern w:val="0"/>
          <w:szCs w:val="21"/>
          <w:highlight w:val="none"/>
        </w:rPr>
      </w:pPr>
      <w:r>
        <w:rPr>
          <w:rFonts w:ascii="宋体" w:hAnsi="宋体" w:cs="宋体"/>
          <w:kern w:val="0"/>
          <w:szCs w:val="21"/>
          <w:highlight w:val="none"/>
        </w:rPr>
        <w:t xml:space="preserve">因维修质量、安全等问题被媒体曝光或上级通报，造成恶劣影响的，一次处以5000-20000元罚款，并视情节终止合同。 </w:t>
      </w:r>
    </w:p>
    <w:p w14:paraId="0127AF50">
      <w:pPr>
        <w:widowControl/>
        <w:numPr>
          <w:ilvl w:val="0"/>
          <w:numId w:val="5"/>
        </w:numPr>
        <w:tabs>
          <w:tab w:val="left" w:pos="851"/>
        </w:tabs>
        <w:spacing w:before="100" w:beforeAutospacing="1" w:after="100" w:afterAutospacing="1" w:line="360" w:lineRule="auto"/>
        <w:ind w:left="0" w:firstLine="422" w:firstLineChars="200"/>
        <w:jc w:val="left"/>
        <w:rPr>
          <w:rFonts w:ascii="宋体" w:hAnsi="宋体" w:cs="宋体"/>
          <w:kern w:val="0"/>
          <w:szCs w:val="21"/>
          <w:highlight w:val="none"/>
        </w:rPr>
      </w:pPr>
      <w:r>
        <w:rPr>
          <w:rFonts w:ascii="宋体" w:hAnsi="宋体" w:cs="宋体"/>
          <w:b/>
          <w:bCs/>
          <w:kern w:val="0"/>
          <w:szCs w:val="21"/>
          <w:highlight w:val="none"/>
        </w:rPr>
        <w:t>累计处罚</w:t>
      </w:r>
      <w:r>
        <w:rPr>
          <w:rFonts w:ascii="宋体" w:hAnsi="宋体" w:cs="宋体"/>
          <w:kern w:val="0"/>
          <w:szCs w:val="21"/>
          <w:highlight w:val="none"/>
        </w:rPr>
        <w:t xml:space="preserve">： </w:t>
      </w:r>
    </w:p>
    <w:p w14:paraId="6A7D3BBE">
      <w:pPr>
        <w:widowControl/>
        <w:numPr>
          <w:ilvl w:val="1"/>
          <w:numId w:val="5"/>
        </w:numPr>
        <w:tabs>
          <w:tab w:val="left" w:pos="851"/>
        </w:tabs>
        <w:spacing w:before="100" w:beforeAutospacing="1" w:after="100" w:afterAutospacing="1" w:line="360" w:lineRule="auto"/>
        <w:ind w:left="0" w:firstLine="420" w:firstLineChars="200"/>
        <w:jc w:val="left"/>
        <w:rPr>
          <w:rFonts w:ascii="宋体" w:hAnsi="宋体" w:cs="宋体"/>
          <w:kern w:val="0"/>
          <w:szCs w:val="21"/>
          <w:highlight w:val="none"/>
        </w:rPr>
      </w:pPr>
      <w:r>
        <w:rPr>
          <w:rFonts w:ascii="宋体" w:hAnsi="宋体" w:cs="宋体"/>
          <w:kern w:val="0"/>
          <w:szCs w:val="21"/>
          <w:highlight w:val="none"/>
        </w:rPr>
        <w:t xml:space="preserve">当月考核扣分累计达20分以上，额外扣除1000元；累计达30分以上，额外扣除3000元。 </w:t>
      </w:r>
    </w:p>
    <w:p w14:paraId="6169E441">
      <w:pPr>
        <w:widowControl/>
        <w:numPr>
          <w:ilvl w:val="1"/>
          <w:numId w:val="5"/>
        </w:numPr>
        <w:tabs>
          <w:tab w:val="left" w:pos="851"/>
        </w:tabs>
        <w:spacing w:before="100" w:beforeAutospacing="1" w:after="100" w:afterAutospacing="1" w:line="360" w:lineRule="auto"/>
        <w:ind w:left="0" w:firstLine="420" w:firstLineChars="200"/>
        <w:jc w:val="left"/>
        <w:rPr>
          <w:rFonts w:ascii="宋体" w:hAnsi="宋体" w:cs="宋体"/>
          <w:kern w:val="0"/>
          <w:szCs w:val="21"/>
          <w:highlight w:val="none"/>
        </w:rPr>
      </w:pPr>
      <w:r>
        <w:rPr>
          <w:rFonts w:ascii="宋体" w:hAnsi="宋体" w:cs="宋体"/>
          <w:kern w:val="0"/>
          <w:szCs w:val="21"/>
          <w:highlight w:val="none"/>
        </w:rPr>
        <w:t xml:space="preserve">连续两个月考核低于70分，甲方可发出黄牌警告；连续三个月考核低于70分，甲方有权解除合同。 </w:t>
      </w:r>
    </w:p>
    <w:p w14:paraId="36667D10">
      <w:pPr>
        <w:widowControl/>
        <w:tabs>
          <w:tab w:val="left" w:pos="851"/>
        </w:tabs>
        <w:spacing w:line="360" w:lineRule="auto"/>
        <w:ind w:firstLine="422" w:firstLineChars="200"/>
        <w:jc w:val="left"/>
        <w:rPr>
          <w:rFonts w:ascii="MS Mincho" w:hAnsi="MS Mincho" w:cs="MS Mincho"/>
          <w:kern w:val="0"/>
          <w:szCs w:val="21"/>
          <w:highlight w:val="none"/>
        </w:rPr>
      </w:pPr>
      <w:r>
        <w:rPr>
          <w:rFonts w:ascii="宋体" w:hAnsi="宋体" w:cs="宋体"/>
          <w:b/>
          <w:bCs/>
          <w:kern w:val="0"/>
          <w:szCs w:val="21"/>
          <w:highlight w:val="none"/>
        </w:rPr>
        <w:t>七、退出机制</w:t>
      </w:r>
    </w:p>
    <w:p w14:paraId="14D8946D">
      <w:pPr>
        <w:widowControl/>
        <w:tabs>
          <w:tab w:val="left" w:pos="851"/>
        </w:tabs>
        <w:spacing w:line="360" w:lineRule="auto"/>
        <w:ind w:firstLine="420" w:firstLineChars="200"/>
        <w:jc w:val="left"/>
        <w:rPr>
          <w:rFonts w:ascii="宋体" w:hAnsi="宋体" w:cs="宋体"/>
          <w:kern w:val="0"/>
          <w:szCs w:val="21"/>
          <w:highlight w:val="none"/>
        </w:rPr>
      </w:pPr>
      <w:r>
        <w:rPr>
          <w:rFonts w:ascii="宋体" w:hAnsi="宋体" w:cs="宋体"/>
          <w:kern w:val="0"/>
          <w:szCs w:val="21"/>
          <w:highlight w:val="none"/>
        </w:rPr>
        <w:t>乙方出现下列情况之一的，甲方有权解除合同，并列入失信企业名单：</w:t>
      </w:r>
    </w:p>
    <w:p w14:paraId="53C2C342">
      <w:pPr>
        <w:widowControl/>
        <w:numPr>
          <w:ilvl w:val="0"/>
          <w:numId w:val="6"/>
        </w:numPr>
        <w:tabs>
          <w:tab w:val="left" w:pos="851"/>
        </w:tabs>
        <w:spacing w:before="100" w:beforeAutospacing="1" w:after="100" w:afterAutospacing="1" w:line="360" w:lineRule="auto"/>
        <w:ind w:left="0" w:firstLine="420" w:firstLineChars="200"/>
        <w:jc w:val="left"/>
        <w:rPr>
          <w:rFonts w:ascii="宋体" w:hAnsi="宋体" w:cs="宋体"/>
          <w:kern w:val="0"/>
          <w:szCs w:val="21"/>
          <w:highlight w:val="none"/>
        </w:rPr>
      </w:pPr>
      <w:r>
        <w:rPr>
          <w:rFonts w:ascii="宋体" w:hAnsi="宋体" w:cs="宋体"/>
          <w:kern w:val="0"/>
          <w:szCs w:val="21"/>
          <w:highlight w:val="none"/>
        </w:rPr>
        <w:t xml:space="preserve">考核得分低于60分且拒不整改； </w:t>
      </w:r>
    </w:p>
    <w:p w14:paraId="71C99483">
      <w:pPr>
        <w:widowControl/>
        <w:numPr>
          <w:ilvl w:val="0"/>
          <w:numId w:val="6"/>
        </w:numPr>
        <w:tabs>
          <w:tab w:val="left" w:pos="851"/>
        </w:tabs>
        <w:spacing w:before="100" w:beforeAutospacing="1" w:after="100" w:afterAutospacing="1" w:line="360" w:lineRule="auto"/>
        <w:ind w:left="0" w:firstLine="420" w:firstLineChars="200"/>
        <w:jc w:val="left"/>
        <w:rPr>
          <w:rFonts w:ascii="宋体" w:hAnsi="宋体" w:cs="宋体"/>
          <w:kern w:val="0"/>
          <w:szCs w:val="21"/>
          <w:highlight w:val="none"/>
        </w:rPr>
      </w:pPr>
      <w:r>
        <w:rPr>
          <w:rFonts w:ascii="宋体" w:hAnsi="宋体" w:cs="宋体"/>
          <w:kern w:val="0"/>
          <w:szCs w:val="21"/>
          <w:highlight w:val="none"/>
        </w:rPr>
        <w:t xml:space="preserve">一年内累计3次以上考核低于70分； </w:t>
      </w:r>
    </w:p>
    <w:p w14:paraId="5D53681D">
      <w:pPr>
        <w:widowControl/>
        <w:numPr>
          <w:ilvl w:val="0"/>
          <w:numId w:val="6"/>
        </w:numPr>
        <w:tabs>
          <w:tab w:val="left" w:pos="851"/>
        </w:tabs>
        <w:spacing w:before="100" w:beforeAutospacing="1" w:after="100" w:afterAutospacing="1" w:line="360" w:lineRule="auto"/>
        <w:ind w:left="0" w:firstLine="420" w:firstLineChars="200"/>
        <w:jc w:val="left"/>
        <w:rPr>
          <w:rFonts w:ascii="宋体" w:hAnsi="宋体" w:cs="宋体"/>
          <w:kern w:val="0"/>
          <w:szCs w:val="21"/>
          <w:highlight w:val="none"/>
        </w:rPr>
      </w:pPr>
      <w:r>
        <w:rPr>
          <w:rFonts w:ascii="宋体" w:hAnsi="宋体" w:cs="宋体"/>
          <w:kern w:val="0"/>
          <w:szCs w:val="21"/>
          <w:highlight w:val="none"/>
        </w:rPr>
        <w:t xml:space="preserve">发生重大安全事故（1人以上死亡或3人以上重伤）并负主要责任； </w:t>
      </w:r>
    </w:p>
    <w:p w14:paraId="63CE0A68">
      <w:pPr>
        <w:widowControl/>
        <w:numPr>
          <w:ilvl w:val="0"/>
          <w:numId w:val="6"/>
        </w:numPr>
        <w:tabs>
          <w:tab w:val="left" w:pos="851"/>
        </w:tabs>
        <w:spacing w:before="100" w:beforeAutospacing="1" w:after="100" w:afterAutospacing="1" w:line="360" w:lineRule="auto"/>
        <w:ind w:left="0" w:firstLine="420" w:firstLineChars="200"/>
        <w:jc w:val="left"/>
        <w:rPr>
          <w:rFonts w:ascii="宋体" w:hAnsi="宋体" w:cs="宋体"/>
          <w:kern w:val="0"/>
          <w:szCs w:val="21"/>
          <w:highlight w:val="none"/>
        </w:rPr>
      </w:pPr>
      <w:r>
        <w:rPr>
          <w:rFonts w:ascii="宋体" w:hAnsi="宋体" w:cs="宋体"/>
          <w:kern w:val="0"/>
          <w:szCs w:val="21"/>
          <w:highlight w:val="none"/>
        </w:rPr>
        <w:t xml:space="preserve">将项目转包、违法分包或交由个人承包； </w:t>
      </w:r>
    </w:p>
    <w:p w14:paraId="72722ADE">
      <w:pPr>
        <w:widowControl/>
        <w:numPr>
          <w:ilvl w:val="0"/>
          <w:numId w:val="6"/>
        </w:numPr>
        <w:tabs>
          <w:tab w:val="left" w:pos="851"/>
        </w:tabs>
        <w:spacing w:before="100" w:beforeAutospacing="1" w:after="100" w:afterAutospacing="1" w:line="360" w:lineRule="auto"/>
        <w:ind w:left="0" w:firstLine="420" w:firstLineChars="200"/>
        <w:jc w:val="left"/>
        <w:rPr>
          <w:rFonts w:ascii="宋体" w:hAnsi="宋体" w:cs="宋体"/>
          <w:kern w:val="0"/>
          <w:szCs w:val="21"/>
          <w:highlight w:val="none"/>
        </w:rPr>
      </w:pPr>
      <w:r>
        <w:rPr>
          <w:rFonts w:ascii="宋体" w:hAnsi="宋体" w:cs="宋体"/>
          <w:kern w:val="0"/>
          <w:szCs w:val="21"/>
          <w:highlight w:val="none"/>
        </w:rPr>
        <w:t xml:space="preserve">弄虚作假（如提供虚假维修记录、材料证明等）； </w:t>
      </w:r>
    </w:p>
    <w:p w14:paraId="20E386DA">
      <w:pPr>
        <w:widowControl/>
        <w:numPr>
          <w:ilvl w:val="0"/>
          <w:numId w:val="6"/>
        </w:numPr>
        <w:tabs>
          <w:tab w:val="left" w:pos="851"/>
        </w:tabs>
        <w:spacing w:before="100" w:beforeAutospacing="1" w:after="100" w:afterAutospacing="1" w:line="360" w:lineRule="auto"/>
        <w:ind w:left="0" w:firstLine="420" w:firstLineChars="200"/>
        <w:jc w:val="left"/>
        <w:rPr>
          <w:rFonts w:ascii="宋体" w:hAnsi="宋体" w:cs="宋体"/>
          <w:kern w:val="0"/>
          <w:szCs w:val="21"/>
          <w:highlight w:val="none"/>
        </w:rPr>
      </w:pPr>
      <w:r>
        <w:rPr>
          <w:rFonts w:ascii="宋体" w:hAnsi="宋体" w:cs="宋体"/>
          <w:kern w:val="0"/>
          <w:szCs w:val="21"/>
          <w:highlight w:val="none"/>
        </w:rPr>
        <w:t xml:space="preserve">因管理不善引发群体性投诉或上访事件； </w:t>
      </w:r>
    </w:p>
    <w:p w14:paraId="53B92AF1">
      <w:pPr>
        <w:widowControl/>
        <w:numPr>
          <w:ilvl w:val="0"/>
          <w:numId w:val="6"/>
        </w:numPr>
        <w:tabs>
          <w:tab w:val="left" w:pos="851"/>
        </w:tabs>
        <w:spacing w:before="100" w:beforeAutospacing="1" w:after="100" w:afterAutospacing="1" w:line="360" w:lineRule="auto"/>
        <w:ind w:left="0" w:firstLine="420" w:firstLineChars="200"/>
        <w:jc w:val="left"/>
        <w:rPr>
          <w:rFonts w:ascii="宋体" w:hAnsi="宋体" w:cs="宋体"/>
          <w:kern w:val="0"/>
          <w:szCs w:val="21"/>
          <w:highlight w:val="none"/>
        </w:rPr>
      </w:pPr>
      <w:r>
        <w:rPr>
          <w:rFonts w:ascii="宋体" w:hAnsi="宋体" w:cs="宋体"/>
          <w:kern w:val="0"/>
          <w:szCs w:val="21"/>
          <w:highlight w:val="none"/>
        </w:rPr>
        <w:t xml:space="preserve">招标文件或合同约定的其他解除情形。 </w:t>
      </w:r>
    </w:p>
    <w:p w14:paraId="01B13FEA">
      <w:pPr>
        <w:spacing w:line="360" w:lineRule="auto"/>
        <w:rPr>
          <w:szCs w:val="21"/>
          <w:highlight w:val="none"/>
        </w:rPr>
      </w:pPr>
    </w:p>
    <w:p w14:paraId="67ED22B1">
      <w:pPr>
        <w:tabs>
          <w:tab w:val="left" w:pos="420"/>
        </w:tabs>
        <w:spacing w:line="360" w:lineRule="auto"/>
        <w:jc w:val="left"/>
        <w:rPr>
          <w:rFonts w:ascii="宋体" w:hAnsi="宋体" w:cs="宋体"/>
          <w:szCs w:val="21"/>
          <w:highlight w:val="none"/>
        </w:rPr>
      </w:pPr>
    </w:p>
    <w:p w14:paraId="26669CE7">
      <w:pPr>
        <w:pStyle w:val="8"/>
        <w:rPr>
          <w:highlight w:val="none"/>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MS Mincho">
    <w:panose1 w:val="02020609040205080304"/>
    <w:charset w:val="80"/>
    <w:family w:val="modern"/>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C75A05"/>
    <w:multiLevelType w:val="multilevel"/>
    <w:tmpl w:val="0CC75A0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2B0A6A90"/>
    <w:multiLevelType w:val="multilevel"/>
    <w:tmpl w:val="2B0A6A90"/>
    <w:lvl w:ilvl="0" w:tentative="0">
      <w:start w:val="1"/>
      <w:numFmt w:val="decimal"/>
      <w:lvlText w:val="%1."/>
      <w:lvlJc w:val="left"/>
      <w:pPr>
        <w:tabs>
          <w:tab w:val="left" w:pos="720"/>
        </w:tabs>
        <w:ind w:left="720" w:hanging="360"/>
      </w:p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3C6B0788"/>
    <w:multiLevelType w:val="multilevel"/>
    <w:tmpl w:val="3C6B078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42614C18"/>
    <w:multiLevelType w:val="multilevel"/>
    <w:tmpl w:val="42614C1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62E9427F"/>
    <w:multiLevelType w:val="multilevel"/>
    <w:tmpl w:val="62E9427F"/>
    <w:lvl w:ilvl="0" w:tentative="0">
      <w:start w:val="1"/>
      <w:numFmt w:val="decimal"/>
      <w:lvlText w:val="%1."/>
      <w:lvlJc w:val="left"/>
      <w:pPr>
        <w:tabs>
          <w:tab w:val="left" w:pos="720"/>
        </w:tabs>
        <w:ind w:left="720" w:hanging="360"/>
      </w:p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68E49F6C"/>
    <w:multiLevelType w:val="singleLevel"/>
    <w:tmpl w:val="68E49F6C"/>
    <w:lvl w:ilvl="0" w:tentative="0">
      <w:start w:val="1"/>
      <w:numFmt w:val="decimal"/>
      <w:suff w:val="nothing"/>
      <w:lvlText w:val="%1、"/>
      <w:lvlJc w:val="left"/>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635"/>
    <w:rsid w:val="001A4A2A"/>
    <w:rsid w:val="001E083B"/>
    <w:rsid w:val="00202E3A"/>
    <w:rsid w:val="002A0E1F"/>
    <w:rsid w:val="00477072"/>
    <w:rsid w:val="004F627A"/>
    <w:rsid w:val="005758B2"/>
    <w:rsid w:val="005F44C2"/>
    <w:rsid w:val="007C6EB6"/>
    <w:rsid w:val="008E6D78"/>
    <w:rsid w:val="008F65B0"/>
    <w:rsid w:val="009059E2"/>
    <w:rsid w:val="00A2238D"/>
    <w:rsid w:val="00C97445"/>
    <w:rsid w:val="00D3357B"/>
    <w:rsid w:val="00D81DAB"/>
    <w:rsid w:val="00D84635"/>
    <w:rsid w:val="00E20A48"/>
    <w:rsid w:val="0EB26F02"/>
    <w:rsid w:val="6D8F3A4C"/>
    <w:rsid w:val="73E907B7"/>
    <w:rsid w:val="75757B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next w:val="1"/>
    <w:qFormat/>
    <w:uiPriority w:val="0"/>
    <w:pPr>
      <w:spacing w:before="156" w:beforeLines="50" w:after="156" w:afterLines="50" w:line="360" w:lineRule="auto"/>
      <w:ind w:left="420" w:leftChars="200"/>
      <w:outlineLvl w:val="3"/>
    </w:pPr>
    <w:rPr>
      <w:rFonts w:ascii="宋体" w:hAnsi="宋体" w:eastAsia="宋体" w:cs="Times New Roman"/>
      <w:color w:val="000000"/>
      <w:sz w:val="21"/>
      <w:szCs w:val="28"/>
      <w:u w:val="single"/>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Normal Indent"/>
    <w:basedOn w:val="1"/>
    <w:qFormat/>
    <w:uiPriority w:val="0"/>
    <w:pPr>
      <w:adjustRightInd w:val="0"/>
      <w:ind w:firstLine="420"/>
      <w:jc w:val="left"/>
      <w:textAlignment w:val="baseline"/>
    </w:pPr>
    <w:rPr>
      <w:rFonts w:eastAsia="楷体_GB2312"/>
      <w:sz w:val="24"/>
      <w:szCs w:val="20"/>
    </w:rPr>
  </w:style>
  <w:style w:type="paragraph" w:styleId="4">
    <w:name w:val="Body Text Indent"/>
    <w:basedOn w:val="1"/>
    <w:qFormat/>
    <w:uiPriority w:val="99"/>
    <w:pPr>
      <w:spacing w:line="260" w:lineRule="exact"/>
      <w:ind w:firstLine="435"/>
    </w:pPr>
    <w:rPr>
      <w:sz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3"/>
    <w:uiPriority w:val="0"/>
    <w:pPr>
      <w:pBdr>
        <w:bottom w:val="single" w:color="auto" w:sz="6" w:space="1"/>
      </w:pBdr>
      <w:tabs>
        <w:tab w:val="center" w:pos="4153"/>
        <w:tab w:val="right" w:pos="8306"/>
      </w:tabs>
      <w:snapToGrid w:val="0"/>
      <w:jc w:val="center"/>
    </w:pPr>
    <w:rPr>
      <w:sz w:val="18"/>
      <w:szCs w:val="18"/>
    </w:rPr>
  </w:style>
  <w:style w:type="paragraph" w:styleId="7">
    <w:name w:val="Title"/>
    <w:basedOn w:val="1"/>
    <w:next w:val="1"/>
    <w:link w:val="12"/>
    <w:qFormat/>
    <w:uiPriority w:val="0"/>
    <w:pPr>
      <w:spacing w:before="240" w:after="60"/>
      <w:jc w:val="center"/>
      <w:outlineLvl w:val="0"/>
    </w:pPr>
    <w:rPr>
      <w:rFonts w:asciiTheme="majorHAnsi" w:hAnsiTheme="majorHAnsi" w:cstheme="majorBidi"/>
      <w:b/>
      <w:bCs/>
      <w:sz w:val="32"/>
      <w:szCs w:val="32"/>
    </w:rPr>
  </w:style>
  <w:style w:type="paragraph" w:styleId="8">
    <w:name w:val="Body Text First Indent 2"/>
    <w:basedOn w:val="4"/>
    <w:qFormat/>
    <w:uiPriority w:val="99"/>
    <w:pPr>
      <w:spacing w:after="120" w:line="240" w:lineRule="auto"/>
      <w:ind w:left="420" w:firstLine="420"/>
    </w:pPr>
    <w:rPr>
      <w:rFonts w:eastAsia="楷体_GB2312"/>
      <w:kern w:val="0"/>
      <w:sz w:val="28"/>
      <w:szCs w:val="20"/>
    </w:rPr>
  </w:style>
  <w:style w:type="paragraph" w:customStyle="1" w:styleId="11">
    <w:name w:val="正文文本1"/>
    <w:basedOn w:val="1"/>
    <w:qFormat/>
    <w:uiPriority w:val="0"/>
    <w:pPr>
      <w:spacing w:after="100" w:line="413" w:lineRule="auto"/>
      <w:jc w:val="left"/>
    </w:pPr>
    <w:rPr>
      <w:rFonts w:ascii="宋体" w:hAnsi="宋体" w:cs="宋体"/>
      <w:kern w:val="0"/>
      <w:sz w:val="22"/>
      <w:szCs w:val="22"/>
      <w:lang w:val="zh-CN" w:bidi="zh-CN"/>
    </w:rPr>
  </w:style>
  <w:style w:type="character" w:customStyle="1" w:styleId="12">
    <w:name w:val="标题 Char"/>
    <w:basedOn w:val="10"/>
    <w:link w:val="7"/>
    <w:qFormat/>
    <w:uiPriority w:val="0"/>
    <w:rPr>
      <w:rFonts w:eastAsia="宋体" w:asciiTheme="majorHAnsi" w:hAnsiTheme="majorHAnsi" w:cstheme="majorBidi"/>
      <w:b/>
      <w:bCs/>
      <w:kern w:val="2"/>
      <w:sz w:val="32"/>
      <w:szCs w:val="32"/>
    </w:rPr>
  </w:style>
  <w:style w:type="character" w:customStyle="1" w:styleId="13">
    <w:name w:val="页眉 Char"/>
    <w:basedOn w:val="10"/>
    <w:link w:val="6"/>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44</Pages>
  <Words>772</Words>
  <Characters>786</Characters>
  <Lines>219</Lines>
  <Paragraphs>61</Paragraphs>
  <TotalTime>18</TotalTime>
  <ScaleCrop>false</ScaleCrop>
  <LinksUpToDate>false</LinksUpToDate>
  <CharactersWithSpaces>907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2026-09-01T05:27:00Z</dcterms:created>
  <dc:creator>Administrator</dc:creator>
  <cp:lastModifiedBy>凉凉</cp:lastModifiedBy>
  <dcterms:modified xsi:type="dcterms:W3CDTF">2026-09-04T06:23:49Z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eyJoZGlkIjoiYTA0MjkwZjI0MzIxZTRlMTAzOTI1MTExYWU3NDU3NmMiLCJ1c2VySWQiOiIxMjEwMjE4OTY1In0=</vt:lpwstr>
  </property>
  <property fmtid="{D5CDD505-2E9C-101B-9397-08002B2CF9AE}" pid="4" name="ICV">
    <vt:lpwstr>856DC0EA14A9473187FB6E9D56BB4C34_13</vt:lpwstr>
  </property>
</Properties>
</file>