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8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竞争性磋商文件</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项目名称：泰州市互联网</w:t>
      </w:r>
      <w:r>
        <w:rPr>
          <w:rFonts w:ascii="Arial" w:hAnsi="Arial" w:eastAsia="Arial" w:cs="Arial"/>
          <w:b/>
          <w:color w:val="000000"/>
          <w:sz w:val="32"/>
        </w:rPr>
        <w:t xml:space="preserve">+</w:t>
      </w:r>
      <w:r>
        <w:rPr>
          <w:rFonts w:ascii="SimSun" w:hAnsi="SimSun" w:eastAsia="SimSun" w:cs="SimSun"/>
          <w:b/>
          <w:color w:val="000000"/>
          <w:sz w:val="32"/>
        </w:rPr>
        <w:t xml:space="preserve">监管医疗器械经营</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智慧监管子系统建设</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w:t>
      </w:r>
      <w:r>
        <w:rPr>
          <w:rFonts w:ascii="Arial" w:hAnsi="Arial" w:eastAsia="Arial" w:cs="Arial"/>
          <w:b/>
          <w:color w:val="000000"/>
          <w:sz w:val="32"/>
        </w:rPr>
        <w:t xml:space="preserve">JSZC-321200-JZCG-C2026-0032</w:t>
      </w:r>
      <w:r/>
    </w:p>
    <w:p>
      <w:pPr>
        <w:ind w:left="0" w:right="0" w:firstLine="2249"/>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泰州市政务服务中心</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2026</w:t>
      </w:r>
      <w:r>
        <w:rPr>
          <w:rFonts w:ascii="SimSun" w:hAnsi="SimSun" w:eastAsia="SimSun" w:cs="SimSun"/>
          <w:b/>
          <w:color w:val="000000"/>
          <w:sz w:val="32"/>
        </w:rPr>
        <w:t xml:space="preserve">年</w:t>
      </w:r>
      <w:r>
        <w:rPr>
          <w:rFonts w:ascii="Arial" w:hAnsi="Arial" w:eastAsia="Arial" w:cs="Arial"/>
          <w:b/>
          <w:color w:val="000000"/>
          <w:sz w:val="32"/>
        </w:rPr>
        <w:t xml:space="preserve">8</w:t>
      </w:r>
      <w:r>
        <w:rPr>
          <w:rFonts w:ascii="SimSun" w:hAnsi="SimSun" w:eastAsia="SimSun" w:cs="SimSun"/>
          <w:b/>
          <w:color w:val="000000"/>
          <w:sz w:val="32"/>
        </w:rPr>
        <w:t xml:space="preserve">月</w:t>
      </w:r>
      <w:r>
        <w:rPr>
          <w:rFonts w:ascii="Arial" w:hAnsi="Arial" w:eastAsia="Arial" w:cs="Arial"/>
          <w:b/>
          <w:color w:val="000000"/>
          <w:sz w:val="32"/>
        </w:rPr>
        <w:t xml:space="preserve">2</w:t>
      </w:r>
      <w:r>
        <w:rPr>
          <w:rFonts w:ascii="Arial" w:hAnsi="Arial" w:eastAsia="SimSun" w:cs="Arial"/>
          <w:b/>
          <w:bCs/>
          <w:color w:val="000000"/>
          <w:sz w:val="32"/>
          <w:szCs w:val="22"/>
        </w:rPr>
        <w:t xml:space="preserve">5</w:t>
      </w:r>
      <w:r>
        <w:rPr>
          <w:rFonts w:ascii="SimSun" w:hAnsi="SimSun" w:eastAsia="SimSun" w:cs="SimSun"/>
          <w:b/>
          <w:color w:val="000000"/>
          <w:sz w:val="32"/>
        </w:rPr>
        <w:t xml:space="preserve">日</w:t>
      </w: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rPr>
          <w:rFonts w:ascii="SimHei" w:hAnsi="SimHei" w:eastAsia="SimHei" w:cs="SimHei"/>
          <w:b/>
          <w:color w:val="000000"/>
          <w:sz w:val="44"/>
        </w:rPr>
        <w:t xml:space="preserve">总</w:t>
      </w:r>
      <w:r>
        <w:rPr>
          <w:rFonts w:ascii="Calibri" w:hAnsi="Calibri" w:eastAsia="Calibri" w:cs="Calibri"/>
          <w:b/>
          <w:color w:val="000000"/>
          <w:sz w:val="44"/>
        </w:rPr>
        <w:t xml:space="preserve"> </w:t>
      </w:r>
      <w:r>
        <w:rPr>
          <w:rFonts w:ascii="SimHei" w:hAnsi="SimHei" w:eastAsia="SimHei" w:cs="SimHei"/>
          <w:b/>
          <w:color w:val="000000"/>
          <w:sz w:val="44"/>
        </w:rPr>
        <w:t xml:space="preserve"> 目</w:t>
      </w:r>
      <w:r>
        <w:rPr>
          <w:rFonts w:ascii="Calibri" w:hAnsi="Calibri" w:eastAsia="Calibri" w:cs="Calibri"/>
          <w:b/>
          <w:color w:val="000000"/>
          <w:sz w:val="44"/>
        </w:rPr>
        <w:t xml:space="preserve"> </w:t>
      </w:r>
      <w:r>
        <w:rPr>
          <w:rFonts w:ascii="SimHei" w:hAnsi="SimHei" w:eastAsia="SimHei" w:cs="SimHei"/>
          <w:b/>
          <w:color w:val="000000"/>
          <w:sz w:val="44"/>
        </w:rPr>
        <w:t xml:space="preserve"> 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磋商邀请…………………………………… </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供应商须知…………………………………</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评审方法与评审标准………………………</w:t>
      </w:r>
      <w:r/>
    </w:p>
    <w:p>
      <w:pPr>
        <w:numPr>
          <w:ilvl w:val="0"/>
          <w:numId w:val="9"/>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响应文件格式………………………………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73"/>
        <w:numPr>
          <w:ilvl w:val="0"/>
          <w:numId w:val="0"/>
        </w:numPr>
        <w:ind w:left="432" w:right="0" w:hanging="432"/>
        <w:jc w:val="center"/>
        <w:spacing w:before="340" w:after="330" w:line="1152" w:lineRule="atLeast"/>
        <w:tabs>
          <w:tab w:val="clear" w:pos="87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48"/>
        </w:rPr>
        <w:t xml:space="preserve">第一章</w:t>
      </w:r>
      <w:r>
        <w:rPr>
          <w:rFonts w:ascii="Times New Roman" w:hAnsi="Times New Roman" w:eastAsia="Times New Roman" w:cs="Times New Roman"/>
          <w:b/>
          <w:color w:val="000000"/>
          <w:spacing w:val="20"/>
          <w:sz w:val="48"/>
        </w:rPr>
        <w:t xml:space="preserve"> </w:t>
      </w:r>
      <w:r>
        <w:rPr>
          <w:rFonts w:ascii="SimHei" w:hAnsi="SimHei" w:eastAsia="SimHei" w:cs="SimHei"/>
          <w:b/>
          <w:color w:val="000000"/>
          <w:spacing w:val="20"/>
          <w:sz w:val="48"/>
        </w:rPr>
        <w:t xml:space="preserve"> 磋商邀请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受[泰州市市场监督管理局]的委托，泰州市政务服务中心就[泰州市互联网+监管医疗器械经营智慧监管子系统建设]（[ JSZC-321200-JZCG-C2026-0032 ]）项目进行竞争性磋商采购，欢迎符合条件的供应商参加磋商。</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泰州市互联网+监管医疗器械经营智慧监管子系统建设</w:t>
      </w:r>
      <w:r>
        <w:rPr>
          <w:rFonts w:ascii="SimSun" w:hAnsi="SimSun" w:eastAsia="SimSun" w:cs="SimSun"/>
          <w:color w:val="000000"/>
          <w:sz w:val="24"/>
        </w:rPr>
        <w:t xml:space="preserve">竞争性磋商项目的潜在供应商可在</w:t>
      </w:r>
      <w:r>
        <w:rPr>
          <w:rFonts w:ascii="SimSun" w:hAnsi="SimSun" w:eastAsia="SimSun" w:cs="SimSun"/>
          <w:color w:val="000000"/>
          <w:sz w:val="24"/>
          <w:u w:val="single"/>
        </w:rPr>
        <w:t xml:space="preserve">“江苏政府采购网”自行免费下载</w:t>
      </w:r>
      <w:r>
        <w:rPr>
          <w:rFonts w:ascii="SimSun" w:hAnsi="SimSun" w:eastAsia="SimSun" w:cs="SimSun"/>
          <w:color w:val="000000"/>
          <w:sz w:val="24"/>
        </w:rPr>
        <w:t xml:space="preserve">磋商文件，并于</w:t>
      </w:r>
      <w:r>
        <w:rPr>
          <w:rFonts w:ascii="SimSun" w:hAnsi="SimSun" w:eastAsia="SimSun" w:cs="SimSun"/>
          <w:color w:val="000000"/>
          <w:sz w:val="24"/>
          <w:u w:val="single"/>
        </w:rPr>
        <w:t xml:space="preserve">2026年9 月8 日9点30分（</w:t>
      </w:r>
      <w:r>
        <w:rPr>
          <w:rFonts w:ascii="SimSun" w:hAnsi="SimSun" w:eastAsia="SimSun" w:cs="SimSun"/>
          <w:color w:val="000000"/>
          <w:sz w:val="24"/>
        </w:rPr>
        <w:t xml:space="preserve">北京时间）前递交响应文件。</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1.项目编号：JSZC-321200-JZCG-C2026-0032</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2.项目名称：泰州市互联网+监管医疗器械经营智慧监管子系统建设</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3.预算金额：16万元</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简介）：建设泰州市医疗器械智慧监管系统，首先通过对接市场监管一体化信息平台归集医疗器械经营企业全维度监管数据，构建企业全景画像，配套数据调度监控与数据资源目录；核心功能包含首页驾驶舱，实现核心监管指标展示、实时异常滚动监控、风险等级统计、异常企业处理清单管理，支持穿透查询与品种协查召回预警；搭建企业基础信息管理、运营信息管理、处罚信息管理模块，实现企业全生命周期台账管理、智能提醒校验、全平台数据联动，以及经营、处罚数据的统一归集与关联研判；构建可配置智能预警规则库，实现风险自动识别、分级预警与</w:t>
      </w:r>
      <w:r>
        <w:rPr>
          <w:rFonts w:ascii="SimSun" w:hAnsi="SimSun" w:eastAsia="SimSun" w:cs="SimSun"/>
          <w:color w:val="000000"/>
          <w:sz w:val="24"/>
        </w:rPr>
        <w:t xml:space="preserve">闭环处置；建设品种目录与异常企业清单模块，形成从监管标准制定到风险任务落地的完整闭环；配套数据分析模块，通过核心指标看板、多维度可视化图表、预警明细列表实现监管态势全局研判与效能评估，全面构建覆盖数据归集、风险预警、企业管理、决策支撑的全链条医疗器械智慧监管体系。</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5.合同履行期限：合同签订后3个月内。</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（一）资格要求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1.满足《中华人民共和国政府采购法》第二十二条规定，并提供下列材料：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法人或者其他组织的营业执照等证明文件，自然人的身份证明；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上一年度的财务状况报告（成立不满一年无需提供）；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1.5参加政府采购活动前3年内在经营活动中没有重大违法记录的书面声明。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3.落实政府采购政策需满足的资格要求：专门面向中小微企业，供应商应为中小微企业、监狱企业、残疾人福利性单位之一。</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4.本项目</w:t>
      </w:r>
      <w:r>
        <w:rPr>
          <w:rFonts w:ascii="SimSun" w:hAnsi="SimSun" w:eastAsia="SimSun" w:cs="SimSun"/>
          <w:color w:val="000000"/>
          <w:sz w:val="24"/>
          <w:u w:val="single"/>
        </w:rPr>
        <w:t xml:space="preserve"> 不接受 </w:t>
      </w:r>
      <w:r>
        <w:rPr>
          <w:rFonts w:ascii="SimSun" w:hAnsi="SimSun" w:eastAsia="SimSun" w:cs="SimSun"/>
          <w:color w:val="000000"/>
          <w:sz w:val="24"/>
        </w:rPr>
        <w:t xml:space="preserve">联合体参与磋商。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三、获取磋商文件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1.时间：自磋商文件公告发布之日起五个工作日。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2.方式：本次采购采用“苏采云”政府采购一体化平台进行政府采购活动。</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插入CA证书登录“苏采云”系统后选择具体项目，点击“我要参与”并签章提交《投标供应商确认函》，确认参与后自行免费下载磋商文件，提交《投标供应商确认函》日期视同为依法获取磋商文件日期。供应商须打印、保留《投标供应商确认函》，质疑时《投标供应商确认函》与质疑函一并提交；未依照征集公告要求获取磋商文件的供应商，视为未参与该项政府采购活动，不具备对该政府采购项目提出质疑的法定权利，但因供应商资格条件或获取磋商文件时间设定不符合有关法律法规规定等原因使供应商权益受损的除外。</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1. 2026 年9 月8 日9点30分</w:t>
      </w:r>
      <w:r>
        <w:rPr>
          <w:rFonts w:ascii="SimSun" w:hAnsi="SimSun" w:eastAsia="SimSun" w:cs="SimSun"/>
          <w:color w:val="000000"/>
          <w:sz w:val="24"/>
        </w:rPr>
        <w:t xml:space="preserve">（北京时间）。</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磋商公告及磋商文件公告期限为自本公告发布之日起3个工作日。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供应商应在磋商文件获取截止日期前，在苏采云平台进行项目参与并下载电子响应文件模板。</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七、本次磋商联系方式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8"/>
        </w:rPr>
        <w:t xml:space="preserve">  </w:t>
      </w:r>
      <w:r>
        <w:rPr>
          <w:rFonts w:ascii="FangSong" w:hAnsi="FangSong" w:eastAsia="FangSong" w:cs="FangSong"/>
          <w:color w:val="000000"/>
          <w:sz w:val="28"/>
        </w:rPr>
        <w:t xml:space="preserve"> </w:t>
      </w:r>
      <w:r>
        <w:rPr>
          <w:rFonts w:ascii="SimSun" w:hAnsi="SimSun" w:eastAsia="SimSun" w:cs="SimSun"/>
          <w:color w:val="000000"/>
          <w:sz w:val="24"/>
        </w:rPr>
        <w:t xml:space="preserve">1.采购人信息</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 称：</w:t>
      </w:r>
      <w:r>
        <w:rPr>
          <w:rFonts w:ascii="SimSun" w:hAnsi="SimSun" w:eastAsia="SimSun" w:cs="SimSun"/>
          <w:color w:val="000000"/>
          <w:sz w:val="24"/>
          <w:u w:val="single"/>
        </w:rPr>
        <w:t xml:space="preserve">泰州市市场监督管理局</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泰州市海陵区海陵南路315号</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 </w:t>
      </w:r>
      <w:r>
        <w:rPr>
          <w:rFonts w:ascii="SimSun" w:hAnsi="SimSun" w:eastAsia="SimSun" w:cs="SimSun"/>
          <w:color w:val="000000"/>
          <w:sz w:val="24"/>
          <w:u w:val="single"/>
        </w:rPr>
        <w:t xml:space="preserve"> 唐女士    </w:t>
      </w:r>
      <w:r/>
    </w:p>
    <w:p>
      <w:pPr>
        <w:ind w:left="1079" w:right="0" w:hanging="30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0523-86606245 </w:t>
      </w:r>
      <w:r/>
    </w:p>
    <w:p>
      <w:pPr>
        <w:ind w:left="0" w:right="0" w:firstLine="2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2.泰州市政务服务中心信息</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rPr>
          <w:rFonts w:ascii="SimSun" w:hAnsi="SimSun" w:eastAsia="SimSun" w:cs="SimSun"/>
          <w:color w:val="000000"/>
          <w:sz w:val="24"/>
          <w:u w:val="single"/>
        </w:rPr>
        <w:t xml:space="preserve"> 泰州市泰州大道388号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严先生       </w:t>
      </w:r>
      <w:r/>
    </w:p>
    <w:p>
      <w:pPr>
        <w:ind w:left="0" w:right="0" w:firstLine="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rPr>
          <w:rFonts w:ascii="SimSun" w:hAnsi="SimSun" w:eastAsia="SimSun" w:cs="SimSun"/>
          <w:color w:val="000000"/>
          <w:sz w:val="24"/>
          <w:u w:val="single"/>
        </w:rPr>
        <w:t xml:space="preserve"> 0523-86897181       </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八、其他</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项目需要落实的政府采购情况：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w:t>
      </w:r>
      <w:r>
        <w:rPr>
          <w:rFonts w:ascii="SimSun" w:hAnsi="SimSun" w:eastAsia="SimSun" w:cs="SimSun"/>
          <w:color w:val="000000"/>
          <w:sz w:val="24"/>
        </w:rPr>
        <w:t xml:space="preserve">633ce9.html。</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供应商可自行前往当地规定点办理，泰州地区领取CA和办理电子签章（请至泰州市高港区泰州大道388号（原中国医药城会展政务中心W3馆西南角泰州市公共资源交易中心）一楼大厅6号窗口办理，具体联系方式见《苏采云系统供应商操作手册》（以下简称《操作手册》））、进行注册并按《操作手册》要求制作、上传电子响应文件。</w:t>
      </w:r>
      <w:r/>
    </w:p>
    <w:p>
      <w:pPr>
        <w:ind w:left="0" w:right="0" w:firstLine="480"/>
        <w:jc w:val="both"/>
        <w:spacing w:before="0" w:after="0"/>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3.有关本次磋商的事项若存在变动或修改，敬请及时关注泰州市政务服务中心在“江苏政府采购网”发布的更正公告。</w:t>
      </w:r>
      <w:r/>
    </w:p>
    <w:p>
      <w:pPr>
        <w:ind w:left="0" w:right="0" w:firstLine="480"/>
        <w:jc w:val="both"/>
        <w:spacing w:before="0" w:after="0"/>
        <w:tabs>
          <w:tab w:val="left" w:pos="900" w:leader="none"/>
        </w:tabs>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4.本次项目不收取磋商保证金。</w:t>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Calibri" w:hAnsi="Calibri" w:eastAsia="Calibri" w:cs="Calibri"/>
          <w:sz w:val="21"/>
          <w:szCs w:val="21"/>
        </w:rPr>
      </w:r>
      <w:r>
        <w:rPr>
          <w:rFonts w:ascii="Calibri" w:hAnsi="Calibri" w:eastAsia="Calibri" w:cs="Calibri"/>
          <w:sz w:val="21"/>
          <w:szCs w:val="21"/>
        </w:rPr>
      </w:r>
      <w:r/>
    </w:p>
    <w:p>
      <w:pPr>
        <w:ind w:left="0" w:right="0" w:firstLine="480"/>
        <w:jc w:val="both"/>
        <w:spacing w:before="0" w:after="0"/>
        <w:tabs>
          <w:tab w:val="left" w:pos="900" w:leader="none"/>
        </w:tabs>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pStyle w:val="873"/>
        <w:numPr>
          <w:ilvl w:val="0"/>
          <w:numId w:val="0"/>
        </w:numPr>
        <w:ind w:left="432" w:right="0" w:hanging="432"/>
        <w:jc w:val="center"/>
        <w:spacing w:before="340" w:after="330" w:line="1152" w:lineRule="atLeast"/>
        <w:tabs>
          <w:tab w:val="clear" w:pos="87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48"/>
        </w:rPr>
        <w:t xml:space="preserve">第二章</w:t>
      </w:r>
      <w:r>
        <w:rPr>
          <w:rFonts w:ascii="Times New Roman" w:hAnsi="Times New Roman" w:eastAsia="Times New Roman" w:cs="Times New Roman"/>
          <w:b/>
          <w:color w:val="000000"/>
          <w:spacing w:val="20"/>
          <w:sz w:val="48"/>
        </w:rPr>
        <w:t xml:space="preserve">  </w:t>
      </w:r>
      <w:r>
        <w:rPr>
          <w:rFonts w:ascii="SimHei" w:hAnsi="SimHei" w:eastAsia="SimHei" w:cs="SimHei"/>
          <w:b/>
          <w:color w:val="000000"/>
          <w:spacing w:val="20"/>
          <w:sz w:val="48"/>
        </w:rPr>
        <w:t xml:space="preserve">供应商须知</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1.采购方式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本次政府采购活动采取竞争性磋商（以下简称磋商）方式，本磋商文件仅适用于磋商公告中所述项目。</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2.合格的供应商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满足磋商公告中供应商资格要求的规定。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 满足本磋商文件实质性要求和条件的规定。</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3.适用法律</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 本次磋商及由此产生的合同受中华人民共和国有关的法律法规制约和保护。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4.磋商费用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 供应商应自行承担所有与参加本次磋商有关的费用，无论磋商过程中的做法和结果如何，泰州市政务服务中心（以下简称政务中心）在任何情况下均无义务和责任承担这些费用。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4.2 本次磋商政务中心和采购人不收取标书工本费与成交服务费。</w:t>
      </w:r>
      <w:r/>
    </w:p>
    <w:p>
      <w:pPr>
        <w:ind w:left="0" w:right="0" w:firstLine="301"/>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5.</w:t>
      </w:r>
      <w:r>
        <w:rPr>
          <w:rFonts w:ascii="SimHei" w:hAnsi="SimHei" w:eastAsia="SimHei" w:cs="SimHei"/>
          <w:color w:val="000000"/>
          <w:sz w:val="28"/>
        </w:rPr>
        <w:t xml:space="preserve">磋商文件的约束力</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供应商一旦参加本项目采购活动，即被认为接受了本磋商文件的规定和约束。</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二、磋商文件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6.磋商文件构成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磋商文件由以下部分组成：</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（1）磋商邀请</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（2）供应商须知</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（3）合同文本</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（4）采购需求</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（5）评审方法与评审标准</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（6）响应文件格式</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请仔细检查磋商文件是否齐全，如有缺漏请立即与政务中心联系解决。</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7.磋商文件的澄清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 任何要求对磋商文件进行澄清的供应商，应在磋商截止日期</w:t>
      </w:r>
      <w:r>
        <w:rPr>
          <w:rFonts w:ascii="FangSong" w:hAnsi="FangSong" w:eastAsia="FangSong" w:cs="FangSong"/>
          <w:color w:val="000000"/>
          <w:sz w:val="24"/>
        </w:rPr>
        <w:t xml:space="preserve">前</w:t>
      </w:r>
      <w:r>
        <w:rPr>
          <w:rFonts w:ascii="SimSun" w:hAnsi="SimSun" w:eastAsia="SimSun" w:cs="SimSun"/>
          <w:color w:val="000000"/>
          <w:sz w:val="24"/>
        </w:rPr>
        <w:t xml:space="preserve">按磋商公告中的通讯地址，以书面形式通知政务中心。</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8.磋商文件的澄清和修改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 在响应文件提交截止时间前，政务中心可以对磋商文件进行澄清和修改，澄清或者修改的内容作为磋商文件的组成部分。澄清或者修改的内容可能影响响应文件编制的，政务中心将在提交首次响应文件截止时间至少5日前，在“江苏政府采购网”上发布书面更正公告形式通知所有获取磋商文件的供应商，更正公告内容将作为磋商文件的组成部分，并对供应商具有约束力。不足5日的，政务中心将顺延提交首次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8.2 政务中心可以视采购项目的具体情况，组织供应商进行现场考察或召开磋商前答疑会，但不单独或分别组织只有一个供应商参加的现场考察和答疑会。</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三、响应文件的编制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9.响应文件的语言及度量衡单位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 供应商提交的响应文件以及供应商与政务中心就有关磋商的所有来往通知、函件和文件均应使用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9.2 除技术性能另有规定外，响应文件所使用的度量衡单位，均须采用国家法定计量单位。</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10.响应文件构成</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供应商编写的响应文件应包括资格证明文件、符合性证明文件、分项报价表、技术要求响应及偏离表、商务要求响应及偏离表、其他证明文件、磋商响应函等部分。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如标书制作工具中格式和内容与“江苏政府采购网”发布的磋商文件不一致，请以“江苏政府采购网”发布的磋商文件为准。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11.证明磋商响应标的符合磋商文件规定的文件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供应商应按照磋商文件要求提交证明文件，证明其及磋商响应标的符合磋商文件规定。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磋商文件对证明文件无明确形式要求的，证明文件可以以文字资料、图纸和数据等形式提交。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12.分项报价表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供应商应按照磋商文件规定格式填报分项报价表。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磋商货币。响应文件中的单价和总价无特殊规定的采用人民币报价，以元为单位标注。磋商文件中另有规定的按规定执行。</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13.技术要求响应及偏离表、商务要求响应及偏离表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供应商需对磋商文件中的技术要求与商务要求逐项作出响应或偏离，并说明原因。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供应商可在响应文件中提供认为需要的其他技术文件或说明。</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14.服务承诺、培训计划、人员安排及其他</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 供应商需根据磋商文件要求提供有关售后服务的管理制度，售后服务机构的分布情况，售后服务人员的数量、素质、技术水平及售后服务的反应能力等。</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14.2 供应商需根据磋商文件要求提供培训计划。</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14.3 供应商需根据磋商文件要求提供磋商响应标的的主要组成部分、功能设计、实现思路及关键技术等。</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15.磋商响应函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供应商应按照磋商文件中提供的格式完整、正确填写磋商响应函。</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16.磋商有效期</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16.1 磋商有效期为政务中心规定的提交响应文件截止之日后</w:t>
      </w:r>
      <w:r>
        <w:rPr>
          <w:rFonts w:ascii="FangSong" w:hAnsi="FangSong" w:eastAsia="FangSong" w:cs="FangSong"/>
          <w:b/>
          <w:color w:val="000000"/>
          <w:sz w:val="24"/>
          <w:u w:val="single"/>
        </w:rPr>
        <w:t xml:space="preserve">六十（60）天</w:t>
      </w:r>
      <w:r>
        <w:rPr>
          <w:rFonts w:ascii="SimSun" w:hAnsi="SimSun" w:eastAsia="SimSun" w:cs="SimSun"/>
          <w:color w:val="000000"/>
          <w:sz w:val="24"/>
        </w:rPr>
        <w:t xml:space="preserve">。磋商有效期比规定短的将被视为非实质性响应磋商文件而予以拒绝。</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17.磋商有效期的延长</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17.1 在特殊情况下，政务中心于原磋商有效期满之前，可向供应商提出延长磋商有效期的要求。这种要求与答复均应采用书面形式。供应商可以拒绝政务中心的这一要求而放弃磋商，同意延长磋商有效期的供应商既不能要求也不允许修改其响应文件。受磋商有效期约束的所有权利与义务均延长至新的有效期。</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四、响应文件的递交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18.电子磋商响应文件的递交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18.1 供应商应当按照《操作手册》规定，在提交响应文件截止时间前制作并上传电子响应文件。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19.提交响应文件截止时间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19.1 供应商上传电子响应文件的时间不得迟于磋商公告中规定的提交响应文件截止时间。</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供应商应充分考虑到网络环境、网络带宽等风险因素，如因供应商自身原因造成的电子响应文件上传不成功的按照本磋商文件第二章第26.3.2条规定做无效响应处理。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19.2 政务中心可以按照规定，通过修改磋商文件酌情延长提交响应文件截止日期，在此情况下，供应商的所有权利和义务以及供应商受制的截止日期均应以延长后新的截止日期为准。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20.响应文件的拒收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20.1 政务中心拒绝接收在其规定的提交响应文件截止时间后上传的任何电子响应文件。</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21.响应文件的撤回和修改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 响应文件的撤回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21.1.1 电子响应文件的撤回</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21.1.2供应商撤回电子响应文件，则认为其不再参与本项目磋商活动。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21.2 响应文件的修改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供应商可在提交响应文件截止时间前，对其电子响应文件进行修改，具体操作方法见《操作手册》。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21.3 在提交响应文件截止时间之后，供应商不得对其电子响应文件作任何修改。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21.4 在提交响应文件截止时间至磋商文件中规定的磋商有效期满之间的这段时间内，供应商不得撤回其响应文件。</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五、响应文件的解密与评审</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22.响应文件解密</w:t>
      </w:r>
      <w:r/>
    </w:p>
    <w:p>
      <w:pPr>
        <w:ind w:left="0" w:right="0" w:firstLine="3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22.1 供应商应当按照《操作手册》规定，在苏采云系统规定的时间内对磋商响应文件进行解密。</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23.磋商小组</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23.1 政务中心将组织磋商小组对响应文件进行评审。磋商小组由采购人代表和有关技术、经济等方面的专家组成，且人员构成符合政府采购有关规定。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23.2 磋商小组独立工作，负责评审所有响应文件并确定成交候选人。</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24.评审过程的保密与公正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24.1 磋商小组、采购人和政务中心工作人员、相关监督人员等与评审工作有关的人员，对评审情况以及在评审过程中获悉的国家秘密、商业秘密负有保密责任。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24.2 在评审过程中，供应商不得以任何行为影响磋商评审过程，否则其响应文件将被作为无效响应文件。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24.3 在项目评审期间，政务中心将设专门人员与供应商联系。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24.4 政务中心和磋商小组不向未成交的供应商解释未成交原因，也不公布评审过程中的相关细节。</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25.评审过程中的澄清</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25.1 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磋商小组并非对每个供应商都作澄清要求。</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25.2 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25.3 接到磋商小组澄清、说明和更正要求的供应商如未按规定做出澄清、说明和 更正，其风险由供应商自行承担。</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26.对响应文件的审查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26.1响应文件审查分为资格审查和符合性审查。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26.1.1 资格审查：由磋商小组依据法律法规和磋商文件的规定，对响应文件中的资格证明文件进行审查，以确定供应商是否具备参加磋商的资格。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磋商小组在进行资格审查的同时，将在“信用中国”网站（www.creditchina.gov.cn）查询供应商的信用记录，以确定供应商是否具备磋商资格,查询结果留存并归档。</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26.1.2 符合性审查：依据磋商文件的规定，由磋商小组从响应文件的有效性、完整性和对磋商文件的响应程度进行审查，以确定是否对磋商文件的实质性要求作出响应。</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磋商文件规定的实质性要求存在负偏离，或者在实质上与磋商文件不一致，而且限制了合同中买方和政务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26.3未实质性响应磋商文件的情形</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26.3.1供应商在苏采云系统规定的时间内未成功解密电子响应文件的。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26.3.2供应商未按照磋商文件要求上传电子响应文件的。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26.3.3同一供应商提交两个（含两个）以上不同的响应文件或者最后报价的。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26.3.4供应商不具备磋商文件中规定资格要求的。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26.3.5供应商的最后报价超过了采购预算。</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26.3.6不符合磋商文件中规定的实质性要求和条件的</w:t>
      </w:r>
      <w:r>
        <w:rPr>
          <w:rFonts w:ascii="SimSun" w:hAnsi="SimSun" w:eastAsia="SimSun" w:cs="SimSun"/>
          <w:i/>
          <w:color w:val="000000"/>
          <w:sz w:val="24"/>
          <w:u w:val="single"/>
        </w:rPr>
        <w:t xml:space="preserve">（本磋商文件中斜体且有下划线部分为实质性要求和条件）。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26.3.8响应文件含有采购人不能接受的附加条件的。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26.3.10响应文件未按照磋商文件要求加盖CA电子公章或签署的。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26.4未实质性响应磋商文件的响应文件按无效响应处理。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26.5如果响应文件实质上没有响应磋商文件的要求，磋商小组将予以拒绝，供应商不得通过修改或撤销不合要求的偏离或保留而使其成为实质性响应的文件。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26.6供应商在项目评审全过程中应保持通讯畅通，并安排专人与政务中心及磋商小组联系。</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27.</w:t>
      </w:r>
      <w:r>
        <w:rPr>
          <w:rFonts w:ascii="SimHei" w:hAnsi="SimHei" w:eastAsia="SimHei" w:cs="SimHei"/>
          <w:color w:val="000000"/>
          <w:sz w:val="28"/>
        </w:rPr>
        <w:t xml:space="preserve">磋商程序及评审方法和评审标准</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27.1.1对于通过资格审查和符合性审查的供应商，磋商小组可以集中与单一供应商分别进行磋商。</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27.1.2磋商文件能够详细列明采购标的的技术、服务要求的，磋商结束后，磋商小组将在苏采云系统要求所有实质性响应的供应商在规定时间内提交最后报价。</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left="0" w:right="0" w:firstLine="48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left="0" w:right="0" w:firstLine="478"/>
        <w:jc w:val="both"/>
        <w:spacing w:before="0" w:after="145"/>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left="0" w:right="0" w:firstLine="480"/>
        <w:spacing w:before="240" w:after="240" w:line="400"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27.1.4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投标处理。</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 评审方法和评审标准</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27.2.1评审方法。经磋商确定最终采购需求和提交最后报价的供应商后，由磋商小组采用综合评分法对提交最后报价的供应商的响应文件和最后报价进行综合评分。</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27.2.2评审标准</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见本磋商文件第五章规定。</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27.3采购活动终止的情况</w:t>
      </w:r>
      <w:r/>
    </w:p>
    <w:p>
      <w:pPr>
        <w:ind w:left="0" w:right="0" w:firstLine="36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出现下列情形之一的，本次竞争性磋商采购活动将被终止：</w:t>
      </w:r>
      <w:r/>
    </w:p>
    <w:p>
      <w:pPr>
        <w:ind w:left="0" w:right="0" w:firstLine="36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27.3.1因情况变化，不再符合规定的竞争性磋商采购方式适用情形的。</w:t>
      </w:r>
      <w:r/>
    </w:p>
    <w:p>
      <w:pPr>
        <w:ind w:left="0" w:right="0" w:firstLine="36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27.3.2出现影响采购公正的违法、违规行为的。</w:t>
      </w:r>
      <w:r/>
    </w:p>
    <w:p>
      <w:pPr>
        <w:ind w:left="0" w:right="0" w:firstLine="36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27.3.3除本磋商文件第二章第27.1.2条第三款规定的情形外，在采购过程中符合要求的供应商或者最后报价未超过采购预算的供应商不足3家的。</w:t>
      </w:r>
      <w:r/>
    </w:p>
    <w:p>
      <w:pPr>
        <w:ind w:left="0" w:right="0" w:firstLine="360"/>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27.3.4在苏采云系统规定时间内成功解密电子响应文件的供应商不足3家的。</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六、成交</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28.</w:t>
      </w:r>
      <w:r>
        <w:rPr>
          <w:rFonts w:ascii="SimSun" w:hAnsi="SimSun" w:eastAsia="SimSun" w:cs="SimSun"/>
          <w:color w:val="000000"/>
          <w:sz w:val="28"/>
        </w:rPr>
        <w:t xml:space="preserve">确定成交单位</w:t>
      </w:r>
      <w:r/>
    </w:p>
    <w:p>
      <w:pPr>
        <w:ind w:left="0" w:right="0" w:firstLine="478"/>
        <w:jc w:val="both"/>
        <w:spacing w:before="0" w:after="0" w:line="65"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28.2采购人从评审报告提出的成交候选供应商中，按照排序由高到低的原则确定成交供应商。采购人确定成交供应商后，政务中心将在“江苏政府采购网”发布成交结果公告，公告期限为1个工作日。</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28.3若有充分证据证明，成交供应商出现下列情况之一的，一经查实，将被取消成交资格：</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28.3.1提供虚假材料谋取成交的。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28.3.2与评审专家、采购人、其他供应商或者政务中心工作人员恶意串通的。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28.3.3向评审专家、采购人或政务中心工作人员行贿或者提供其他不正当利益的。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28.3.4恶意竞争，最后报价明显低于其自身合理成本且又无法提供证明的。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28.3.5不满足本磋商文件规定的实质性要求，但在评审过程中又未被磋商小组发现的。</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28.3.6成交后无正当理由拒不与采购人签订政府采购合同或者未按照磋商文件确定的事项签订政府采购合同的。</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28.3.7将政府采购合同转包的。</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29.质疑处理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29.1 提出质疑的供应商应当是参与所质疑项目采购活动的供应商。潜在供应商依法获取其可质疑的采购文件的，可以对采购文件提出质疑。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供应商认为采购文件、采购过程和采购结果使自己的权益受到损害的，可以在知道或应知其权益受到损害之日起七个工作日内，以书面形式根据下述29.4条款的规定向政务中心或采购人提出质疑。上述应知其权益受到损害之日，是指：</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29.2.1对可以质疑的采购文件提出质疑的，为收到采购文件之日或者采购文件公告期限届满之日。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29.2.2对采购过程提出质疑的，为各采购程序环节结束之日。</w:t>
        <w:br/>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29.2.3对成交结果提出质疑的，为成交结果公告期限届满之日。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供应商应当在法定质疑期内一次性提出针对同一采购程序环节的质疑。供应商如在法定期限内对同一采购程序环节提出多次质疑的，政务中心、采购人将只对供应商第一次质疑作出答复。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29.4 供应商（含潜在供应商）对采购方式、采购需求、供应商资格条件、评审方法与评审标准、评审结果、合同文本的询问、质疑请向采购人提出，由采购人负责答复。供应商对其他事项的询问可以向政务中心提出，由政务中心负责答复。供应商（含潜在供应商）对与本项目有关的所有询问、质疑均可向采购人提出，由采购人负责答复。</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采购人及政务中心只接收以纸质原件形式送达的质疑，建议供应商尽量通过邮寄方式提交质疑</w:t>
      </w:r>
      <w:r>
        <w:rPr>
          <w:rFonts w:ascii="SimSun" w:hAnsi="SimSun" w:eastAsia="SimSun" w:cs="SimSun"/>
          <w:color w:val="ff0000"/>
          <w:sz w:val="24"/>
        </w:rPr>
        <w:t xml:space="preserve">（采购人和政务中心不接受未填写快递运单的快件）。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采购人及政务中心质疑接收人及联系方式见本磋商文件第一章。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 以下情形的质疑不予受理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29.5.1 内容不符合《政府采购质疑和投诉办法》第十二条规定的质疑。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29.5.2 超出政府采购法定期限的质疑。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29.5.3 以传真、电子邮件等方式递交的非原件形式的质疑。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29.5.4 未参加磋商活动的供应商或在磋商活动中自身权益未受到损害的供应商所提出的质疑。</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29.5.5供应商组成联合体参加磋商，联合体中任何一方或多方未按要求签字、盖章、加盖公章的质疑。</w:t>
      </w:r>
      <w:r/>
    </w:p>
    <w:p>
      <w:pPr>
        <w:ind w:left="0" w:right="0" w:firstLine="468"/>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29.6供应商提出书面质疑必须有理、有据，不得捏造事实、提供虚假材料进行恶意质疑。否则，一经查实，政务中心有权依据政府采购的有关规定，报请政府采购监管部门对该供应商进行相应的行政处罚和记录该供应商的失信信息。</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30.成交通知书</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30.1成交结果确定后，政务中心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30.2成交通知书将是合同的一个组成部分。对采购人和成交供应商均具有法律效力。成交通知书发出后，采购人改变成交结果的，或者成交供应商放弃成交项目的，应当依法承担法律责任。</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31. 签订合同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31.l成交供应商应当在成交通知书发出之日起三十日内，按照磋商文件确定的事项与采购人签订政府采购合同。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31.2磋商文件、成交供应商的响应文件及磋商过程中有关澄清、承诺文件均应作为合同附件。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31.3 签订合同后，</w:t>
      </w:r>
      <w:r>
        <w:rPr>
          <w:rFonts w:ascii="SimSun" w:hAnsi="SimSun" w:eastAsia="SimSun" w:cs="SimSun"/>
          <w:i/>
          <w:color w:val="000000"/>
          <w:sz w:val="24"/>
          <w:u w:val="single"/>
        </w:rPr>
        <w:t xml:space="preserve">成交供应商不得将合同标的进行转包</w:t>
      </w:r>
      <w:r>
        <w:rPr>
          <w:rFonts w:ascii="SimSun" w:hAnsi="SimSun" w:eastAsia="SimSun" w:cs="SimSun"/>
          <w:color w:val="000000"/>
          <w:sz w:val="24"/>
        </w:rPr>
        <w:t xml:space="preserve">。未经采购人同意，成交供应商也不得采用分包形式履行合同，否则采购人有权终止合同。转包或分包造成采购人损失的，成交供应商应承担相应赔偿责任。</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32.标的物的追加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八、政府采购政策功能落实</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33.1中小企业政策</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本项目按第</w:t>
      </w:r>
      <w:r>
        <w:rPr>
          <w:rFonts w:ascii="SimSun" w:hAnsi="SimSun" w:eastAsia="SimSun" w:cs="SimSun"/>
          <w:color w:val="ff0000"/>
          <w:sz w:val="24"/>
          <w:u w:val="single"/>
        </w:rPr>
        <w:t xml:space="preserve"> （1） </w:t>
      </w:r>
      <w:r>
        <w:rPr>
          <w:rFonts w:ascii="SimSun" w:hAnsi="SimSun" w:eastAsia="SimSun" w:cs="SimSun"/>
          <w:color w:val="ff0000"/>
          <w:sz w:val="24"/>
        </w:rPr>
        <w:t xml:space="preserve"> </w:t>
      </w:r>
      <w:r>
        <w:rPr>
          <w:rFonts w:ascii="SimSun" w:hAnsi="SimSun" w:eastAsia="SimSun" w:cs="SimSun"/>
          <w:color w:val="000000"/>
          <w:sz w:val="24"/>
        </w:rPr>
        <w:t xml:space="preserve">种政策落实：</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（1）本项目专门面向中小企业（含监狱与戒毒企业、残疾人福利企业）采购。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（2）对符合规定情形的小微企业报价给予 20% 扣除，用扣除后的价格参加评审。</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注：残疾人福利单位、监狱企业属于小型、微型企业的，不重复享受政策。</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6%（工程项目为2%）的扣除，用扣除后的价格参加评审。（是否接受联合体投标、是否允许分包，以“项目基本情况”相关内容为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33.2节能产品、环境标志产品</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拟采购的产品属于品目清单范围的，采购人将依据国家确定的认证机构出具的、处于有效期之内的节能产品、环境标志产品认证证书，对获得证书的产品实施政府优先采购或强制采购。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33.2.1拟采购的产品属于政府强制采购的节能产品品目清单范围的，供应商须提供国家确定的认证机构出具的、处于有效期之内的节能产品认证证书，否则其投标文件作无效标处理。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33.3政府采购需求标准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33.3.1商品包装、快递包装政府采购需求标准（试行）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按照财政部印发的《商品包装政府采购需求标准（试行）》《快递包装政府采购需求标准（试行）》要求执行，本项目商品包装和快递包装的具体需求详见第四章采购需求。</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33.3.2绿色数据中心政府采购需求标准（试行）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按照财政部生态环境部工业和信息化部关于印发《绿色数据中心政府采购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需求标准（试行）》的通知要求执行。</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33.3.3绿色采购</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根据《关于调整优化节能产品、环境标志产品政府采购执行机制的通知》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原件扫描件，否则视为未实质性投标。</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33.4采购本国产品的支持政策</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33.4.1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33.4.3本项目政府采购活动中既有本国产品又有非本国产品参与竞争的，依法对本国产品给予价格评审优惠，对本国产品的报价给予20%的价格扣除，用扣除后的价格参与评审。</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33.4.4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33.4.5供应商需按照招标文件的要求提供《关于符合本国产品标准的声明函》（以下简称《声明函》），如不提供将不享受本国产品价格评审优惠。</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33.4.6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33.4.7评标过程中，如发现供应商在《声明函》内容含义不明确、同类事项与投标（响应）文件表述不一致或者有明显文字错误等情况的，评审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九、启动异常低价投标（响应）审查的情形和具体要求</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34.根据财库〔2026〕2号《财政部关于推动解决政府采购异常低价问题的通知》文件要求，政府采购评审中出现下列情形之一的，评审委员会应当启动异常低价投标（响应）审查程序：</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（1）投标（响应）报价低于全部通过符合性审查供应商投标（响应）报价平均值50%的，即投标（响应）报价&lt;全部通过符合性审查供应商投标（响应）报价平均值×50%；</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（2）投标（响应）报价低于通过符合性审查的次低报价供应商投标（响应）报价50%的，即投标（响应）报价&lt;通过符合性审查的次低报价供应商投标（响应）报价×50%；</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（3）投标（响应）报价低于采购项目最高限价45%的，即投标（响应）报价&lt;采购项目最高限价×45%；</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（4）评审委员会基于专业判断，认为供应商报价过低，有可能影响产品质量或者不能诚信履约的其他情形。</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启动异常低价投标（响应）审查后，属于前述第（1）项至第（4）项情形的，应当要求相关供应商在评标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标现场可不再重复提交。</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应当为评审委员会在评标现场及时获取同类项目中标（成交）价格、类似产品市场价格水平、行业人工费用标准、国家有关部门指导行业协会发布的行业平均成本等相关信息资料提供便利。评审委员会借助互联网等渠道查询相关信息的，应当严格遵守评标工作纪律，不得实施影响评标公正的行为。</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异常低价投标（响应）审查的启动原因、审查意见和审查结果应当在评标报告中记录，并随供应商提供的相关书面说明及证明材料，以及评审委员会有关互联网浏览、查询历史一并归档。</w:t>
      </w:r>
      <w:r/>
    </w:p>
    <w:p>
      <w:pPr>
        <w:ind w:left="0" w:right="0" w:firstLine="643"/>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十、其他事项</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特别提醒：各供应商不得恶意低价投标，如因供应商恶意低价获得中标，在服务过程中无故放弃中标的，给采购人带来损失的，由供应商承担赔偿责任。禁止其三年内参加采购人组织的所有采购活动，同时报财政主管部门进行处罚。</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36.投标单位如有提供不实评审材料，弄虚作假者，一律作废标处理，该不良行为予以公示。</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37.在本项目评审结束前，各供应商授权代表应保持手机畅通，如有必要需供应商针对自身投标文件进行澄清的，供应商应在第一时间内配合评委会的询问进行澄清。未接电话或接到评委会澄清要求的供应商未按规定做出澄清的，其风险由供应商自行承担。</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38.投标保证金：依据苏财购〔2020〕52号文件精神，本项目免收投标保证金。</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39.投标文件格式中需签字或盖章处均可以用电子签名或电子章代替。</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40. 本项目所属行业为</w:t>
      </w:r>
      <w:r>
        <w:rPr>
          <w:rFonts w:ascii="SimSun" w:hAnsi="SimSun" w:eastAsia="SimSun" w:cs="SimSun"/>
          <w:color w:val="000000"/>
          <w:sz w:val="24"/>
          <w:u w:val="single"/>
        </w:rPr>
        <w:t xml:space="preserve">行业应用软件开发服务</w:t>
      </w:r>
      <w:r>
        <w:rPr>
          <w:rFonts w:ascii="SimSun" w:hAnsi="SimSun" w:eastAsia="SimSun" w:cs="SimSun"/>
          <w:color w:val="000000"/>
          <w:sz w:val="24"/>
        </w:rPr>
        <w:t xml:space="preserve">。</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56"/>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73"/>
        <w:numPr>
          <w:ilvl w:val="0"/>
          <w:numId w:val="0"/>
        </w:numPr>
        <w:ind w:left="432" w:right="0" w:hanging="432"/>
        <w:jc w:val="center"/>
        <w:spacing w:before="340" w:after="330" w:line="1152" w:lineRule="atLeast"/>
        <w:tabs>
          <w:tab w:val="clear" w:pos="87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48"/>
        </w:rPr>
        <w:t xml:space="preserve">第三章</w:t>
      </w:r>
      <w:r>
        <w:rPr>
          <w:rFonts w:ascii="Times New Roman" w:hAnsi="Times New Roman" w:eastAsia="Times New Roman" w:cs="Times New Roman"/>
          <w:b/>
          <w:color w:val="000000"/>
          <w:spacing w:val="20"/>
          <w:sz w:val="48"/>
        </w:rPr>
        <w:t xml:space="preserve">  </w:t>
      </w:r>
      <w:r>
        <w:rPr>
          <w:rFonts w:ascii="SimHei" w:hAnsi="SimHei" w:eastAsia="SimHei" w:cs="SimHei"/>
          <w:b/>
          <w:color w:val="000000"/>
          <w:spacing w:val="20"/>
          <w:sz w:val="48"/>
        </w:rPr>
        <w:t xml:space="preserve">合同文本</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以下为成交后签订本项目合同的通用条款，成交供应商不得提出实质性的修改。 </w:t>
      </w:r>
      <w:r/>
    </w:p>
    <w:p>
      <w:pPr>
        <w:ind w:left="0" w:right="0" w:firstLine="0"/>
        <w:jc w:val="center"/>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江苏省政府采购合同（合同编号）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项目名称：泰州市互联网+监管医疗器械经营智慧监管子系统建设</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甲方：（买方）_</w:t>
      </w:r>
      <w:r>
        <w:rPr>
          <w:rFonts w:ascii="SimSun" w:hAnsi="SimSun" w:eastAsia="SimSun" w:cs="SimSun"/>
          <w:color w:val="000000"/>
          <w:sz w:val="24"/>
          <w:u w:val="single"/>
        </w:rPr>
        <w:t xml:space="preserve">泰州市市场监督管理局______</w:t>
      </w:r>
      <w:r>
        <w:rPr>
          <w:rFonts w:ascii="SimSun" w:hAnsi="SimSun" w:eastAsia="SimSun" w:cs="SimSun"/>
          <w:color w:val="000000"/>
          <w:sz w:val="24"/>
        </w:rPr>
        <w:t xml:space="preserve">__</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乙方：（卖方）_________</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甲、乙双方根据泰州市政务服务中心</w:t>
      </w:r>
      <w:r>
        <w:rPr>
          <w:rFonts w:ascii="SimSun" w:hAnsi="SimSun" w:eastAsia="SimSun" w:cs="SimSun"/>
          <w:color w:val="000000"/>
          <w:sz w:val="24"/>
          <w:u w:val="single"/>
        </w:rPr>
        <w:t xml:space="preserve">泰州市互联网+监管医疗器械经营智慧监管子系统建设</w:t>
      </w:r>
      <w:r>
        <w:rPr>
          <w:rFonts w:ascii="SimSun" w:hAnsi="SimSun" w:eastAsia="SimSun" w:cs="SimSun"/>
          <w:color w:val="000000"/>
          <w:sz w:val="24"/>
        </w:rPr>
        <w:t xml:space="preserve">项目竞争性磋商的结果，签署本合同。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 标的名称：</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 标的质量：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 标的数量（规模）：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 履行时间（期限）：</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 履行地点：</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1.6 履行方式：</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 本合同金额为（大写）：____________________________________圆（_______________元）人民币或其他币种。</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3.1乙方应按磋商文件规定的时间向甲方提供与合同标的有关的技术资料。</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 没有甲方事先书面同意，乙方不得将由甲方提供的有关合同或任何合同条文、规格、计划、图纸、样品或资料提供给予履行本合同无关的任何其他人。即使向履行本合同有关的人员提供，也应注意保密并限于履行合同的必需范围。</w:t>
      </w:r>
      <w:r/>
    </w:p>
    <w:p>
      <w:pPr>
        <w:ind w:left="412" w:right="0" w:hanging="412"/>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4.1乙方应保证甲方在使用、接受本合同标的或其任何一部分时不受第三方提出侵犯其专利权、版权、商标权和工业设计权等知识产权的起诉。一旦出现侵权，由乙方负全部责任。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五、产权担保</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5.1 乙方保证所交付的合同标的的所有权完全属于乙方且无任何抵押、查封等产权瑕疵。</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6.1 乙方缴纳合同金额的</w:t>
      </w:r>
      <w:r>
        <w:rPr>
          <w:rFonts w:ascii="SimSun" w:hAnsi="SimSun" w:eastAsia="SimSun" w:cs="SimSun"/>
          <w:color w:val="ee0000"/>
          <w:sz w:val="24"/>
          <w:u w:val="single"/>
        </w:rPr>
        <w:t xml:space="preserve">  10 % </w:t>
      </w:r>
      <w:r>
        <w:rPr>
          <w:rFonts w:ascii="SimSun" w:hAnsi="SimSun" w:eastAsia="SimSun" w:cs="SimSun"/>
          <w:color w:val="000000"/>
          <w:sz w:val="24"/>
        </w:rPr>
        <w:t xml:space="preserve">作为本合同的履约保证金。（不得超过合同金额的10%）。（本项目支持鼓励供应商使用电子保函（保险）代替其他非现金方式缴纳履约保证金，供应商可充分依托江苏省“政府采购电子履约保函（保险）平台”查询相关保函（保单）信息、理赔信息和开具发票，采购人及采购代理机构不得差别对待使用电子保函（保险）参与投标的供应商，不得以指定、授意、暗示等方式，干预供应商自主选择开具电子保函的金融机构。）</w:t>
      </w:r>
      <w:r/>
    </w:p>
    <w:p>
      <w:pPr>
        <w:ind w:left="410" w:right="0" w:hanging="41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7.1乙方不得将合同标的转包给他人履行。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7.2乙方不得将合同标的分包给他人履行。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或7.2 乙方应当按照响应文件中提供的分包意向协议履行合同。</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7.3乙方如有转包或未经甲方同意的分包行为，甲方有权解除合同。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8.1合同款项的支付方式及进度安排</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付款方式为银行划拨支付。</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ff"/>
          <w:sz w:val="24"/>
          <w:u w:val="single"/>
        </w:rPr>
        <w:t xml:space="preserve">本项目合同价款按照履约进度支付。乙方在合同签订后提供符合合同约定的发票后20个工作日内（下同）预付支付30%的合同价款，项目验收合格后付清剩余尾款（无息）。</w:t>
      </w:r>
      <w:r>
        <w:rPr>
          <w:rFonts w:ascii="SimSun" w:hAnsi="SimSun" w:eastAsia="SimSun" w:cs="SimSun"/>
          <w:color w:val="000000"/>
          <w:sz w:val="24"/>
          <w:u w:val="single"/>
        </w:rPr>
        <w:t xml:space="preserve">                                                       </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145" w:after="145"/>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9.1本合同执行中相关的一切税费均由乙方负担。</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十、质量保证及服务</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10.1 乙方应按采购文件规定及响应文件承诺的服务要求、质量标准向甲方提供服务；若无特殊说明，则按国家有关部门最新颁布的标准及规范为准。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10.2 乙方应保证其提供的服务是全面和规范的，并完全符合招响应文件。如因乙方提供的服务有瑕疵造成甲方损失的，所需费用由乙方承担。</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10.3 如在服务过程中发生质量、安全问题，乙方在接到甲方通知后在0.5小时内到达甲方现场。</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10.4 乙方应对所提供服务出现的质量及安全问题负责处理解决并承担一切费用。</w:t>
      </w:r>
      <w:r/>
    </w:p>
    <w:p>
      <w:pPr>
        <w:ind w:left="0" w:right="0" w:firstLine="0"/>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11.1 甲方依法组织履约验收工作。</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11.3 对于实际使用人和甲方分离的项目，甲方邀请实际使用人参与验收。</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11.4 如有必要，甲方邀请参加本项目的其他供应商或第三方专业机构及专家参与验收，相关意见将作为验收书的参考资料。</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十二、违约责任</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12.1 合同生效后，发现乙方投标属虚假承诺，或经权威部门监测提供的服务不能满足磋商文件要求，造成合同无法继续履行的，应向甲方支付不少于合同总价</w:t>
      </w:r>
      <w:r>
        <w:rPr>
          <w:rFonts w:ascii="SimSun" w:hAnsi="SimSun" w:eastAsia="SimSun" w:cs="SimSun"/>
          <w:color w:val="ee0000"/>
          <w:sz w:val="24"/>
        </w:rPr>
        <w:t xml:space="preserve">_</w:t>
      </w:r>
      <w:r>
        <w:rPr>
          <w:rFonts w:ascii="SimSun" w:hAnsi="SimSun" w:eastAsia="SimSun" w:cs="SimSun"/>
          <w:color w:val="ee0000"/>
          <w:sz w:val="24"/>
          <w:u w:val="single"/>
        </w:rPr>
        <w:t xml:space="preserve">10%</w:t>
      </w:r>
      <w:r>
        <w:rPr>
          <w:rFonts w:ascii="SimSun" w:hAnsi="SimSun" w:eastAsia="SimSun" w:cs="SimSun"/>
          <w:color w:val="000000"/>
          <w:sz w:val="24"/>
        </w:rPr>
        <w:t xml:space="preserve">_赔偿金。</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12.2 本项目派驻团队及提供的服务必须与招、响应文件保持一致，若需调整须经甲方书面同意，否则甲方有权终止合同。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十三、不可抗力事件处理</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在合同有效期内，任何一方因不可抗力事件导致不能履行合同，则合同履行期可延长，其延长期与不可抗力影响期相同。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不可抗力事件发生后，应立即通知对方，并寄送有关权威机构出具的证明。</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13.3 不可抗力事件延续120天以上，双方应通过友好协商，确定是否继续履行合同。</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十四、解决争议的方法</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14.1双方在签订、履行合同中所发生的一切争议，应通过友好协商解决。如协商不成，由甲方住所地人民法院管辖。</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十五、合同生效及其它</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15.1 合同经双方法定代表人或授权委托代表人签字并加盖单位公章后生效。</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15.2本合同未尽事宜，遵照《中华人民共和国民法典》《中华人民共和国政府采购法》有关条文执行。</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15.3 本合同正本一式两份，具有同等法律效力，甲方、乙方各执一份。</w:t>
      </w:r>
      <w:r/>
    </w:p>
    <w:p>
      <w:pPr>
        <w:ind w:left="480" w:right="0" w:hanging="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甲方：                 乙方：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地址：                 地址： </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法定代表人或授权代表：         法定代表人或授权代表：</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               联系电话：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right"/>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签订日期：</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br w:type="page" w:clear="all"/>
      </w:r>
      <w:r>
        <w:rPr>
          <w:rFonts w:ascii="Calibri" w:hAnsi="Calibri" w:eastAsia="Calibri" w:cs="Calibri"/>
          <w:sz w:val="21"/>
        </w:rPr>
      </w:r>
      <w:r/>
    </w:p>
    <w:p>
      <w:pPr>
        <w:pStyle w:val="873"/>
        <w:numPr>
          <w:ilvl w:val="0"/>
          <w:numId w:val="0"/>
        </w:numPr>
        <w:ind w:left="432" w:right="0" w:hanging="432"/>
        <w:jc w:val="center"/>
        <w:spacing w:before="340" w:after="330" w:line="1152" w:lineRule="atLeast"/>
        <w:tabs>
          <w:tab w:val="clear" w:pos="87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48"/>
        </w:rPr>
        <w:t xml:space="preserve">第四章 采购需求</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rPr>
          <w:rFonts w:ascii="SimSun" w:hAnsi="SimSun" w:eastAsia="SimSun" w:cs="SimSun"/>
          <w:b/>
          <w:color w:val="000000"/>
          <w:sz w:val="24"/>
        </w:rPr>
        <w:t xml:space="preserve">服务类项目</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采购标的对应的中小企业划分标准所属行业一览表</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90"/>
        <w:gridCol w:w="3889"/>
        <w:gridCol w:w="3876"/>
      </w:tblGrid>
      <w:tr>
        <w:trPr>
          <w:trHeight w:val="117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8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采购标的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对应中小企业划分标准所属行业</w:t>
            </w:r>
            <w:r/>
          </w:p>
        </w:tc>
      </w:tr>
      <w:tr>
        <w:trPr>
          <w:trHeight w:val="10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0"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89"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泰州市互联网</w:t>
            </w:r>
            <w:r>
              <w:rPr>
                <w:rFonts w:ascii="Calibri" w:hAnsi="Calibri" w:eastAsia="Calibri" w:cs="Calibri"/>
                <w:color w:val="000000"/>
                <w:sz w:val="24"/>
              </w:rPr>
              <w:t xml:space="preserve">+</w:t>
            </w:r>
            <w:r>
              <w:rPr>
                <w:rFonts w:ascii="SimSun" w:hAnsi="SimSun" w:eastAsia="SimSun" w:cs="SimSun"/>
                <w:color w:val="000000"/>
                <w:sz w:val="24"/>
              </w:rPr>
              <w:t xml:space="preserve">监管医疗器械经营</w:t>
            </w:r>
            <w:r>
              <w:rPr>
                <w:rFonts w:ascii="SimSun" w:hAnsi="SimSun" w:eastAsia="SimSun" w:cs="SimSun"/>
                <w:color w:val="000000"/>
                <w:sz w:val="24"/>
              </w:rPr>
              <w:t xml:space="preserve">智慧监管子系统建设</w:t>
            </w:r>
            <w:r>
              <w:rPr>
                <w:rFonts w:ascii="Calibri" w:hAnsi="Calibri" w:eastAsia="Calibri" w:cs="Calibri"/>
                <w:sz w:val="2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876" w:type="dxa"/>
            <w:vAlign w:val="center"/>
            <w:textDirection w:val="lrTb"/>
            <w:noWrap w:val="false"/>
          </w:tcPr>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行业应用软件开发服务</w:t>
            </w:r>
            <w:r/>
          </w:p>
        </w:tc>
      </w:tr>
    </w:tbl>
    <w:p>
      <w:pPr>
        <w:pStyle w:val="874"/>
        <w:numPr>
          <w:ilvl w:val="0"/>
          <w:numId w:val="10"/>
        </w:numPr>
        <w:spacing w:before="260" w:after="260" w:line="553"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项目概述</w:t>
      </w:r>
      <w:r/>
    </w:p>
    <w:p>
      <w:pPr>
        <w:pStyle w:val="875"/>
        <w:numPr>
          <w:ilvl w:val="1"/>
          <w:numId w:val="11"/>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建设目标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设全市统一的医疗器械经营企业智慧监管平台，通过数字化赋能全市行政检查。项目纳入市场监管局体制框架内，①能够和互联网+监管实现统一身份认证，无需二次登录；②通过对接市场监管一体化信息平台（市场监管全数据归集库），获取已有数据并回流数据结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摸清底数：全面展示企业许可、运营、人员、自查等全维度数据，实现“一企一档、一键查询”。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风险预警：通过AI模型在大屏驾驶舱实时滚动风险预警，结合红、黄、蓝风险等级标识，自动识别经营异常等各类风险并视觉化提醒。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分级监管：依据企业风险等级分布统计，动态确定监管等级，匹配差异化监管频次，在界面中直接生成监管任务；</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数据协同：打通多部门系统，实现数据共享，并在各模块中同步更新、联动展示；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智慧赋能：围绕自查填报、日常监管、行政处罚、有效期动态管控、数据协同比对等场景界面，开发智能校验、动态管控功能，贴合一线监管操作习惯。</w:t>
      </w:r>
      <w:r/>
    </w:p>
    <w:p>
      <w:pPr>
        <w:pStyle w:val="875"/>
        <w:numPr>
          <w:ilvl w:val="1"/>
          <w:numId w:val="11"/>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建设内容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建设泰州市医疗器械智慧监管系统，首先通过对接市场监管一体化信息平台归集医疗器械经营企业全维度监管数据，构建企业全景画像，配套数据调度监控与数据资源目录；核心功能包含首页驾驶舱，实现核心监管指标展示、实时异常滚动监控、风险等级统计、异常企业处理清单管理，支持穿透查询与品种协查召回预警；搭建企业基础信息管理、运营信息管理、处罚信息管理模块，实现企业全生命周期台账管理、智能提醒校验、全平台数据联动，以及经营、处罚数据的统一归集与关联研判；构建可配置智能预警规则库，实现风险自动识别、分级预警与闭环处置；建设品</w:t>
      </w:r>
      <w:r>
        <w:rPr>
          <w:rFonts w:ascii="SimSun" w:hAnsi="SimSun" w:eastAsia="SimSun" w:cs="SimSun"/>
          <w:color w:val="000000"/>
          <w:sz w:val="24"/>
        </w:rPr>
        <w:t xml:space="preserve">种目录与异常企业清单模块，形成从监管标准制定到风险任务落地的完整闭环；配套数据分析模块，通过核心指标看板、多维度可视化图表、预警明细列表实现监管态势全局研判与效能评估，全面构建覆盖数据归集、风险预警、企业管理、决策支撑的全链条医疗器械智慧监管体系。</w:t>
      </w:r>
      <w:r/>
    </w:p>
    <w:p>
      <w:pPr>
        <w:pStyle w:val="874"/>
        <w:numPr>
          <w:ilvl w:val="0"/>
          <w:numId w:val="10"/>
        </w:numPr>
        <w:spacing w:before="260" w:after="260" w:line="553"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详细建设要求</w:t>
      </w:r>
      <w:r/>
    </w:p>
    <w:p>
      <w:pPr>
        <w:numPr>
          <w:ilvl w:val="0"/>
          <w:numId w:val="12"/>
        </w:numPr>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技术要求</w:t>
      </w:r>
      <w:r/>
    </w:p>
    <w:p>
      <w:pPr>
        <w:pStyle w:val="875"/>
        <w:numPr>
          <w:ilvl w:val="1"/>
          <w:numId w:val="13"/>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数据对接</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企业经营许可信息对接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系统需支持接入企业经营许可相关数据。</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企业运营数据对接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系统需支持接入企业运营相关数据。</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企业处罚信息对接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系统需支持接入企业相关处罚信息。</w:t>
      </w:r>
      <w:r/>
    </w:p>
    <w:p>
      <w:pPr>
        <w:pStyle w:val="875"/>
        <w:numPr>
          <w:ilvl w:val="1"/>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首页驾驶舱设计</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核心指标展示区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固定式看板展示监管企业总数、资质过期企业、经营异常企业三大核心指标并支持点击穿透一键溯源明细，同时依托专项任务响应模块自动处置上级协查、召回、禁售等指令，实现监管态势可视、异常一键溯源、上级指令闭环响应。</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实时异常监控区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系统需支持按时间倒序展示含四级颜色预警等级、企业名称、异常说明、预警标签的全部风险事件，右侧配套风险等级分布可视化图表，点击预警信息可直达企业详情对应异常模块，减少跨页信息查找成本。</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企业风险等级统计区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系统需支持构建企业分级画像，依托环形图等展示各级企业数量与占比并支持区县筛选，点击色块可跳转对应企业清单且支持 Excel 导出，以此落实差异化精准监管。</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异常企业处理清单区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系统需支持以表格展示异常企业相关信息，支持多条件筛选、一键导出台账，可通过查看、处置按钮跳转对应页面填报处置与复查信息，实现预警、处置、复查、归档全流程闭环管理。</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关键指标与可视化展示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系统需支持汇集关键指标展示、企业异常清单查询、风险预警动态滚动、区域地图可视化能力，可直观掌握企业分布、风险状况并支持查看企业详情。</w:t>
      </w:r>
      <w:r/>
    </w:p>
    <w:p>
      <w:pPr>
        <w:pStyle w:val="875"/>
        <w:numPr>
          <w:ilvl w:val="1"/>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企业基础信息管理</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企业信息列表页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系统需支持以企业名称、许可证号、统一社会信用代码模糊检索与多条件筛选，列表实时同步标红展示经营状态，可通过查看、处置按钮跳转对应页面，实现企业信息查询与异常事项快速处置。</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企业信息详情页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在企业列表点击企业名称或统一社会信用代码跳转企业详情页，集中展示企业基本、关键人员、许可证、经营范围、处罚运营、投诉举报、日常监管等全量关联信息，实现数据互通联动、风险自动识别预警，做到企业信息一屏查阅。</w:t>
      </w:r>
      <w:r/>
    </w:p>
    <w:p>
      <w:pPr>
        <w:pStyle w:val="875"/>
        <w:numPr>
          <w:ilvl w:val="1"/>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企业运营信息管理</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对接“品质泰州”管理系统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系统需支持能够打通“品质泰州”管理平台接口，同步调取《质量管理体系自查报告》《重点监管目录经营情况》《主体责任等级评估表》三类核心表单数据，可视化呈现企业合规自查动态。</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构建合规自查时间轴，实现全生命周期追溯</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系统需支持运用时间轴交互模式按年度、季度排布企业质量管理体系自查报告提交节点，方便监管及企业管理人员复盘合规历史。</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对接企业自有ERP系统</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系统需支持通过标准 API 接口与企业自有 ERP 系统深度对接，打通数据孤岛，调取产品档案、出入库、库存调拨等核心单据，实现实物库存与账面数据联动互通。</w:t>
      </w:r>
      <w:r/>
    </w:p>
    <w:p>
      <w:pPr>
        <w:pStyle w:val="875"/>
        <w:numPr>
          <w:ilvl w:val="1"/>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企业处罚信息管理</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处罚数据对接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系统需支持归集行政处罚数据、经营异常名录、严重违法失信名单等全量信用风险数据，并自动同步处罚公示期限与信用修复状态，直观呈现企业实时信用状况。</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智能化多维检索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系统需提供高效组合检索能力，可依据企业信息、处罚类型、机关、时间范围多维度筛选，并支持处罚事由、文书号等关键字模糊查询，便于快速查询违规线索与惩戒记录。</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处罚与异常自动关联，赋能动态风险评估</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系统需支持能够打破单一数据维度的局限，通过智能算法将行政处罚信息与经营异常名录进行深度关联，辅助生成动态的企业风险等级评估。</w:t>
      </w:r>
      <w:r/>
    </w:p>
    <w:p>
      <w:pPr>
        <w:pStyle w:val="875"/>
        <w:numPr>
          <w:ilvl w:val="1"/>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风险预警与智能分析</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风险预警库配置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系统需支持风险预警规则配置功能，包括但不限于以下风险预警规则，能够动态更新。</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16"/>
        <w:gridCol w:w="2315"/>
        <w:gridCol w:w="5923"/>
      </w:tblGrid>
      <w:tr>
        <w:trPr>
          <w:trHeight w:val="278"/>
        </w:trPr>
        <w:tc>
          <w:tcPr>
            <w:shd w:val="clear" w:color="ffffff" w:fill="ffffff"/>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7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预警类型</w:t>
            </w:r>
            <w:r/>
          </w:p>
        </w:tc>
        <w:tc>
          <w:tcPr>
            <w:shd w:val="clear" w:color="ffffff" w:fill="ffffff"/>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71"/>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规则描述</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资质过期</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许可证/备案凭证有效期≤30天</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超范围经营</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销售品种不在许可范围内</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经营异常</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连续6个月无经营申报（进货/销售）</w:t>
            </w:r>
            <w:r/>
          </w:p>
        </w:tc>
      </w:tr>
      <w:tr>
        <w:trPr>
          <w:trHeight w:val="5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供销不一致</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进货量与销售量严重偏离（需设定阈值）</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自查缺失</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逾期未提交年度自查报告</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监管闭环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未在限期内整改</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举报投诉异常增多</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12345或其他平台反馈的投诉举报情况</w:t>
            </w:r>
            <w:r/>
          </w:p>
        </w:tc>
      </w:tr>
      <w:tr>
        <w:trPr>
          <w:trHeight w:val="2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6"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15"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上级发布的质量检测不合格、召回等信息</w:t>
            </w:r>
            <w:r/>
          </w:p>
        </w:tc>
        <w:tc>
          <w:tcPr>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23" w:type="dxa"/>
            <w:vAlign w:val="center"/>
            <w:textDirection w:val="lrTb"/>
            <w:noWrap w:val="false"/>
          </w:tcPr>
          <w:p>
            <w:pPr>
              <w:ind w:left="0" w:right="0" w:firstLine="5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上级管理部门通过公告或通知发布的产品质量检测情况</w:t>
            </w:r>
            <w:r/>
          </w:p>
        </w:tc>
      </w:tr>
    </w:tbl>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企业监管等级自动分类</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系统需支持融合企业多源异构数据构建全景画像，依托聚类算法形成一至四级 AI 智能分级监管体系，实施差异化监管策略，推动监管模式由人工主观判定转向数据驱动的智慧监管。</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违法线索信息挖掘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系统需能够打造智能化违法线索挖掘中枢，依托自然语言处理与大数据关联分析挖掘投诉举报文本信息，识别各类潜在风险，推动市场监管由被动接诉向主动预警、未诉先办转型。</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企业风险预测</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系统需支持搭建全生命周期企业风险智能预警机制，依托证照有效期监控模型自动筛查临期证照，推动监管模式由被动审批、事后处罚转向主动靠前、事前防范。</w:t>
      </w:r>
      <w:r/>
    </w:p>
    <w:p>
      <w:pPr>
        <w:pStyle w:val="875"/>
        <w:numPr>
          <w:ilvl w:val="1"/>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数据维护</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品种目录管理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构建标准化医疗器械重点监管品种目录库，建立监管品种与企业经营范围关键字的智能映射关系，将目录内品种与许可经营范围关键词做对应匹配，作为超范围经营智能比对的统一判定标准，为后续自动识别违规经营行为提供精准、可动态调整的规则依据。</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异常企业清单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系统需支持依据多类异常数据自动生成标注异常类型与风险等级的异常企业清单，支持人工复核，核实后可一键生成定向监管任务推送处置，实现风险自动识别至任务落地无缝衔接。</w:t>
      </w:r>
      <w:r/>
    </w:p>
    <w:p>
      <w:pPr>
        <w:pStyle w:val="875"/>
        <w:numPr>
          <w:ilvl w:val="1"/>
          <w:numId w:val="14"/>
        </w:numPr>
        <w:jc w:val="both"/>
        <w:spacing w:before="260" w:after="26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数据分析</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核心指标看板（顶部数据卡片区）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系统需支持展示企业总数、风险预警数、任务完成率、企业合规率四项核心指标，各指标附带环比变化趋势，支持点击穿透跳转对应页面，并与相关业务模块实时联动、动态更新数据。</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多维度分析图表区（中部可视化区）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展示多类可视化分析图表：采用折线图呈现风险预警趋势、饼图展示四级监管企业等级分布、柱状图体现各类风险预警数量分布，依托地理气泡图展示各区县风险企业地域分布，并通过双折线图对比近三月任务完成率与风险下降率走势，各类图表分别对接对应业务数据，指标动态实时更新，直观展现整体监管风险态势与监管效能。</w:t>
      </w:r>
      <w:r/>
    </w:p>
    <w:p>
      <w:pPr>
        <w:pStyle w:val="876"/>
        <w:numPr>
          <w:ilvl w:val="2"/>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风险预警数据明细区（底部列表区）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系统需支持以列表展示预警相关信息，支持多维度筛选、分页浏览与 Excel 导出，处理状态采用对应色彩标签标识，点击预警条目可跳转查看详情，并且与风险预警模块实时同步更新数据。</w:t>
      </w:r>
      <w:r/>
    </w:p>
    <w:p>
      <w:pPr>
        <w:pStyle w:val="875"/>
        <w:numPr>
          <w:ilvl w:val="0"/>
          <w:numId w:val="14"/>
        </w:numPr>
        <w:jc w:val="both"/>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性能要求</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稳定（可靠）性</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提供7×24小时的连续运行，平均故障修复时间＜30分钟；各业务系统对用户的操作顺序、输入的数据进行正确性检查，并以显著方式提示错误信息。系统需有出错处理机制，当系统运行过程中发生错误时，系统将明确提示错误信息并指导用户按照系统错误处理手册进行处理。系统应提供运行监视和故障恢复机制，建立系统运行日志文件，能跟踪系统的所有操作。系统配备软件异常处理措施。</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可维护性</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服务器系统管理与维护、应用系统软件管理与维护、数据库管理与维护以及数据库备份、应用系统备份、灾难事件处理与解决实施方案等。为系统中多个功能平台提供可视化的管理界面，允许部分用户进行设置。</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可扩展性</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系统在设计过程中充分考虑可扩充性，能根据技术发展和业务需求增加不断升级扩展。系统充分考虑可能的扩展内容，为其提供接口。</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系统易用性</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用户界面友好，主页满足个性化设置，功能模块可根据用户角色不同、用户不同、工作任务不同而实现自由定制。对于常用不变的数据项、重复数据项、可枚举的数据项、自动产生的数据项，设置为缺省值或自动提供，以减少用户录入。</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系统为B／S架构，对于用户客户端需要安装的插件等采用一键安装的集中打包方式进行，无需用户单独自行安装。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满足良好的操作易用性，系统要具有实时的联机帮助功能，提供交互式的操作向导，对每一步骤的操作能够进行如上一步、下一步这种导向式的指引。提供文字、图形、视频等手段帮助用户使用。</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系统适应性</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兼容性和扩展性，操作系统兼容性（windows、linux、unix、国产操作系统）、浏览器兼容性（chrome、IE、360安全浏览器等）、数据库兼容性（国产数据库、传统关系型数据库、Hadoop家族、分布式数据库、列式数据库等）。</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主要性能指标</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基本信息查询、业务提交请求响应时间应小于3秒；统计、复杂联合查询等请求响应时间小于8秒；操作平均响应时间不应超过5秒。</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输出需求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系统需满足全市各层级监管领导以及基层监管人员的日常使用工作，包含日常数据查询、风险预警规则维护、全景画像信息展示等内容，以及主体监管等级分级管理、风险预警信息的分析等事项。</w:t>
      </w:r>
      <w:r/>
    </w:p>
    <w:p>
      <w:pPr>
        <w:pStyle w:val="875"/>
        <w:numPr>
          <w:ilvl w:val="0"/>
          <w:numId w:val="14"/>
        </w:numPr>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安全需求</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网络安全要求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系统平台应符合网络安全保障体系相关标准规范和泰州市信息化系统有关安全管理要求，系统应符合国家信息化系统相关标准规范和数据规范要求，保证系统数据的完整性。</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系统安全要求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系统应具备完善的用户识别体系。通过对主客体进行正确的标识和标注，执行自主访问控制和强制访问控制混合的访问控制机制，保证授权访问的可控性。</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数据安全要求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析结果数据是本项目的关键性数据，要保证数据的安全和隐私，因此系统的建设需考虑到：数据库应设置预定的备份策略、按照用户级别来授权用户对数据访问、关键数据的修改记录应记录详细的操作日志和以备追查、数据的传输与关键敏感的数据的存放需进行一定的加密处理。</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安全管理要求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建立健全相关信息安全管理责任制度；禁止在系统中使用未经批准的应用程序，禁止在系统上加载无关软件，严禁擅自修改系统的有关参数；用于开发、测试的系统需与正式系统严格分开；监视系统运行记录，及时审查日志文件，认真分析告警信息，及时掌握运行状况，对系统可能发生的故障做好应急方案。</w:t>
      </w:r>
      <w:r/>
    </w:p>
    <w:p>
      <w:pPr>
        <w:pStyle w:val="875"/>
        <w:numPr>
          <w:ilvl w:val="0"/>
          <w:numId w:val="14"/>
        </w:numPr>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项目实施要求</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资质要求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（1）投标人应具备大型软件开发建设经验，具有较好的软件开发实力与企业信用。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（2）投标人具有与本项目相关（有利于本项目实施的）的应用软件开发经验。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（3）投标人有完善的质量管理体系。</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项目组织及人员要求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投标时应提供实施投标项目的组织机构和人员配置管理计划，在组织机构中应明确各岗位的职责、任职资格及成果，确保工程顺利实施。根据工作的业务性质，明确项目主管及组成人员信息、类似项目的经验及分工职责。项目经理对项目总负责，项目建设期间必须全程驻场，仅负责本项目。投标文件中指定的承担本项目的项目组成员须和实际实施人员一致，且均须在投标人单位工作，并提供社保证明材料。</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项目开发阶段，项目团队驻场稳定成员不少于2人，负责驻场调研、开发、测试和实施；在项目试运行和验收阶段，项目团队驻场应不少于2人；在维护与售后服务阶段，项目团队驻场应至少1人。上述驻场人员须标明分工，其中项目主管必须全程参与本项目的开发、实施过程，项目验收前项目经理和主要开发人员无故不得更换，确需人员更换须经采购人同意。驻场服务时间每天不少于7小时。</w:t>
      </w:r>
      <w:r/>
    </w:p>
    <w:p>
      <w:pPr>
        <w:pStyle w:val="876"/>
        <w:numPr>
          <w:ilvl w:val="1"/>
          <w:numId w:val="14"/>
        </w:numPr>
        <w:jc w:val="both"/>
        <w:spacing w:before="280" w:after="29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项目实施计划</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合同签订后3个月内完成项目开发工作，并上线使用。合同签订后3日内进场启动项目建设，实施团队核心成员（项目经理、技术负责人等）同时进场。进场后两周内完成项目详细需求调研（包括项目建设内容相关的市局业务处室、直属单位），并完成深化设计方案和具体实施计划方案，实施方案应包括系统开发及部署环境要求。由采购人组织专家对方案进行评审通过后开始项目的开发建设。中标人应按照项目计划按期实施。</w:t>
      </w:r>
      <w:r/>
    </w:p>
    <w:p>
      <w:pPr>
        <w:pStyle w:val="875"/>
        <w:numPr>
          <w:ilvl w:val="0"/>
          <w:numId w:val="14"/>
        </w:numPr>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质量保证要求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系统应用软件开发要求采用国际通用的规范化的软件开发、软件工程实施和项目管理方法，对项目实施的全过程进行监控和管理，对项目进度和工程实施进度进行控制；对应用系统软件必须进行充分的测试，确认其正确性和可靠性；同时必须有详细易懂的系统的安装、运行、验收测试的技术文件；所有的技术文件必须是中文，并且本项目所有文档应该按照所使用的质量管理体系要求编写。中标人需提供本项目质量管理方案；中标人需提供本项目过程中研发管理方案及代码标准；中标人需提供本项目过程中测试方式；采购人可定期对项目的情况进行质量检查。</w:t>
      </w:r>
      <w:r/>
    </w:p>
    <w:p>
      <w:pPr>
        <w:pStyle w:val="875"/>
        <w:numPr>
          <w:ilvl w:val="0"/>
          <w:numId w:val="14"/>
        </w:numPr>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培训要求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（1）系统操作培训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业务部门人员进行培训，使业务人员掌握与自己工作相关标准规范以及应用系统的使用方法和操作技巧，使业务人员能够胜任系统的日常操作和业务处理，能在实际工作中应用相关功能提高工作效率，从而为项目的成功提供应用上的保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（2）系统维护培训</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专业系统应用维护支撑人员进行培训，使系统管理员、系统运行维护等专业技术人员了解和掌握本项目中信息资源规划、标准规范以及会使用到的相关技术：包括数据库技术、应用系统安装及初始化设置、应用系统性能、升级、定制等维护技术等，使维护人员能够胜任系统管理、日常维护、一般故障诊断和处理。</w:t>
      </w:r>
      <w:r/>
    </w:p>
    <w:p>
      <w:pPr>
        <w:pStyle w:val="875"/>
        <w:numPr>
          <w:ilvl w:val="0"/>
          <w:numId w:val="14"/>
        </w:numPr>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本项目由中标人提出申请，招标人组织验收。验收合格，双方签字确认后视为实施完成。</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验收标准：招标文件、投标文件、政府采购合同规定的标准。</w:t>
      </w:r>
      <w:r/>
    </w:p>
    <w:p>
      <w:pPr>
        <w:pStyle w:val="875"/>
        <w:numPr>
          <w:ilvl w:val="0"/>
          <w:numId w:val="14"/>
        </w:numPr>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售后服务要求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整个项目软件免费运维服务期为验收合格后一年，质保期间的维护服务不收取任何额外费用，由中标方提供免费的软件维护服务、技术服务支持，包括系统维护、性能提升、故障检测等，并保证系统正常运行，如果软件功能变更超出项目范围的百分之二十，按照工作量测算依据增加相应的服务费用。质保期后的服务费双方另行协商。</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2.项目运维期内，需要至少1名专业技术支撑人员提供驻场服务，由此产生的一切费用均由中标方承担。</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3.在项目验收后的服务期内，如因需要增加系统功能而产生的费用，双方另议；如果是软件设计漏洞或偏差，中标方必须及时修正，且不另收费用。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项目服务期满后，供应商必须承诺在法定工作时间内，可以提供技术指导和咨询；供应商要长期建立完善的技术支持和售后服务管理体系和服务队伍，为配合用户使用提供全方位的技术支持工作，并对如何实施服务提出承诺。</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5.中标方应提供实时在线的客户服务和现场服务。除驻场服务外，应具备灵活多样的通讯手段，提供7×24小时响应服务。实时解决常见问题。</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故障响应。中标方在接到系统故障报修要求时，半小时内做出明确响应和维护安排，在2小时内为建设单位提供维护服务，并做出故障诊断报告，3小时内恢复正常。</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热线服务。投标供应商应提供热线电话、E-mail、传真、网站等途径，随时接受建设单位提出的各种技术和使用问题，不能即时解决的问题要在1小时内提出解决方案。</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系统巡检。每月至少提供4次对系统进行巡检服务，及时发现和排除潜在问题或故障隐患，保证系统的稳定运行。</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系统升级。质保期内投标供应商应提供免费的系统软件升级服务。升级内容包括解决的BUG、采纳用户建议以及业务需求调整实现的功能和其他内容。</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6.投标人应具备相关的售后服务体系，在承诺服务期内提供完善、及时、无推诿的应用软件等项目实施范围内的服务保障。</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7.针对项目需求，制定系统服务响应方案，要求服务响应包括且不限于：质保服务措施、服务响应承诺、日常业务咨询指导服务、系统优化建议等。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制定服务质量保障方案，具备对服务全过程的质量控制措施，包括且不限于对各类日常技术服务工作流程的内部管控制度，提交的各类技术资料、文档内容真实性和完整性的管理，与甲方管理制度衔接措施等，提交方案应科学合理，可操作性强。</w:t>
      </w:r>
      <w:r/>
    </w:p>
    <w:p>
      <w:pPr>
        <w:pStyle w:val="875"/>
        <w:numPr>
          <w:ilvl w:val="0"/>
          <w:numId w:val="14"/>
        </w:numPr>
        <w:spacing w:before="260" w:after="260" w:line="85" w:lineRule="atLeast"/>
        <w:tabs>
          <w:tab w:val="left" w:pos="87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知识产权和保密要求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最终用户为采购人，本项目所产生的知识产权归采购人独享，中标人必须提供项目的所有开发和技术文档。本项目中采购的商业软件（含自主品牌），最终许可用户名为采购人。投标人须承诺所提供的系统（含平台）不依赖于任何第三方商业平台的支持和环境。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中标人须承诺且不限于以下保密条款要求：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标人对本项目所产生的业务资料、技术信息等负有保密责任，未经采购人同意不得提供给任何第三方，包括中标人的分支机构、子公司、委托顾问方或接受咨询方。本项目所产生的知识产权归采购人独享，中标人须提供项目的所有源代码和开发文档给采购人。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2.中标人应妥善保管有关的文件和资料，未经采购人许可，不对其复制、仿造等。</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3.中标人应对有关人员进行有效管理，包括制定规章制度，以确保本承诺书的履行。 </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4.中标人若违反本承诺的约定，应赔偿采购人由此遭受的一切损失。</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5.保密期限：中标人需对本项目的业务资料、技术信息等在软件生命周期内一直保密，直至采购人同意或该业务资料、技术信息在同行业中已成为公开信息后方可解除保密义务。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Calibri" w:hAnsi="Calibri" w:eastAsia="Calibri" w:cs="Calibri"/>
          <w:sz w:val="21"/>
        </w:rPr>
      </w:r>
      <w:r>
        <w:rPr>
          <w:rFonts w:ascii="Calibri" w:hAnsi="Calibri" w:eastAsia="Calibri" w:cs="Calibri"/>
          <w:sz w:val="21"/>
        </w:rPr>
      </w:r>
      <w:r/>
    </w:p>
    <w:p>
      <w:pPr>
        <w:pStyle w:val="873"/>
        <w:numPr>
          <w:ilvl w:val="0"/>
          <w:numId w:val="0"/>
        </w:numPr>
        <w:ind w:left="432" w:right="0" w:hanging="432"/>
        <w:jc w:val="center"/>
        <w:spacing w:before="340" w:after="330" w:line="1152" w:lineRule="atLeast"/>
        <w:tabs>
          <w:tab w:val="clear" w:pos="87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48"/>
        </w:rPr>
        <w:t xml:space="preserve">第五章</w:t>
      </w:r>
      <w:r>
        <w:rPr>
          <w:rFonts w:ascii="Times New Roman" w:hAnsi="Times New Roman" w:eastAsia="Times New Roman" w:cs="Times New Roman"/>
          <w:b/>
          <w:color w:val="000000"/>
          <w:spacing w:val="20"/>
          <w:sz w:val="48"/>
        </w:rPr>
        <w:t xml:space="preserve"> </w:t>
      </w:r>
      <w:r>
        <w:rPr>
          <w:rFonts w:ascii="SimHei" w:hAnsi="SimHei" w:eastAsia="SimHei" w:cs="SimHei"/>
          <w:b/>
          <w:color w:val="000000"/>
          <w:spacing w:val="20"/>
          <w:sz w:val="48"/>
        </w:rPr>
        <w:t xml:space="preserve">评审方法与评审标准</w:t>
      </w:r>
      <w:r/>
    </w:p>
    <w:p>
      <w:pPr>
        <w:ind w:left="0" w:right="0" w:firstLine="482"/>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评审方法与评审标准：</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70"/>
        <w:gridCol w:w="590"/>
        <w:gridCol w:w="4523"/>
        <w:gridCol w:w="590"/>
        <w:gridCol w:w="597"/>
        <w:gridCol w:w="690"/>
        <w:gridCol w:w="590"/>
      </w:tblGrid>
      <w:tr>
        <w:trPr>
          <w:trHeight w:val="3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最低分值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最高分值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spacing w:before="0" w:after="0" w:line="57" w:lineRule="atLeast"/>
            </w:p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spacing w:before="0" w:after="0" w:line="57" w:lineRule="atLeast"/>
            </w:pPr>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价格分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满足文件要求且价格最低的响应报价为评审基准价，其价格为满分。其他响应人的价格分统一按下列公式计算：响应报价得分=（评标基准价/响应报价）×10。分值保留小数点后2位。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spacing w:before="0" w:after="0" w:line="57" w:lineRule="atLeast"/>
            </w:p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spacing w:before="0" w:after="0" w:line="57" w:lineRule="atLeast"/>
            </w:pPr>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评分标准和评审材料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最低分值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最高分值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是否暗评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是否客观分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商务评分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项目人员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项目经理具备：信息系统项目管理师、数据库系统工程师</w:t>
            </w:r>
            <w:r>
              <w:rPr>
                <w:rFonts w:ascii="SimSun" w:hAnsi="SimSun" w:eastAsia="SimSun" w:cs="SimSun"/>
                <w:color w:val="000000" w:themeColor="text1"/>
                <w:sz w:val="20"/>
                <w:u w:val="none"/>
              </w:rPr>
              <w:t xml:space="preserve">，</w:t>
            </w:r>
            <w:r>
              <w:rPr>
                <w:rFonts w:ascii="SimSun" w:hAnsi="SimSun" w:eastAsia="SimSun" w:cs="SimSun"/>
                <w:color w:val="000000" w:themeColor="text1"/>
                <w:sz w:val="20"/>
                <w:u w:val="none"/>
              </w:rPr>
              <w:t xml:space="preserve">具备一个证书得2分，同时具备</w:t>
            </w:r>
            <w:r>
              <w:rPr>
                <w:rFonts w:ascii="SimSun" w:hAnsi="SimSun" w:eastAsia="SimSun" w:cs="SimSun"/>
                <w:color w:val="000000"/>
                <w:sz w:val="20"/>
              </w:rPr>
              <w:t xml:space="preserve">得4分。</w:t>
            </w:r>
            <w:r/>
          </w:p>
          <w:p>
            <w:pPr>
              <w:numPr>
                <w:ilvl w:val="0"/>
                <w:numId w:val="15"/>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项目团队成员具备：系统分析师，系统集成项目管理工程师，数据库系统工程师，信息系统项目管理师。每具备其中一类证书得2分，最多得8分，单人多证仅算一证。</w:t>
              <w:br/>
              <w:t xml:space="preserve">注：供应商须提供相关人员的资格证书或证明文件复印件，并提供2026年3月1日以来任意3个月的社保证明材料并加盖公章，否则不得分。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r>
        <w:trPr>
          <w:trHeight w:val="11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公司实力</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供应商具有ISO27701隐私信息管理体系认证证书，ISO22301业务连续性管理体系认证证书，ISO27040数据存储安全管理体系认证证书，ISO38505数据治理符合性评价证书，每有一项得2分，合计最高得8分。</w:t>
              <w:br/>
              <w:t xml:space="preserve">注：供应商须提供有效证书复印件并加盖公章，未提供或不符合要求的不得分。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r>
        <w:trPr>
          <w:trHeight w:val="15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著作权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供应</w:t>
            </w:r>
            <w:r>
              <w:rPr>
                <w:rFonts w:ascii="SimSun" w:hAnsi="SimSun" w:eastAsia="SimSun" w:cs="SimSun"/>
                <w:color w:val="000000" w:themeColor="text1"/>
                <w:sz w:val="20"/>
                <w:u w:val="none"/>
              </w:rPr>
              <w:t xml:space="preserve">商拥有</w:t>
            </w:r>
            <w:r>
              <w:rPr>
                <w:rFonts w:ascii="SimSun" w:hAnsi="SimSun" w:eastAsia="SimSun" w:cs="SimSun"/>
                <w:color w:val="000000" w:themeColor="text1"/>
                <w:sz w:val="20"/>
                <w:u w:val="none"/>
              </w:rPr>
              <w:t xml:space="preserve">与</w:t>
            </w:r>
            <w:r>
              <w:rPr>
                <w:rFonts w:ascii="SimSun" w:hAnsi="SimSun" w:eastAsia="SimSun" w:cs="SimSun"/>
                <w:color w:val="000000" w:themeColor="text1"/>
                <w:sz w:val="20"/>
                <w:u w:val="none"/>
              </w:rPr>
              <w:t xml:space="preserve">驾驶舱、大数据风险预警、市场监管数据仓库、可视化数据加工、数据治理类</w:t>
            </w:r>
            <w:r>
              <w:rPr>
                <w:rFonts w:ascii="SimSun" w:hAnsi="SimSun" w:eastAsia="SimSun" w:cs="SimSun"/>
                <w:color w:val="000000" w:themeColor="text1"/>
                <w:sz w:val="20"/>
                <w:u w:val="none"/>
              </w:rPr>
              <w:t xml:space="preserve">相关</w:t>
            </w:r>
            <w:r>
              <w:rPr>
                <w:rFonts w:ascii="SimSun" w:hAnsi="SimSun" w:eastAsia="SimSun" w:cs="SimSun"/>
                <w:color w:val="000000" w:themeColor="text1"/>
                <w:sz w:val="20"/>
                <w:u w:val="none"/>
              </w:rPr>
              <w:t xml:space="preserve">的</w:t>
            </w:r>
            <w:r>
              <w:rPr>
                <w:rFonts w:ascii="SimSun" w:hAnsi="SimSun" w:eastAsia="SimSun" w:cs="SimSun"/>
                <w:color w:val="000000" w:themeColor="text1"/>
                <w:sz w:val="20"/>
                <w:u w:val="none"/>
              </w:rPr>
              <w:t xml:space="preserve">或类似关键词的</w:t>
            </w:r>
            <w:r>
              <w:rPr>
                <w:rFonts w:ascii="SimSun" w:hAnsi="SimSun" w:eastAsia="SimSun" w:cs="SimSun"/>
                <w:color w:val="000000" w:themeColor="text1"/>
                <w:sz w:val="20"/>
                <w:u w:val="none"/>
              </w:rPr>
              <w:t xml:space="preserve">软件著作权证书，满足要求的</w:t>
            </w:r>
            <w:r>
              <w:rPr>
                <w:rFonts w:ascii="SimSun" w:hAnsi="SimSun" w:eastAsia="SimSun" w:cs="SimSun"/>
                <w:color w:val="000000" w:themeColor="text1"/>
                <w:sz w:val="20"/>
                <w:u w:val="none"/>
              </w:rPr>
              <w:t xml:space="preserve">每具备</w:t>
            </w:r>
            <w:r>
              <w:rPr>
                <w:rFonts w:ascii="SimSun" w:hAnsi="SimSun" w:eastAsia="SimSun" w:cs="SimSun"/>
                <w:color w:val="000000" w:themeColor="text1"/>
                <w:sz w:val="20"/>
                <w:u w:val="none"/>
              </w:rPr>
              <w:t xml:space="preserve">一个</w:t>
            </w:r>
            <w:r>
              <w:rPr>
                <w:rFonts w:ascii="SimSun" w:hAnsi="SimSun" w:eastAsia="SimSun" w:cs="SimSun"/>
                <w:color w:val="000000" w:themeColor="text1"/>
                <w:sz w:val="20"/>
                <w:u w:val="none"/>
              </w:rPr>
              <w:t xml:space="preserve">类别的有效</w:t>
            </w:r>
            <w:r>
              <w:rPr>
                <w:rFonts w:ascii="SimSun" w:hAnsi="SimSun" w:eastAsia="SimSun" w:cs="SimSun"/>
                <w:color w:val="000000" w:themeColor="text1"/>
                <w:sz w:val="20"/>
                <w:u w:val="none"/>
              </w:rPr>
              <w:t xml:space="preserve">证书得2分，</w:t>
            </w:r>
            <w:r>
              <w:rPr>
                <w:rFonts w:ascii="SimSun" w:hAnsi="SimSun" w:eastAsia="SimSun" w:cs="SimSun"/>
                <w:color w:val="000000" w:themeColor="text1"/>
                <w:sz w:val="20"/>
                <w:u w:val="none"/>
              </w:rPr>
              <w:t xml:space="preserve">同一类别下多个证书不重复计分，</w:t>
            </w:r>
            <w:r>
              <w:rPr>
                <w:rFonts w:ascii="SimSun" w:hAnsi="SimSun" w:eastAsia="SimSun" w:cs="SimSun"/>
                <w:color w:val="000000" w:themeColor="text1"/>
                <w:sz w:val="20"/>
                <w:u w:val="none"/>
              </w:rPr>
              <w:t xml:space="preserve">本项共</w:t>
            </w:r>
            <w:r>
              <w:rPr>
                <w:rFonts w:ascii="SimSun" w:hAnsi="SimSun" w:eastAsia="SimSun" w:cs="SimSun"/>
                <w:color w:val="000000"/>
                <w:sz w:val="20"/>
              </w:rPr>
              <w:t xml:space="preserve">计10分。</w:t>
              <w:br/>
              <w:t xml:space="preserve">注：供应商须提供有效证书复印件并加盖公章，证书需在采购公告发布之前取得，未提供或不符合要求的不得分。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评分标准和评审材料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最低分值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最高分值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是否暗评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是否客观分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技术评分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 </w:t>
            </w:r>
            <w:r/>
          </w:p>
        </w:tc>
      </w:tr>
      <w:tr>
        <w:trPr>
          <w:trHeight w:val="7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详细模块建设方案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根据招标文件中对“数据对接”的建设要求，能详细说明所有模块的业务含义，技术思路合理、采用的技术先进、可操作性强，得5分；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3.2</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根据招标文件中对“首页驾驶舱设计”的建设要求，能详细说明所有模块的业务含义，技术思路合理、采用的技术先进、可操作性强，得5分；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3.3</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根据招标文件中对“企业基础信息管理”的建设要求，能详细说明所有模块的业务含义，技术思路合理、采用的技术先进、可操作性强，得5分；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3.4</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根据招标文件中对“企业运营信息管理”的建设要求，能详细说明所有模块的业务含义，技术思路合理、采用的技术先进、可操作性强，得5分；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3.5</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根据招标文件中对“企业处罚信息管理”的建设要求，能详细说明所有模块的业务含义，技术思路合理、采用的技术先进、可操作性强，得5分；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3.6</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根据招标文件中对“风险预警与智能分析”的建设要求，能详细说明所有模块的业务含义，技术思路合理、采用的技术先进、可操作性强，得5分；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26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3.7</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根据招标文件中对“数据维护”的建设要求，能详细说明所有模块的业务含义，技术思路合理、采用的技术先进、可操作性强，得5分；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3.8</w:t>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根据招标文件中对“数据分析”的建设要求，能详细说明所有模块的业务含义，技术思路合理、采用的技术先进、可操作性强，得5分；</w:t>
              <w:br/>
              <w:t xml:space="preserve">对所有模块的业务含义说明较为粗略，技术思路较为合理、采用的技术较为可行，得3分；</w:t>
              <w:br/>
              <w:t xml:space="preserve">只对关键模块的业务含义进行了粗略说明，得1分；</w:t>
              <w:br/>
              <w:t xml:space="preserve">未对关键模块的业务含义进行说明，得0分。"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1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服务质量保障方案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制定服务质量保障方案，具备对服务全过程的质量控制措施，包括且不限于对各类日常技术服务工作流程的内部管控制度，提交的各类技术资料、文档内容真实性和完整性的管理，提交方案应科学合理，可操作性强。</w:t>
              <w:br/>
              <w:t xml:space="preserve">方案设计详细、全面、准确地满足采购需求，可操作性强得5分；</w:t>
              <w:br/>
              <w:t xml:space="preserve">有详细设计方案，较好满足采购需求，可操作性较强得3分；</w:t>
              <w:br/>
              <w:t xml:space="preserve">有设计方案，满足采购需求，可操作性较弱得1分，未提供不得分。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序号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评分因素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评分标准和评审材料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最低分值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最高分值</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是否暗评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是否客观分</w:t>
            </w:r>
            <w:r/>
          </w:p>
        </w:tc>
      </w:tr>
      <w:tr>
        <w:trPr>
          <w:trHeight w:val="3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11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演示要求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r>
        <w:trPr>
          <w:trHeight w:val="2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企业供销数据填报功能演示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（1）支持将Excel表格（企业供销数据表格）导入系统并生成可视化展示表单；展示的内容、表格样式与原Excel保持一致，带格式带表头，并且支持计算公式导入。（1分）</w:t>
              <w:br/>
              <w:t xml:space="preserve">（2）可对上述生成的表单进行编辑，支持在表头单元格上添加双斜线；支持对表头、行、列调整其宽度和高度；支持合并单元格以及调整字体大小等操作。（1分）</w:t>
              <w:br/>
              <w:t xml:space="preserve">（3）支持将分级分类Excel文件中的数据拷贝粘贴到上述表单，包含计算公式的单元格能自动计算结果。（1分）</w:t>
              <w:br/>
              <w:t xml:space="preserve">（4）支持在任意中间位置插入列（字段），并指定列名，且不影响该表中已填报的其他数据（1分）</w:t>
            </w:r>
            <w:r>
              <w:rPr>
                <w:rFonts w:ascii="SimSun" w:hAnsi="SimSun" w:eastAsia="SimSun" w:cs="SimSun"/>
                <w:color w:val="000000"/>
                <w:sz w:val="20"/>
              </w:rPr>
              <w:br/>
              <w:t xml:space="preserve">供应商提供实际环境或PPT演示系统视频，每项功能点1分，最高4分，不提供不得分。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r>
        <w:trPr>
          <w:trHeight w:val="5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医疗器械经营主体查询能力演示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演示医疗器械经营主体相关信息的灵活查询功能，可根据条件参数灵活查询经营主体的相关信息，能支持丰富的查询模型，可以任意添加查询条件，查询条件可使用或、与等关联关系，可配置不同的查询模式，如等于、大于、小于、包含、不包含、开头是等；支持同时使用数据标签以及信用分级组合查询。（1分）</w:t>
              <w:br/>
              <w:t xml:space="preserve">（2）灵活查询功能支持自由选择查询输出项；支持回溯到任意历史时点进行数据查询；支持保存常用的查询条件模板，可载入模板进行查询；支持自定义选择导出数据量和格式，将查询结果导出成Excel或csv文件。（1分）</w:t>
              <w:br/>
              <w:t xml:space="preserve">（3）查询结果支持</w:t>
            </w:r>
            <w:r>
              <w:rPr>
                <w:rFonts w:ascii="SimSun" w:hAnsi="SimSun" w:eastAsia="SimSun" w:cs="SimSun"/>
                <w:color w:val="000000"/>
                <w:sz w:val="20"/>
              </w:rPr>
              <w:t xml:space="preserve">在GIS上展示，并支持散点图、热力图等GIS展示方式；演示选择任意主体查看主体的全景画像信息。（1分）</w:t>
              <w:br/>
              <w:t xml:space="preserve">供应商提供实际环境或PPT演示系统视频，每项功能点1分，最高3分，不提供不得分。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r>
        <w:trPr>
          <w:trHeight w:val="14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网售监管异常线索反馈功能演示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（1）演示可将网售监管线索详情信息根据模板批量导入到系统内，并支持实时展示导入数据。（1分）</w:t>
              <w:br/>
              <w:t xml:space="preserve">（2）演示检查人员在完成对风险线索检查核实后进行结果反馈的功能，并支持上传视频、图片等证据。（2 分）</w:t>
              <w:br/>
              <w:t xml:space="preserve">（3）演示检查人员反馈之后，支持上级对反馈结果进行审核确认。（1分）</w:t>
              <w:br/>
              <w:t xml:space="preserve">供应商提供实际环境或PPT演示系统视频，每项功能点1分，最高4分，不提供不得分。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r>
        <w:trPr>
          <w:trHeight w:val="22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数据分析可视化演示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（1）通过拖、拉、拽的可视化操作方式制作一张数据分析的可视化图表，要求页面中包含柱状图、线状图、面积图、泰州市地图、表格等。（1分）</w:t>
              <w:br/>
              <w:t xml:space="preserve">（2）将上述制作完成的可视化图表支持一键切换风格（至少支持两种不同的页面风格切换）；支持在不同浏览器窗口大小下自适应展示（图表、文字均能按比例缩放）；支持一键无失真导出成非图片格式PPT，导出的PPT可以继续编辑（可移动文字位置、修改文字内容、调整图形颜色、编辑数据等）。（2分）</w:t>
              <w:br/>
              <w:t xml:space="preserve">（3）支持将上述图表在线可视化设计成适合移动端展示的页面（1分）。</w:t>
              <w:br/>
              <w:t xml:space="preserve">供应商提供实际环境或PPT演</w:t>
            </w:r>
            <w:r>
              <w:rPr>
                <w:rFonts w:ascii="SimSun" w:hAnsi="SimSun" w:eastAsia="SimSun" w:cs="SimSun"/>
                <w:color w:val="000000"/>
                <w:sz w:val="20"/>
              </w:rPr>
              <w:t xml:space="preserve">示系统视频，每项功能点1分，最高4分，不提供不得分。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否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是</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1.所投电子标书中必须包含上述评分标准中须提供相关的各种资格、资质、证书、业绩合同等复印件并加盖公章，否则该项不得分。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 投标人如有提供不实评审材料、弄虚作假，一律作无效响应处理，该不良行为予以公示。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3.供应商上传系统演示视频时，单个视频附件压缩包大小不得超过50M，整体附件压缩包不得超过300M，压缩包文件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格式为zip格式。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注：本项目方案部分为“暗标”，不得编制页眉以及目录，</w:t>
      </w:r>
      <w:r>
        <w:rPr>
          <w:rFonts w:ascii="Calibri" w:hAnsi="Calibri" w:eastAsia="Calibri" w:cs="Calibri"/>
          <w:b/>
          <w:color w:val="000000"/>
          <w:sz w:val="24"/>
        </w:rPr>
        <w:t xml:space="preserve">A4</w:t>
      </w:r>
      <w:r>
        <w:rPr>
          <w:rFonts w:ascii="SimSun" w:hAnsi="SimSun" w:eastAsia="SimSun" w:cs="SimSun"/>
          <w:b/>
          <w:color w:val="000000"/>
          <w:sz w:val="24"/>
        </w:rPr>
        <w:t xml:space="preserve">纵向幅面，页码用阿拉伯数字连续编写，置于页面右下角，方案及页码字体大小均采用黑色四号宋体；投标人在“方案”中均不得以任何方式直接或间接泄露投标人身份；方案中不得出现可识别投标人身份的任何字符和徽标（包括文字、符号、标识、标志、人员姓名、投标人名称、投标人独享的单位标准或编号等）；技术部分应当版面整洁、字迹清楚、不许批注或进行底纹、阴影、水印、加粗、下划线、斜体格式等特殊设置，不得采用任何不符合常规、有别于其他投标人的特殊做法；相关人员姓名应以职务或职称代替，方案总页数不得超过</w:t>
      </w:r>
      <w:r>
        <w:rPr>
          <w:rFonts w:ascii="Calibri" w:hAnsi="Calibri" w:eastAsia="Calibri" w:cs="Calibri"/>
          <w:b/>
          <w:color w:val="000000"/>
          <w:sz w:val="24"/>
        </w:rPr>
        <w:t xml:space="preserve">200</w:t>
      </w:r>
      <w:r>
        <w:rPr>
          <w:rFonts w:ascii="SimSun" w:hAnsi="SimSun" w:eastAsia="SimSun" w:cs="SimSun"/>
          <w:b/>
          <w:color w:val="000000"/>
          <w:sz w:val="24"/>
        </w:rPr>
        <w:t xml:space="preserve">页，违反上述内容的整个方案（暗标部分）不得分。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上传的“非暗标”部分的材料中不得出现与暗标部分相关的内容，否则整个暗标部分不得分。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ff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200" w:after="12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873"/>
        <w:numPr>
          <w:ilvl w:val="0"/>
          <w:numId w:val="0"/>
        </w:numPr>
        <w:ind w:left="432" w:right="0" w:hanging="432"/>
        <w:jc w:val="center"/>
        <w:spacing w:before="340" w:after="330" w:line="1152" w:lineRule="atLeast"/>
        <w:tabs>
          <w:tab w:val="clear" w:pos="879" w:leader="none"/>
        </w:tabs>
        <w:pBdr>
          <w:top w:val="none" w:color="000000" w:sz="4" w:space="0"/>
          <w:left w:val="none" w:color="000000" w:sz="4" w:space="0"/>
          <w:bottom w:val="none" w:color="000000" w:sz="4" w:space="0"/>
          <w:right w:val="none" w:color="000000" w:sz="4" w:space="0"/>
        </w:pBdr>
      </w:pPr>
      <w:r>
        <w:rPr>
          <w:rFonts w:ascii="SimHei" w:hAnsi="SimHei" w:eastAsia="SimHei" w:cs="SimHei"/>
          <w:b/>
          <w:color w:val="000000"/>
          <w:spacing w:val="20"/>
          <w:sz w:val="48"/>
        </w:rPr>
        <w:t xml:space="preserve">第六章</w:t>
      </w:r>
      <w:r>
        <w:rPr>
          <w:rFonts w:ascii="Times New Roman" w:hAnsi="Times New Roman" w:eastAsia="Times New Roman" w:cs="Times New Roman"/>
          <w:b/>
          <w:color w:val="000000"/>
          <w:spacing w:val="20"/>
          <w:sz w:val="48"/>
        </w:rPr>
        <w:t xml:space="preserve">  </w:t>
      </w:r>
      <w:r>
        <w:rPr>
          <w:rFonts w:ascii="SimHei" w:hAnsi="SimHei" w:eastAsia="SimHei" w:cs="SimHei"/>
          <w:b/>
          <w:color w:val="000000"/>
          <w:spacing w:val="20"/>
          <w:sz w:val="48"/>
        </w:rPr>
        <w:t xml:space="preserve">响应文件格式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响  应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供应商名称 ：</w:t>
      </w:r>
      <w:r>
        <w:rPr>
          <w:rFonts w:ascii="SimSun" w:hAnsi="SimSun" w:eastAsia="SimSun" w:cs="SimSun"/>
          <w:b/>
          <w:color w:val="000000"/>
          <w:sz w:val="36"/>
          <w:u w:val="single"/>
        </w:rPr>
        <w:t xml:space="preserve">（加盖CA电子公章）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日   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响应文件目录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一、法人或者其他组织的营业执照等证明文件，自然人的身份证明</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二、上一年度的财务状况报告（磋商供应商成立不满一年无需提供）</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三、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left="48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四、具备履行合同所必需的设备和专业技术能力的书面声明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五、参加政府采购活动前 3 年内在经营活动中没有重大违法记录的书面声明</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六、特定资格要求的证明文件（如果本项目设置特定资格要求，则需要提供）</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七、法人授权书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八、磋商响应函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九、首次磋商报价表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十、企业声明函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十一、残疾人福利性单位声明函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十二、联合体协议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十三、关于符合本国产品标准的声明函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十四、分项报价表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十五、技术要求响应及偏离表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十六、商务要求响应及偏离表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十七、实质性要求响应及偏离表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一、法人或者其他组织的营业执照等证明文件，自然人的身份证明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二、上一年度的财务状况报告</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供应商成立不满一年无需提供</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三、依法缴纳税收和社会保障资金的相关材料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提供提交响应文件截止时间前一年内至少一个月依法缴纳税收及缴纳社会保障资金的证明材料。供应商依法享受缓缴、免缴税收、社会保障资金的提供证明材料。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四、具备履行合同所必需的设备和专业技术能力的书面声明</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492"/>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五、参加政府采购活动前 3 年内在经营活动中没有重大违法记录的书面声明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声  明</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六、特定资格要求的证明文件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spacing w:before="0" w:after="0" w:line="85" w:lineRule="atLeast"/>
        <w:rPr>
          <w:rFonts w:ascii="Calibri" w:hAnsi="Calibri" w:eastAsia="Calibri" w:cs="Calibri"/>
          <w:sz w:val="21"/>
          <w:szCs w:val="21"/>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r/>
    </w:p>
    <w:p>
      <w:pPr>
        <w:ind w:left="0" w:right="0" w:firstLine="0"/>
        <w:spacing w:before="0" w:after="0" w:line="85"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r/>
    </w:p>
    <w:p>
      <w:pPr>
        <w:ind w:left="0" w:right="0" w:firstLine="0"/>
        <w:spacing w:before="0" w:after="0" w:line="85"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r/>
    </w:p>
    <w:p>
      <w:pPr>
        <w:ind w:left="0" w:right="0" w:firstLine="0"/>
        <w:spacing w:before="0" w:after="0" w:line="85"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highlight w:val="none"/>
          <w:u w:val="single"/>
        </w:rPr>
      </w:r>
      <w:r>
        <w:rPr>
          <w:rFonts w:ascii="SimHei" w:hAnsi="SimHei" w:eastAsia="SimHei" w:cs="SimHei"/>
          <w:b/>
          <w:i/>
          <w:color w:val="000000"/>
          <w:sz w:val="32"/>
          <w:highlight w:val="none"/>
          <w:u w:val="single"/>
        </w:rPr>
      </w:r>
      <w:r/>
    </w:p>
    <w:p>
      <w:pPr>
        <w:ind w:left="0" w:right="0" w:firstLine="0"/>
        <w:spacing w:before="0" w:after="0" w:line="85" w:lineRule="atLeast"/>
        <w:rPr>
          <w:rFonts w:ascii="SimHei" w:hAnsi="SimHei" w:eastAsia="SimHei" w:cs="SimHei"/>
          <w:b/>
          <w:bCs/>
          <w:i/>
          <w:color w:val="000000"/>
          <w:sz w:val="32"/>
          <w:szCs w:val="32"/>
          <w:highlight w:val="none"/>
          <w:u w:val="single"/>
        </w:rPr>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七、法人授权书</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（供应商名称）授权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被授权人身份证号码：</w:t>
      </w:r>
      <w:r>
        <w:rPr>
          <w:rFonts w:ascii="Times New Roman" w:hAnsi="Times New Roman" w:eastAsia="Times New Roman" w:cs="Times New Roman"/>
          <w:color w:val="000000"/>
          <w:sz w:val="24"/>
          <w:u w:val="single"/>
        </w:rPr>
        <w:t xml:space="preserve">                              </w:t>
      </w:r>
      <w:r/>
    </w:p>
    <w:p>
      <w:pPr>
        <w:ind w:left="0" w:right="0" w:firstLine="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被授权人联系电话：（手机）</w:t>
      </w:r>
      <w:r>
        <w:rPr>
          <w:rFonts w:ascii="Times New Roman" w:hAnsi="Times New Roman" w:eastAsia="Times New Roman" w:cs="Times New Roman"/>
          <w:color w:val="000000"/>
          <w:sz w:val="24"/>
          <w:u w:val="single"/>
        </w:rPr>
        <w:t xml:space="preserve">                          </w:t>
      </w:r>
      <w:r/>
    </w:p>
    <w:p>
      <w:pPr>
        <w:ind w:left="0" w:right="0" w:firstLine="120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单位地址：</w:t>
      </w: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日期：</w:t>
      </w:r>
      <w:r>
        <w:rPr>
          <w:rFonts w:ascii="Times New Roman" w:hAnsi="Times New Roman" w:eastAsia="Times New Roman" w:cs="Times New Roman"/>
          <w:color w:val="000000"/>
          <w:sz w:val="24"/>
          <w:u w:val="single"/>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八、磋商响应函</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致：泰州市政务服务中心</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根据贵方的JSZC-320000-***</w:t>
      </w:r>
      <w:r>
        <w:rPr>
          <w:rFonts w:ascii="SimSun" w:hAnsi="SimSun" w:eastAsia="SimSun" w:cs="SimSun"/>
          <w:b/>
          <w:color w:val="000000"/>
          <w:sz w:val="36"/>
          <w:u w:val="single"/>
        </w:rPr>
        <w:t xml:space="preserve">    </w:t>
      </w:r>
      <w:r>
        <w:rPr>
          <w:rFonts w:ascii="SimSun" w:hAnsi="SimSun" w:eastAsia="SimSun" w:cs="SimSun"/>
          <w:color w:val="000000"/>
          <w:sz w:val="24"/>
        </w:rPr>
        <w:t xml:space="preserve">号磋商文件，正式授权下述签字人______（姓名）代表我方______________（供应商的名称），全权处理本次项目磋商的有关事宜。</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据此函，__________签字人兹宣布同意如下：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1.按磋商文件规定的各项要求，向买方提供所需货物、服务（包含与货物相关的服务及与服务相关的货物）。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2.我们已详细审核全部磋商文件及其有效补充文件，我们知道必须放弃提出含糊不清或误解问题的权利。</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3.我们同意从规定的开标日期起遵循本响应文件，并在规定的磋商有效期期满之前均具有约束力。</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4.同意向贵方提供贵方可能另外要求的与磋商有关的任何证据或资料，并保证我方已提供和将要提供的文件是真实的、准确的。</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5.一旦我方成交，我方将根据磋商文件的规定，严格履行合同的责任和义务，并保证在磋商文件规定的时间完成项目，交付买方验收、使用。</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6.我方与本磋商有关的正式通讯地址为：</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          编：</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          话：</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传          真：</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供应商开户行：</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          号： </w:t>
      </w:r>
      <w:r/>
    </w:p>
    <w:p>
      <w:pPr>
        <w:ind w:left="42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期：________年____月____日</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24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九、首次磋商报价表（以苏采云系统格式为准）</w:t>
      </w:r>
      <w:r/>
    </w:p>
    <w:p>
      <w:pPr>
        <w:ind w:left="0" w:right="0" w:firstLine="36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365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磋商报价表</w:t>
      </w:r>
      <w:r/>
    </w:p>
    <w:p>
      <w:pPr>
        <w:ind w:left="0" w:right="0" w:firstLine="645"/>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31"/>
        <w:gridCol w:w="2526"/>
        <w:gridCol w:w="3683"/>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31"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26"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683"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31"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26"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683"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531"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209" w:type="dxa"/>
            <w:vAlign w:val="center"/>
            <w:textDirection w:val="lrTb"/>
            <w:noWrap w:val="false"/>
          </w:tcPr>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321"/>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十、中小微企业声明函（服务类项目）</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本公司（联合体）郑重声明，根据《政府采购促进中小企业发展管理办法》（财库〔2020〕46号）的规定，本公司（联合体）参加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4"/>
          <w:u w:val="single"/>
        </w:rPr>
        <w:t xml:space="preserve">（标的名称）</w:t>
      </w:r>
      <w:r>
        <w:rPr>
          <w:rFonts w:ascii="SimSun" w:hAnsi="SimSun" w:eastAsia="SimSun" w:cs="SimSun"/>
          <w:i/>
          <w:color w:val="000000"/>
          <w:sz w:val="24"/>
        </w:rPr>
        <w:t xml:space="preserve">，</w:t>
      </w:r>
      <w:r>
        <w:rPr>
          <w:rFonts w:ascii="SimSun" w:hAnsi="SimSun" w:eastAsia="SimSun" w:cs="SimSun"/>
          <w:color w:val="000000"/>
          <w:sz w:val="24"/>
        </w:rPr>
        <w:t xml:space="preserve">属于</w:t>
      </w:r>
      <w:r>
        <w:rPr>
          <w:rFonts w:ascii="SimSun" w:hAnsi="SimSun" w:eastAsia="SimSun" w:cs="SimSun"/>
          <w:color w:val="000000"/>
          <w:sz w:val="24"/>
          <w:u w:val="single"/>
        </w:rPr>
        <w:t xml:space="preserve">（供应商填写招标文件中明确的所属行业）</w:t>
      </w:r>
      <w:r>
        <w:rPr>
          <w:rFonts w:ascii="SimSun" w:hAnsi="SimSun" w:eastAsia="SimSun" w:cs="SimSun"/>
          <w:color w:val="000000"/>
          <w:sz w:val="24"/>
        </w:rPr>
        <w:t xml:space="preserve">行业；承接企业为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SimSun" w:hAnsi="SimSun" w:eastAsia="SimSun" w:cs="SimSu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十一、残疾人福利性单位声明函</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ascii="SimSun" w:hAnsi="SimSun" w:eastAsia="SimSun" w:cs="SimSun"/>
          <w:color w:val="000000"/>
          <w:sz w:val="24"/>
          <w:u w:val="single"/>
        </w:rPr>
        <w:t xml:space="preserve">       </w:t>
      </w:r>
      <w:r>
        <w:rPr>
          <w:rFonts w:ascii="SimSun" w:hAnsi="SimSun" w:eastAsia="SimSun" w:cs="SimSun"/>
          <w:color w:val="000000"/>
          <w:sz w:val="24"/>
        </w:rPr>
        <w:t xml:space="preserve">项目（分包号：**）采购活动提供本单位制造的货物，或者提供其他残疾人福利性单位制造的货物（不包括使用非残疾人福利性单位注册商标的货物）。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（备注：1、成交供应商为残疾人福利单位的，此声明函将随成交结果同时公告，接受社会监督）</w:t>
      </w:r>
      <w:r/>
    </w:p>
    <w:p>
      <w:pPr>
        <w:ind w:left="0" w:right="0" w:firstLine="62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624"/>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rPr>
          <w:rFonts w:ascii="SimSun" w:hAnsi="SimSun" w:eastAsia="SimSun" w:cs="SimSun"/>
          <w:color w:val="000000"/>
          <w:sz w:val="24"/>
        </w:rPr>
        <w:t xml:space="preserve"> 供应商全称（加盖CA电子公章）：</w:t>
      </w:r>
      <w:r/>
    </w:p>
    <w:p>
      <w:pPr>
        <w:ind w:left="0" w:right="1560"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  期：</w:t>
      </w:r>
      <w:r/>
    </w:p>
    <w:p>
      <w:pPr>
        <w:ind w:left="0" w:right="1560"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60" w:firstLine="480"/>
        <w:jc w:val="center"/>
        <w:spacing w:before="0" w:after="0"/>
        <w:tabs>
          <w:tab w:val="left" w:pos="48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28" w:after="2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监狱企业声明函</w:t>
      </w:r>
      <w:r/>
    </w:p>
    <w:p>
      <w:pPr>
        <w:ind w:left="0" w:right="0" w:firstLine="0"/>
        <w:jc w:val="center"/>
        <w:spacing w:before="28" w:after="28"/>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本单位郑重声明，根据《关于政府采购支持监狱企业发展有关问题的通知》（财库〔2014〕68号）的规定，本单位为监狱企业。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根据上述标准，我单位属于监狱企业的理由为：</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本单位参加</w:t>
      </w:r>
      <w:r>
        <w:rPr>
          <w:rFonts w:ascii="SimSun" w:hAnsi="SimSun" w:eastAsia="SimSun" w:cs="SimSun"/>
          <w:color w:val="000000"/>
          <w:sz w:val="24"/>
          <w:u w:val="single"/>
        </w:rPr>
        <w:t xml:space="preserve">（采购人名称）</w:t>
      </w:r>
      <w:r>
        <w:rPr>
          <w:rFonts w:ascii="SimSun" w:hAnsi="SimSun" w:eastAsia="SimSun" w:cs="SimSun"/>
          <w:color w:val="000000"/>
          <w:sz w:val="24"/>
        </w:rPr>
        <w:t xml:space="preserve">单位的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项目的采购活动，并由本单位为本项目提供货物。</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供应商全称（加盖CA电子公章）：</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日期：年月日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1.监狱企业参加采购活动时，应当提供由省级以上监狱管理局、戒毒管理局（含新疆生产建设兵团）出具的属于监狱企业的证明文件。</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3.非监狱企业不需提供此声明函。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十二、联合体协议（参考格式）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（联合体中各供应商全称）在此达成以下协议：</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1.我们</w:t>
      </w:r>
      <w:r>
        <w:rPr>
          <w:rFonts w:ascii="SimSun" w:hAnsi="SimSun" w:eastAsia="SimSun" w:cs="SimSun"/>
          <w:color w:val="000000"/>
          <w:sz w:val="24"/>
          <w:u w:val="single"/>
        </w:rPr>
        <w:t xml:space="preserve"> （供应商1），（供应商2） ，……</w:t>
      </w:r>
      <w:r>
        <w:rPr>
          <w:rFonts w:ascii="SimSun" w:hAnsi="SimSun" w:eastAsia="SimSun" w:cs="SimSun"/>
          <w:color w:val="000000"/>
          <w:sz w:val="24"/>
        </w:rPr>
        <w:t xml:space="preserve">自愿组成联合体，参加泰州市政务服务中心组织的采购编号为</w:t>
      </w:r>
      <w:r>
        <w:rPr>
          <w:rFonts w:ascii="SimSun" w:hAnsi="SimSun" w:eastAsia="SimSun" w:cs="SimSun"/>
          <w:color w:val="000000"/>
          <w:sz w:val="24"/>
          <w:u w:val="single"/>
        </w:rPr>
        <w:t xml:space="preserve">（编号全称），（项目全称）</w:t>
      </w:r>
      <w:r>
        <w:rPr>
          <w:rFonts w:ascii="SimSun" w:hAnsi="SimSun" w:eastAsia="SimSun" w:cs="SimSun"/>
          <w:color w:val="000000"/>
          <w:sz w:val="24"/>
        </w:rPr>
        <w:t xml:space="preserve">项目（分包号：**）的政府采购活动，我联合体指定</w:t>
      </w:r>
      <w:r>
        <w:rPr>
          <w:rFonts w:ascii="SimSun" w:hAnsi="SimSun" w:eastAsia="SimSun" w:cs="SimSun"/>
          <w:color w:val="000000"/>
          <w:sz w:val="24"/>
          <w:u w:val="single"/>
        </w:rPr>
        <w:t xml:space="preserve">（供应商*）</w:t>
      </w:r>
      <w:r>
        <w:rPr>
          <w:rFonts w:ascii="SimSun" w:hAnsi="SimSun" w:eastAsia="SimSun" w:cs="SimSun"/>
          <w:color w:val="000000"/>
          <w:sz w:val="24"/>
        </w:rPr>
        <w:t xml:space="preserve">为牵头单位（牵头单位必须为联合体成员）。</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若我们联合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3.其中</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（小型、微型企业/残疾人福利性单位/监狱企业全称）为</w:t>
      </w:r>
      <w:r>
        <w:rPr>
          <w:rFonts w:ascii="SimSun" w:hAnsi="SimSun" w:eastAsia="SimSun" w:cs="SimSun"/>
          <w:color w:val="000000"/>
          <w:sz w:val="24"/>
          <w:u w:val="single"/>
        </w:rPr>
        <w:t xml:space="preserve">    </w:t>
      </w:r>
      <w:r>
        <w:rPr>
          <w:rFonts w:ascii="SimSun" w:hAnsi="SimSun" w:eastAsia="SimSun" w:cs="SimSun"/>
          <w:color w:val="000000"/>
          <w:sz w:val="24"/>
        </w:rPr>
        <w:t xml:space="preserve">（小型、微型企业/残疾人福利性单位/监狱企业）企业，且我们约定该公司/单位所承担的合同金额将占本项目合同总金额的</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备注：本磋商文件中要求加盖CA电子公章的地方，仅需加盖牵头单位的CA电子公章。</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720" w:firstLine="645"/>
        <w:jc w:val="right"/>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联合体中各供应商全称（公章）：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十三、关于符合本国产品标准的声明函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名称1）1，生产厂为（厂名）2，厂址为（生产厂址）。（产品名称1）的中国境内生产的组件成本占比≥（规定比例）。（产品名称1）的（关键组件）在中国境内生产。（产品名称1）的（关键工序）’在中国境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本公司（单位）对上述声明内容的真实性负责。如有虚假，愿承担相应法律责任。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公司（单位）名称（盖章）: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1.产品如有型号，请在“产品名称”栏一并填写。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2.生产厂名与厂址应与生产厂营业执照载明的相关信息保持一致。</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3.该产品的中国境内生产的组件成本占比相关要求实施前，“规定比例”栏可不填，下同。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4.该产品的关键组件要求实施前，“关键组件”栏可不填，下同。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5.该产品的关键工序要求实施前，“关键工序”栏可不填，下同。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6.用斜线划除的地方无需填写。</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ee0000"/>
          <w:sz w:val="24"/>
        </w:rPr>
        <w:t xml:space="preserve">7.供应商提供虚假《声明函》、虚假证明文件谋取中标、成交的，依照《中华人民共和国政府采购法》等法律法规规定追究相应责任。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8.中标、成交供应商提供的《声明函》或有关证明文件将随中标、成交结果同时公告。</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十四、分项报价表</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2"/>
        <w:gridCol w:w="941"/>
        <w:gridCol w:w="720"/>
        <w:gridCol w:w="1023"/>
        <w:gridCol w:w="1195"/>
        <w:gridCol w:w="2400"/>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r>
      <w:tr>
        <w:trPr>
          <w:trHeight w:val="294"/>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5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4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2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9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0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spacing w:before="240" w:after="240" w:line="400"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备注：</w:t>
      </w:r>
      <w:r>
        <w:rPr>
          <w:rFonts w:ascii="SimSun" w:hAnsi="SimSun" w:eastAsia="SimSun" w:cs="SimSun"/>
          <w:color w:val="000000"/>
          <w:sz w:val="24"/>
        </w:rPr>
        <w:t xml:space="preserve"> </w:t>
      </w:r>
      <w:r/>
    </w:p>
    <w:p>
      <w:pPr>
        <w:ind w:left="0" w:right="0" w:firstLine="560"/>
        <w:spacing w:before="240" w:after="240" w:line="400"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1.供应商对各分项费用进行报价时，计算公式中的各项数值均应先四舍五入并保留两位小数之后再相加或者相乘。</w:t>
      </w:r>
      <w:r>
        <w:rPr>
          <w:rFonts w:ascii="SimSun" w:hAnsi="SimSun" w:eastAsia="SimSun" w:cs="SimSun"/>
          <w:color w:val="000000"/>
          <w:sz w:val="24"/>
        </w:rPr>
        <w:t xml:space="preserve"> </w:t>
      </w:r>
      <w:r/>
    </w:p>
    <w:p>
      <w:pPr>
        <w:ind w:left="0" w:right="0" w:firstLine="560"/>
        <w:spacing w:before="240" w:after="240" w:line="400"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2.报价包括采购文件所列项目服务管理内容、服装费、工具费、耗材费、通讯费、管理费、各种税金、人工、保险、加班费、劳保等一切费用，采购人不再另行支付。后期如遇政策调整，供应商自行承担。</w:t>
      </w:r>
      <w:r/>
    </w:p>
    <w:p>
      <w:pPr>
        <w:ind w:left="0" w:right="0" w:firstLine="560"/>
        <w:spacing w:before="240" w:after="240" w:line="400" w:lineRule="atLeast"/>
        <w:tabs>
          <w:tab w:val="left" w:pos="4201" w:leader="none"/>
          <w:tab w:val="left" w:pos="9298"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3.此表为表样，具体内容和行数可自行添加。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十五、技术要求响应及偏离表</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2"/>
        <w:gridCol w:w="3163"/>
        <w:gridCol w:w="2734"/>
        <w:gridCol w:w="1279"/>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十六、商务要求响应及偏离表</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2"/>
        <w:gridCol w:w="3163"/>
        <w:gridCol w:w="2734"/>
        <w:gridCol w:w="1279"/>
        <w:gridCol w:w="113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证明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行数不够，可自行添加。</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i/>
          <w:color w:val="000000"/>
          <w:sz w:val="32"/>
          <w:u w:val="single"/>
        </w:rPr>
        <w:t xml:space="preserve"> 十七、实质性要求响应及偏离表</w:t>
      </w:r>
      <w:r/>
    </w:p>
    <w:p>
      <w:pPr>
        <w:ind w:left="42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p>
    <w:tbl>
      <w:tblPr>
        <w:tblStyle w:val="72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6"/>
        <w:gridCol w:w="4229"/>
        <w:gridCol w:w="2446"/>
        <w:gridCol w:w="144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技术要求和商务要求中的实质性要求</w:t>
            </w:r>
            <w:r>
              <w:rPr>
                <w:rFonts w:ascii="SimSun" w:hAnsi="SimSun" w:eastAsia="SimSun" w:cs="SimSun"/>
                <w:b/>
                <w:color w:val="000000"/>
                <w:sz w:val="21"/>
              </w:rPr>
              <w:t xml:space="preserve">（</w:t>
            </w:r>
            <w:r>
              <w:rPr>
                <w:rFonts w:ascii="SimSun" w:hAnsi="SimSun" w:eastAsia="SimSun" w:cs="SimSun"/>
                <w:b/>
                <w:i/>
                <w:color w:val="000000"/>
                <w:sz w:val="21"/>
                <w:u w:val="single"/>
              </w:rPr>
              <w:t xml:space="preserve">斜体且有下划线部分</w:t>
            </w:r>
            <w:r>
              <w:rPr>
                <w:rFonts w:ascii="SimSun" w:hAnsi="SimSun" w:eastAsia="SimSun" w:cs="SimSun"/>
                <w:b/>
                <w:color w:val="000000"/>
                <w:sz w:val="21"/>
              </w:rPr>
              <w:t xml:space="preserve">条款）</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超出、符合或偏离</w:t>
            </w:r>
            <w:r/>
          </w:p>
        </w:tc>
      </w:tr>
      <w:tr>
        <w:trPr>
          <w:trHeight w:val="9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46"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4"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1.供应商必须对实质性要求响应及偏离表</w:t>
      </w:r>
      <w:r>
        <w:rPr>
          <w:rFonts w:ascii="SimSun" w:hAnsi="SimSun" w:eastAsia="SimSun" w:cs="SimSun"/>
          <w:b/>
          <w:color w:val="000000"/>
          <w:sz w:val="21"/>
        </w:rPr>
        <w:t xml:space="preserve">（</w:t>
      </w:r>
      <w:r>
        <w:rPr>
          <w:rFonts w:ascii="SimSun" w:hAnsi="SimSun" w:eastAsia="SimSun" w:cs="SimSun"/>
          <w:b/>
          <w:i/>
          <w:color w:val="000000"/>
          <w:sz w:val="21"/>
          <w:u w:val="single"/>
        </w:rPr>
        <w:t xml:space="preserve">斜体且有下划线部分</w:t>
      </w:r>
      <w:r>
        <w:rPr>
          <w:rFonts w:ascii="SimSun" w:hAnsi="SimSun" w:eastAsia="SimSun" w:cs="SimSun"/>
          <w:b/>
          <w:color w:val="000000"/>
          <w:sz w:val="21"/>
        </w:rPr>
        <w:t xml:space="preserve">条款为实质性要求）</w:t>
      </w:r>
      <w:r>
        <w:rPr>
          <w:rFonts w:ascii="SimSun" w:hAnsi="SimSun" w:eastAsia="SimSun" w:cs="SimSun"/>
          <w:color w:val="000000"/>
          <w:sz w:val="24"/>
        </w:rPr>
        <w:t xml:space="preserve">逐条做出明确响应，否则作无效响应处理。</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2.如果征集文件要求提供证明材料，供应商必须将证明材料列于该表之下。</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3.供应商未对实质性要求逐条作出明确响应的，或未按征集文件要求提供证明材料的，该项目作无效响应处理。</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一、质疑供应商基本信息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质疑供应商：</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质疑事项1：</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签字（签章）：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1.供应商提出质疑时，应提交质疑函和必要的证明材料。</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3.质疑供应商若对项目的某一分包进行质疑，质疑函中应列明具体分包号。</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4.质疑函的质疑事项应具体、明确，并有必要的事实依据和法律依据。</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5.质疑函的质疑请求应与质疑事项相关。</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 </w:t>
      </w:r>
      <w:r/>
    </w:p>
    <w:p>
      <w:r/>
      <w:r/>
    </w:p>
    <w:sectPr>
      <w:footerReference w:type="default" r:id="rId9"/>
      <w:footnotePr/>
      <w:endnotePr/>
      <w:type w:val="nextPage"/>
      <w:pgSz w:w="11906" w:h="16838" w:orient="portrait"/>
      <w:pgMar w:top="1440" w:right="1486"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FangSong">
    <w:panose1 w:val="02010609060101010101"/>
  </w:font>
  <w:font w:name="SimHei">
    <w:panose1 w:val="02010609060101010101"/>
  </w:font>
  <w:font w:name="KaiTi">
    <w:panose1 w:val="02010609060101010101"/>
  </w:font>
  <w:font w:name="Symbol">
    <w:panose1 w:val="05050102010706020507"/>
  </w:font>
  <w:font w:name="Wingdings">
    <w:panose1 w:val="05000000000000000000"/>
  </w:font>
  <w:font w:name="Courier New">
    <w:panose1 w:val="02070309020205020404"/>
  </w:font>
  <w:font w:name="SimSun">
    <w:panose1 w:val="02010600030101010101"/>
  </w:font>
  <w:font w:name="宋体">
    <w:panose1 w:val="02010600030101010101"/>
  </w:font>
  <w:font w:name="仿宋_GB2312">
    <w:panose1 w:val="02010609060101010101"/>
  </w:font>
  <w:font w:name="黑体">
    <w:panose1 w:val="02010609060101010101"/>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2692400</wp:posOffset>
              </wp:positionH>
              <wp:positionV relativeFrom="paragraph">
                <wp:posOffset>-635</wp:posOffset>
              </wp:positionV>
              <wp:extent cx="203200" cy="1905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03200" cy="1905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argin-left:212.0pt;mso-position-horizontal:absolute;mso-position-vertical-relative:text;margin-top:-0.0pt;mso-position-vertical:absolute;width:16.0pt;height:15.0pt;mso-wrap-distance-left:9.0pt;mso-wrap-distance-top:0.0pt;mso-wrap-distance-right:9.0pt;mso-wrap-distance-bottom:0.0pt;v-text-anchor:top;visibility:visible;" filled="f" stroked="f" strokeweight="0.50pt">
              <v:textbox inset="0,0,0,0">
                <w:txbxContent>
                  <w:p>
                    <w:pPr>
                      <w:pStyle w:val="880"/>
                      <w:rPr>
                        <w:sz w:val="24"/>
                        <w:szCs w:val="24"/>
                      </w:rPr>
                    </w:pPr>
                    <w:r>
                      <w:rPr>
                        <w:sz w:val="24"/>
                        <w:szCs w:val="24"/>
                      </w:rPr>
                      <w:fldChar w:fldCharType="begin"/>
                    </w:r>
                    <w:r>
                      <w:rPr>
                        <w:sz w:val="24"/>
                        <w:szCs w:val="24"/>
                      </w:rPr>
                      <w:instrText xml:space="preserve"> PAGE  \* MERGEFORMAT </w:instrText>
                    </w:r>
                    <w:r>
                      <w:rPr>
                        <w:sz w:val="24"/>
                        <w:szCs w:val="24"/>
                      </w:rPr>
                      <w:fldChar w:fldCharType="separate"/>
                    </w:r>
                    <w:r>
                      <w:rPr>
                        <w:sz w:val="24"/>
                        <w:szCs w:val="24"/>
                      </w:rPr>
                      <w:t xml:space="preserve">70</w:t>
                    </w:r>
                    <w:r>
                      <w:rPr>
                        <w:sz w:val="24"/>
                        <w:szCs w:val="24"/>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73"/>
      <w:isLgl w:val="false"/>
      <w:suff w:val="tab"/>
      <w:lvlText w:val="%1."/>
      <w:lvlJc w:val="left"/>
      <w:pPr>
        <w:ind w:left="432" w:hanging="432"/>
      </w:pPr>
      <w:rPr>
        <w:rFonts w:hint="default"/>
      </w:rPr>
    </w:lvl>
    <w:lvl w:ilvl="1">
      <w:start w:val="1"/>
      <w:numFmt w:val="decimal"/>
      <w:pStyle w:val="874"/>
      <w:isLgl w:val="false"/>
      <w:suff w:val="tab"/>
      <w:lvlText w:val="%1.%2."/>
      <w:lvlJc w:val="left"/>
      <w:pPr>
        <w:ind w:left="575" w:hanging="575"/>
      </w:pPr>
      <w:rPr>
        <w:rFonts w:hint="default"/>
      </w:rPr>
    </w:lvl>
    <w:lvl w:ilvl="2">
      <w:start w:val="1"/>
      <w:numFmt w:val="decimal"/>
      <w:pStyle w:val="875"/>
      <w:isLgl w:val="false"/>
      <w:suff w:val="tab"/>
      <w:lvlText w:val="%1.%2.%3."/>
      <w:lvlJc w:val="left"/>
      <w:pPr>
        <w:ind w:left="720" w:hanging="720"/>
      </w:pPr>
      <w:rPr>
        <w:rFonts w:hint="default"/>
      </w:rPr>
    </w:lvl>
    <w:lvl w:ilvl="3">
      <w:start w:val="1"/>
      <w:numFmt w:val="decimal"/>
      <w:pStyle w:val="876"/>
      <w:isLgl w:val="false"/>
      <w:suff w:val="tab"/>
      <w:lvlText w:val="%1.%2.%3.%4."/>
      <w:lvlJc w:val="left"/>
      <w:pPr>
        <w:ind w:left="864" w:hanging="864"/>
      </w:pPr>
      <w:rPr>
        <w:rFonts w:hint="default"/>
      </w:rPr>
    </w:lvl>
    <w:lvl w:ilvl="4">
      <w:start w:val="1"/>
      <w:numFmt w:val="decimal"/>
      <w:isLgl w:val="false"/>
      <w:suff w:val="tab"/>
      <w:lvlText w:val="%1.%2.%3.%4.%5."/>
      <w:lvlJc w:val="left"/>
      <w:pPr>
        <w:ind w:left="1008" w:hanging="1008"/>
      </w:pPr>
      <w:rPr>
        <w:rFonts w:hint="default"/>
      </w:rPr>
    </w:lvl>
    <w:lvl w:ilvl="5">
      <w:start w:val="1"/>
      <w:numFmt w:val="decimal"/>
      <w:isLgl w:val="false"/>
      <w:suff w:val="tab"/>
      <w:lvlText w:val="%1.%2.%3.%4.%5.%6."/>
      <w:lvlJc w:val="left"/>
      <w:pPr>
        <w:ind w:left="1151" w:hanging="1151"/>
      </w:pPr>
      <w:rPr>
        <w:rFonts w:hint="default"/>
      </w:rPr>
    </w:lvl>
    <w:lvl w:ilvl="6">
      <w:start w:val="1"/>
      <w:numFmt w:val="decimal"/>
      <w:isLgl w:val="false"/>
      <w:suff w:val="tab"/>
      <w:lvlText w:val="%1.%2.%3.%4.%5.%6.%7."/>
      <w:lvlJc w:val="left"/>
      <w:pPr>
        <w:ind w:left="1296" w:hanging="1296"/>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583" w:hanging="1583"/>
      </w:pPr>
      <w:rPr>
        <w:rFonts w:hint="default"/>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5">
    <w:multiLevelType w:val="hybridMultilevel"/>
    <w:lvl w:ilvl="0">
      <w:start w:val="1"/>
      <w:numFmt w:val="bullet"/>
      <w:isLgl w:val="false"/>
      <w:suff w:val="tab"/>
      <w:lvlText w:val=""/>
      <w:lvlJc w:val="left"/>
      <w:pPr>
        <w:ind w:left="720" w:hanging="360"/>
        <w:tabs>
          <w:tab w:val="left" w:pos="720" w:leader="none"/>
        </w:tabs>
      </w:pPr>
      <w:rPr>
        <w:rFonts w:hint="default" w:ascii="Symbol" w:hAnsi="Symbol"/>
        <w:sz w:val="20"/>
      </w:rPr>
    </w:lvl>
    <w:lvl w:ilvl="1">
      <w:start w:val="1"/>
      <w:numFmt w:val="bullet"/>
      <w:isLgl w:val="false"/>
      <w:suff w:val="tab"/>
      <w:lvlText w:val="o"/>
      <w:lvlJc w:val="left"/>
      <w:pPr>
        <w:ind w:left="1440" w:hanging="360"/>
        <w:tabs>
          <w:tab w:val="left" w:pos="1440" w:leader="none"/>
        </w:tabs>
      </w:pPr>
      <w:rPr>
        <w:rFonts w:hint="default" w:ascii="Courier New" w:hAnsi="Courier New"/>
        <w:sz w:val="20"/>
      </w:rPr>
    </w:lvl>
    <w:lvl w:ilvl="2">
      <w:start w:val="1"/>
      <w:numFmt w:val="bullet"/>
      <w:isLgl w:val="false"/>
      <w:suff w:val="tab"/>
      <w:lvlText w:val=""/>
      <w:lvlJc w:val="left"/>
      <w:pPr>
        <w:ind w:left="2160" w:hanging="360"/>
        <w:tabs>
          <w:tab w:val="left" w:pos="2160" w:leader="none"/>
        </w:tabs>
      </w:pPr>
      <w:rPr>
        <w:rFonts w:hint="default" w:ascii="Wingdings" w:hAnsi="Wingdings"/>
        <w:sz w:val="20"/>
      </w:rPr>
    </w:lvl>
    <w:lvl w:ilvl="3">
      <w:start w:val="1"/>
      <w:numFmt w:val="bullet"/>
      <w:isLgl w:val="false"/>
      <w:suff w:val="tab"/>
      <w:lvlText w:val=""/>
      <w:lvlJc w:val="left"/>
      <w:pPr>
        <w:ind w:left="2880" w:hanging="360"/>
        <w:tabs>
          <w:tab w:val="left" w:pos="2880" w:leader="none"/>
        </w:tabs>
      </w:pPr>
      <w:rPr>
        <w:rFonts w:hint="default" w:ascii="Wingdings" w:hAnsi="Wingdings"/>
        <w:sz w:val="20"/>
      </w:rPr>
    </w:lvl>
    <w:lvl w:ilvl="4">
      <w:start w:val="1"/>
      <w:numFmt w:val="bullet"/>
      <w:isLgl w:val="false"/>
      <w:suff w:val="tab"/>
      <w:lvlText w:val=""/>
      <w:lvlJc w:val="left"/>
      <w:pPr>
        <w:ind w:left="3600" w:hanging="360"/>
        <w:tabs>
          <w:tab w:val="left" w:pos="3600" w:leader="none"/>
        </w:tabs>
      </w:pPr>
      <w:rPr>
        <w:rFonts w:hint="default" w:ascii="Wingdings" w:hAnsi="Wingdings"/>
        <w:sz w:val="20"/>
      </w:rPr>
    </w:lvl>
    <w:lvl w:ilvl="5">
      <w:start w:val="1"/>
      <w:numFmt w:val="bullet"/>
      <w:isLgl w:val="false"/>
      <w:suff w:val="tab"/>
      <w:lvlText w:val=""/>
      <w:lvlJc w:val="left"/>
      <w:pPr>
        <w:ind w:left="4320" w:hanging="360"/>
        <w:tabs>
          <w:tab w:val="left" w:pos="4320" w:leader="none"/>
        </w:tabs>
      </w:pPr>
      <w:rPr>
        <w:rFonts w:hint="default" w:ascii="Wingdings" w:hAnsi="Wingdings"/>
        <w:sz w:val="20"/>
      </w:rPr>
    </w:lvl>
    <w:lvl w:ilvl="6">
      <w:start w:val="1"/>
      <w:numFmt w:val="bullet"/>
      <w:isLgl w:val="false"/>
      <w:suff w:val="tab"/>
      <w:lvlText w:val=""/>
      <w:lvlJc w:val="left"/>
      <w:pPr>
        <w:ind w:left="5040" w:hanging="360"/>
        <w:tabs>
          <w:tab w:val="left" w:pos="5040" w:leader="none"/>
        </w:tabs>
      </w:pPr>
      <w:rPr>
        <w:rFonts w:hint="default" w:ascii="Wingdings" w:hAnsi="Wingdings"/>
        <w:sz w:val="20"/>
      </w:rPr>
    </w:lvl>
    <w:lvl w:ilvl="7">
      <w:start w:val="1"/>
      <w:numFmt w:val="bullet"/>
      <w:isLgl w:val="false"/>
      <w:suff w:val="tab"/>
      <w:lvlText w:val=""/>
      <w:lvlJc w:val="left"/>
      <w:pPr>
        <w:ind w:left="5760" w:hanging="360"/>
        <w:tabs>
          <w:tab w:val="left" w:pos="5760" w:leader="none"/>
        </w:tabs>
      </w:pPr>
      <w:rPr>
        <w:rFonts w:hint="default" w:ascii="Wingdings" w:hAnsi="Wingdings"/>
        <w:sz w:val="20"/>
      </w:rPr>
    </w:lvl>
    <w:lvl w:ilvl="8">
      <w:start w:val="1"/>
      <w:numFmt w:val="bullet"/>
      <w:isLgl w:val="false"/>
      <w:suff w:val="tab"/>
      <w:lvlText w:val=""/>
      <w:lvlJc w:val="left"/>
      <w:pPr>
        <w:ind w:left="6480" w:hanging="360"/>
        <w:tabs>
          <w:tab w:val="left" w:pos="6480" w:leader="none"/>
        </w:tabs>
      </w:pPr>
      <w:rPr>
        <w:rFonts w:hint="default" w:ascii="Wingdings" w:hAnsi="Wingdings"/>
        <w:sz w:val="20"/>
      </w:rPr>
    </w:lvl>
  </w:abstractNum>
  <w:abstractNum w:abstractNumId="6">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1.%2."/>
      <w:lvlJc w:val="left"/>
      <w:pPr>
        <w:ind w:left="567" w:hanging="567"/>
      </w:pPr>
      <w:rPr>
        <w:rFonts w:hint="default"/>
      </w:rPr>
    </w:lvl>
    <w:lvl w:ilvl="2">
      <w:start w:val="1"/>
      <w:numFmt w:val="decimal"/>
      <w:isLgl w:val="false"/>
      <w:suff w:val="tab"/>
      <w:lvlText w:val="%1.%2.%3."/>
      <w:lvlJc w:val="left"/>
      <w:pPr>
        <w:ind w:left="709" w:hanging="709"/>
      </w:pPr>
      <w:rPr>
        <w:rFonts w:hint="default"/>
      </w:rPr>
    </w:lvl>
    <w:lvl w:ilvl="3">
      <w:start w:val="1"/>
      <w:numFmt w:val="decimal"/>
      <w:isLgl w:val="false"/>
      <w:suff w:val="tab"/>
      <w:lvlText w:val="%1.%2.%3.%4."/>
      <w:lvlJc w:val="left"/>
      <w:pPr>
        <w:ind w:left="850" w:hanging="850"/>
      </w:pPr>
      <w:rPr>
        <w:rFonts w:hint="default"/>
      </w:rPr>
    </w:lvl>
    <w:lvl w:ilvl="4">
      <w:start w:val="1"/>
      <w:numFmt w:val="decimal"/>
      <w:isLgl w:val="false"/>
      <w:suff w:val="tab"/>
      <w:lvlText w:val="%1.%2.%3.%4.%5."/>
      <w:lvlJc w:val="left"/>
      <w:pPr>
        <w:ind w:left="991" w:hanging="991"/>
      </w:pPr>
      <w:rPr>
        <w:rFonts w:hint="default"/>
      </w:rPr>
    </w:lvl>
    <w:lvl w:ilvl="5">
      <w:start w:val="1"/>
      <w:numFmt w:val="decimal"/>
      <w:isLgl w:val="false"/>
      <w:suff w:val="tab"/>
      <w:lvlText w:val="%1.%2.%3.%4.%5.%6."/>
      <w:lvlJc w:val="left"/>
      <w:pPr>
        <w:ind w:left="1134" w:hanging="1134"/>
      </w:pPr>
      <w:rPr>
        <w:rFonts w:hint="default"/>
      </w:rPr>
    </w:lvl>
    <w:lvl w:ilvl="6">
      <w:start w:val="1"/>
      <w:numFmt w:val="decimal"/>
      <w:isLgl w:val="false"/>
      <w:suff w:val="tab"/>
      <w:lvlText w:val="%1.%2.%3.%4.%5.%6.%7."/>
      <w:lvlJc w:val="left"/>
      <w:pPr>
        <w:ind w:left="1275" w:hanging="1275"/>
      </w:pPr>
      <w:rPr>
        <w:rFonts w:hint="default"/>
      </w:rPr>
    </w:lvl>
    <w:lvl w:ilvl="7">
      <w:start w:val="1"/>
      <w:numFmt w:val="decimal"/>
      <w:isLgl w:val="false"/>
      <w:suff w:val="tab"/>
      <w:lvlText w:val="%1.%2.%3.%4.%5.%6.%7.%8."/>
      <w:lvlJc w:val="left"/>
      <w:pPr>
        <w:ind w:left="1418" w:hanging="1418"/>
      </w:pPr>
      <w:rPr>
        <w:rFonts w:hint="default"/>
      </w:rPr>
    </w:lvl>
    <w:lvl w:ilvl="8">
      <w:start w:val="1"/>
      <w:numFmt w:val="decimal"/>
      <w:isLgl w:val="false"/>
      <w:suff w:val="tab"/>
      <w:lvlText w:val="%1.%2.%3.%4.%5.%6.%7.%8.%9."/>
      <w:lvlJc w:val="left"/>
      <w:pPr>
        <w:ind w:left="1558" w:hanging="1558"/>
      </w:pPr>
      <w:rPr>
        <w:rFonts w:hint="default"/>
      </w:rPr>
    </w:lvl>
  </w:abstractNum>
  <w:abstractNum w:abstractNumId="7">
    <w:multiLevelType w:val="hybridMultilevel"/>
    <w:lvl w:ilvl="0">
      <w:start w:val="1"/>
      <w:numFmt w:val="decimal"/>
      <w:isLgl w:val="false"/>
      <w:suff w:val="space"/>
      <w:lvlText w:val="%1."/>
      <w:lvlJc w:val="left"/>
      <w:p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tab"/>
      <w:lvlText w:val="%3"/>
      <w:lvlJc w:val="left"/>
      <w:pPr>
        <w:ind w:left="1260" w:hanging="420"/>
        <w:tabs>
          <w:tab w:val="left" w:pos="1260" w:leader="none"/>
        </w:tabs>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abstractNum w:abstractNumId="8">
    <w:multiLevelType w:val="hybridMultilevel"/>
    <w:lvl w:ilvl="0">
      <w:start w:val="1"/>
      <w:numFmt w:val="bullet"/>
      <w:isLgl w:val="false"/>
      <w:suff w:val="tab"/>
      <w:lvlText w:val="&quot;&quot;"/>
      <w:lvlJc w:val="left"/>
      <w:pPr>
        <w:ind w:left="720" w:hanging="360"/>
      </w:pPr>
      <w:rPr>
        <w:rFonts w:hint="default" w:ascii="Symbol" w:hAnsi="Symbol" w:eastAsia="Symbol" w:cs="Symbol"/>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Wingdings" w:hAnsi="Wingdings" w:eastAsia="Wingdings" w:cs="Wingdings"/>
      </w:rPr>
    </w:lvl>
    <w:lvl w:ilvl="4">
      <w:start w:val="1"/>
      <w:numFmt w:val="bullet"/>
      <w:isLgl w:val="false"/>
      <w:suff w:val="tab"/>
      <w:lvlText w:val="&quot;&quot;"/>
      <w:lvlJc w:val="left"/>
      <w:pPr>
        <w:ind w:left="3600" w:hanging="360"/>
      </w:pPr>
      <w:rPr>
        <w:rFonts w:hint="default" w:ascii="Wingdings" w:hAnsi="Wingdings" w:eastAsia="Wingdings" w:cs="Wingdings"/>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Wingdings" w:hAnsi="Wingdings" w:eastAsia="Wingdings" w:cs="Wingdings"/>
      </w:rPr>
    </w:lvl>
    <w:lvl w:ilvl="7">
      <w:start w:val="1"/>
      <w:numFmt w:val="bullet"/>
      <w:isLgl w:val="false"/>
      <w:suff w:val="tab"/>
      <w:lvlText w:val="&quot;&quot;"/>
      <w:lvlJc w:val="left"/>
      <w:pPr>
        <w:ind w:left="5760" w:hanging="360"/>
      </w:pPr>
      <w:rPr>
        <w:rFonts w:hint="default" w:ascii="Wingdings" w:hAnsi="Wingdings" w:eastAsia="Wingdings" w:cs="Wingdings"/>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1">
    <w:multiLevelType w:val="hybridMultilevel"/>
    <w:lvl w:ilvl="0">
      <w:start w:val="1"/>
      <w:numFmt w:val="decimal"/>
      <w:isLgl w:val="false"/>
      <w:suff w:val="tab"/>
      <w:lvlText w:val="%1."/>
      <w:lvlJc w:val="left"/>
      <w:pPr>
        <w:ind w:left="0" w:firstLine="0"/>
      </w:pPr>
    </w:lvl>
    <w:lvl w:ilvl="1">
      <w:start w:val="1"/>
      <w:numFmt w:val="decimal"/>
      <w:isLgl w:val="false"/>
      <w:suff w:val="tab"/>
      <w:lvlText w:val="(%2)"/>
      <w:lvlJc w:val="left"/>
      <w:pPr>
        <w:ind w:left="840" w:hanging="420"/>
      </w:pPr>
    </w:lvl>
    <w:lvl w:ilvl="2">
      <w:start w:val="1"/>
      <w:numFmt w:val="decimal"/>
      <w:isLgl w:val="false"/>
      <w:suff w:val="tab"/>
      <w:lvlText w:val="%3"/>
      <w:lvlJc w:val="lef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Letter"/>
      <w:isLgl w:val="false"/>
      <w:suff w:val="tab"/>
      <w:lvlText w:val="%6)"/>
      <w:lvlJc w:val="left"/>
      <w:pPr>
        <w:ind w:left="2520" w:hanging="420"/>
      </w:pPr>
    </w:lvl>
    <w:lvl w:ilvl="6">
      <w:start w:val="1"/>
      <w:numFmt w:val="decimal"/>
      <w:isLgl w:val="false"/>
      <w:suff w:val="tab"/>
      <w:lvlText w:val="%7."/>
      <w:lvlJc w:val="left"/>
      <w:pPr>
        <w:ind w:left="2940" w:hanging="420"/>
      </w:pPr>
    </w:lvl>
    <w:lvl w:ilvl="7">
      <w:start w:val="1"/>
      <w:numFmt w:val="decimal"/>
      <w:isLgl w:val="false"/>
      <w:suff w:val="tab"/>
      <w:lvlText w:val="%8)"/>
      <w:lvlJc w:val="left"/>
      <w:pPr>
        <w:ind w:left="3360" w:hanging="420"/>
      </w:pPr>
    </w:lvl>
    <w:lvl w:ilvl="8">
      <w:start w:val="1"/>
      <w:numFmt w:val="lowerLetter"/>
      <w:isLgl w:val="false"/>
      <w:suff w:val="tab"/>
      <w:lvlText w:val="%9."/>
      <w:lvlJc w:val="left"/>
      <w:pPr>
        <w:ind w:left="3780" w:hanging="420"/>
      </w:pPr>
    </w:lvl>
  </w:abstractNum>
  <w:abstractNum w:abstractNumId="12">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3">
    <w:multiLevelType w:val="hybridMultilevel"/>
    <w:lvl w:ilvl="0">
      <w:start w:val="1"/>
      <w:numFmt w:val="decimal"/>
      <w:isLgl w:val="false"/>
      <w:suff w:val="tab"/>
      <w:lvlText w:val="%1."/>
      <w:lvlJc w:val="left"/>
      <w:pPr>
        <w:ind w:left="425" w:hanging="425"/>
      </w:pPr>
    </w:lvl>
    <w:lvl w:ilvl="1">
      <w:start w:val="1"/>
      <w:numFmt w:val="decimal"/>
      <w:isLgl w:val="false"/>
      <w:suff w:val="tab"/>
      <w:lvlText w:val="%1.%2."/>
      <w:lvlJc w:val="left"/>
      <w:pPr>
        <w:ind w:left="567" w:hanging="567"/>
      </w:pPr>
    </w:lvl>
    <w:lvl w:ilvl="2">
      <w:start w:val="1"/>
      <w:numFmt w:val="decimal"/>
      <w:isLgl w:val="false"/>
      <w:suff w:val="tab"/>
      <w:lvlText w:val="%1.%2.%3."/>
      <w:lvlJc w:val="left"/>
      <w:pPr>
        <w:ind w:left="709" w:hanging="709"/>
      </w:pPr>
    </w:lvl>
    <w:lvl w:ilvl="3">
      <w:start w:val="1"/>
      <w:numFmt w:val="decimal"/>
      <w:isLgl w:val="false"/>
      <w:suff w:val="tab"/>
      <w:lvlText w:val="%1.%2.%3.%4."/>
      <w:lvlJc w:val="left"/>
      <w:pPr>
        <w:ind w:left="850" w:hanging="850"/>
      </w:p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5"/>
  </w:num>
  <w:num w:numId="3">
    <w:abstractNumId w:val="0"/>
  </w:num>
  <w:num w:numId="4">
    <w:abstractNumId w:val="2"/>
  </w:num>
  <w:num w:numId="5">
    <w:abstractNumId w:val="7"/>
  </w:num>
  <w:num w:numId="6">
    <w:abstractNumId w:val="6"/>
  </w:num>
  <w:num w:numId="7">
    <w:abstractNumId w:val="4"/>
  </w:num>
  <w:num w:numId="8">
    <w:abstractNumId w:val="3"/>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99">
    <w:name w:val="Heading 1 Char"/>
    <w:basedOn w:val="877"/>
    <w:link w:val="873"/>
    <w:uiPriority w:val="9"/>
    <w:rPr>
      <w:rFonts w:ascii="Arial" w:hAnsi="Arial" w:eastAsia="Arial" w:cs="Arial"/>
      <w:sz w:val="40"/>
      <w:szCs w:val="40"/>
    </w:rPr>
  </w:style>
  <w:style w:type="character" w:styleId="700">
    <w:name w:val="Heading 2 Char"/>
    <w:basedOn w:val="877"/>
    <w:link w:val="874"/>
    <w:uiPriority w:val="9"/>
    <w:rPr>
      <w:rFonts w:ascii="Arial" w:hAnsi="Arial" w:eastAsia="Arial" w:cs="Arial"/>
      <w:sz w:val="34"/>
    </w:rPr>
  </w:style>
  <w:style w:type="character" w:styleId="701">
    <w:name w:val="Heading 3 Char"/>
    <w:basedOn w:val="877"/>
    <w:link w:val="875"/>
    <w:uiPriority w:val="9"/>
    <w:rPr>
      <w:rFonts w:ascii="Arial" w:hAnsi="Arial" w:eastAsia="Arial" w:cs="Arial"/>
      <w:sz w:val="30"/>
      <w:szCs w:val="30"/>
    </w:rPr>
  </w:style>
  <w:style w:type="character" w:styleId="702">
    <w:name w:val="Heading 4 Char"/>
    <w:basedOn w:val="877"/>
    <w:link w:val="876"/>
    <w:uiPriority w:val="9"/>
    <w:rPr>
      <w:rFonts w:ascii="Arial" w:hAnsi="Arial" w:eastAsia="Arial" w:cs="Arial"/>
      <w:b/>
      <w:bCs/>
      <w:sz w:val="26"/>
      <w:szCs w:val="26"/>
    </w:rPr>
  </w:style>
  <w:style w:type="paragraph" w:styleId="703">
    <w:name w:val="Heading 5"/>
    <w:basedOn w:val="872"/>
    <w:next w:val="872"/>
    <w:link w:val="704"/>
    <w:uiPriority w:val="9"/>
    <w:unhideWhenUsed/>
    <w:qFormat/>
    <w:pPr>
      <w:keepLines/>
      <w:keepNext/>
      <w:spacing w:before="320" w:after="200"/>
      <w:outlineLvl w:val="4"/>
    </w:pPr>
    <w:rPr>
      <w:rFonts w:ascii="Arial" w:hAnsi="Arial" w:eastAsia="Arial" w:cs="Arial"/>
      <w:b/>
      <w:bCs/>
      <w:sz w:val="24"/>
      <w:szCs w:val="24"/>
    </w:rPr>
  </w:style>
  <w:style w:type="character" w:styleId="704">
    <w:name w:val="Heading 5 Char"/>
    <w:basedOn w:val="877"/>
    <w:link w:val="703"/>
    <w:uiPriority w:val="9"/>
    <w:rPr>
      <w:rFonts w:ascii="Arial" w:hAnsi="Arial" w:eastAsia="Arial" w:cs="Arial"/>
      <w:b/>
      <w:bCs/>
      <w:sz w:val="24"/>
      <w:szCs w:val="24"/>
    </w:rPr>
  </w:style>
  <w:style w:type="paragraph" w:styleId="705">
    <w:name w:val="Heading 6"/>
    <w:basedOn w:val="872"/>
    <w:next w:val="872"/>
    <w:link w:val="706"/>
    <w:uiPriority w:val="9"/>
    <w:unhideWhenUsed/>
    <w:qFormat/>
    <w:pPr>
      <w:keepLines/>
      <w:keepNext/>
      <w:spacing w:before="320" w:after="200"/>
      <w:outlineLvl w:val="5"/>
    </w:pPr>
    <w:rPr>
      <w:rFonts w:ascii="Arial" w:hAnsi="Arial" w:eastAsia="Arial" w:cs="Arial"/>
      <w:b/>
      <w:bCs/>
      <w:sz w:val="22"/>
      <w:szCs w:val="22"/>
    </w:rPr>
  </w:style>
  <w:style w:type="character" w:styleId="706">
    <w:name w:val="Heading 6 Char"/>
    <w:basedOn w:val="877"/>
    <w:link w:val="705"/>
    <w:uiPriority w:val="9"/>
    <w:rPr>
      <w:rFonts w:ascii="Arial" w:hAnsi="Arial" w:eastAsia="Arial" w:cs="Arial"/>
      <w:b/>
      <w:bCs/>
      <w:sz w:val="22"/>
      <w:szCs w:val="22"/>
    </w:rPr>
  </w:style>
  <w:style w:type="paragraph" w:styleId="707">
    <w:name w:val="Heading 7"/>
    <w:basedOn w:val="872"/>
    <w:next w:val="872"/>
    <w:link w:val="708"/>
    <w:uiPriority w:val="9"/>
    <w:unhideWhenUsed/>
    <w:qFormat/>
    <w:pPr>
      <w:keepLines/>
      <w:keepNext/>
      <w:spacing w:before="320" w:after="200"/>
      <w:outlineLvl w:val="6"/>
    </w:pPr>
    <w:rPr>
      <w:rFonts w:ascii="Arial" w:hAnsi="Arial" w:eastAsia="Arial" w:cs="Arial"/>
      <w:b/>
      <w:bCs/>
      <w:i/>
      <w:iCs/>
      <w:sz w:val="22"/>
      <w:szCs w:val="22"/>
    </w:rPr>
  </w:style>
  <w:style w:type="character" w:styleId="708">
    <w:name w:val="Heading 7 Char"/>
    <w:basedOn w:val="877"/>
    <w:link w:val="707"/>
    <w:uiPriority w:val="9"/>
    <w:rPr>
      <w:rFonts w:ascii="Arial" w:hAnsi="Arial" w:eastAsia="Arial" w:cs="Arial"/>
      <w:b/>
      <w:bCs/>
      <w:i/>
      <w:iCs/>
      <w:sz w:val="22"/>
      <w:szCs w:val="22"/>
    </w:rPr>
  </w:style>
  <w:style w:type="paragraph" w:styleId="709">
    <w:name w:val="Heading 8"/>
    <w:basedOn w:val="872"/>
    <w:next w:val="872"/>
    <w:link w:val="710"/>
    <w:uiPriority w:val="9"/>
    <w:unhideWhenUsed/>
    <w:qFormat/>
    <w:pPr>
      <w:keepLines/>
      <w:keepNext/>
      <w:spacing w:before="320" w:after="200"/>
      <w:outlineLvl w:val="7"/>
    </w:pPr>
    <w:rPr>
      <w:rFonts w:ascii="Arial" w:hAnsi="Arial" w:eastAsia="Arial" w:cs="Arial"/>
      <w:i/>
      <w:iCs/>
      <w:sz w:val="22"/>
      <w:szCs w:val="22"/>
    </w:rPr>
  </w:style>
  <w:style w:type="character" w:styleId="710">
    <w:name w:val="Heading 8 Char"/>
    <w:basedOn w:val="877"/>
    <w:link w:val="709"/>
    <w:uiPriority w:val="9"/>
    <w:rPr>
      <w:rFonts w:ascii="Arial" w:hAnsi="Arial" w:eastAsia="Arial" w:cs="Arial"/>
      <w:i/>
      <w:iCs/>
      <w:sz w:val="22"/>
      <w:szCs w:val="22"/>
    </w:rPr>
  </w:style>
  <w:style w:type="paragraph" w:styleId="711">
    <w:name w:val="Heading 9"/>
    <w:basedOn w:val="872"/>
    <w:next w:val="872"/>
    <w:link w:val="712"/>
    <w:uiPriority w:val="9"/>
    <w:unhideWhenUsed/>
    <w:qFormat/>
    <w:pPr>
      <w:keepLines/>
      <w:keepNext/>
      <w:spacing w:before="320" w:after="200"/>
      <w:outlineLvl w:val="8"/>
    </w:pPr>
    <w:rPr>
      <w:rFonts w:ascii="Arial" w:hAnsi="Arial" w:eastAsia="Arial" w:cs="Arial"/>
      <w:i/>
      <w:iCs/>
      <w:sz w:val="21"/>
      <w:szCs w:val="21"/>
    </w:rPr>
  </w:style>
  <w:style w:type="character" w:styleId="712">
    <w:name w:val="Heading 9 Char"/>
    <w:basedOn w:val="877"/>
    <w:link w:val="711"/>
    <w:uiPriority w:val="9"/>
    <w:rPr>
      <w:rFonts w:ascii="Arial" w:hAnsi="Arial" w:eastAsia="Arial" w:cs="Arial"/>
      <w:i/>
      <w:iCs/>
      <w:sz w:val="21"/>
      <w:szCs w:val="21"/>
    </w:rPr>
  </w:style>
  <w:style w:type="paragraph" w:styleId="713">
    <w:name w:val="List Paragraph"/>
    <w:basedOn w:val="872"/>
    <w:uiPriority w:val="34"/>
    <w:qFormat/>
    <w:pPr>
      <w:contextualSpacing/>
      <w:ind w:left="720"/>
    </w:pPr>
  </w:style>
  <w:style w:type="paragraph" w:styleId="714">
    <w:name w:val="No Spacing"/>
    <w:uiPriority w:val="1"/>
    <w:qFormat/>
    <w:pPr>
      <w:spacing w:before="0" w:after="0" w:line="240" w:lineRule="auto"/>
    </w:pPr>
  </w:style>
  <w:style w:type="paragraph" w:styleId="715">
    <w:name w:val="Title"/>
    <w:basedOn w:val="872"/>
    <w:next w:val="872"/>
    <w:link w:val="716"/>
    <w:uiPriority w:val="10"/>
    <w:qFormat/>
    <w:pPr>
      <w:contextualSpacing/>
      <w:spacing w:before="300" w:after="200"/>
    </w:pPr>
    <w:rPr>
      <w:sz w:val="48"/>
      <w:szCs w:val="48"/>
    </w:rPr>
  </w:style>
  <w:style w:type="character" w:styleId="716">
    <w:name w:val="Title Char"/>
    <w:basedOn w:val="877"/>
    <w:link w:val="715"/>
    <w:uiPriority w:val="10"/>
    <w:rPr>
      <w:sz w:val="48"/>
      <w:szCs w:val="48"/>
    </w:rPr>
  </w:style>
  <w:style w:type="paragraph" w:styleId="717">
    <w:name w:val="Subtitle"/>
    <w:basedOn w:val="872"/>
    <w:next w:val="872"/>
    <w:link w:val="718"/>
    <w:uiPriority w:val="11"/>
    <w:qFormat/>
    <w:pPr>
      <w:spacing w:before="200" w:after="200"/>
    </w:pPr>
    <w:rPr>
      <w:sz w:val="24"/>
      <w:szCs w:val="24"/>
    </w:rPr>
  </w:style>
  <w:style w:type="character" w:styleId="718">
    <w:name w:val="Subtitle Char"/>
    <w:basedOn w:val="877"/>
    <w:link w:val="717"/>
    <w:uiPriority w:val="11"/>
    <w:rPr>
      <w:sz w:val="24"/>
      <w:szCs w:val="24"/>
    </w:rPr>
  </w:style>
  <w:style w:type="paragraph" w:styleId="719">
    <w:name w:val="Quote"/>
    <w:basedOn w:val="872"/>
    <w:next w:val="872"/>
    <w:link w:val="720"/>
    <w:uiPriority w:val="29"/>
    <w:qFormat/>
    <w:pPr>
      <w:ind w:left="720" w:right="720"/>
    </w:pPr>
    <w:rPr>
      <w:i/>
    </w:rPr>
  </w:style>
  <w:style w:type="character" w:styleId="720">
    <w:name w:val="Quote Char"/>
    <w:link w:val="719"/>
    <w:uiPriority w:val="29"/>
    <w:rPr>
      <w:i/>
    </w:rPr>
  </w:style>
  <w:style w:type="paragraph" w:styleId="721">
    <w:name w:val="Intense Quote"/>
    <w:basedOn w:val="872"/>
    <w:next w:val="872"/>
    <w:link w:val="72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2">
    <w:name w:val="Intense Quote Char"/>
    <w:link w:val="721"/>
    <w:uiPriority w:val="30"/>
    <w:rPr>
      <w:i/>
    </w:rPr>
  </w:style>
  <w:style w:type="paragraph" w:styleId="723">
    <w:name w:val="Header"/>
    <w:basedOn w:val="872"/>
    <w:link w:val="724"/>
    <w:uiPriority w:val="99"/>
    <w:unhideWhenUsed/>
    <w:pPr>
      <w:spacing w:after="0" w:line="240" w:lineRule="auto"/>
      <w:tabs>
        <w:tab w:val="center" w:pos="7143" w:leader="none"/>
        <w:tab w:val="right" w:pos="14287" w:leader="none"/>
      </w:tabs>
    </w:pPr>
  </w:style>
  <w:style w:type="character" w:styleId="724">
    <w:name w:val="Header Char"/>
    <w:basedOn w:val="877"/>
    <w:link w:val="723"/>
    <w:uiPriority w:val="99"/>
  </w:style>
  <w:style w:type="character" w:styleId="725">
    <w:name w:val="Footer Char"/>
    <w:basedOn w:val="877"/>
    <w:link w:val="880"/>
    <w:uiPriority w:val="99"/>
  </w:style>
  <w:style w:type="paragraph" w:styleId="726">
    <w:name w:val="Caption"/>
    <w:basedOn w:val="872"/>
    <w:next w:val="872"/>
    <w:uiPriority w:val="35"/>
    <w:semiHidden/>
    <w:unhideWhenUsed/>
    <w:qFormat/>
    <w:pPr>
      <w:spacing w:line="276" w:lineRule="auto"/>
    </w:pPr>
    <w:rPr>
      <w:b/>
      <w:bCs/>
      <w:color w:val="4f81bd" w:themeColor="accent1"/>
      <w:sz w:val="18"/>
      <w:szCs w:val="18"/>
    </w:rPr>
  </w:style>
  <w:style w:type="character" w:styleId="727">
    <w:name w:val="Caption Char"/>
    <w:basedOn w:val="726"/>
    <w:link w:val="880"/>
    <w:uiPriority w:val="99"/>
  </w:style>
  <w:style w:type="table" w:styleId="728">
    <w:name w:val="Table Grid"/>
    <w:basedOn w:val="8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9">
    <w:name w:val="Table Grid Light"/>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0">
    <w:name w:val="Plain Table 1"/>
    <w:basedOn w:val="8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2"/>
    <w:basedOn w:val="8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2">
    <w:name w:val="Plain Table 3"/>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3">
    <w:name w:val="Plain Table 4"/>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4">
    <w:name w:val="Plain Table 5"/>
    <w:basedOn w:val="8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5">
    <w:name w:val="Grid Table 1 Light"/>
    <w:basedOn w:val="8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6">
    <w:name w:val="Grid Table 1 Light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7">
    <w:name w:val="Grid Table 1 Light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8">
    <w:name w:val="Grid Table 1 Light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9">
    <w:name w:val="Grid Table 1 Light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0">
    <w:name w:val="Grid Table 1 Light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1">
    <w:name w:val="Grid Table 1 Light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2">
    <w:name w:val="Grid Table 2"/>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2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4">
    <w:name w:val="Grid Table 2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5">
    <w:name w:val="Grid Table 2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6">
    <w:name w:val="Grid Table 2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7">
    <w:name w:val="Grid Table 2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8">
    <w:name w:val="Grid Table 2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9">
    <w:name w:val="Grid Table 3"/>
    <w:basedOn w:val="8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1"/>
    <w:basedOn w:val="8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2"/>
    <w:basedOn w:val="8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3"/>
    <w:basedOn w:val="8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4"/>
    <w:basedOn w:val="8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5"/>
    <w:basedOn w:val="8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6"/>
    <w:basedOn w:val="8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4"/>
    <w:basedOn w:val="8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7">
    <w:name w:val="Grid Table 4 - Accent 1"/>
    <w:basedOn w:val="8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8">
    <w:name w:val="Grid Table 4 - Accent 2"/>
    <w:basedOn w:val="8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9">
    <w:name w:val="Grid Table 4 - Accent 3"/>
    <w:basedOn w:val="8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0">
    <w:name w:val="Grid Table 4 - Accent 4"/>
    <w:basedOn w:val="8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1">
    <w:name w:val="Grid Table 4 - Accent 5"/>
    <w:basedOn w:val="8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2">
    <w:name w:val="Grid Table 4 - Accent 6"/>
    <w:basedOn w:val="8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3">
    <w:name w:val="Grid Table 5 Dark"/>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4">
    <w:name w:val="Grid Table 5 Dark- Accent 1"/>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65">
    <w:name w:val="Grid Table 5 Dark - Accent 2"/>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66">
    <w:name w:val="Grid Table 5 Dark - Accent 3"/>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67">
    <w:name w:val="Grid Table 5 Dark- Accent 4"/>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68">
    <w:name w:val="Grid Table 5 Dark - Accent 5"/>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69">
    <w:name w:val="Grid Table 5 Dark - Accent 6"/>
    <w:basedOn w:val="8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0">
    <w:name w:val="Grid Table 6 Colorful"/>
    <w:basedOn w:val="8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1">
    <w:name w:val="Grid Table 6 Colorful - Accent 1"/>
    <w:basedOn w:val="8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72">
    <w:name w:val="Grid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73">
    <w:name w:val="Grid Table 6 Colorful - Accent 3"/>
    <w:basedOn w:val="8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74">
    <w:name w:val="Grid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75">
    <w:name w:val="Grid Table 6 Colorful - Accent 5"/>
    <w:basedOn w:val="8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6">
    <w:name w:val="Grid Table 6 Colorful - Accent 6"/>
    <w:basedOn w:val="8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77">
    <w:name w:val="Grid Table 7 Colorful"/>
    <w:basedOn w:val="8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8">
    <w:name w:val="Grid Table 7 Colorful - Accent 1"/>
    <w:basedOn w:val="8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9">
    <w:name w:val="Grid Table 7 Colorful - Accent 2"/>
    <w:basedOn w:val="8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0">
    <w:name w:val="Grid Table 7 Colorful - Accent 3"/>
    <w:basedOn w:val="8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1">
    <w:name w:val="Grid Table 7 Colorful - Accent 4"/>
    <w:basedOn w:val="8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2">
    <w:name w:val="Grid Table 7 Colorful - Accent 5"/>
    <w:basedOn w:val="8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3">
    <w:name w:val="Grid Table 7 Colorful - Accent 6"/>
    <w:basedOn w:val="8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4">
    <w:name w:val="List Table 1 Light"/>
    <w:basedOn w:val="8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5">
    <w:name w:val="List Table 1 Light - Accent 1"/>
    <w:basedOn w:val="878"/>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6">
    <w:name w:val="List Table 1 Light - Accent 2"/>
    <w:basedOn w:val="878"/>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7">
    <w:name w:val="List Table 1 Light - Accent 3"/>
    <w:basedOn w:val="878"/>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8">
    <w:name w:val="List Table 1 Light - Accent 4"/>
    <w:basedOn w:val="878"/>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9">
    <w:name w:val="List Table 1 Light - Accent 5"/>
    <w:basedOn w:val="878"/>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0">
    <w:name w:val="List Table 1 Light - Accent 6"/>
    <w:basedOn w:val="878"/>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1">
    <w:name w:val="List Table 2"/>
    <w:basedOn w:val="8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2">
    <w:name w:val="List Table 2 - Accent 1"/>
    <w:basedOn w:val="8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3">
    <w:name w:val="List Table 2 - Accent 2"/>
    <w:basedOn w:val="8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4">
    <w:name w:val="List Table 2 - Accent 3"/>
    <w:basedOn w:val="8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5">
    <w:name w:val="List Table 2 - Accent 4"/>
    <w:basedOn w:val="8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6">
    <w:name w:val="List Table 2 - Accent 5"/>
    <w:basedOn w:val="8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7">
    <w:name w:val="List Table 2 - Accent 6"/>
    <w:basedOn w:val="8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8">
    <w:name w:val="List Table 3"/>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3 - Accent 1"/>
    <w:basedOn w:val="8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0">
    <w:name w:val="List Table 3 - Accent 2"/>
    <w:basedOn w:val="8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1">
    <w:name w:val="List Table 3 - Accent 3"/>
    <w:basedOn w:val="8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02">
    <w:name w:val="List Table 3 - Accent 4"/>
    <w:basedOn w:val="8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03">
    <w:name w:val="List Table 3 - Accent 5"/>
    <w:basedOn w:val="8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04">
    <w:name w:val="List Table 3 - Accent 6"/>
    <w:basedOn w:val="8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05">
    <w:name w:val="List Table 4"/>
    <w:basedOn w:val="8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6">
    <w:name w:val="List Table 4 - Accent 1"/>
    <w:basedOn w:val="8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7">
    <w:name w:val="List Table 4 - Accent 2"/>
    <w:basedOn w:val="8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08">
    <w:name w:val="List Table 4 - Accent 3"/>
    <w:basedOn w:val="8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09">
    <w:name w:val="List Table 4 - Accent 4"/>
    <w:basedOn w:val="8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0">
    <w:name w:val="List Table 4 - Accent 5"/>
    <w:basedOn w:val="8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1">
    <w:name w:val="List Table 4 - Accent 6"/>
    <w:basedOn w:val="8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12">
    <w:name w:val="List Table 5 Dark"/>
    <w:basedOn w:val="8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1"/>
    <w:basedOn w:val="8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2"/>
    <w:basedOn w:val="8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3"/>
    <w:basedOn w:val="8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4"/>
    <w:basedOn w:val="8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5"/>
    <w:basedOn w:val="8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6"/>
    <w:basedOn w:val="8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6 Colorful"/>
    <w:basedOn w:val="8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0">
    <w:name w:val="List Table 6 Colorful - Accent 1"/>
    <w:basedOn w:val="8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1">
    <w:name w:val="List Table 6 Colorful - Accent 2"/>
    <w:basedOn w:val="8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22">
    <w:name w:val="List Table 6 Colorful - Accent 3"/>
    <w:basedOn w:val="8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23">
    <w:name w:val="List Table 6 Colorful - Accent 4"/>
    <w:basedOn w:val="8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24">
    <w:name w:val="List Table 6 Colorful - Accent 5"/>
    <w:basedOn w:val="8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25">
    <w:name w:val="List Table 6 Colorful - Accent 6"/>
    <w:basedOn w:val="8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26">
    <w:name w:val="List Table 7 Colorful"/>
    <w:basedOn w:val="8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7">
    <w:name w:val="List Table 7 Colorful - Accent 1"/>
    <w:basedOn w:val="8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28">
    <w:name w:val="List Table 7 Colorful - Accent 2"/>
    <w:basedOn w:val="8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29">
    <w:name w:val="List Table 7 Colorful - Accent 3"/>
    <w:basedOn w:val="8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0">
    <w:name w:val="List Table 7 Colorful - Accent 4"/>
    <w:basedOn w:val="8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1">
    <w:name w:val="List Table 7 Colorful - Accent 5"/>
    <w:basedOn w:val="8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32">
    <w:name w:val="List Table 7 Colorful - Accent 6"/>
    <w:basedOn w:val="8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33">
    <w:name w:val="Lined - Accent"/>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Lined - Accent 1"/>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35">
    <w:name w:val="Lined - Accent 2"/>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36">
    <w:name w:val="Lined - Accent 3"/>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37">
    <w:name w:val="Lined - Accent 4"/>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38">
    <w:name w:val="Lined - Accent 5"/>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39">
    <w:name w:val="Lined - Accent 6"/>
    <w:basedOn w:val="8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0">
    <w:name w:val="Bordered &amp; Lined - Accent"/>
    <w:basedOn w:val="8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1">
    <w:name w:val="Bordered &amp; Lined - Accent 1"/>
    <w:basedOn w:val="8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2">
    <w:name w:val="Bordered &amp; Lined - Accent 2"/>
    <w:basedOn w:val="8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3">
    <w:name w:val="Bordered &amp; Lined - Accent 3"/>
    <w:basedOn w:val="8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4">
    <w:name w:val="Bordered &amp; Lined - Accent 4"/>
    <w:basedOn w:val="8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5">
    <w:name w:val="Bordered &amp; Lined - Accent 5"/>
    <w:basedOn w:val="8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6">
    <w:name w:val="Bordered &amp; Lined - Accent 6"/>
    <w:basedOn w:val="8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7">
    <w:name w:val="Bordered"/>
    <w:basedOn w:val="8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8">
    <w:name w:val="Bordered - Accent 1"/>
    <w:basedOn w:val="8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9">
    <w:name w:val="Bordered - Accent 2"/>
    <w:basedOn w:val="8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0">
    <w:name w:val="Bordered - Accent 3"/>
    <w:basedOn w:val="8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1">
    <w:name w:val="Bordered - Accent 4"/>
    <w:basedOn w:val="8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2">
    <w:name w:val="Bordered - Accent 5"/>
    <w:basedOn w:val="8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3">
    <w:name w:val="Bordered - Accent 6"/>
    <w:basedOn w:val="8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4">
    <w:name w:val="Hyperlink"/>
    <w:uiPriority w:val="99"/>
    <w:unhideWhenUsed/>
    <w:rPr>
      <w:color w:val="0000ff" w:themeColor="hyperlink"/>
      <w:u w:val="single"/>
    </w:rPr>
  </w:style>
  <w:style w:type="paragraph" w:styleId="855">
    <w:name w:val="footnote text"/>
    <w:basedOn w:val="872"/>
    <w:link w:val="856"/>
    <w:uiPriority w:val="99"/>
    <w:semiHidden/>
    <w:unhideWhenUsed/>
    <w:pPr>
      <w:spacing w:after="40" w:line="240" w:lineRule="auto"/>
    </w:pPr>
    <w:rPr>
      <w:sz w:val="18"/>
    </w:rPr>
  </w:style>
  <w:style w:type="character" w:styleId="856">
    <w:name w:val="Footnote Text Char"/>
    <w:link w:val="855"/>
    <w:uiPriority w:val="99"/>
    <w:rPr>
      <w:sz w:val="18"/>
    </w:rPr>
  </w:style>
  <w:style w:type="character" w:styleId="857">
    <w:name w:val="footnote reference"/>
    <w:basedOn w:val="877"/>
    <w:uiPriority w:val="99"/>
    <w:unhideWhenUsed/>
    <w:rPr>
      <w:vertAlign w:val="superscript"/>
    </w:rPr>
  </w:style>
  <w:style w:type="paragraph" w:styleId="858">
    <w:name w:val="endnote text"/>
    <w:basedOn w:val="872"/>
    <w:link w:val="859"/>
    <w:uiPriority w:val="99"/>
    <w:semiHidden/>
    <w:unhideWhenUsed/>
    <w:pPr>
      <w:spacing w:after="0" w:line="240" w:lineRule="auto"/>
    </w:pPr>
    <w:rPr>
      <w:sz w:val="20"/>
    </w:rPr>
  </w:style>
  <w:style w:type="character" w:styleId="859">
    <w:name w:val="Endnote Text Char"/>
    <w:link w:val="858"/>
    <w:uiPriority w:val="99"/>
    <w:rPr>
      <w:sz w:val="20"/>
    </w:rPr>
  </w:style>
  <w:style w:type="character" w:styleId="860">
    <w:name w:val="endnote reference"/>
    <w:basedOn w:val="877"/>
    <w:uiPriority w:val="99"/>
    <w:semiHidden/>
    <w:unhideWhenUsed/>
    <w:rPr>
      <w:vertAlign w:val="superscript"/>
    </w:rPr>
  </w:style>
  <w:style w:type="paragraph" w:styleId="861">
    <w:name w:val="toc 1"/>
    <w:basedOn w:val="872"/>
    <w:next w:val="872"/>
    <w:uiPriority w:val="39"/>
    <w:unhideWhenUsed/>
    <w:pPr>
      <w:ind w:left="0" w:right="0" w:firstLine="0"/>
      <w:spacing w:after="57"/>
    </w:pPr>
  </w:style>
  <w:style w:type="paragraph" w:styleId="862">
    <w:name w:val="toc 2"/>
    <w:basedOn w:val="872"/>
    <w:next w:val="872"/>
    <w:uiPriority w:val="39"/>
    <w:unhideWhenUsed/>
    <w:pPr>
      <w:ind w:left="283" w:right="0" w:firstLine="0"/>
      <w:spacing w:after="57"/>
    </w:pPr>
  </w:style>
  <w:style w:type="paragraph" w:styleId="863">
    <w:name w:val="toc 3"/>
    <w:basedOn w:val="872"/>
    <w:next w:val="872"/>
    <w:uiPriority w:val="39"/>
    <w:unhideWhenUsed/>
    <w:pPr>
      <w:ind w:left="567" w:right="0" w:firstLine="0"/>
      <w:spacing w:after="57"/>
    </w:pPr>
  </w:style>
  <w:style w:type="paragraph" w:styleId="864">
    <w:name w:val="toc 4"/>
    <w:basedOn w:val="872"/>
    <w:next w:val="872"/>
    <w:uiPriority w:val="39"/>
    <w:unhideWhenUsed/>
    <w:pPr>
      <w:ind w:left="850" w:right="0" w:firstLine="0"/>
      <w:spacing w:after="57"/>
    </w:pPr>
  </w:style>
  <w:style w:type="paragraph" w:styleId="865">
    <w:name w:val="toc 5"/>
    <w:basedOn w:val="872"/>
    <w:next w:val="872"/>
    <w:uiPriority w:val="39"/>
    <w:unhideWhenUsed/>
    <w:pPr>
      <w:ind w:left="1134" w:right="0" w:firstLine="0"/>
      <w:spacing w:after="57"/>
    </w:pPr>
  </w:style>
  <w:style w:type="paragraph" w:styleId="866">
    <w:name w:val="toc 6"/>
    <w:basedOn w:val="872"/>
    <w:next w:val="872"/>
    <w:uiPriority w:val="39"/>
    <w:unhideWhenUsed/>
    <w:pPr>
      <w:ind w:left="1417" w:right="0" w:firstLine="0"/>
      <w:spacing w:after="57"/>
    </w:pPr>
  </w:style>
  <w:style w:type="paragraph" w:styleId="867">
    <w:name w:val="toc 7"/>
    <w:basedOn w:val="872"/>
    <w:next w:val="872"/>
    <w:uiPriority w:val="39"/>
    <w:unhideWhenUsed/>
    <w:pPr>
      <w:ind w:left="1701" w:right="0" w:firstLine="0"/>
      <w:spacing w:after="57"/>
    </w:pPr>
  </w:style>
  <w:style w:type="paragraph" w:styleId="868">
    <w:name w:val="toc 8"/>
    <w:basedOn w:val="872"/>
    <w:next w:val="872"/>
    <w:uiPriority w:val="39"/>
    <w:unhideWhenUsed/>
    <w:pPr>
      <w:ind w:left="1984" w:right="0" w:firstLine="0"/>
      <w:spacing w:after="57"/>
    </w:pPr>
  </w:style>
  <w:style w:type="paragraph" w:styleId="869">
    <w:name w:val="toc 9"/>
    <w:basedOn w:val="872"/>
    <w:next w:val="872"/>
    <w:uiPriority w:val="39"/>
    <w:unhideWhenUsed/>
    <w:pPr>
      <w:ind w:left="2268" w:right="0" w:firstLine="0"/>
      <w:spacing w:after="57"/>
    </w:pPr>
  </w:style>
  <w:style w:type="paragraph" w:styleId="870">
    <w:name w:val="TOC Heading"/>
    <w:uiPriority w:val="39"/>
    <w:unhideWhenUsed/>
  </w:style>
  <w:style w:type="paragraph" w:styleId="871">
    <w:name w:val="table of figures"/>
    <w:basedOn w:val="872"/>
    <w:next w:val="872"/>
    <w:uiPriority w:val="99"/>
    <w:unhideWhenUsed/>
    <w:pPr>
      <w:spacing w:after="0" w:afterAutospacing="0"/>
    </w:pPr>
  </w:style>
  <w:style w:type="paragraph" w:styleId="872"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873">
    <w:name w:val="Heading 1"/>
    <w:basedOn w:val="872"/>
    <w:next w:val="879"/>
    <w:uiPriority w:val="0"/>
    <w:qFormat/>
    <w:pPr>
      <w:numPr>
        <w:ilvl w:val="0"/>
        <w:numId w:val="1"/>
      </w:numPr>
      <w:ind w:left="432" w:hanging="432"/>
      <w:jc w:val="center"/>
      <w:keepLines/>
      <w:keepNext/>
      <w:spacing w:before="340" w:after="330" w:line="578" w:lineRule="auto"/>
      <w:tabs>
        <w:tab w:val="left" w:pos="879" w:leader="none"/>
      </w:tabs>
      <w:outlineLvl w:val="0"/>
    </w:pPr>
    <w:rPr>
      <w:rFonts w:ascii="Times New Roman" w:hAnsi="Times New Roman" w:eastAsia="黑体"/>
      <w:b/>
      <w:bCs/>
      <w:spacing w:val="20"/>
      <w:sz w:val="48"/>
      <w:szCs w:val="44"/>
    </w:rPr>
  </w:style>
  <w:style w:type="paragraph" w:styleId="874">
    <w:name w:val="Heading 2"/>
    <w:basedOn w:val="872"/>
    <w:next w:val="872"/>
    <w:uiPriority w:val="0"/>
    <w:unhideWhenUsed/>
    <w:qFormat/>
    <w:pPr>
      <w:numPr>
        <w:ilvl w:val="1"/>
        <w:numId w:val="1"/>
      </w:numPr>
      <w:ind w:left="575" w:hanging="575"/>
      <w:keepLines/>
      <w:keepNext/>
      <w:spacing w:before="260" w:after="260" w:line="416" w:lineRule="auto"/>
      <w:outlineLvl w:val="1"/>
    </w:pPr>
    <w:rPr>
      <w:rFonts w:asciiTheme="majorHAnsi" w:hAnsiTheme="majorHAnsi" w:eastAsiaTheme="majorEastAsia" w:cstheme="majorBidi"/>
      <w:b/>
      <w:bCs/>
      <w:sz w:val="32"/>
      <w:szCs w:val="32"/>
    </w:rPr>
  </w:style>
  <w:style w:type="paragraph" w:styleId="875">
    <w:name w:val="Heading 3"/>
    <w:basedOn w:val="872"/>
    <w:next w:val="872"/>
    <w:uiPriority w:val="0"/>
    <w:unhideWhenUsed/>
    <w:qFormat/>
    <w:pPr>
      <w:numPr>
        <w:ilvl w:val="2"/>
        <w:numId w:val="1"/>
      </w:numPr>
      <w:ind w:left="720" w:hanging="720"/>
      <w:keepLines/>
      <w:keepNext/>
      <w:spacing w:before="260" w:after="260" w:line="416" w:lineRule="auto"/>
      <w:outlineLvl w:val="2"/>
    </w:pPr>
    <w:rPr>
      <w:b/>
      <w:bCs/>
      <w:sz w:val="32"/>
      <w:szCs w:val="32"/>
    </w:rPr>
  </w:style>
  <w:style w:type="paragraph" w:styleId="876">
    <w:name w:val="Heading 4"/>
    <w:basedOn w:val="872"/>
    <w:next w:val="872"/>
    <w:uiPriority w:val="0"/>
    <w:unhideWhenUsed/>
    <w:qFormat/>
    <w:pPr>
      <w:numPr>
        <w:ilvl w:val="3"/>
        <w:numId w:val="1"/>
      </w:numPr>
      <w:ind w:left="864" w:hanging="864"/>
      <w:keepLines/>
      <w:keepNext/>
      <w:spacing w:before="280" w:after="290" w:line="376" w:lineRule="auto"/>
      <w:outlineLvl w:val="3"/>
    </w:pPr>
    <w:rPr>
      <w:rFonts w:asciiTheme="majorHAnsi" w:hAnsiTheme="majorHAnsi" w:eastAsiaTheme="majorEastAsia" w:cstheme="majorBidi"/>
      <w:b/>
      <w:bCs/>
      <w:sz w:val="28"/>
      <w:szCs w:val="28"/>
    </w:rPr>
  </w:style>
  <w:style w:type="character" w:styleId="877" w:default="1">
    <w:name w:val="Default Paragraph Font"/>
    <w:uiPriority w:val="0"/>
    <w:semiHidden/>
  </w:style>
  <w:style w:type="table" w:styleId="878" w:default="1">
    <w:name w:val="Normal Table"/>
    <w:uiPriority w:val="0"/>
    <w:semiHidden/>
    <w:tblPr>
      <w:tblCellMar>
        <w:left w:w="108" w:type="dxa"/>
        <w:top w:w="0" w:type="dxa"/>
        <w:right w:w="108" w:type="dxa"/>
        <w:bottom w:w="0" w:type="dxa"/>
      </w:tblCellMar>
    </w:tblPr>
  </w:style>
  <w:style w:type="paragraph" w:styleId="879">
    <w:name w:val="Body Text"/>
    <w:basedOn w:val="872"/>
    <w:uiPriority w:val="0"/>
    <w:unhideWhenUsed/>
    <w:qFormat/>
    <w:pPr>
      <w:spacing w:after="120"/>
    </w:pPr>
    <w:rPr>
      <w:sz w:val="20"/>
      <w:szCs w:val="20"/>
    </w:rPr>
  </w:style>
  <w:style w:type="paragraph" w:styleId="880">
    <w:name w:val="Footer"/>
    <w:basedOn w:val="872"/>
    <w:uiPriority w:val="0"/>
    <w:unhideWhenUsed/>
    <w:qFormat/>
    <w:pPr>
      <w:jc w:val="left"/>
      <w:tabs>
        <w:tab w:val="center" w:pos="4153" w:leader="none"/>
        <w:tab w:val="right" w:pos="8306" w:leader="none"/>
      </w:tabs>
    </w:pPr>
    <w:rPr>
      <w:sz w:val="18"/>
      <w:szCs w:val="18"/>
    </w:rPr>
  </w:style>
  <w:style w:type="paragraph" w:styleId="881">
    <w:name w:val="Normal (Web)"/>
    <w:basedOn w:val="872"/>
    <w:uiPriority w:val="99"/>
    <w:unhideWhenUsed/>
    <w:qFormat/>
    <w:pPr>
      <w:jc w:val="left"/>
      <w:spacing w:before="100" w:beforeAutospacing="1" w:after="100" w:afterAutospacing="1"/>
      <w:widowControl/>
    </w:pPr>
    <w:rPr>
      <w:rFonts w:ascii="宋体" w:hAnsi="宋体" w:eastAsia="宋体" w:cs="宋体"/>
      <w:sz w:val="24"/>
      <w:szCs w:val="24"/>
    </w:rPr>
  </w:style>
  <w:style w:type="paragraph" w:styleId="882" w:customStyle="1">
    <w:name w:val="段"/>
    <w:next w:val="872"/>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paragraph" w:styleId="883" w:customStyle="1">
    <w:name w:val="纯文本11"/>
    <w:basedOn w:val="872"/>
    <w:uiPriority w:val="0"/>
    <w:qFormat/>
    <w:rPr>
      <w:rFonts w:ascii="宋体" w:hAnsi="宋体" w:eastAsia="宋体" w:cs="Times New Roman"/>
      <w:szCs w:val="20"/>
      <w:lang w:eastAsia="ar-SA"/>
    </w:rPr>
  </w:style>
  <w:style w:type="paragraph" w:styleId="884" w:customStyle="1">
    <w:name w:val="正文首行缩进11"/>
    <w:basedOn w:val="872"/>
    <w:uiPriority w:val="0"/>
    <w:qFormat/>
    <w:pPr>
      <w:ind w:firstLine="200"/>
      <w:spacing w:line="360" w:lineRule="auto"/>
    </w:pPr>
    <w:rPr>
      <w:rFonts w:ascii="仿宋_GB2312" w:hAnsi="Arial" w:eastAsia="仿宋_GB2312"/>
      <w:sz w:val="30"/>
      <w:szCs w:val="30"/>
    </w:rPr>
  </w:style>
  <w:style w:type="numbering" w:styleId="88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严伟</cp:lastModifiedBy>
  <cp:revision>2</cp:revision>
  <dcterms:created xsi:type="dcterms:W3CDTF">2026-08-24T08:18:04Z</dcterms:created>
  <dcterms:modified xsi:type="dcterms:W3CDTF">2026-08-25T02:29:34Z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eyJoZGlkIjoiZDc4MWY3ZTU0ZGJjZjJmYjUzNzlmM2M5MGUwZGUxOTQiLCJ1c2VySWQiOiI3MzE4NjE2NzYifQ==</vt:lpwstr>
  </property>
  <property fmtid="{D5CDD505-2E9C-101B-9397-08002B2CF9AE}" pid="4" name="ICV">
    <vt:lpwstr>D1CE9F1A90424550B6A22ED8D78BC4C9_12</vt:lpwstr>
  </property>
</Properties>
</file>