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sz w:val="72"/>
        </w:rPr>
      </w:pPr>
      <w:r>
        <w:rPr>
          <w:rFonts w:hint="eastAsia" w:ascii="宋体" w:hAnsi="宋体" w:eastAsia="宋体" w:cs="宋体"/>
          <w:b/>
          <w:sz w:val="72"/>
        </w:rPr>
      </w:r>
      <w:r/>
    </w:p>
    <w:p>
      <w:pPr>
        <w:ind w:left="0"/>
        <w:jc w:val="center"/>
        <w:rPr>
          <w:rFonts w:hint="eastAsia" w:ascii="宋体" w:hAnsi="宋体" w:eastAsia="宋体" w:cs="宋体"/>
          <w:b/>
          <w:sz w:val="108"/>
        </w:rPr>
      </w:pPr>
      <w:r>
        <w:rPr>
          <w:rFonts w:hint="eastAsia" w:ascii="宋体" w:hAnsi="宋体" w:eastAsia="宋体" w:cs="宋体"/>
          <w:b/>
          <w:sz w:val="108"/>
        </w:rPr>
        <w:t xml:space="preserve">苏州市政府采购</w:t>
      </w:r>
      <w:r/>
    </w:p>
    <w:p>
      <w:pPr>
        <w:ind w:left="0"/>
        <w:jc w:val="center"/>
        <w:rPr>
          <w:rFonts w:hint="eastAsia" w:ascii="宋体" w:hAnsi="宋体" w:eastAsia="宋体" w:cs="宋体"/>
          <w:b/>
          <w:sz w:val="108"/>
        </w:rPr>
      </w:pPr>
      <w:r>
        <w:rPr>
          <w:rFonts w:hint="eastAsia" w:ascii="宋体" w:hAnsi="宋体" w:eastAsia="宋体" w:cs="宋体"/>
          <w:b/>
          <w:sz w:val="108"/>
        </w:rPr>
        <w:t xml:space="preserve">招标文件</w:t>
      </w:r>
      <w:r/>
    </w:p>
    <w:p>
      <w:pPr>
        <w:ind w:left="0"/>
        <w:jc w:val="left"/>
        <w:spacing w:line="360" w:lineRule="auto"/>
        <w:rPr>
          <w:rFonts w:hint="eastAsia" w:ascii="宋体" w:hAnsi="宋体" w:eastAsia="宋体" w:cs="宋体"/>
        </w:rPr>
      </w:pPr>
      <w:r>
        <w:rPr>
          <w:rFonts w:hint="eastAsia" w:ascii="宋体" w:hAnsi="宋体" w:eastAsia="宋体" w:cs="宋体"/>
        </w:rPr>
      </w:r>
      <w:r/>
    </w:p>
    <w:p>
      <w:pPr>
        <w:ind w:left="0"/>
        <w:jc w:val="left"/>
        <w:spacing w:line="360" w:lineRule="auto"/>
        <w:rPr>
          <w:rFonts w:hint="eastAsia" w:ascii="宋体" w:hAnsi="宋体" w:eastAsia="宋体" w:cs="宋体"/>
        </w:rPr>
      </w:pPr>
      <w:r>
        <w:rPr>
          <w:rFonts w:hint="eastAsia" w:ascii="宋体" w:hAnsi="宋体" w:eastAsia="宋体" w:cs="宋体"/>
        </w:rPr>
      </w:r>
      <w:r/>
    </w:p>
    <w:p>
      <w:pPr>
        <w:ind w:left="0"/>
        <w:jc w:val="left"/>
        <w:spacing w:line="480" w:lineRule="auto"/>
        <w:rPr>
          <w:rFonts w:hint="eastAsia" w:ascii="宋体" w:hAnsi="宋体" w:eastAsia="宋体" w:cs="宋体"/>
          <w:b/>
          <w:sz w:val="32"/>
        </w:rPr>
      </w:pPr>
      <w:r>
        <w:rPr>
          <w:rFonts w:hint="eastAsia" w:ascii="宋体" w:hAnsi="宋体" w:eastAsia="宋体" w:cs="宋体"/>
          <w:b/>
          <w:sz w:val="32"/>
        </w:rPr>
      </w:r>
      <w:r/>
    </w:p>
    <w:p>
      <w:pPr>
        <w:ind w:left="1842"/>
        <w:jc w:val="left"/>
        <w:spacing w:line="480" w:lineRule="auto"/>
        <w:rPr>
          <w:rFonts w:hint="eastAsia" w:ascii="宋体" w:hAnsi="宋体" w:eastAsia="宋体" w:cs="宋体"/>
          <w:b/>
          <w:sz w:val="32"/>
          <w:lang w:eastAsia="zh-CN"/>
        </w:rPr>
      </w:pPr>
      <w:r>
        <w:rPr>
          <w:rFonts w:hint="eastAsia" w:ascii="宋体" w:hAnsi="宋体" w:eastAsia="宋体" w:cs="宋体"/>
          <w:b/>
          <w:sz w:val="32"/>
        </w:rPr>
        <w:t xml:space="preserve">项目编号：</w:t>
      </w:r>
      <w:r>
        <w:rPr>
          <w:rFonts w:hint="eastAsia" w:ascii="宋体" w:hAnsi="宋体" w:cs="宋体"/>
          <w:b/>
          <w:sz w:val="32"/>
          <w:lang w:eastAsia="zh-CN"/>
        </w:rPr>
        <w:t xml:space="preserve">JSZC-320500-CCCC-G2026-0024</w:t>
      </w:r>
      <w:r/>
    </w:p>
    <w:p>
      <w:pPr>
        <w:ind w:left="1842"/>
        <w:jc w:val="left"/>
        <w:spacing w:line="480" w:lineRule="auto"/>
        <w:rPr>
          <w:rFonts w:hint="eastAsia" w:ascii="宋体" w:hAnsi="宋体" w:eastAsia="宋体" w:cs="宋体"/>
          <w:b/>
          <w:sz w:val="32"/>
          <w:lang w:eastAsia="zh-CN"/>
        </w:rPr>
      </w:pPr>
      <w:r>
        <w:rPr>
          <w:rFonts w:hint="eastAsia" w:ascii="宋体" w:hAnsi="宋体" w:eastAsia="宋体" w:cs="宋体"/>
          <w:b/>
          <w:sz w:val="32"/>
        </w:rPr>
        <w:t xml:space="preserve">采购单位：</w:t>
      </w:r>
      <w:r>
        <w:rPr>
          <w:rFonts w:hint="eastAsia" w:ascii="宋体" w:hAnsi="宋体" w:eastAsia="宋体" w:cs="宋体"/>
          <w:b/>
          <w:sz w:val="32"/>
          <w:lang w:eastAsia="zh-CN"/>
        </w:rPr>
        <w:t xml:space="preserve">苏州市交通运输应急指挥中心</w:t>
      </w:r>
      <w:r/>
    </w:p>
    <w:p>
      <w:pPr>
        <w:ind w:left="1842"/>
        <w:jc w:val="left"/>
        <w:spacing w:line="480" w:lineRule="auto"/>
        <w:rPr>
          <w:rFonts w:hint="eastAsia" w:ascii="宋体" w:hAnsi="宋体" w:eastAsia="宋体" w:cs="宋体"/>
          <w:b/>
          <w:sz w:val="32"/>
        </w:rPr>
      </w:pPr>
      <w:r>
        <w:rPr>
          <w:rFonts w:hint="eastAsia" w:ascii="宋体" w:hAnsi="宋体" w:eastAsia="宋体" w:cs="宋体"/>
          <w:b/>
          <w:sz w:val="32"/>
        </w:rPr>
        <w:t xml:space="preserve">项目名称：</w:t>
      </w:r>
      <w:r>
        <w:rPr>
          <w:rFonts w:hint="eastAsia" w:ascii="宋体" w:hAnsi="宋体" w:eastAsia="宋体" w:cs="宋体"/>
          <w:b/>
          <w:sz w:val="32"/>
          <w:lang w:eastAsia="zh-CN"/>
        </w:rPr>
        <w:t xml:space="preserve">苏州市交通运输应急指挥中心指挥大厅运行监测坐席采购</w:t>
      </w:r>
      <w:r/>
    </w:p>
    <w:p>
      <w:pPr>
        <w:ind w:left="1842"/>
        <w:jc w:val="left"/>
        <w:spacing w:line="480" w:lineRule="auto"/>
        <w:tabs>
          <w:tab w:val="center" w:pos="6264" w:leader="none"/>
        </w:tabs>
        <w:rPr>
          <w:rFonts w:hint="eastAsia" w:ascii="宋体" w:hAnsi="宋体" w:eastAsia="宋体" w:cs="宋体"/>
          <w:b/>
          <w:spacing w:val="20"/>
          <w:sz w:val="32"/>
        </w:rPr>
      </w:pPr>
      <w:r>
        <w:rPr>
          <w:rFonts w:hint="eastAsia" w:ascii="宋体" w:hAnsi="宋体" w:eastAsia="宋体" w:cs="宋体"/>
          <w:b/>
          <w:sz w:val="32"/>
        </w:rPr>
        <w:t xml:space="preserve">项目类别：货物类</w:t>
      </w:r>
      <w:r/>
    </w:p>
    <w:p>
      <w:pPr>
        <w:ind w:left="0" w:firstLine="2695"/>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ind w:left="0"/>
        <w:jc w:val="left"/>
        <w:rPr>
          <w:rFonts w:hint="eastAsia" w:ascii="宋体" w:hAnsi="宋体" w:eastAsia="宋体" w:cs="宋体"/>
          <w:b/>
          <w:sz w:val="32"/>
        </w:rPr>
      </w:pPr>
      <w:r>
        <w:rPr>
          <w:rFonts w:hint="eastAsia" w:ascii="宋体" w:hAnsi="宋体" w:eastAsia="宋体" w:cs="宋体"/>
          <w:b/>
          <w:sz w:val="32"/>
        </w:rPr>
      </w:r>
      <w:r/>
    </w:p>
    <w:p>
      <w:pPr>
        <w:pStyle w:val="882"/>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rPr>
          <w:rFonts w:hint="eastAsia" w:ascii="宋体" w:hAnsi="宋体" w:eastAsia="宋体" w:cs="宋体"/>
          <w:b/>
          <w:sz w:val="32"/>
        </w:rPr>
      </w:pPr>
      <w:r>
        <w:rPr>
          <w:rFonts w:hint="eastAsia" w:ascii="宋体" w:hAnsi="宋体" w:eastAsia="宋体" w:cs="宋体"/>
          <w:b/>
          <w:sz w:val="32"/>
        </w:rPr>
      </w:r>
      <w:r/>
    </w:p>
    <w:p>
      <w:pPr>
        <w:ind w:left="0" w:firstLine="1606"/>
        <w:jc w:val="left"/>
        <w:rPr>
          <w:rFonts w:hint="eastAsia" w:ascii="宋体" w:hAnsi="宋体" w:eastAsia="宋体" w:cs="宋体"/>
          <w:b/>
          <w:sz w:val="32"/>
        </w:rPr>
      </w:pPr>
      <w:r>
        <w:rPr>
          <w:rFonts w:hint="eastAsia" w:ascii="宋体" w:hAnsi="宋体" w:eastAsia="宋体" w:cs="宋体"/>
          <w:b/>
          <w:sz w:val="32"/>
        </w:rPr>
      </w:r>
      <w:r/>
    </w:p>
    <w:p>
      <w:pPr>
        <w:ind w:left="0"/>
        <w:jc w:val="center"/>
        <w:rPr>
          <w:rFonts w:hint="eastAsia" w:ascii="宋体" w:hAnsi="宋体" w:eastAsia="宋体" w:cs="宋体"/>
          <w:b/>
          <w:sz w:val="32"/>
          <w:lang w:eastAsia="zh-CN"/>
        </w:rPr>
      </w:pPr>
      <w:r>
        <w:rPr>
          <w:rFonts w:hint="eastAsia" w:ascii="宋体" w:hAnsi="宋体" w:eastAsia="宋体" w:cs="宋体"/>
          <w:b/>
          <w:sz w:val="32"/>
          <w:lang w:eastAsia="zh-CN"/>
        </w:rPr>
        <w:t xml:space="preserve">苏州市永诚建设咨询有限公司</w:t>
      </w:r>
      <w:r/>
    </w:p>
    <w:p>
      <w:pPr>
        <w:ind w:left="0"/>
        <w:jc w:val="center"/>
        <w:rPr>
          <w:rFonts w:hint="eastAsia" w:ascii="宋体" w:hAnsi="宋体" w:eastAsia="宋体" w:cs="宋体"/>
          <w:b/>
          <w:sz w:val="32"/>
        </w:rPr>
      </w:pPr>
      <w:r>
        <w:rPr>
          <w:rFonts w:hint="eastAsia" w:ascii="宋体" w:hAnsi="宋体" w:eastAsia="宋体" w:cs="宋体"/>
          <w:b/>
          <w:sz w:val="32"/>
        </w:rPr>
        <w:t xml:space="preserve">2026年</w:t>
      </w:r>
      <w:r>
        <w:rPr>
          <w:rFonts w:hint="eastAsia" w:ascii="宋体" w:hAnsi="宋体" w:eastAsia="宋体" w:cs="宋体"/>
          <w:b/>
          <w:sz w:val="32"/>
          <w:lang w:val="en-US" w:eastAsia="zh-CN"/>
        </w:rPr>
        <w:t xml:space="preserve">9</w:t>
      </w:r>
      <w:r>
        <w:rPr>
          <w:rFonts w:hint="eastAsia" w:ascii="宋体" w:hAnsi="宋体" w:eastAsia="宋体" w:cs="宋体"/>
          <w:b/>
          <w:sz w:val="32"/>
        </w:rPr>
        <w:t xml:space="preserve">月</w:t>
      </w:r>
      <w:r/>
    </w:p>
    <w:p>
      <w:pPr>
        <w:ind w:left="0"/>
        <w:jc w:val="center"/>
        <w:rPr>
          <w:rFonts w:hint="eastAsia" w:ascii="宋体" w:hAnsi="宋体" w:eastAsia="宋体" w:cs="宋体"/>
          <w:sz w:val="48"/>
        </w:rPr>
        <w:sectPr>
          <w:headerReference w:type="default" r:id="rId8"/>
          <w:headerReference w:type="first" r:id="rId9"/>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eastAsia="宋体" w:cs="宋体"/>
          <w:sz w:val="48"/>
        </w:rPr>
      </w:r>
      <w:r/>
    </w:p>
    <w:p>
      <w:pPr>
        <w:ind w:left="0"/>
        <w:jc w:val="center"/>
        <w:rPr>
          <w:rFonts w:hint="eastAsia" w:ascii="宋体" w:hAnsi="宋体" w:eastAsia="宋体" w:cs="宋体"/>
          <w:sz w:val="48"/>
        </w:rPr>
      </w:pPr>
      <w:r>
        <w:rPr>
          <w:rFonts w:hint="eastAsia" w:ascii="宋体" w:hAnsi="宋体" w:eastAsia="宋体" w:cs="宋体"/>
          <w:sz w:val="48"/>
        </w:rPr>
        <w:t xml:space="preserve">总目录</w:t>
      </w:r>
      <w:r/>
    </w:p>
    <w:p>
      <w:pPr>
        <w:pStyle w:val="889"/>
        <w:ind w:firstLine="0"/>
        <w:jc w:val="left"/>
        <w:spacing w:before="120" w:after="120"/>
        <w:tabs>
          <w:tab w:val="right" w:pos="9856" w:leader="dot"/>
        </w:tabs>
        <w:rPr>
          <w:rStyle w:val="925"/>
          <w:rFonts w:hint="eastAsia" w:ascii="宋体" w:hAnsi="宋体" w:eastAsia="宋体" w:cs="宋体"/>
          <w:bCs/>
          <w:caps/>
          <w:color w:val="auto"/>
          <w:sz w:val="32"/>
          <w:szCs w:val="32"/>
        </w:rPr>
        <w:outlineLvl w:val="9"/>
      </w:pPr>
      <w:r>
        <w:rPr>
          <w:rFonts w:hint="eastAsia" w:ascii="宋体" w:hAnsi="宋体" w:eastAsia="宋体" w:cs="宋体"/>
          <w:bCs/>
          <w:caps/>
          <w:color w:val="auto"/>
          <w:sz w:val="32"/>
          <w:szCs w:val="32"/>
        </w:rPr>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Style w:val="925"/>
          <w:rFonts w:hint="eastAsia" w:ascii="宋体" w:hAnsi="宋体" w:eastAsia="宋体" w:cs="宋体"/>
          <w:bCs/>
          <w:caps/>
          <w:color w:val="auto"/>
          <w:sz w:val="32"/>
        </w:rPr>
        <w:fldChar w:fldCharType="begin"/>
      </w:r>
      <w:r>
        <w:rPr>
          <w:rStyle w:val="925"/>
          <w:rFonts w:hint="eastAsia" w:ascii="宋体" w:hAnsi="宋体" w:eastAsia="宋体" w:cs="宋体"/>
          <w:bCs/>
          <w:caps/>
          <w:color w:val="auto"/>
          <w:sz w:val="32"/>
        </w:rPr>
        <w:instrText xml:space="preserve"> TOC \o "1-1" \h \z \u </w:instrText>
      </w:r>
      <w:r>
        <w:rPr>
          <w:rStyle w:val="925"/>
          <w:rFonts w:hint="eastAsia" w:ascii="宋体" w:hAnsi="宋体" w:eastAsia="宋体" w:cs="宋体"/>
          <w:bCs/>
          <w:caps/>
          <w:color w:val="auto"/>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"_Toc105397776" \o "#_Toc105397776"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第一章 投标邀请函</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_Toc105397776 \h </w:instrText>
      </w:r>
      <w:r>
        <w:rPr>
          <w:rStyle w:val="925"/>
          <w:rFonts w:hint="eastAsia" w:ascii="宋体" w:hAnsi="宋体" w:eastAsia="宋体" w:cs="宋体"/>
          <w:bCs/>
          <w:caps/>
          <w:color w:val="auto"/>
          <w:sz w:val="32"/>
          <w:szCs w:val="32"/>
        </w:rPr>
        <w:fldChar w:fldCharType="separate"/>
      </w:r>
      <w:r>
        <w:rPr>
          <w:rStyle w:val="925"/>
          <w:rFonts w:hint="eastAsia" w:ascii="宋体" w:hAnsi="宋体" w:eastAsia="宋体" w:cs="宋体"/>
          <w:bCs/>
          <w:caps/>
          <w:color w:val="auto"/>
          <w:sz w:val="32"/>
          <w:szCs w:val="32"/>
        </w:rPr>
        <w:t xml:space="preserve">6</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"_Toc105397777" \o "#_Toc105397777"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第二章 投标人须知</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_Toc105397777 \h </w:instrText>
      </w:r>
      <w:r>
        <w:rPr>
          <w:rStyle w:val="925"/>
          <w:rFonts w:hint="eastAsia" w:ascii="宋体" w:hAnsi="宋体" w:eastAsia="宋体" w:cs="宋体"/>
          <w:bCs/>
          <w:caps/>
          <w:color w:val="auto"/>
          <w:sz w:val="32"/>
          <w:szCs w:val="32"/>
        </w:rPr>
        <w:fldChar w:fldCharType="separate"/>
      </w:r>
      <w:r>
        <w:rPr>
          <w:rStyle w:val="925"/>
          <w:rFonts w:hint="eastAsia" w:ascii="宋体" w:hAnsi="宋体" w:eastAsia="宋体" w:cs="宋体"/>
          <w:bCs/>
          <w:caps/>
          <w:color w:val="auto"/>
          <w:sz w:val="32"/>
          <w:szCs w:val="32"/>
        </w:rPr>
        <w:t xml:space="preserve">9</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"_Toc105397778" \o "#_Toc105397778"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第三章 投标文件格式</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_Toc105397778 \h </w:instrText>
      </w:r>
      <w:r>
        <w:rPr>
          <w:rStyle w:val="925"/>
          <w:rFonts w:hint="eastAsia" w:ascii="宋体" w:hAnsi="宋体" w:eastAsia="宋体" w:cs="宋体"/>
          <w:bCs/>
          <w:caps/>
          <w:color w:val="auto"/>
          <w:sz w:val="32"/>
          <w:szCs w:val="32"/>
        </w:rPr>
        <w:fldChar w:fldCharType="separate"/>
      </w:r>
      <w:r>
        <w:rPr>
          <w:rStyle w:val="925"/>
          <w:rFonts w:hint="eastAsia" w:ascii="宋体" w:hAnsi="宋体" w:eastAsia="宋体" w:cs="宋体"/>
          <w:bCs/>
          <w:caps/>
          <w:color w:val="auto"/>
          <w:sz w:val="32"/>
          <w:szCs w:val="32"/>
        </w:rPr>
        <w:t xml:space="preserve">21</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"_Toc105397793" \o "#_Toc105397793"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第四章 招标书</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_Toc105397793 \h </w:instrText>
      </w:r>
      <w:r>
        <w:rPr>
          <w:rStyle w:val="925"/>
          <w:rFonts w:hint="eastAsia" w:ascii="宋体" w:hAnsi="宋体" w:eastAsia="宋体" w:cs="宋体"/>
          <w:bCs/>
          <w:caps/>
          <w:color w:val="auto"/>
          <w:sz w:val="32"/>
          <w:szCs w:val="32"/>
        </w:rPr>
        <w:fldChar w:fldCharType="separate"/>
      </w:r>
      <w:r>
        <w:rPr>
          <w:rStyle w:val="925"/>
          <w:rFonts w:hint="eastAsia" w:ascii="宋体" w:hAnsi="宋体" w:eastAsia="宋体" w:cs="宋体"/>
          <w:bCs/>
          <w:caps/>
          <w:color w:val="auto"/>
          <w:sz w:val="32"/>
          <w:szCs w:val="32"/>
        </w:rPr>
        <w:t xml:space="preserve">35</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"_Toc105397794" \o "#_Toc105397794"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第五章 合同及主要条款</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_Toc105397794 \h </w:instrText>
      </w:r>
      <w:r>
        <w:rPr>
          <w:rStyle w:val="925"/>
          <w:rFonts w:hint="eastAsia" w:ascii="宋体" w:hAnsi="宋体" w:eastAsia="宋体" w:cs="宋体"/>
          <w:bCs/>
          <w:caps/>
          <w:color w:val="auto"/>
          <w:sz w:val="32"/>
          <w:szCs w:val="32"/>
        </w:rPr>
        <w:fldChar w:fldCharType="separate"/>
      </w:r>
      <w:r>
        <w:rPr>
          <w:rStyle w:val="925"/>
          <w:rFonts w:hint="eastAsia" w:ascii="宋体" w:hAnsi="宋体" w:eastAsia="宋体" w:cs="宋体"/>
          <w:bCs/>
          <w:caps/>
          <w:color w:val="auto"/>
          <w:sz w:val="32"/>
          <w:szCs w:val="32"/>
        </w:rPr>
        <w:t xml:space="preserve">45</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4" w:leader="dot"/>
        </w:tabs>
        <w:rPr>
          <w:rStyle w:val="925"/>
          <w:rFonts w:hint="eastAsia" w:ascii="宋体" w:hAnsi="宋体" w:eastAsia="宋体" w:cs="宋体"/>
          <w:bCs/>
          <w:caps/>
          <w:color w:val="auto"/>
          <w:sz w:val="32"/>
          <w:szCs w:val="32"/>
        </w:rPr>
        <w:outlineLvl w:val="9"/>
      </w:pPr>
      <w:r>
        <w:rPr>
          <w:rFonts w:hint="eastAsia" w:ascii="宋体" w:hAnsi="宋体" w:eastAsia="宋体" w:cs="宋体"/>
        </w:rPr>
        <w:fldChar w:fldCharType="begin"/>
      </w:r>
      <w:r>
        <w:rPr>
          <w:rFonts w:hint="eastAsia" w:ascii="宋体" w:hAnsi="宋体" w:eastAsia="宋体" w:cs="宋体"/>
        </w:rPr>
        <w:instrText xml:space="preserve"> HYPERLINK \l "_Toc105397795" \o "#_Toc105397795" </w:instrText>
      </w:r>
      <w:r>
        <w:rPr>
          <w:rFonts w:hint="eastAsia" w:ascii="宋体" w:hAnsi="宋体" w:eastAsia="宋体" w:cs="宋体"/>
        </w:rPr>
        <w:fldChar w:fldCharType="separate"/>
      </w:r>
      <w:r>
        <w:rPr>
          <w:rStyle w:val="925"/>
          <w:rFonts w:hint="eastAsia" w:ascii="宋体" w:hAnsi="宋体" w:eastAsia="宋体" w:cs="宋体"/>
          <w:bCs/>
          <w:caps/>
          <w:color w:val="auto"/>
          <w:sz w:val="32"/>
          <w:szCs w:val="32"/>
        </w:rPr>
        <w:t xml:space="preserve">第六章 评标办法和评分标准</w:t>
      </w:r>
      <w:r>
        <w:rPr>
          <w:rStyle w:val="925"/>
          <w:rFonts w:hint="eastAsia" w:ascii="宋体" w:hAnsi="宋体" w:eastAsia="宋体" w:cs="宋体"/>
          <w:bCs/>
          <w:caps/>
          <w:color w:val="auto"/>
          <w:sz w:val="32"/>
          <w:szCs w:val="32"/>
        </w:rPr>
        <w:tab/>
      </w:r>
      <w:r>
        <w:rPr>
          <w:rStyle w:val="925"/>
          <w:rFonts w:hint="eastAsia" w:ascii="宋体" w:hAnsi="宋体" w:eastAsia="宋体" w:cs="宋体"/>
          <w:bCs/>
          <w:caps/>
          <w:color w:val="auto"/>
          <w:sz w:val="32"/>
          <w:szCs w:val="32"/>
        </w:rPr>
        <w:fldChar w:fldCharType="begin"/>
      </w:r>
      <w:r>
        <w:rPr>
          <w:rStyle w:val="925"/>
          <w:rFonts w:hint="eastAsia" w:ascii="宋体" w:hAnsi="宋体" w:eastAsia="宋体" w:cs="宋体"/>
          <w:bCs/>
          <w:caps/>
          <w:color w:val="auto"/>
          <w:sz w:val="32"/>
          <w:szCs w:val="32"/>
        </w:rPr>
        <w:instrText xml:space="preserve"> PAGEREF _Toc105397795 \h </w:instrText>
      </w:r>
      <w:r>
        <w:rPr>
          <w:rStyle w:val="925"/>
          <w:rFonts w:hint="eastAsia" w:ascii="宋体" w:hAnsi="宋体" w:eastAsia="宋体" w:cs="宋体"/>
          <w:bCs/>
          <w:caps/>
          <w:color w:val="auto"/>
          <w:sz w:val="32"/>
          <w:szCs w:val="32"/>
        </w:rPr>
        <w:fldChar w:fldCharType="separate"/>
      </w:r>
      <w:r>
        <w:rPr>
          <w:rStyle w:val="925"/>
          <w:rFonts w:hint="eastAsia" w:ascii="宋体" w:hAnsi="宋体" w:cs="宋体"/>
          <w:bCs/>
          <w:caps/>
          <w:color w:val="auto"/>
          <w:sz w:val="32"/>
          <w:szCs w:val="32"/>
          <w:lang w:val="en-US" w:eastAsia="zh-CN"/>
        </w:rPr>
        <w:t xml:space="preserve">54</w:t>
      </w:r>
      <w:r>
        <w:rPr>
          <w:rStyle w:val="925"/>
          <w:rFonts w:hint="eastAsia" w:ascii="宋体" w:hAnsi="宋体" w:eastAsia="宋体" w:cs="宋体"/>
          <w:bCs/>
          <w:caps/>
          <w:color w:val="auto"/>
          <w:sz w:val="32"/>
          <w:szCs w:val="32"/>
        </w:rPr>
        <w:fldChar w:fldCharType="end"/>
      </w:r>
      <w:r>
        <w:rPr>
          <w:rStyle w:val="925"/>
          <w:rFonts w:hint="eastAsia" w:ascii="宋体" w:hAnsi="宋体" w:eastAsia="宋体" w:cs="宋体"/>
          <w:bCs/>
          <w:caps/>
          <w:color w:val="auto"/>
          <w:sz w:val="32"/>
          <w:szCs w:val="32"/>
        </w:rPr>
        <w:fldChar w:fldCharType="end"/>
      </w:r>
      <w:r/>
    </w:p>
    <w:p>
      <w:pPr>
        <w:pStyle w:val="889"/>
        <w:ind w:firstLine="0"/>
        <w:jc w:val="left"/>
        <w:spacing w:before="120" w:after="120"/>
        <w:tabs>
          <w:tab w:val="right" w:pos="9856" w:leader="dot"/>
        </w:tabs>
        <w:rPr>
          <w:rFonts w:hint="eastAsia" w:ascii="宋体" w:hAnsi="宋体" w:eastAsia="宋体" w:cs="宋体"/>
          <w:sz w:val="32"/>
          <w:szCs w:val="32"/>
        </w:rPr>
        <w:outlineLvl w:val="9"/>
      </w:pPr>
      <w:r>
        <w:rPr>
          <w:rStyle w:val="925"/>
          <w:rFonts w:hint="eastAsia" w:ascii="宋体" w:hAnsi="宋体" w:eastAsia="宋体" w:cs="宋体"/>
          <w:bCs/>
          <w:caps/>
          <w:color w:val="auto"/>
          <w:sz w:val="32"/>
        </w:rPr>
        <w:fldChar w:fldCharType="end"/>
      </w:r>
      <w:r/>
    </w:p>
    <w:p>
      <w:pPr>
        <w:ind w:left="0"/>
        <w:rPr>
          <w:rFonts w:hint="eastAsia" w:ascii="宋体" w:hAnsi="宋体" w:eastAsia="宋体" w:cs="宋体"/>
          <w:sz w:val="32"/>
          <w:szCs w:val="32"/>
        </w:rPr>
      </w:pPr>
      <w:r>
        <w:rPr>
          <w:rFonts w:hint="eastAsia" w:ascii="宋体" w:hAnsi="宋体" w:eastAsia="宋体" w:cs="宋体"/>
          <w:sz w:val="32"/>
          <w:szCs w:val="32"/>
        </w:rPr>
      </w:r>
      <w:r/>
    </w:p>
    <w:p>
      <w:pPr>
        <w:ind w:left="0"/>
        <w:jc w:val="center"/>
        <w:rPr>
          <w:rFonts w:hint="eastAsia" w:ascii="宋体" w:hAnsi="宋体" w:eastAsia="宋体" w:cs="宋体"/>
          <w:b/>
          <w:spacing w:val="20"/>
          <w:sz w:val="30"/>
        </w:rPr>
      </w:pPr>
      <w:r>
        <w:rPr>
          <w:rFonts w:hint="eastAsia" w:ascii="宋体" w:hAnsi="宋体" w:eastAsia="宋体" w:cs="宋体"/>
        </w:rPr>
        <w:br w:type="page" w:clear="all"/>
      </w:r>
      <w:bookmarkStart w:id="0" w:name="_Toc15681"/>
      <w:r/>
      <w:bookmarkStart w:id="1" w:name="_Toc16121"/>
      <w:r/>
      <w:bookmarkStart w:id="2" w:name="_Toc17003"/>
      <w:r>
        <w:rPr>
          <w:rFonts w:hint="eastAsia" w:ascii="宋体" w:hAnsi="宋体" w:eastAsia="宋体" w:cs="宋体"/>
          <w:b/>
          <w:spacing w:val="20"/>
          <w:sz w:val="30"/>
        </w:rPr>
        <w:t xml:space="preserve">前 附 表</w:t>
      </w:r>
      <w:bookmarkEnd w:id="0"/>
      <w:r/>
      <w:bookmarkEnd w:id="1"/>
      <w:r/>
      <w:bookmarkEnd w:id="2"/>
      <w:r/>
      <w:r/>
    </w:p>
    <w:tbl>
      <w:tblPr>
        <w:tblStyle w:val="867"/>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JSZC-320500-CCCC-G2026-0024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苏州市交通运输应急指挥中心指挥大厅运行监测坐席采购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tabs>
                <w:tab w:val="left" w:pos="252"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采购代理机构</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苏州市永诚建设咨询有限公司</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苏州市东吴北路221号惠康新地7楼</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蒯珊珊</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0512-69157588-809</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苏州市交通运输应急指挥中心</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苏州市姑苏区南环东路1号</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田治超</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highlight w:val="none"/>
              </w:rPr>
              <w:t xml:space="preserve">联系电话：0512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65820360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获取招标文件</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投标文件网上</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日09点30分</w:t>
            </w:r>
            <w:r>
              <w:rPr>
                <w:rFonts w:hint="eastAsia" w:ascii="宋体" w:hAnsi="宋体" w:eastAsia="宋体" w:cs="宋体"/>
                <w:sz w:val="24"/>
                <w:szCs w:val="24"/>
              </w:rPr>
              <w:t xml:space="preserve">（北京时间） </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开标时间</w:t>
            </w:r>
            <w:r/>
          </w:p>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日09点30分</w:t>
            </w:r>
            <w:r>
              <w:rPr>
                <w:rFonts w:hint="eastAsia" w:ascii="宋体" w:hAnsi="宋体" w:eastAsia="宋体" w:cs="宋体"/>
                <w:sz w:val="24"/>
                <w:szCs w:val="24"/>
              </w:rPr>
              <w:t xml:space="preserve">（北京时间）</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“苏采云”系统（网址：http://jszfcg.jsczt.cn/）</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评标时间</w:t>
            </w:r>
            <w:r/>
          </w:p>
          <w:p>
            <w:pPr>
              <w:ind w:left="0" w:right="0"/>
              <w:jc w:val="center"/>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日09点30分</w:t>
            </w:r>
            <w:r>
              <w:rPr>
                <w:rFonts w:hint="eastAsia" w:ascii="宋体" w:hAnsi="宋体" w:eastAsia="宋体" w:cs="宋体"/>
                <w:sz w:val="24"/>
                <w:szCs w:val="24"/>
              </w:rPr>
              <w:t xml:space="preserve">（北京时间）</w:t>
            </w:r>
            <w:r/>
          </w:p>
          <w:p>
            <w:pPr>
              <w:ind w:left="0" w:right="0"/>
              <w:jc w:val="left"/>
              <w:keepLines w:val="0"/>
              <w:keepNext w:val="0"/>
              <w:spacing w:before="0" w:beforeAutospacing="0" w:after="0" w:afterAutospacing="0" w:line="312"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1、本项目采用电子投标文件，投标人按照招标文件要求制作上传电子投标文件。</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2、本项目采用电子网上招投标（电子标书），中标单位在领取中标通知书时向采购代理机构提交盖章版投标文件纸质版，份数四份（一正三副）。纸面投标文件与上传的电子投标文件一致。用于存档备案。</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履约保证金金额为：合同总金额的【</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乙方应在合同签订后【</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%】的违约金，给甲方造成损失的，乙方应赔偿甲方一切直接、间接损失。本项目质保期</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待质保期满且完成</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缺陷更正，并配合主管部门办理移交手续后，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退还履约保证金（无息）。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right="0" w:firstLine="0"/>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确定出中标人后，采购代理机构在法定时间内向中标人发出中标通知书。中标通知书将成为合同的组成部分。</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sz w:val="24"/>
                <w:szCs w:val="24"/>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收费标准：</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预算金额100万以下费率为预算金额的1.5%；</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预算金额100－500万费率为预算金额的1.1%；</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预算金额500-1000万费率为预算金额的0.8%；</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预算金额1000-5000万费率为预算金额的0.5%；</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注：代理服务费按上述规定的标准和差额定率累进法进行计算后收取。</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按苏州市政府采购网苏州市级政府采购代理服务收费公告信息表公示，本项目代理服务费：</w:t>
            </w:r>
            <w:r>
              <w:rPr>
                <w:rFonts w:hint="eastAsia" w:ascii="宋体" w:hAnsi="宋体" w:cs="宋体"/>
                <w:b w:val="0"/>
                <w:bCs w:val="0"/>
                <w:sz w:val="24"/>
                <w:szCs w:val="24"/>
                <w:lang w:val="en-US" w:eastAsia="zh-CN"/>
              </w:rPr>
              <w:t xml:space="preserve">15550</w:t>
            </w:r>
            <w:r>
              <w:rPr>
                <w:rFonts w:hint="eastAsia" w:ascii="宋体" w:hAnsi="宋体" w:eastAsia="宋体" w:cs="宋体"/>
                <w:b w:val="0"/>
                <w:bCs w:val="0"/>
                <w:sz w:val="24"/>
                <w:szCs w:val="24"/>
              </w:rPr>
              <w:t xml:space="preserve">元。采购人须按上述规定计算并支付代理服务费。</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代理费账户：</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单位名称：苏州市永诚建设咨询有限公司</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纳税人识别号：913205087174701063</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地址、电话：苏州市东吴北路221号7楼 0512-65268668</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开户行及账号：苏州银行苏州分行营业部 </w:t>
            </w:r>
            <w:r/>
          </w:p>
          <w:p>
            <w:pPr>
              <w:pStyle w:val="1239"/>
              <w:ind w:left="0" w:right="0" w:firstLine="0"/>
              <w:keepLines w:val="0"/>
              <w:keepNext w:val="0"/>
              <w:spacing w:before="0" w:beforeAutospacing="0" w:after="0" w:afterAutospacing="0" w:line="440" w:lineRule="exact"/>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7066602001120149002568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出现下列情形之一的，为废标：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（一）符合专业条件的投标人或者对招标文件作实质响应的投标人不足三家的；（二）出现影响采购公正的违法、违规行为的；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（三）投标人的报价均超过了采购预算，采购人不能支付的； </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投标文件属下列情况之一的，在资格性、符合性检查时按照无效投标处理：</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（一）未按照招标文件规定要求签署、盖章的；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（二）不具备招标文件中规定资格要求的；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（三）报价超过招标文件中规定的预算金额或者最高限价的；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（四）投标文件含有采购人不能接受的附加条件的；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b/>
                <w:sz w:val="24"/>
                <w:szCs w:val="24"/>
              </w:rPr>
              <w:suppressLineNumbers w:val="0"/>
            </w:pPr>
            <w:r>
              <w:rPr>
                <w:rFonts w:hint="eastAsia" w:ascii="宋体" w:hAnsi="宋体" w:eastAsia="宋体" w:cs="宋体"/>
                <w:b/>
                <w:sz w:val="24"/>
                <w:szCs w:val="24"/>
              </w:rPr>
              <w:t xml:space="preserve">（五）机器码检查中，出现不同投标人投标文件机器码一致情形的；</w:t>
            </w:r>
            <w:r/>
          </w:p>
          <w:p>
            <w:pPr>
              <w:ind w:left="0" w:right="0"/>
              <w:jc w:val="left"/>
              <w:keepLines w:val="0"/>
              <w:keepNext w:val="0"/>
              <w:spacing w:before="0" w:beforeAutospacing="0" w:after="0" w:afterAutospacing="0" w:line="440" w:lineRule="exact"/>
              <w:widowControl/>
              <w:tabs>
                <w:tab w:val="left" w:pos="420"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（六）法律、法规和招标文件规定的其他无效情形。</w:t>
            </w:r>
            <w:r/>
          </w:p>
        </w:tc>
      </w:tr>
    </w:tbl>
    <w:p>
      <w:pPr>
        <w:ind w:left="0"/>
        <w:jc w:val="center"/>
        <w:rPr>
          <w:rFonts w:hint="eastAsia" w:ascii="宋体" w:hAnsi="宋体" w:eastAsia="宋体" w:cs="宋体"/>
          <w:b/>
          <w:sz w:val="44"/>
          <w:szCs w:val="22"/>
        </w:rPr>
      </w:pPr>
      <w:r/>
      <w:bookmarkStart w:id="3" w:name="_Toc7166"/>
      <w:r/>
      <w:bookmarkStart w:id="4" w:name="_Toc28592"/>
      <w:r/>
      <w:r/>
    </w:p>
    <w:p>
      <w:pPr>
        <w:ind w:left="0"/>
        <w:jc w:val="center"/>
        <w:rPr>
          <w:rFonts w:hint="eastAsia" w:ascii="宋体" w:hAnsi="宋体" w:eastAsia="宋体" w:cs="宋体"/>
          <w:b/>
          <w:sz w:val="44"/>
          <w:szCs w:val="22"/>
        </w:rPr>
      </w:pPr>
      <w:r>
        <w:rPr>
          <w:rFonts w:hint="eastAsia" w:ascii="宋体" w:hAnsi="宋体" w:eastAsia="宋体" w:cs="宋体"/>
          <w:b/>
          <w:sz w:val="44"/>
          <w:szCs w:val="22"/>
        </w:rPr>
      </w:r>
      <w:r/>
    </w:p>
    <w:p>
      <w:pPr>
        <w:pStyle w:val="882"/>
        <w:rPr>
          <w:rFonts w:hint="eastAsia" w:ascii="宋体" w:hAnsi="宋体" w:eastAsia="宋体" w:cs="宋体"/>
        </w:rPr>
      </w:pPr>
      <w:r>
        <w:rPr>
          <w:rFonts w:hint="eastAsia" w:ascii="宋体" w:hAnsi="宋体" w:eastAsia="宋体" w:cs="宋体"/>
        </w:rPr>
      </w:r>
      <w:r/>
    </w:p>
    <w:p>
      <w:pPr>
        <w:ind w:left="0"/>
        <w:jc w:val="center"/>
        <w:rPr>
          <w:rFonts w:hint="eastAsia" w:ascii="宋体" w:hAnsi="宋体" w:eastAsia="宋体" w:cs="宋体"/>
          <w:b/>
          <w:sz w:val="44"/>
          <w:szCs w:val="22"/>
        </w:rPr>
      </w:pPr>
      <w:r>
        <w:rPr>
          <w:rFonts w:hint="eastAsia" w:ascii="宋体" w:hAnsi="宋体" w:eastAsia="宋体" w:cs="宋体"/>
          <w:b/>
          <w:sz w:val="44"/>
          <w:szCs w:val="22"/>
        </w:rPr>
      </w:r>
      <w:r/>
    </w:p>
    <w:p>
      <w:pPr>
        <w:pStyle w:val="882"/>
        <w:rPr>
          <w:rFonts w:hint="eastAsia" w:ascii="宋体" w:hAnsi="宋体" w:eastAsia="宋体" w:cs="宋体"/>
        </w:rPr>
      </w:pPr>
      <w:r>
        <w:rPr>
          <w:rFonts w:hint="eastAsia" w:ascii="宋体" w:hAnsi="宋体" w:eastAsia="宋体" w:cs="宋体"/>
        </w:rPr>
      </w:r>
      <w:r/>
    </w:p>
    <w:p>
      <w:pPr>
        <w:pStyle w:val="874"/>
        <w:rPr>
          <w:rFonts w:hint="eastAsia" w:ascii="宋体" w:hAnsi="宋体" w:eastAsia="宋体" w:cs="宋体"/>
        </w:rPr>
      </w:pPr>
      <w:r>
        <w:rPr>
          <w:rFonts w:hint="eastAsia" w:ascii="宋体" w:hAnsi="宋体" w:eastAsia="宋体" w:cs="宋体"/>
        </w:rPr>
      </w:r>
      <w:r/>
    </w:p>
    <w:p>
      <w:pPr>
        <w:ind w:left="0"/>
        <w:rPr>
          <w:rFonts w:hint="eastAsia" w:ascii="宋体" w:hAnsi="宋体" w:eastAsia="宋体" w:cs="宋体"/>
          <w:b/>
          <w:sz w:val="44"/>
          <w:szCs w:val="22"/>
        </w:rPr>
      </w:pPr>
      <w:r>
        <w:rPr>
          <w:rFonts w:hint="eastAsia" w:ascii="宋体" w:hAnsi="宋体" w:eastAsia="宋体" w:cs="宋体"/>
          <w:b/>
          <w:sz w:val="44"/>
          <w:szCs w:val="22"/>
        </w:rPr>
      </w:r>
      <w:r/>
    </w:p>
    <w:p>
      <w:pPr>
        <w:pStyle w:val="857"/>
        <w:ind w:left="431" w:firstLine="17"/>
        <w:jc w:val="center"/>
        <w:spacing w:before="0" w:after="0" w:line="360" w:lineRule="auto"/>
        <w:rPr>
          <w:rStyle w:val="1135"/>
          <w:rFonts w:hint="eastAsia" w:ascii="宋体" w:hAnsi="宋体" w:eastAsia="宋体" w:cs="宋体"/>
        </w:rPr>
      </w:pPr>
      <w:r/>
      <w:bookmarkStart w:id="5" w:name="_Toc105397776"/>
      <w:r>
        <w:rPr>
          <w:rFonts w:hint="eastAsia" w:ascii="宋体" w:hAnsi="宋体" w:eastAsia="宋体" w:cs="宋体"/>
          <w:b/>
          <w:sz w:val="44"/>
          <w:szCs w:val="22"/>
        </w:rPr>
        <w:br w:type="page" w:clear="all"/>
      </w:r>
      <w:r>
        <w:rPr>
          <w:rFonts w:hint="eastAsia" w:ascii="宋体" w:hAnsi="宋体" w:eastAsia="宋体" w:cs="宋体"/>
          <w:b/>
          <w:sz w:val="44"/>
          <w:szCs w:val="22"/>
        </w:rPr>
        <w:t xml:space="preserve">第一章  投标邀请函</w:t>
      </w:r>
      <w:bookmarkEnd w:id="3"/>
      <w:r/>
      <w:bookmarkEnd w:id="4"/>
      <w:r/>
      <w:bookmarkEnd w:id="5"/>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项目概况：</w:t>
      </w:r>
      <w:r>
        <w:rPr>
          <w:rFonts w:hint="eastAsia" w:ascii="宋体" w:hAnsi="宋体" w:eastAsia="宋体" w:cs="宋体"/>
          <w:b/>
          <w:sz w:val="24"/>
          <w:szCs w:val="24"/>
          <w:u w:val="single"/>
          <w:lang w:eastAsia="zh-CN"/>
        </w:rPr>
        <w:t xml:space="preserve">苏州市交通运输应急指挥中心指挥大厅运行监测坐席采购</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招标项目的潜在投标人应在</w:t>
      </w:r>
      <w:r>
        <w:rPr>
          <w:rFonts w:hint="eastAsia" w:ascii="宋体" w:hAnsi="宋体" w:eastAsia="宋体" w:cs="宋体"/>
          <w:b/>
          <w:sz w:val="24"/>
          <w:szCs w:val="24"/>
          <w:u w:val="single"/>
        </w:rPr>
        <w:t xml:space="preserve"> “苏采云”系统</w:t>
      </w:r>
      <w:r>
        <w:rPr>
          <w:rFonts w:hint="eastAsia" w:ascii="宋体" w:hAnsi="宋体" w:eastAsia="宋体" w:cs="宋体"/>
          <w:b/>
          <w:sz w:val="24"/>
          <w:szCs w:val="24"/>
        </w:rPr>
        <w:t xml:space="preserve">获取招标文件，并于</w:t>
      </w:r>
      <w:r>
        <w:rPr>
          <w:rFonts w:hint="eastAsia" w:ascii="宋体" w:hAnsi="宋体" w:eastAsia="宋体" w:cs="宋体"/>
          <w:b/>
          <w:sz w:val="24"/>
          <w:szCs w:val="24"/>
          <w:u w:val="single"/>
        </w:rPr>
        <w:t xml:space="preserve">2026年</w:t>
      </w:r>
      <w:r>
        <w:rPr>
          <w:rFonts w:hint="eastAsia" w:ascii="宋体" w:hAnsi="宋体" w:cs="宋体"/>
          <w:b/>
          <w:sz w:val="24"/>
          <w:szCs w:val="24"/>
          <w:u w:val="single"/>
          <w:lang w:val="en-US" w:eastAsia="zh-CN"/>
        </w:rPr>
        <w:t xml:space="preserve">10</w:t>
      </w:r>
      <w:r>
        <w:rPr>
          <w:rFonts w:hint="eastAsia" w:ascii="宋体" w:hAnsi="宋体" w:eastAsia="宋体" w:cs="宋体"/>
          <w:b/>
          <w:sz w:val="24"/>
          <w:szCs w:val="24"/>
          <w:u w:val="single"/>
        </w:rPr>
        <w:t xml:space="preserve">月</w:t>
      </w:r>
      <w:r>
        <w:rPr>
          <w:rFonts w:hint="eastAsia" w:ascii="宋体" w:hAnsi="宋体" w:cs="宋体"/>
          <w:b/>
          <w:sz w:val="24"/>
          <w:szCs w:val="24"/>
          <w:u w:val="single"/>
          <w:lang w:val="en-US" w:eastAsia="zh-CN"/>
        </w:rPr>
        <w:t xml:space="preserve">9</w:t>
      </w:r>
      <w:r>
        <w:rPr>
          <w:rFonts w:hint="eastAsia" w:ascii="宋体" w:hAnsi="宋体" w:eastAsia="宋体" w:cs="宋体"/>
          <w:b/>
          <w:sz w:val="24"/>
          <w:szCs w:val="24"/>
          <w:u w:val="single"/>
        </w:rPr>
        <w:t xml:space="preserve">日  09点30分（北京时间）</w:t>
      </w:r>
      <w:r>
        <w:rPr>
          <w:rFonts w:hint="eastAsia" w:ascii="宋体" w:hAnsi="宋体" w:eastAsia="宋体" w:cs="宋体"/>
          <w:b/>
          <w:sz w:val="24"/>
          <w:szCs w:val="24"/>
        </w:rPr>
        <w:t xml:space="preserve">前递交投标文件。</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一、项目基本情况 </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cs="宋体"/>
          <w:sz w:val="24"/>
          <w:szCs w:val="24"/>
          <w:lang w:eastAsia="zh-CN"/>
        </w:rPr>
        <w:t xml:space="preserve">JSZC-320500-CCCC-G2026-0024</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苏州市交通运输应急指挥中心指挥大厅运行监测坐席采购</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1050000</w:t>
      </w:r>
      <w:r>
        <w:rPr>
          <w:rFonts w:hint="eastAsia" w:ascii="宋体" w:hAnsi="宋体" w:eastAsia="宋体" w:cs="宋体"/>
          <w:sz w:val="24"/>
          <w:szCs w:val="24"/>
          <w:lang w:val="en-US" w:eastAsia="zh-CN"/>
        </w:rPr>
        <w:t xml:space="preserve">.00</w:t>
      </w:r>
      <w:r>
        <w:rPr>
          <w:rFonts w:hint="eastAsia" w:ascii="宋体" w:hAnsi="宋体" w:eastAsia="宋体" w:cs="宋体"/>
          <w:sz w:val="24"/>
          <w:szCs w:val="24"/>
        </w:rPr>
        <w:t xml:space="preserve">）</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5.最高限价：人民币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6.合同履行期限：</w:t>
      </w:r>
      <w:bookmarkStart w:id="6" w:name="OLE_LINK20"/>
      <w:r/>
      <w:bookmarkStart w:id="7" w:name="OLE_LINK21"/>
      <w:r>
        <w:rPr>
          <w:rFonts w:hint="eastAsia" w:ascii="宋体" w:hAnsi="宋体" w:eastAsia="宋体" w:cs="宋体"/>
          <w:sz w:val="24"/>
          <w:szCs w:val="24"/>
          <w:lang w:eastAsia="zh-CN"/>
        </w:rPr>
        <w:t xml:space="preserve">合同生效后，45 日内将合同标的全部交付并安装调试完毕</w:t>
      </w:r>
      <w:r>
        <w:rPr>
          <w:rFonts w:hint="eastAsia" w:ascii="宋体" w:hAnsi="宋体" w:eastAsia="宋体" w:cs="宋体"/>
          <w:sz w:val="24"/>
          <w:szCs w:val="24"/>
        </w:rPr>
        <w:t xml:space="preserve">。本项目免费质量保证期要求不低于3 年。免费质量保证期从货物供货、安装、调试正常且经采购使用部门确认验收合格之日起算。</w:t>
      </w:r>
      <w:bookmarkEnd w:id="6"/>
      <w:r/>
      <w:bookmarkEnd w:id="7"/>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7.采购需求</w:t>
      </w:r>
      <w:r>
        <w:rPr>
          <w:rFonts w:hint="eastAsia" w:ascii="宋体" w:hAnsi="宋体" w:eastAsia="宋体" w:cs="宋体"/>
          <w:sz w:val="24"/>
          <w:szCs w:val="24"/>
          <w:lang w:val="en-US" w:eastAsia="zh-CN"/>
        </w:rPr>
        <w:t xml:space="preserve">概况</w:t>
      </w:r>
      <w:r>
        <w:rPr>
          <w:rFonts w:hint="eastAsia" w:ascii="宋体" w:hAnsi="宋体" w:eastAsia="宋体" w:cs="宋体"/>
          <w:sz w:val="24"/>
          <w:szCs w:val="24"/>
        </w:rPr>
        <w:t xml:space="preserve">：本项目拟购置一批模块化智能指挥操作台，涵盖设备供货、结合指挥大厅场地进行定制化方案设计、坐席安装调试及3年期维修质保服务。操作台主体框架结构应使用优质冷轧碳钢矩形管框架与防火环保面板模块化构造，优化桌面尺寸拓展席位空间，适配后续业务扩容；内置走线结构可搭载显示器升降架、USB集中充电口；台面需满足防火、耐磨、耐湿热耐污染指标，设计使用年限≥15 年，简约外观匹配大厅智能化风貌，优化收纳布局提升办公舒适度，用以强化指挥大厅调度保障能力。（详见</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文件第四章）</w:t>
      </w:r>
      <w:bookmarkStart w:id="131" w:name="_GoBack"/>
      <w:r/>
      <w:bookmarkEnd w:id="131"/>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二、供应商的资格要求 </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1.满足《中华人民共和国政府采购法》第二十二条规定，投标人应当具备下列条件：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 </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2.落实政府采购政策需满足的资格要求：本项目专门面向中小企业，供应商所提供货物的制造商应为中小微企业、监狱企业、残疾人福利性单位。所属行业为：工业</w:t>
      </w:r>
      <w:r>
        <w:rPr>
          <w:rFonts w:hint="eastAsia" w:ascii="宋体" w:hAnsi="宋体" w:eastAsia="宋体" w:cs="宋体"/>
          <w:sz w:val="24"/>
          <w:szCs w:val="24"/>
          <w:lang w:eastAsia="zh-CN"/>
        </w:rPr>
        <w:t xml:space="preserve">。</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4.联合体及转包、分包：本项目不接受联合体，不得转包、分包本项目。</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拒绝下述供应商参加本次采购活动：</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凡为采购项目提供整体设计、规范编制或者项目管理、监理、检测等服务的供应商，不得再参加本项目的采购活动。</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三、获取招标文件 </w:t>
      </w:r>
      <w:r/>
    </w:p>
    <w:p>
      <w:pPr>
        <w:pStyle w:val="874"/>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1.时间：自公告发布之日起5个工作日</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 xml:space="preserve">苏州现场办理地址：苏州高新区邓尉路105号狮山科技馆1楼服务大厅，咨询电话：0512-65737699。</w:t>
      </w:r>
      <w:r/>
    </w:p>
    <w:p>
      <w:pPr>
        <w:pStyle w:val="874"/>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874"/>
        <w:ind w:left="0" w:firstLine="420"/>
        <w:spacing w:line="360" w:lineRule="auto"/>
        <w:rPr>
          <w:rFonts w:hint="eastAsia" w:ascii="宋体" w:hAnsi="宋体" w:eastAsia="宋体" w:cs="宋体"/>
          <w:b w:val="0"/>
          <w:bCs/>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val="0"/>
          <w:bCs/>
          <w:sz w:val="24"/>
          <w:szCs w:val="24"/>
        </w:rPr>
        <w:t xml:space="preserve">（具体详见《苏采云系统供应商操作手册》。</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注册咨询：13913190747；</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系统使用指导与咨询：联系电话：13913190747</w:t>
      </w:r>
      <w:bookmarkEnd w:id="8"/>
      <w:r/>
      <w:bookmarkEnd w:id="9"/>
      <w:r>
        <w:rPr>
          <w:rFonts w:hint="eastAsia" w:ascii="宋体" w:hAnsi="宋体" w:eastAsia="宋体" w:cs="宋体"/>
          <w:sz w:val="24"/>
          <w:szCs w:val="24"/>
        </w:rPr>
        <w:t xml:space="preserve">；智能客服：登录苏采云系统后，联系系统右下方智能客服图标进行咨询。</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1.提交投标文件截止时间：</w:t>
      </w:r>
      <w:r>
        <w:rPr>
          <w:rFonts w:hint="eastAsia" w:ascii="宋体" w:hAnsi="宋体" w:eastAsia="宋体" w:cs="宋体"/>
          <w:sz w:val="24"/>
          <w:szCs w:val="24"/>
          <w:u w:val="single"/>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日09点30分</w:t>
      </w:r>
      <w:r>
        <w:rPr>
          <w:rFonts w:hint="eastAsia" w:ascii="宋体" w:hAnsi="宋体" w:eastAsia="宋体" w:cs="宋体"/>
          <w:sz w:val="24"/>
          <w:szCs w:val="24"/>
        </w:rPr>
        <w:t xml:space="preserve">（北京时间）； </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2.开标时间：</w:t>
      </w:r>
      <w:r>
        <w:rPr>
          <w:rFonts w:hint="eastAsia" w:ascii="宋体" w:hAnsi="宋体" w:eastAsia="宋体" w:cs="宋体"/>
          <w:sz w:val="24"/>
          <w:szCs w:val="24"/>
          <w:u w:val="single"/>
        </w:rPr>
        <w:t xml:space="preserve">2026年</w:t>
      </w:r>
      <w:r>
        <w:rPr>
          <w:rFonts w:hint="eastAsia" w:ascii="宋体" w:hAnsi="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cs="宋体"/>
          <w:sz w:val="24"/>
          <w:szCs w:val="24"/>
          <w:u w:val="single"/>
          <w:lang w:val="en-US" w:eastAsia="zh-CN"/>
        </w:rPr>
        <w:t xml:space="preserve">9</w:t>
      </w:r>
      <w:r>
        <w:rPr>
          <w:rFonts w:hint="eastAsia" w:ascii="宋体" w:hAnsi="宋体" w:eastAsia="宋体" w:cs="宋体"/>
          <w:sz w:val="24"/>
          <w:szCs w:val="24"/>
          <w:u w:val="single"/>
        </w:rPr>
        <w:t xml:space="preserve">日09点30分</w:t>
      </w:r>
      <w:r>
        <w:rPr>
          <w:rFonts w:hint="eastAsia" w:ascii="宋体" w:hAnsi="宋体" w:eastAsia="宋体" w:cs="宋体"/>
          <w:sz w:val="24"/>
          <w:szCs w:val="24"/>
        </w:rPr>
        <w:t xml:space="preserve">（北京时间）；</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874"/>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4"/>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 5 个工作日</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六、其他补充事宜</w:t>
      </w:r>
      <w:r/>
    </w:p>
    <w:p>
      <w:pPr>
        <w:pStyle w:val="874"/>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1、苏州市财政局政府采购监督电话：0512-68616651</w:t>
      </w:r>
      <w:r/>
    </w:p>
    <w:p>
      <w:pPr>
        <w:pStyle w:val="874"/>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2、本公告同时在江苏省政府采购网、苏州市政府采购网上发布。</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 </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苏州市交通运输应急指挥中心</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苏州市姑苏区南环东路1号</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田治超</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联系电话：0512-65820360</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 </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 </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苏州市东吴北路221号惠康新地7楼</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0512-69157588-809</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蒯珊珊</w:t>
      </w:r>
      <w:r/>
    </w:p>
    <w:p>
      <w:pPr>
        <w:pStyle w:val="874"/>
        <w:ind w:left="0"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0512-69157588-809</w:t>
      </w:r>
      <w:r/>
    </w:p>
    <w:p>
      <w:pPr>
        <w:pStyle w:val="883"/>
        <w:ind w:left="0" w:firstLine="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44"/>
          <w:szCs w:val="22"/>
        </w:rPr>
      </w:pPr>
      <w:r/>
      <w:bookmarkStart w:id="10" w:name="_Toc2412"/>
      <w:r/>
      <w:bookmarkStart w:id="11" w:name="_Toc105397777"/>
      <w:r/>
      <w:bookmarkStart w:id="12" w:name="_Toc6217"/>
      <w:r>
        <w:rPr>
          <w:rFonts w:hint="eastAsia" w:ascii="宋体" w:hAnsi="宋体" w:eastAsia="宋体" w:cs="宋体"/>
          <w:b/>
          <w:sz w:val="44"/>
          <w:szCs w:val="22"/>
        </w:rPr>
        <w:br w:type="page" w:clear="all"/>
      </w:r>
      <w:r/>
    </w:p>
    <w:p>
      <w:pPr>
        <w:pStyle w:val="857"/>
        <w:ind w:left="0" w:firstLine="0"/>
        <w:jc w:val="center"/>
        <w:rPr>
          <w:rFonts w:hint="eastAsia" w:ascii="宋体" w:hAnsi="宋体" w:eastAsia="宋体" w:cs="宋体"/>
          <w:b/>
          <w:sz w:val="44"/>
          <w:szCs w:val="22"/>
        </w:rPr>
      </w:pPr>
      <w:r>
        <w:rPr>
          <w:rFonts w:hint="eastAsia" w:ascii="宋体" w:hAnsi="宋体" w:eastAsia="宋体" w:cs="宋体"/>
          <w:b/>
          <w:sz w:val="44"/>
          <w:szCs w:val="22"/>
        </w:rPr>
        <w:t xml:space="preserve">第二章  </w:t>
      </w:r>
      <w:bookmarkStart w:id="13" w:name="投标人须知"/>
      <w:r/>
      <w:bookmarkEnd w:id="13"/>
      <w:r>
        <w:rPr>
          <w:rFonts w:hint="eastAsia" w:ascii="宋体" w:hAnsi="宋体" w:eastAsia="宋体" w:cs="宋体"/>
          <w:b/>
          <w:sz w:val="44"/>
          <w:szCs w:val="22"/>
        </w:rPr>
        <w:t xml:space="preserve">投标人须知</w:t>
      </w:r>
      <w:bookmarkEnd w:id="10"/>
      <w:r/>
      <w:bookmarkEnd w:id="11"/>
      <w:r/>
      <w:bookmarkEnd w:id="12"/>
      <w:r/>
      <w:r/>
    </w:p>
    <w:p>
      <w:pPr>
        <w:pStyle w:val="874"/>
        <w:ind w:left="0" w:firstLine="422"/>
        <w:spacing w:line="360" w:lineRule="auto"/>
        <w:rPr>
          <w:rFonts w:hint="eastAsia" w:ascii="宋体" w:hAnsi="宋体" w:eastAsia="宋体" w:cs="宋体"/>
          <w:b/>
          <w:sz w:val="24"/>
          <w:szCs w:val="24"/>
        </w:rPr>
      </w:pPr>
      <w:r/>
      <w:bookmarkStart w:id="14" w:name="_Toc20132"/>
      <w:r/>
      <w:bookmarkStart w:id="15" w:name="_Toc13437"/>
      <w:r>
        <w:rPr>
          <w:rFonts w:hint="eastAsia" w:ascii="宋体" w:hAnsi="宋体" w:eastAsia="宋体" w:cs="宋体"/>
          <w:b/>
          <w:sz w:val="24"/>
          <w:szCs w:val="24"/>
        </w:rPr>
        <w:t xml:space="preserve">一、说明和释义</w:t>
      </w:r>
      <w:bookmarkEnd w:id="14"/>
      <w:r/>
      <w:bookmarkEnd w:id="15"/>
      <w:r/>
      <w:r/>
    </w:p>
    <w:p>
      <w:pPr>
        <w:pStyle w:val="874"/>
        <w:ind w:left="0" w:firstLine="422"/>
        <w:spacing w:line="360" w:lineRule="auto"/>
        <w:rPr>
          <w:rFonts w:hint="eastAsia" w:ascii="宋体" w:hAnsi="宋体" w:eastAsia="宋体" w:cs="宋体"/>
          <w:b/>
          <w:sz w:val="24"/>
          <w:szCs w:val="24"/>
        </w:rPr>
      </w:pPr>
      <w:r/>
      <w:bookmarkStart w:id="16" w:name="_Toc9408"/>
      <w:r>
        <w:rPr>
          <w:rFonts w:hint="eastAsia" w:ascii="宋体" w:hAnsi="宋体" w:eastAsia="宋体" w:cs="宋体"/>
          <w:b/>
          <w:sz w:val="24"/>
          <w:szCs w:val="24"/>
        </w:rPr>
        <w:t xml:space="preserve">1.说明</w:t>
      </w:r>
      <w:bookmarkEnd w:id="16"/>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组织的招标活动。</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w:t>
      </w:r>
      <w:r>
        <w:rPr>
          <w:rFonts w:hint="eastAsia" w:ascii="宋体" w:hAnsi="宋体" w:eastAsia="宋体" w:cs="宋体"/>
          <w:sz w:val="24"/>
          <w:szCs w:val="24"/>
          <w:lang w:eastAsia="zh-CN"/>
        </w:rPr>
        <w:t xml:space="preserve">苏州市交通运输应急指挥中心</w:t>
      </w:r>
      <w:r>
        <w:rPr>
          <w:rFonts w:hint="eastAsia" w:ascii="宋体" w:hAnsi="宋体" w:eastAsia="宋体" w:cs="宋体"/>
          <w:sz w:val="24"/>
          <w:szCs w:val="24"/>
        </w:rPr>
        <w:t xml:space="preserve">。</w:t>
      </w:r>
      <w:r/>
    </w:p>
    <w:p>
      <w:pPr>
        <w:pStyle w:val="874"/>
        <w:ind w:left="0" w:firstLine="422"/>
        <w:spacing w:line="360" w:lineRule="auto"/>
        <w:rPr>
          <w:rFonts w:hint="eastAsia" w:ascii="宋体" w:hAnsi="宋体" w:eastAsia="宋体" w:cs="宋体"/>
          <w:b/>
          <w:sz w:val="24"/>
          <w:szCs w:val="24"/>
        </w:rPr>
      </w:pPr>
      <w:r/>
      <w:bookmarkStart w:id="17" w:name="_Toc27555"/>
      <w:r>
        <w:rPr>
          <w:rFonts w:hint="eastAsia" w:ascii="宋体" w:hAnsi="宋体" w:eastAsia="宋体" w:cs="宋体"/>
          <w:b/>
          <w:sz w:val="24"/>
          <w:szCs w:val="24"/>
        </w:rPr>
        <w:t xml:space="preserve">2.词语释义</w:t>
      </w:r>
      <w:bookmarkEnd w:id="17"/>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采购人：指依法进行政府采购的国家机关、事业单位、团体组织。</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2.2采购代理机构：指依法接受采购人委托，从事货物、工程和服务等政府采购业务的采购代理机构。本项目的采购代理机构是</w:t>
      </w: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 投标人（供应商）：指响应招标、参加投标竞争的法人、其他组织或自然人。</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 投标：投标人根据采购人或采购代理机构发布的招标文件，编制投标文件并按规定投标的行为。</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2.6甲方（采购人）：指招标文件中载明的，依法进行政府采购的国家机关、事业单位、团体组织。</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2.7乙方（中标供应商）：合同中规定的向采购人提供货物和服务的法人或其他组织和自然人。</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2.8天：日历日。</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2.9时间：除特别说明，均指北京时间。</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2.12合同价款:根据合同规定,乙方在正确地履行合同义务后甲方应支付乙方的价款。</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2.15实质性投标：满足有关本次采购标的、数量、质量、价款或者报酬、履行期限、履行地点和方式、违约责任和解决争议方法等要求。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2.16进口产品：指通过中国海关报关验放进入中国境内且产自境外的产品。</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2.17书面形式：指书面文字、合同书、信件和传真等可以有形地表现所载内容的形式。</w:t>
      </w:r>
      <w:bookmarkStart w:id="18" w:name="_Toc13350"/>
      <w:r/>
      <w:bookmarkStart w:id="19" w:name="_Toc14976"/>
      <w:r/>
      <w:r/>
    </w:p>
    <w:p>
      <w:pPr>
        <w:pStyle w:val="874"/>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二、投标人</w:t>
      </w:r>
      <w:bookmarkEnd w:id="18"/>
      <w:r/>
      <w:bookmarkEnd w:id="19"/>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3.1满足《中华人民共和国政府采购法》第二十二条规定，投标人应当具备下列条件：</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pStyle w:val="915"/>
        <w:ind w:left="0" w:firstLine="420"/>
        <w:spacing w:before="0"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3.2落实政府采购政策需满足的资格要求：</w:t>
      </w:r>
      <w:r>
        <w:rPr>
          <w:rFonts w:hint="eastAsia" w:ascii="宋体" w:hAnsi="宋体" w:eastAsia="宋体" w:cs="宋体"/>
          <w:sz w:val="24"/>
          <w:szCs w:val="24"/>
          <w:lang w:val="en-US" w:eastAsia="zh-CN"/>
        </w:rPr>
        <w:t xml:space="preserve">详见投标邀请函。</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rPr>
          <w:rFonts w:hint="eastAsia" w:ascii="宋体" w:hAnsi="宋体" w:eastAsia="宋体" w:cs="宋体"/>
          <w:sz w:val="24"/>
          <w:szCs w:val="24"/>
          <w:lang w:val="en-US" w:eastAsia="zh-CN"/>
        </w:rPr>
        <w:t xml:space="preserve">详见投标邀请函。</w:t>
      </w:r>
      <w:r/>
    </w:p>
    <w:p>
      <w:pPr>
        <w:pStyle w:val="915"/>
        <w:ind w:left="0" w:firstLine="422"/>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4.1指授权全权代表投标人参加投标活动并签署投标文件的人，如果投标人代表不是法人代表，须持有《法定代表人授权委托书》（详见统一格式）。</w:t>
      </w:r>
      <w:r/>
    </w:p>
    <w:p>
      <w:pPr>
        <w:pStyle w:val="915"/>
        <w:ind w:left="0" w:firstLine="422"/>
        <w:spacing w:before="0"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pStyle w:val="915"/>
        <w:ind w:lef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6.联合投标及转包、分包</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6.1本项目不接受联合体投标。</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6.2本项目不接受转包、分包。</w:t>
      </w:r>
      <w:bookmarkStart w:id="20" w:name="_Toc31958"/>
      <w:r/>
      <w:bookmarkStart w:id="21" w:name="_Toc5764"/>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6.3本项目不接受进口产品。</w:t>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三、招标文件的说明</w:t>
      </w:r>
      <w:bookmarkEnd w:id="20"/>
      <w:r/>
      <w:bookmarkEnd w:id="21"/>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8.招标文件的澄清和修改</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8.4招标文件的澄清、修改、补充等内容均以苏州市政府采购网上发布的内容为准。</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874"/>
        <w:ind w:left="0" w:firstLine="420"/>
        <w:spacing w:line="360" w:lineRule="auto"/>
        <w:rPr>
          <w:rFonts w:hint="eastAsia" w:ascii="宋体" w:hAnsi="宋体" w:eastAsia="宋体" w:cs="宋体"/>
          <w:sz w:val="24"/>
          <w:szCs w:val="24"/>
        </w:rPr>
      </w:pPr>
      <w:r/>
      <w:bookmarkStart w:id="22" w:name="_Toc19463"/>
      <w:r/>
      <w:bookmarkStart w:id="23" w:name="_Toc16745"/>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874"/>
        <w:ind w:left="0" w:firstLine="42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874"/>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42"/>
      <w:r/>
      <w:bookmarkStart w:id="26" w:name="OLE_LINK38"/>
      <w:r>
        <w:rPr>
          <w:rFonts w:hint="eastAsia" w:ascii="宋体" w:hAnsi="宋体" w:eastAsia="宋体" w:cs="宋体"/>
          <w:b/>
          <w:sz w:val="24"/>
          <w:szCs w:val="24"/>
        </w:rPr>
        <w:t xml:space="preserve">请将合法获取招标文件的证明材料（即《投标供应商确认函》）、</w:t>
      </w:r>
      <w:bookmarkStart w:id="27" w:name="OLE_LINK43"/>
      <w:r>
        <w:rPr>
          <w:rFonts w:hint="eastAsia" w:ascii="宋体" w:hAnsi="宋体" w:eastAsia="宋体" w:cs="宋体"/>
          <w:b/>
          <w:sz w:val="24"/>
          <w:szCs w:val="24"/>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eastAsia="宋体" w:cs="宋体"/>
          <w:b/>
          <w:sz w:val="24"/>
          <w:szCs w:val="24"/>
        </w:rPr>
        <w:t xml:space="preserve">与质疑函一起递交，否则不予受理。</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874"/>
        <w:ind w:left="0" w:firstLine="422"/>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质疑联系人：</w:t>
      </w:r>
      <w:r>
        <w:rPr>
          <w:rFonts w:hint="eastAsia" w:ascii="宋体" w:hAnsi="宋体" w:eastAsia="宋体" w:cs="宋体"/>
          <w:b w:val="0"/>
          <w:bCs/>
          <w:sz w:val="24"/>
          <w:szCs w:val="24"/>
          <w:lang w:val="en-US" w:eastAsia="zh-CN"/>
        </w:rPr>
        <w:t xml:space="preserve">蒯珊珊</w:t>
      </w:r>
      <w:r/>
    </w:p>
    <w:p>
      <w:pPr>
        <w:pStyle w:val="874"/>
        <w:ind w:left="0" w:firstLine="422"/>
        <w:spacing w:line="360" w:lineRule="auto"/>
        <w:rPr>
          <w:rFonts w:hint="eastAsia" w:ascii="宋体" w:hAnsi="宋体" w:eastAsia="宋体" w:cs="宋体"/>
          <w:b w:val="0"/>
          <w:bCs/>
          <w:sz w:val="24"/>
          <w:szCs w:val="24"/>
        </w:rPr>
      </w:pPr>
      <w:r/>
      <w:bookmarkStart w:id="28" w:name="OLE_LINK32"/>
      <w:r/>
      <w:bookmarkStart w:id="29" w:name="OLE_LINK35"/>
      <w:r/>
      <w:bookmarkStart w:id="30" w:name="OLE_LINK33"/>
      <w:r/>
      <w:bookmarkStart w:id="31" w:name="OLE_LINK22"/>
      <w:r>
        <w:rPr>
          <w:rFonts w:hint="eastAsia" w:ascii="宋体" w:hAnsi="宋体" w:eastAsia="宋体" w:cs="宋体"/>
          <w:b w:val="0"/>
          <w:bCs/>
          <w:sz w:val="24"/>
          <w:szCs w:val="24"/>
        </w:rPr>
        <w:t xml:space="preserve">联系电话：0512-69157588*809</w:t>
      </w:r>
      <w:r/>
    </w:p>
    <w:p>
      <w:pPr>
        <w:pStyle w:val="874"/>
        <w:ind w:left="0" w:firstLine="4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联系地址：</w:t>
      </w:r>
      <w:r>
        <w:rPr>
          <w:rFonts w:hint="eastAsia" w:ascii="宋体" w:hAnsi="宋体" w:eastAsia="宋体" w:cs="宋体"/>
          <w:b w:val="0"/>
          <w:bCs/>
          <w:sz w:val="24"/>
          <w:szCs w:val="24"/>
          <w:lang w:eastAsia="zh-CN"/>
        </w:rPr>
        <w:t xml:space="preserve">苏州市东吴北路221号惠康新地7楼</w:t>
      </w:r>
      <w:bookmarkEnd w:id="28"/>
      <w:r/>
      <w:bookmarkEnd w:id="29"/>
      <w:r/>
      <w:bookmarkEnd w:id="30"/>
      <w:r/>
      <w:bookmarkEnd w:id="31"/>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四、投标文件说明</w:t>
      </w:r>
      <w:bookmarkEnd w:id="22"/>
      <w:r/>
      <w:bookmarkEnd w:id="23"/>
      <w:r/>
      <w:r/>
    </w:p>
    <w:p>
      <w:pPr>
        <w:pStyle w:val="874"/>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11.1投标人应仔细阅读招标文件的所有内容，应当按照招标文件的要求编制投标文件，并保证所提供全部资料的真实性，以使其投标对招标文件作出实质性响应，否则，其投标可能被拒绝。</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pStyle w:val="874"/>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12.投标文件计量单位和使用文字</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知识产权</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14.投标文件的组成</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14.1投标文件</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14.1.1封面</w:t>
      </w:r>
      <w:r/>
    </w:p>
    <w:p>
      <w:pPr>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14.1.2开标一览表</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14.1.3公开分项报价</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14.1.4资格审查文件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14.1.4.1关于资格文件的声明函（格式见第三章）；</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14.1.4.2投标人法定代表人身份证正反面复印件；</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14.1.4.3法定代表人授权委托书（如有授权，格式见第三章）；</w:t>
      </w:r>
      <w:r/>
    </w:p>
    <w:p>
      <w:pPr>
        <w:pStyle w:val="874"/>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14.1.4.4投标人授权代理人身份证正反面复印件（如有授权）；</w:t>
      </w:r>
      <w:r/>
    </w:p>
    <w:p>
      <w:pPr>
        <w:pStyle w:val="874"/>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14.1.4.5合格投标人资格证明材料：</w:t>
      </w:r>
      <w:r/>
    </w:p>
    <w:p>
      <w:pPr>
        <w:pStyle w:val="915"/>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915"/>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（提供2025年度经会计师事务所审计的财务报告或投标文件截止时间前半年内至少一个月财务报表（资产负债表、利润表、现金流量表）</w:t>
      </w:r>
      <w:r>
        <w:rPr>
          <w:rFonts w:hint="eastAsia" w:ascii="宋体" w:hAnsi="宋体" w:cs="宋体"/>
          <w:b/>
          <w:sz w:val="24"/>
          <w:szCs w:val="24"/>
          <w:lang w:val="en-US" w:eastAsia="zh-CN"/>
        </w:rPr>
        <w:t xml:space="preserve">或</w:t>
      </w:r>
      <w:r>
        <w:rPr>
          <w:rFonts w:hint="eastAsia" w:ascii="宋体" w:hAnsi="宋体" w:eastAsia="宋体" w:cs="宋体"/>
          <w:b/>
          <w:sz w:val="24"/>
          <w:szCs w:val="24"/>
        </w:rPr>
        <w:t xml:space="preserve">银行出具的资信证明）；</w:t>
      </w:r>
      <w:r/>
    </w:p>
    <w:p>
      <w:pPr>
        <w:pStyle w:val="915"/>
        <w:ind w:left="0" w:right="0"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874"/>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874"/>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pStyle w:val="874"/>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《中小企业声明函》或《残疾人福利性单位声明函》或省级以上监狱管理局、戒毒管理局（含新疆生产建设兵团）出具的属于监狱企业的证明文件；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14.1.4.6其它有关资格证明文件。</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14.1.5符合性审查文件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14.1.5.1投标函</w:t>
      </w:r>
      <w:r>
        <w:rPr>
          <w:rFonts w:hint="eastAsia" w:ascii="宋体" w:hAnsi="宋体" w:eastAsia="宋体" w:cs="宋体"/>
          <w:sz w:val="24"/>
          <w:szCs w:val="24"/>
          <w:lang w:eastAsia="zh-CN"/>
        </w:rPr>
        <w:t xml:space="preserve">、投标货物和服务数量、品牌规格、性能、交货期说明表（不得出现价格，格式见第三章）；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14.1.5.2技术参数响应及偏离表（格式见第三章）；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14.1.5.3商务条款响应及偏离表（格式见第三章）；</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14.1.5.4</w:t>
      </w:r>
      <w:r>
        <w:rPr>
          <w:rFonts w:hint="eastAsia" w:ascii="宋体" w:hAnsi="宋体" w:eastAsia="宋体" w:cs="宋体"/>
          <w:sz w:val="24"/>
          <w:szCs w:val="24"/>
        </w:rPr>
        <w:t xml:space="preserve">投标方情况表（格式见第三章）</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其他有关符合性证明的文件；</w:t>
      </w:r>
      <w:r/>
    </w:p>
    <w:p>
      <w:pPr>
        <w:ind w:left="0"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14.1.6综合评审文件（供应商根据评分标准制作）</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《关于符合本国产品标准的声明函》；</w:t>
      </w:r>
      <w:r/>
    </w:p>
    <w:p>
      <w:pPr>
        <w:ind w:left="0" w:firstLine="408"/>
        <w:spacing w:line="360" w:lineRule="auto"/>
        <w:rPr>
          <w:rFonts w:hint="eastAsia" w:ascii="宋体" w:hAnsi="宋体" w:eastAsia="宋体" w:cs="宋体"/>
          <w:sz w:val="24"/>
          <w:szCs w:val="24"/>
        </w:rPr>
      </w:pPr>
      <w:r>
        <w:rPr>
          <w:rFonts w:hint="eastAsia" w:ascii="宋体" w:hAnsi="宋体" w:eastAsia="宋体" w:cs="宋体"/>
          <w:sz w:val="24"/>
          <w:szCs w:val="24"/>
        </w:rPr>
        <w:t xml:space="preserve">14.1.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其他可以证明投标人资质、服务质量的证书、文件等相关资料。</w:t>
      </w:r>
      <w:r/>
    </w:p>
    <w:p>
      <w:pPr>
        <w:pStyle w:val="1239"/>
        <w:ind w:left="0" w:firstLine="43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注：（1）以上14.1.4.1-14.1.4.6为资格审查要求提供的材料，是作为对供应商资格审查、质疑身份认定的依据，投标人必须提供并加盖电子公章。否则，投标文件将被认定为不符合资格审查要求。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（2）以上14.1.5.1-14.1.5.</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1239"/>
        <w:ind w:left="0" w:firstLine="43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（3）“14.1.4-14.1.</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”中不得出现投标总报价。</w:t>
      </w:r>
      <w:r>
        <w:rPr>
          <w:rFonts w:hint="eastAsia" w:ascii="宋体" w:hAnsi="宋体" w:eastAsia="宋体" w:cs="宋体"/>
          <w:sz w:val="24"/>
          <w:szCs w:val="24"/>
        </w:rPr>
        <w:t xml:space="preserve">投标人所提交的资料的完整与否，将直接影响投标人的评分。</w:t>
      </w:r>
      <w:r/>
    </w:p>
    <w:p>
      <w:pPr>
        <w:pStyle w:val="1239"/>
        <w:ind w:left="0" w:firstLine="430"/>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15.投标文件编制要求</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15.1投标文件按统一格式、顺序编写。</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15.2《开标一览表》为在开标仪式上唱标的内容，要求按格式填写，统一规范，不得自行增减内容。</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16.投标报价（编制）要求的说明</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16.3一项投标内容只允许一个报价，招标人不接受任何有选择性的投标报价。</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16.4投标文件报价采用人民币表示，除非合同的特殊条款另有规定。</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16.5最低的报价或最高的折扣率不能作为中标的保证。</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17.投标保证金：</w:t>
      </w:r>
      <w:r>
        <w:rPr>
          <w:rFonts w:hint="eastAsia" w:ascii="宋体" w:hAnsi="宋体" w:eastAsia="宋体" w:cs="宋体"/>
          <w:b/>
          <w:sz w:val="24"/>
          <w:szCs w:val="24"/>
          <w:lang w:val="en-US"/>
        </w:rPr>
        <w:t xml:space="preserve">本项目不收取投标保证金。</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18.投标文件的有效期</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18.1自提交投标文件截止之日起90天内，投标文件中承诺的投标有效期应当不少于招标文件中载明的投标有效期。</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19.投标文件的制作、签署、上传</w:t>
      </w:r>
      <w:r/>
    </w:p>
    <w:p>
      <w:pPr>
        <w:pStyle w:val="1239"/>
        <w:ind w:left="0" w:firstLine="428"/>
        <w:spacing w:line="360" w:lineRule="auto"/>
        <w:rPr>
          <w:rFonts w:hint="eastAsia" w:ascii="宋体" w:hAnsi="宋体" w:eastAsia="宋体" w:cs="宋体"/>
          <w:b/>
          <w:sz w:val="24"/>
          <w:szCs w:val="24"/>
          <w:lang w:val="en-US"/>
        </w:rPr>
      </w:pPr>
      <w:r>
        <w:rPr>
          <w:rFonts w:hint="eastAsia" w:ascii="宋体" w:hAnsi="宋体" w:eastAsia="宋体" w:cs="宋体"/>
          <w:sz w:val="24"/>
          <w:szCs w:val="24"/>
        </w:rPr>
        <w:t xml:space="preserve">19.1本项目采用电子招投标形式，请供应商按照</w:t>
      </w:r>
      <w:r>
        <w:rPr>
          <w:rFonts w:hint="eastAsia" w:ascii="宋体" w:hAnsi="宋体" w:eastAsia="宋体" w:cs="宋体"/>
          <w:b/>
          <w:sz w:val="24"/>
          <w:szCs w:val="24"/>
        </w:rPr>
        <w:t xml:space="preserve">《苏采云系统供应商操作手册》</w:t>
      </w:r>
      <w:r>
        <w:rPr>
          <w:rFonts w:hint="eastAsia" w:ascii="宋体" w:hAnsi="宋体" w:eastAsia="宋体" w:cs="宋体"/>
          <w:sz w:val="24"/>
          <w:szCs w:val="24"/>
        </w:rPr>
        <w:t xml:space="preserve">进行制作、上传电子投标文件。</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19.2制作电子投标文件时，应按照招标文件要求加盖投标人电子公章。</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b/>
          <w:sz w:val="24"/>
          <w:szCs w:val="24"/>
        </w:rPr>
        <w:t xml:space="preserve">电子投标文件制作完成后请于投标文件网上提交截止时间前成功上传至“苏采云”系统，否则视为放弃参加该采购项目。</w:t>
      </w:r>
      <w:bookmarkStart w:id="32" w:name="_Toc25608"/>
      <w:r/>
      <w:bookmarkStart w:id="33" w:name="_Toc31150"/>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五、投标文件的递交、补充、修改和撤回</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20.投标文件的递交</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20.1投标人应当在投标截止时间前制作并上传电子投标文件。</w:t>
      </w:r>
      <w:r/>
    </w:p>
    <w:p>
      <w:pPr>
        <w:pStyle w:val="874"/>
        <w:ind w:left="0"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rPr>
        <w:t xml:space="preserve">20.2投标人通过</w:t>
      </w:r>
      <w:r>
        <w:rPr>
          <w:rFonts w:hint="eastAsia" w:ascii="宋体" w:hAnsi="宋体" w:eastAsia="宋体" w:cs="宋体"/>
          <w:b/>
          <w:sz w:val="24"/>
          <w:szCs w:val="24"/>
        </w:rPr>
        <w:t xml:space="preserve">“苏采云”系统不见面开标大厅在线参与开标活动。（具体操作详见《苏采云系统供应商操作手册》</w:t>
      </w:r>
      <w:r>
        <w:rPr>
          <w:rFonts w:hint="eastAsia" w:ascii="宋体" w:hAnsi="宋体" w:eastAsia="宋体" w:cs="宋体"/>
          <w:b/>
          <w:sz w:val="24"/>
          <w:szCs w:val="24"/>
          <w:lang w:eastAsia="zh-CN"/>
        </w:rPr>
        <w:t xml:space="preserve">。</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21.投标截止时间</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21.1投标人应当在招标文件要求投标文件网上提交截止时间前，将投标文件完成提交（上传）。逾期提交（上传）的投标文件，采购人和采购代理机构拒绝接收。</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21.3在投标截止时间止成功解密的投标文件少于三份，采购代理机构有权宣布本次招标失败。</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22.投标文件的补充、修改和撤回</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22.2投标人在投标文件网上提交截止时间前，可以撤回其电子投标文件，具体操作方法见《苏采云系统供应商操作手册》。</w:t>
      </w:r>
      <w:bookmarkStart w:id="34" w:name="_Toc29371"/>
      <w:r/>
      <w:bookmarkStart w:id="35" w:name="_Toc22837"/>
      <w:r>
        <w:rPr>
          <w:rFonts w:hint="eastAsia" w:ascii="宋体" w:hAnsi="宋体" w:eastAsia="宋体" w:cs="宋体"/>
          <w:sz w:val="24"/>
          <w:szCs w:val="24"/>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六、开标和评标</w:t>
      </w:r>
      <w:bookmarkEnd w:id="34"/>
      <w:r/>
      <w:bookmarkEnd w:id="35"/>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23.开标</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23.1开标由采购代理机构</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主持，邀请投标人</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参加。投标人应当按照《苏采云系统供应商操作手册》规定，</w:t>
      </w:r>
      <w:r>
        <w:rPr>
          <w:rFonts w:hint="eastAsia" w:ascii="宋体" w:hAnsi="宋体" w:eastAsia="宋体" w:cs="宋体"/>
          <w:b/>
          <w:sz w:val="24"/>
          <w:szCs w:val="24"/>
        </w:rPr>
        <w:t xml:space="preserve">参加开标活动和在“苏采云”系统规定的时间内对投标文件进行解密</w:t>
      </w:r>
      <w:r>
        <w:rPr>
          <w:rFonts w:hint="eastAsia" w:ascii="宋体" w:hAnsi="宋体" w:eastAsia="宋体" w:cs="宋体"/>
          <w:sz w:val="24"/>
          <w:szCs w:val="24"/>
        </w:rPr>
        <w:t xml:space="preserve">。评标委员会成员不得参加开标活动。</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23.3资格审查</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23.3.1公开招标采购项目开标结束后，采购人应当依法对投标人的资格进行审查，未通过资格审查的视为无效投标。</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23.3.2.1查询时间：投标文件递交截止时间。</w:t>
      </w:r>
      <w:r/>
    </w:p>
    <w:p>
      <w:pPr>
        <w:pStyle w:val="1239"/>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23.3.2.2查询渠道</w:t>
      </w:r>
      <w:r>
        <w:rPr>
          <w:rFonts w:hint="eastAsia" w:ascii="宋体" w:hAnsi="宋体" w:eastAsia="宋体" w:cs="宋体"/>
          <w:b/>
          <w:sz w:val="24"/>
          <w:szCs w:val="24"/>
        </w:rPr>
        <w:t xml:space="preserve">：</w:t>
      </w:r>
      <w:r>
        <w:rPr>
          <w:rFonts w:hint="eastAsia" w:ascii="宋体" w:hAnsi="宋体" w:eastAsia="宋体" w:cs="宋体"/>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lang w:val="en-US"/>
        </w:rPr>
        <w:t xml:space="preserve">录</w:t>
      </w:r>
      <w:r>
        <w:rPr>
          <w:rFonts w:hint="eastAsia" w:ascii="宋体" w:hAnsi="宋体" w:eastAsia="宋体" w:cs="宋体"/>
          <w:sz w:val="24"/>
          <w:szCs w:val="24"/>
        </w:rPr>
        <w:t xml:space="preserve">到来源网站页面进行复核并打印，作为证据留存。</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24.评标委员会</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24.1评标委员会负责具体评标事务，并独立履行下列职责：</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24.1.1审查、评价投标文件是否符合招标文件的商务、技术等实质性要求；</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24.1.2要求投标人对投标文件有关事项作出澄清或者说明；</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24.1.3对投标文件进行比较和评价；</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24.1.4确定中标候选人名单，以及根据采购人委托直接确定中标人；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24.1.5向采购人、采购代理机构或者有关部门报告评标中发现的违法行为。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24.2评标委员会成员应当履行下列义务：</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24.2.1遵纪守法，客观、公正、廉洁地履行职责；</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24.2.2按照招标文件规定的评标办法和评标标准进行评标，对评审意见承担个人责任；</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24.2.3对评标过程和结果，以及投标人的商业秘密保密；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24.2.4评标委员会根据全体评标成员签字的原始评标记录和评标结果编写评标报告。评标报告应当包括以下内容： </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（一）招标公告刊登的媒体名称、开标日期和地点；</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（二）投标人名单和评标委员会成员名单；</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（三）评标方法和标准；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（四）开标记录和评标情况及说明，包括无效投标人名单及原因；</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（五）评标结果，确定的中标候选人名单或者经采购人委托直接确定的中标人；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24.2.5配合相关部门的投诉处理工作；</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24.2.6配合采购人和采购代理机构答复投标人提出的质疑。</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25.评标内容的保密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26.对投标文件初审</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26.1评标委员会应当对符合资格的投标人的投标文件进行符合性审查，以确定其是否满足招标文件的实质性要求。</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投标文件有下列情况之一者评标委员会有权将其拒绝：</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26.1.1投标人的投标文件未按照本须知规定制作的；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26.1.2未按本须知规定提交资格文件；</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26.1.3与招标文件有重大偏离；</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26.1.4投标人拒绝修正错误；</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26.1.5投标人的报价是选择性的；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26.1.6投标人的报价只投了部分内容；</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26.1.7投标人的投标文件出现了评标委员会认为不应当雷同的情况；</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26.1.8其他被评委会认定无效的情况。</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26.3投标文件报价出现前后不一致的，除招标文件另有规定外，按照下列规定修正：</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hint="eastAsia" w:ascii="宋体" w:hAnsi="宋体" w:eastAsia="宋体" w:cs="宋体"/>
          <w:b/>
          <w:sz w:val="24"/>
          <w:szCs w:val="24"/>
        </w:rPr>
      </w:pPr>
      <w:r/>
      <w:bookmarkStart w:id="36" w:name="OLE_LINK11"/>
      <w:r>
        <w:rPr>
          <w:rFonts w:hint="eastAsia" w:ascii="宋体" w:hAnsi="宋体" w:eastAsia="宋体" w:cs="宋体"/>
          <w:b/>
          <w:sz w:val="24"/>
          <w:szCs w:val="24"/>
        </w:rPr>
        <w:t xml:space="preserve">26.4异常低价投标审查</w:t>
      </w:r>
      <w:r/>
    </w:p>
    <w:p>
      <w:pPr>
        <w:pStyle w:val="1239"/>
        <w:ind w:left="0" w:firstLine="422"/>
        <w:spacing w:line="360" w:lineRule="auto"/>
        <w:rPr>
          <w:rFonts w:hint="eastAsia" w:ascii="宋体" w:hAnsi="宋体" w:eastAsia="宋体" w:cs="宋体"/>
          <w:b/>
          <w:sz w:val="24"/>
          <w:szCs w:val="24"/>
          <w:lang w:val="en-US"/>
        </w:rPr>
      </w:pPr>
      <w:r/>
      <w:bookmarkStart w:id="37" w:name="OLE_LINK3"/>
      <w:r/>
      <w:bookmarkStart w:id="38" w:name="OLE_LINK4"/>
      <w:r>
        <w:rPr>
          <w:rFonts w:hint="eastAsia" w:ascii="宋体" w:hAnsi="宋体" w:eastAsia="宋体" w:cs="宋体"/>
          <w:b/>
          <w:sz w:val="24"/>
          <w:szCs w:val="24"/>
          <w:lang w:val="en-US"/>
        </w:rPr>
        <w:t xml:space="preserve">根据江苏省财政厅《关于推动解决政府采购异常低价问题的通知》（苏财购〔2026〕36号）要求，本项目执行评审委员会启动异常低价投标（响应）的审查，相关情形和具体要求如下：</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（1）评审过程中出现下列情形之一的，评审委员会应当启动异常低价投标（响应）审查程序：</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①投标(响应)报价低于全部通过符合性审查供应商投标(响应)报价平均值50%的，即投标(响应)报价&lt;全部通过符合性审查供应商投标(响应)报价平均值X50%；</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②投标(响应)报价低于通过符合性审查的次低报价供应商投标(响应)报价50%的，即投标(响应)报价&lt;通过符合性审查的次低报价供应商投标(响应)报价X50%；</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③投标(响应)报价低于采购项目最高限价45%的，即投标(响应)报价&lt;采购项目最高限价X45%；</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④评审委员会基于专业判断，认为供应商报价过低，有可能影响产品质量或者不能诚信履约的其他情形。</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39"/>
        <w:ind w:left="0"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sz w:val="24"/>
          <w:szCs w:val="24"/>
        </w:rPr>
        <w:t xml:space="preserve">。</w:t>
      </w:r>
      <w:bookmarkEnd w:id="37"/>
      <w:r/>
      <w:bookmarkEnd w:id="38"/>
      <w:r/>
      <w:bookmarkEnd w:id="36"/>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27.投标的澄清</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sz w:val="24"/>
          <w:szCs w:val="24"/>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28.投标无效</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28.1投标人存在下列情况之一的，投标无效:</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（五）机器码检查中，出现不同投标人投标文件机器码一致情形的；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28.2投标人应当遵循公平竞争的原则，不得恶意串通，不得妨碍其他投标人的竞争行为，不得损害采购人或者其他投标人的合法权益。</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28.3有下列情形之一的，视为投标人串通投标，其投标无效：</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29.废标</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29.1在招标过程中，出现下列情况之一的，应予废标：</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29.1.1符合专业条件的供应商或者对招标文件作实质投标的供应商不足</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家的；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29.1.2出现影响采购公正的违法、违规行为的；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29.1.3投标人的报价均超过了采购预算，采购人不能支付的；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29.1.4因重大变故，采购任务取消的；</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29.2废标后，采购人和采购代理机构将把废标的理由通知所有投标人。</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30.投标文件的评价和比较</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30.2最低的投标报价或最高的折扣比例是中标的重要条件，但不是唯一条件。</w:t>
      </w:r>
      <w:bookmarkStart w:id="39" w:name="_Toc18442"/>
      <w:r/>
      <w:bookmarkStart w:id="40" w:name="_Toc19501"/>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七、授予合同</w:t>
      </w:r>
      <w:bookmarkEnd w:id="39"/>
      <w:r/>
      <w:bookmarkEnd w:id="40"/>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31.中标单位的确认</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32.合同授予标准</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33.中标通知书</w:t>
      </w:r>
      <w:r/>
    </w:p>
    <w:p>
      <w:pPr>
        <w:pStyle w:val="1239"/>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33.1确定出中标人后，采购代理机构在法定时间内向中标人发出中标通知书。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33.2中标通知书将成为合同的组成部分，对采购人和中标人具有同等法律效力。</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33.3中标通知书发出后，采购人不得违法改变中标结果，中标人无正当理由不得放弃中标。</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34.合同的签订</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按照《关于印发&lt;苏州市政府采购促进中小企业发展实施意见&gt;的通知》（苏财购〔2022〕16号）文件精神，采购人与中标人原则上应当在中标通知书发出之日起</w:t>
      </w:r>
      <w:r>
        <w:rPr>
          <w:rFonts w:hint="eastAsia" w:ascii="宋体" w:hAnsi="宋体" w:eastAsia="宋体" w:cs="宋体"/>
          <w:sz w:val="24"/>
          <w:szCs w:val="24"/>
          <w:lang w:val="en-US" w:eastAsia="zh-CN"/>
        </w:rPr>
        <w:t xml:space="preserve">三十日内</w:t>
      </w:r>
      <w:r>
        <w:rPr>
          <w:rFonts w:hint="eastAsia" w:ascii="宋体" w:hAnsi="宋体" w:eastAsia="宋体" w:cs="宋体"/>
          <w:sz w:val="24"/>
          <w:szCs w:val="24"/>
        </w:rPr>
        <w:t xml:space="preserve">按照招标文件及投标文件确定的事项签订政府采购合同。</w:t>
      </w:r>
      <w:r/>
    </w:p>
    <w:p>
      <w:pPr>
        <w:pStyle w:val="1239"/>
        <w:ind w:left="0"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34.2 </w:t>
      </w:r>
      <w:r>
        <w:rPr>
          <w:rFonts w:hint="eastAsia" w:ascii="宋体" w:hAnsi="宋体" w:eastAsia="宋体" w:cs="宋体"/>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34.3招标文件、中标人的投标文件及招标过程中有关澄清、承诺文件均应作为合同附件。</w:t>
      </w:r>
      <w:r/>
    </w:p>
    <w:p>
      <w:pPr>
        <w:pStyle w:val="1239"/>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41" w:name="_Toc8186"/>
      <w:r/>
      <w:bookmarkStart w:id="42" w:name="_Toc21029"/>
      <w:r/>
      <w:r/>
    </w:p>
    <w:p>
      <w:pPr>
        <w:pStyle w:val="1239"/>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.6中标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拒绝与招标人签订合同的，招标人可以按照评审报告推荐的中标候选人名单排序，确定下一候选人为中标供应商，也可以重新开展政府采购活动。</w:t>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八、其他事项</w:t>
      </w:r>
      <w:bookmarkEnd w:id="41"/>
      <w:r/>
      <w:bookmarkEnd w:id="42"/>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35.代理服务费：</w:t>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单位须按前附表的规定计算并支付代理服务费。</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36.对投标人的机器码检查</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机器码检查中，出现不同投标人投标文件机器码一致情形的，投标文件将被认定为无效投标。</w:t>
      </w:r>
      <w:r/>
    </w:p>
    <w:p>
      <w:pPr>
        <w:pStyle w:val="1239"/>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37.有关监督部门将对招投标全过程进行监督。</w:t>
      </w:r>
      <w:r/>
    </w:p>
    <w:p>
      <w:pPr>
        <w:pStyle w:val="1239"/>
        <w:ind w:left="0" w:firstLine="42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38.未尽事宜：</w:t>
      </w:r>
      <w:r>
        <w:rPr>
          <w:rFonts w:hint="eastAsia" w:ascii="宋体" w:hAnsi="宋体" w:eastAsia="宋体" w:cs="宋体"/>
          <w:sz w:val="24"/>
          <w:szCs w:val="24"/>
        </w:rPr>
        <w:t xml:space="preserve">按《中华人民共和国政府采购法》及其他有关的法律法规的规定执行。</w:t>
      </w:r>
      <w:r/>
    </w:p>
    <w:p>
      <w:pPr>
        <w:pStyle w:val="1239"/>
        <w:ind w:left="0"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57"/>
        <w:ind w:left="0" w:firstLine="0"/>
        <w:jc w:val="center"/>
        <w:rPr>
          <w:rFonts w:hint="eastAsia" w:ascii="宋体" w:hAnsi="宋体" w:eastAsia="宋体" w:cs="宋体"/>
          <w:sz w:val="21"/>
          <w:szCs w:val="21"/>
          <w:lang w:val="zh-CN"/>
        </w:rPr>
      </w:pPr>
      <w:r/>
      <w:bookmarkStart w:id="43" w:name="_Toc105397778"/>
      <w:r/>
      <w:bookmarkStart w:id="44" w:name="_Toc24711"/>
      <w:r/>
      <w:bookmarkStart w:id="45" w:name="_Toc7264"/>
      <w:r>
        <w:rPr>
          <w:rFonts w:hint="eastAsia" w:ascii="宋体" w:hAnsi="宋体" w:eastAsia="宋体" w:cs="宋体"/>
          <w:b/>
          <w:sz w:val="44"/>
          <w:szCs w:val="22"/>
        </w:rPr>
        <w:br w:type="page" w:clear="all"/>
      </w:r>
      <w:r>
        <w:rPr>
          <w:rFonts w:hint="eastAsia" w:ascii="宋体" w:hAnsi="宋体" w:eastAsia="宋体" w:cs="宋体"/>
          <w:b/>
          <w:sz w:val="44"/>
          <w:szCs w:val="22"/>
        </w:rPr>
        <w:t xml:space="preserve">第三章  </w:t>
      </w:r>
      <w:bookmarkStart w:id="46" w:name="投标文件格式"/>
      <w:r/>
      <w:bookmarkEnd w:id="46"/>
      <w:r>
        <w:rPr>
          <w:rFonts w:hint="eastAsia" w:ascii="宋体" w:hAnsi="宋体" w:eastAsia="宋体" w:cs="宋体"/>
          <w:b/>
          <w:sz w:val="44"/>
          <w:szCs w:val="22"/>
        </w:rPr>
        <w:t xml:space="preserve">投标文件格式</w:t>
      </w:r>
      <w:bookmarkEnd w:id="43"/>
      <w:r/>
      <w:bookmarkEnd w:id="44"/>
      <w:r/>
      <w:bookmarkEnd w:id="45"/>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说明：</w:t>
      </w:r>
      <w:r/>
    </w:p>
    <w:p>
      <w:pPr>
        <w:pStyle w:val="1239"/>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对本章所有的投标书格式，投标方可根据自身情况进行补充和修改，但补充和修改不得造成与本格式内容有实质性的违背。</w:t>
      </w:r>
      <w:r/>
    </w:p>
    <w:p>
      <w:pPr>
        <w:ind w:left="0"/>
        <w:rPr>
          <w:rFonts w:hint="eastAsia" w:ascii="宋体" w:hAnsi="宋体" w:eastAsia="宋体" w:cs="宋体"/>
          <w:b/>
          <w:sz w:val="24"/>
          <w:szCs w:val="24"/>
        </w:rPr>
        <w:outlineLvl w:val="0"/>
      </w:pPr>
      <w:r/>
      <w:bookmarkStart w:id="47" w:name="_Toc17036"/>
      <w:r/>
      <w:bookmarkStart w:id="48" w:name="_Toc3821"/>
      <w:r/>
      <w:bookmarkStart w:id="49" w:name="_Toc105397779"/>
      <w:r/>
      <w:bookmarkStart w:id="50" w:name="_Toc71810480"/>
      <w:r>
        <w:rPr>
          <w:rFonts w:hint="eastAsia" w:ascii="宋体" w:hAnsi="宋体" w:eastAsia="宋体" w:cs="宋体"/>
          <w:b/>
          <w:sz w:val="24"/>
          <w:szCs w:val="24"/>
        </w:rPr>
        <w:t xml:space="preserve">附件1.投标函</w:t>
      </w:r>
      <w:bookmarkEnd w:id="47"/>
      <w:r/>
      <w:bookmarkEnd w:id="48"/>
      <w:r/>
      <w:bookmarkEnd w:id="49"/>
      <w:r/>
      <w:bookmarkEnd w:id="50"/>
      <w:r/>
      <w:r/>
    </w:p>
    <w:p>
      <w:pPr>
        <w:ind w:left="0" w:firstLine="4638"/>
        <w:jc w:val="left"/>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投标函</w:t>
      </w:r>
      <w:r/>
    </w:p>
    <w:p>
      <w:pPr>
        <w:ind w:left="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szCs w:val="24"/>
          <w:u w:val="single"/>
          <w:lang w:val="zh-CN"/>
        </w:rPr>
        <w:t xml:space="preserve">苏州市永诚建设咨询有限公司</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我方收到贵中心</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（项目编号）招标文件，经仔细阅读和研究，我方决定参加投标，并向贵中心作出如下承诺：</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本投标书的有效期限为投标截止时间之日起90天。</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.我方承诺该项投标在开标后的全过程中保持有效，不作任何更改和变动。</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.我方承诺满足《中华人民共和国政府采购法》第二十二条规定的所有条件。</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rPr>
        <w:t xml:space="preserve">.与本投标有关的通讯地址:</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   位：                                              联 系 人：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   址：                                              邮政编码： </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联系电话：                                             电子邮箱：</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投标人（盖章）： </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法定代表人或代理人（签字或盖章）：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0"/>
        <w:rPr>
          <w:rFonts w:hint="eastAsia" w:ascii="宋体" w:hAnsi="宋体" w:eastAsia="宋体" w:cs="宋体"/>
          <w:b/>
          <w:sz w:val="24"/>
          <w:szCs w:val="24"/>
        </w:rPr>
        <w:outlineLvl w:val="0"/>
      </w:pPr>
      <w:r>
        <w:rPr>
          <w:rFonts w:hint="eastAsia" w:ascii="宋体" w:hAnsi="宋体" w:eastAsia="宋体" w:cs="宋体"/>
          <w:b/>
          <w:sz w:val="24"/>
          <w:szCs w:val="24"/>
        </w:rPr>
        <w:br w:type="page" w:clear="all"/>
      </w:r>
      <w:bookmarkStart w:id="51" w:name="_Toc71810481"/>
      <w:r/>
      <w:bookmarkStart w:id="52" w:name="_Toc105397780"/>
      <w:r>
        <w:rPr>
          <w:rFonts w:hint="eastAsia" w:ascii="宋体" w:hAnsi="宋体" w:eastAsia="宋体" w:cs="宋体"/>
          <w:b/>
          <w:sz w:val="24"/>
          <w:szCs w:val="24"/>
        </w:rPr>
        <w:t xml:space="preserve">附件2.开标一览表</w:t>
      </w:r>
      <w:bookmarkEnd w:id="51"/>
      <w:r/>
      <w:bookmarkEnd w:id="52"/>
      <w:r/>
      <w:r/>
    </w:p>
    <w:p>
      <w:pPr>
        <w:rPr>
          <w:rFonts w:hint="eastAsia" w:ascii="宋体" w:hAnsi="宋体" w:eastAsia="宋体" w:cs="宋体"/>
          <w:sz w:val="24"/>
          <w:szCs w:val="24"/>
        </w:rPr>
      </w:pPr>
      <w:r>
        <w:rPr>
          <w:rFonts w:hint="eastAsia" w:ascii="宋体" w:hAnsi="宋体" w:eastAsia="宋体" w:cs="宋体"/>
          <w:sz w:val="24"/>
          <w:szCs w:val="24"/>
        </w:rPr>
      </w:r>
      <w:r/>
    </w:p>
    <w:p>
      <w:pPr>
        <w:ind w:left="0"/>
        <w:jc w:val="center"/>
        <w:rPr>
          <w:rFonts w:hint="eastAsia" w:ascii="宋体" w:hAnsi="宋体" w:eastAsia="宋体" w:cs="宋体"/>
          <w:b/>
          <w:sz w:val="24"/>
          <w:szCs w:val="24"/>
        </w:rPr>
      </w:pPr>
      <w:r>
        <w:rPr>
          <w:rFonts w:hint="eastAsia" w:ascii="宋体" w:hAnsi="宋体" w:eastAsia="宋体" w:cs="宋体"/>
          <w:b/>
          <w:sz w:val="24"/>
          <w:szCs w:val="24"/>
        </w:rPr>
        <w:t xml:space="preserve">开标一览表（总报价）</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投标人全称（加盖公章）：</w:t>
      </w:r>
      <w:bookmarkStart w:id="53" w:name="TBR"/>
      <w:r/>
      <w:bookmarkEnd w:id="53"/>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  </w:t>
      </w:r>
      <w:bookmarkStart w:id="54" w:name="XMBH"/>
      <w:r/>
      <w:bookmarkEnd w:id="54"/>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right="0"/>
              <w:jc w:val="center"/>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right="0"/>
              <w:keepLines w:val="0"/>
              <w:keepNext w:val="0"/>
              <w:spacing w:before="0" w:beforeAutospacing="0" w:after="0" w:afterAutospacing="0" w:line="600" w:lineRule="exact"/>
              <w:widowControl/>
              <w:rPr>
                <w:rFonts w:hint="eastAsia" w:ascii="宋体" w:hAnsi="宋体" w:eastAsia="宋体" w:cs="宋体"/>
                <w:sz w:val="24"/>
                <w:szCs w:val="24"/>
              </w:rPr>
              <w:suppressLineNumbers w:val="0"/>
            </w:pPr>
            <w:r/>
            <w:bookmarkStart w:id="57" w:name="JEDX"/>
            <w:r/>
            <w:bookmarkEnd w:id="57"/>
            <w:r/>
            <w:r/>
          </w:p>
        </w:tc>
      </w:tr>
    </w:tbl>
    <w:p>
      <w:pPr>
        <w:spacing w:line="600" w:lineRule="exact"/>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w:t>
      </w:r>
      <w:bookmarkStart w:id="58" w:name="NF"/>
      <w:r/>
      <w:bookmarkEnd w:id="58"/>
      <w:r>
        <w:rPr>
          <w:rFonts w:hint="eastAsia" w:ascii="宋体" w:hAnsi="宋体" w:eastAsia="宋体" w:cs="宋体"/>
          <w:sz w:val="24"/>
          <w:szCs w:val="24"/>
        </w:rPr>
        <w:t xml:space="preserve"> 年 </w:t>
      </w:r>
      <w:bookmarkStart w:id="59" w:name="YF"/>
      <w:r/>
      <w:bookmarkEnd w:id="59"/>
      <w:r>
        <w:rPr>
          <w:rFonts w:hint="eastAsia" w:ascii="宋体" w:hAnsi="宋体" w:eastAsia="宋体" w:cs="宋体"/>
          <w:sz w:val="24"/>
          <w:szCs w:val="24"/>
        </w:rPr>
        <w:t xml:space="preserve">  月 </w:t>
      </w:r>
      <w:bookmarkStart w:id="60" w:name="RI"/>
      <w:r/>
      <w:bookmarkEnd w:id="60"/>
      <w:r>
        <w:rPr>
          <w:rFonts w:hint="eastAsia" w:ascii="宋体" w:hAnsi="宋体" w:eastAsia="宋体" w:cs="宋体"/>
          <w:sz w:val="24"/>
          <w:szCs w:val="24"/>
        </w:rPr>
        <w:t xml:space="preserve">  日</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开标一览表必须加盖投标人公章（复印件无效）。</w:t>
      </w:r>
      <w:r/>
    </w:p>
    <w:p>
      <w:pPr>
        <w:ind w:left="0" w:firstLine="420"/>
        <w:spacing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如有分包，投标人投任何一个包的标的，都需单独填写开标一览表。</w:t>
      </w:r>
      <w:r/>
    </w:p>
    <w:p>
      <w:pPr>
        <w:ind w:left="0"/>
        <w:spacing w:line="440" w:lineRule="exact"/>
        <w:rPr>
          <w:rFonts w:hint="eastAsia" w:ascii="宋体" w:hAnsi="宋体" w:eastAsia="宋体" w:cs="宋体"/>
          <w:b/>
          <w:sz w:val="24"/>
          <w:szCs w:val="24"/>
        </w:rPr>
      </w:pPr>
      <w:r/>
      <w:bookmarkStart w:id="61" w:name="_Toc241"/>
      <w:r/>
      <w:bookmarkStart w:id="62" w:name="_Toc7945"/>
      <w:r/>
      <w:bookmarkStart w:id="63" w:name="_Toc71810482"/>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pStyle w:val="882"/>
        <w:rPr>
          <w:rFonts w:hint="eastAsia" w:ascii="宋体" w:hAnsi="宋体" w:eastAsia="宋体" w:cs="宋体"/>
          <w:sz w:val="24"/>
          <w:szCs w:val="24"/>
        </w:rPr>
      </w:pPr>
      <w:r>
        <w:rPr>
          <w:rFonts w:hint="eastAsia" w:ascii="宋体" w:hAnsi="宋体" w:eastAsia="宋体" w:cs="宋体"/>
          <w:sz w:val="24"/>
          <w:szCs w:val="24"/>
        </w:rPr>
      </w:r>
      <w:r/>
    </w:p>
    <w:p>
      <w:pPr>
        <w:ind w:left="0"/>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bookmarkStart w:id="64" w:name="_Toc105397781"/>
      <w:r>
        <w:rPr>
          <w:rFonts w:hint="eastAsia" w:ascii="宋体" w:hAnsi="宋体" w:eastAsia="宋体" w:cs="宋体"/>
          <w:b/>
          <w:sz w:val="24"/>
          <w:szCs w:val="24"/>
        </w:rPr>
        <w:br w:type="page" w:clear="all"/>
      </w:r>
      <w:r/>
    </w:p>
    <w:p>
      <w:pPr>
        <w:ind w:left="0"/>
        <w:rPr>
          <w:rFonts w:hint="eastAsia" w:ascii="宋体" w:hAnsi="宋体" w:eastAsia="宋体" w:cs="宋体"/>
          <w:b/>
          <w:sz w:val="24"/>
          <w:szCs w:val="24"/>
        </w:rPr>
        <w:outlineLvl w:val="0"/>
      </w:pPr>
      <w:r>
        <w:rPr>
          <w:rFonts w:hint="eastAsia" w:ascii="宋体" w:hAnsi="宋体" w:eastAsia="宋体" w:cs="宋体"/>
          <w:b/>
          <w:sz w:val="24"/>
          <w:szCs w:val="24"/>
        </w:rPr>
        <w:t xml:space="preserve">附件3</w:t>
      </w:r>
      <w:bookmarkEnd w:id="61"/>
      <w:r/>
      <w:bookmarkEnd w:id="62"/>
      <w:r>
        <w:rPr>
          <w:rFonts w:hint="eastAsia" w:ascii="宋体" w:hAnsi="宋体" w:eastAsia="宋体" w:cs="宋体"/>
          <w:b/>
          <w:sz w:val="24"/>
          <w:szCs w:val="24"/>
        </w:rPr>
        <w:t xml:space="preserve">.</w:t>
      </w:r>
      <w:bookmarkEnd w:id="63"/>
      <w:r/>
      <w:bookmarkEnd w:id="64"/>
      <w:r>
        <w:rPr>
          <w:rFonts w:hint="eastAsia" w:ascii="宋体" w:hAnsi="宋体" w:eastAsia="宋体" w:cs="宋体"/>
          <w:b/>
          <w:sz w:val="24"/>
          <w:szCs w:val="24"/>
        </w:rPr>
        <w:t xml:space="preserve">公开分项报价</w:t>
      </w:r>
      <w:r/>
    </w:p>
    <w:p>
      <w:pPr>
        <w:ind w:left="0"/>
        <w:jc w:val="center"/>
        <w:spacing w:before="100" w:beforeAutospacing="1" w:after="100" w:afterAutospacing="1" w:line="480" w:lineRule="auto"/>
        <w:rPr>
          <w:rFonts w:hint="eastAsia" w:ascii="宋体" w:hAnsi="宋体" w:eastAsia="宋体" w:cs="宋体"/>
          <w:b/>
          <w:sz w:val="24"/>
          <w:szCs w:val="24"/>
        </w:rPr>
      </w:pPr>
      <w:r/>
      <w:bookmarkStart w:id="65" w:name="OLE_LINK28"/>
      <w:r/>
      <w:bookmarkStart w:id="66" w:name="OLE_LINK27"/>
      <w:r>
        <w:rPr>
          <w:rFonts w:hint="eastAsia" w:ascii="宋体" w:hAnsi="宋体" w:eastAsia="宋体" w:cs="宋体"/>
          <w:b/>
          <w:sz w:val="24"/>
          <w:szCs w:val="24"/>
        </w:rPr>
        <w:t xml:space="preserve">公开分项报价</w:t>
      </w:r>
      <w:bookmarkEnd w:id="65"/>
      <w:r/>
      <w:bookmarkEnd w:id="66"/>
      <w:r/>
      <w:r/>
    </w:p>
    <w:p>
      <w:pPr>
        <w:pStyle w:val="882"/>
        <w:ind w:firstLine="0"/>
        <w:jc w:val="right"/>
        <w:rPr>
          <w:rFonts w:hint="eastAsia" w:ascii="宋体" w:hAnsi="宋体" w:eastAsia="宋体" w:cs="宋体"/>
          <w:sz w:val="24"/>
          <w:szCs w:val="24"/>
        </w:rPr>
      </w:pPr>
      <w:r>
        <w:rPr>
          <w:rFonts w:hint="eastAsia" w:ascii="宋体" w:hAnsi="宋体" w:eastAsia="宋体" w:cs="宋体"/>
          <w:sz w:val="24"/>
          <w:szCs w:val="24"/>
        </w:rPr>
        <w:t xml:space="preserve">单位：元（人民币）</w:t>
      </w:r>
      <w:r/>
    </w:p>
    <w:tbl>
      <w:tblPr>
        <w:tblStyle w:val="86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4"/>
        <w:gridCol w:w="1426"/>
        <w:gridCol w:w="2367"/>
        <w:gridCol w:w="1329"/>
        <w:gridCol w:w="1005"/>
        <w:gridCol w:w="867"/>
        <w:gridCol w:w="1005"/>
        <w:gridCol w:w="1167"/>
      </w:tblGrid>
      <w:tr>
        <w:trPr>
          <w:cantSplit/>
          <w:jc w:val="center"/>
          <w:trHeight w:val="50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品牌、规格型号</w:t>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设备厂家</w:t>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单价</w:t>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总价</w:t>
            </w:r>
            <w:r/>
          </w:p>
        </w:tc>
      </w:tr>
      <w:tr>
        <w:trPr>
          <w:cantSplit/>
          <w:jc w:val="center"/>
          <w:trHeight w:val="44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44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360"/>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96"/>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203"/>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102"/>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09"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185"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660"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26"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496"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571" w:type="pct"/>
            <w:vAlign w:val="top"/>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102"/>
        </w:trPr>
        <w:tc>
          <w:tcPr>
            <w:shd w:val="clear" w:color="auto" w:fill="auto"/>
            <w:tcBorders>
              <w:top w:val="single" w:color="auto" w:sz="4" w:space="0"/>
              <w:left w:val="single" w:color="auto" w:sz="4" w:space="0"/>
              <w:bottom w:val="single" w:color="auto" w:sz="4" w:space="0"/>
              <w:right w:val="single" w:color="auto" w:sz="4" w:space="0"/>
            </w:tcBorders>
            <w:tcW w:w="450" w:type="pct"/>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gridSpan w:val="7"/>
            <w:shd w:val="clear" w:color="auto" w:fill="auto"/>
            <w:tcBorders>
              <w:top w:val="single" w:color="auto" w:sz="4" w:space="0"/>
              <w:left w:val="none" w:color="000000" w:sz="4" w:space="0"/>
              <w:bottom w:val="single" w:color="auto" w:sz="4" w:space="0"/>
              <w:right w:val="single" w:color="auto" w:sz="4" w:space="0"/>
            </w:tcBorders>
            <w:tcW w:w="4549" w:type="pct"/>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b/>
                <w:bCs w:val="0"/>
                <w:sz w:val="24"/>
                <w:szCs w:val="24"/>
                <w:lang w:val="en-US" w:eastAsia="zh-CN" w:bidi="ar"/>
              </w:rPr>
              <w:t xml:space="preserve">合计</w:t>
            </w:r>
            <w:r>
              <w:rPr>
                <w:rFonts w:hint="eastAsia" w:ascii="宋体" w:hAnsi="宋体" w:eastAsia="宋体" w:cs="宋体"/>
                <w:sz w:val="24"/>
                <w:szCs w:val="24"/>
                <w:lang w:val="en-US" w:eastAsia="zh-CN" w:bidi="ar"/>
              </w:rPr>
              <w:t xml:space="preserve">：元（大写：）</w:t>
            </w:r>
            <w:r/>
          </w:p>
        </w:tc>
      </w:tr>
      <w:tr>
        <w:trPr>
          <w:cantSplit/>
          <w:jc w:val="center"/>
          <w:trHeight w:val="102"/>
        </w:trPr>
        <w:tc>
          <w:tcPr>
            <w:gridSpan w:val="8"/>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val="0"/>
                <w:sz w:val="24"/>
                <w:szCs w:val="24"/>
                <w:u w:val="single"/>
                <w:lang w:val="en-US" w:eastAsia="zh-CN" w:bidi="ar"/>
              </w:rPr>
              <w:t xml:space="preserve">  </w:t>
            </w:r>
            <w:r>
              <w:rPr>
                <w:rFonts w:hint="eastAsia" w:ascii="宋体" w:hAnsi="宋体" w:eastAsia="宋体" w:cs="宋体"/>
                <w:b/>
                <w:bCs w:val="0"/>
                <w:sz w:val="24"/>
                <w:szCs w:val="24"/>
                <w:lang w:val="en-US" w:eastAsia="zh-CN" w:bidi="ar"/>
              </w:rPr>
              <w:t xml:space="preserve">%。</w:t>
            </w:r>
            <w:r/>
          </w:p>
        </w:tc>
      </w:tr>
    </w:tbl>
    <w:p>
      <w:pPr>
        <w:pStyle w:val="883"/>
        <w:ind w:left="0" w:firstLine="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left="0" w:firstLine="58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法定代表人或代理人（签字或盖章）：</w:t>
      </w:r>
      <w:r/>
    </w:p>
    <w:p>
      <w:pPr>
        <w:ind w:left="0"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注：注：1.报价表包含投标单位各项成本核算和投入的成本明细，合计金额应与《开标一览表》合计金额一致；否则，以《开标一览表》为准。</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2.各投标方应根据此表格式详细</w:t>
      </w:r>
      <w:r>
        <w:rPr>
          <w:rFonts w:hint="eastAsia" w:ascii="宋体" w:hAnsi="宋体" w:eastAsia="宋体" w:cs="宋体"/>
          <w:sz w:val="24"/>
          <w:szCs w:val="24"/>
          <w:lang w:val="en-US" w:eastAsia="zh-CN"/>
        </w:rPr>
        <w:t xml:space="preserve">填写</w:t>
      </w:r>
      <w:r>
        <w:rPr>
          <w:rFonts w:hint="eastAsia" w:ascii="宋体" w:hAnsi="宋体" w:eastAsia="宋体" w:cs="宋体"/>
          <w:sz w:val="24"/>
          <w:szCs w:val="24"/>
        </w:rPr>
        <w:t xml:space="preserve">报价信息（</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名称、单位、数量不得变动，否则无效）。</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3.投标方合计总报价不得超过项目预算金额，否则报价无效。</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Pr>
          <w:rFonts w:hint="eastAsia" w:ascii="宋体" w:hAnsi="宋体" w:eastAsia="宋体" w:cs="宋体"/>
          <w:sz w:val="24"/>
          <w:szCs w:val="24"/>
        </w:rPr>
        <w:outlineLvl w:val="0"/>
      </w:pPr>
      <w:r/>
      <w:bookmarkStart w:id="67" w:name="_Toc105397782"/>
      <w:r/>
      <w:bookmarkStart w:id="68" w:name="_Toc71810483"/>
      <w:r>
        <w:rPr>
          <w:rFonts w:hint="eastAsia" w:ascii="宋体" w:hAnsi="宋体" w:eastAsia="宋体" w:cs="宋体"/>
          <w:b/>
          <w:sz w:val="24"/>
          <w:szCs w:val="24"/>
        </w:rPr>
        <w:t xml:space="preserve">附件4.法定代表人授权委托书</w:t>
      </w:r>
      <w:bookmarkEnd w:id="67"/>
      <w:r/>
      <w:bookmarkEnd w:id="68"/>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法定代表人授权委托书</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  我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（姓名）为我公司授权代表（即代理人），以本公司的名义参加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rPr>
        <w:t xml:space="preserve">组织实施的编号为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号（项目编号）的招标活动。代理人在开标、评标、合同谈判过程中所签署的一切文件和处理与这有关的一切事务，我均予以承认。</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82"/>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jc w:val="left"/>
        <w:spacing w:line="360" w:lineRule="auto"/>
        <w:rPr>
          <w:rFonts w:hint="eastAsia" w:ascii="宋体" w:hAnsi="宋体" w:eastAsia="宋体" w:cs="宋体"/>
          <w:b/>
          <w:sz w:val="24"/>
          <w:szCs w:val="24"/>
        </w:rPr>
        <w:outlineLvl w:val="0"/>
      </w:pPr>
      <w:r>
        <w:rPr>
          <w:rFonts w:hint="eastAsia" w:ascii="宋体" w:hAnsi="宋体" w:eastAsia="宋体" w:cs="宋体"/>
          <w:sz w:val="24"/>
          <w:szCs w:val="24"/>
          <w:lang w:val="zh-CN"/>
        </w:rPr>
        <w:br w:type="page" w:clear="all"/>
      </w:r>
      <w:bookmarkStart w:id="69" w:name="_Toc21574"/>
      <w:r/>
      <w:bookmarkStart w:id="70" w:name="_Toc71810484"/>
      <w:r/>
      <w:bookmarkStart w:id="71" w:name="_Toc19621"/>
      <w:r/>
      <w:bookmarkStart w:id="72" w:name="_Toc105397783"/>
      <w:r>
        <w:rPr>
          <w:rFonts w:hint="eastAsia" w:ascii="宋体" w:hAnsi="宋体" w:eastAsia="宋体" w:cs="宋体"/>
          <w:b/>
          <w:sz w:val="24"/>
          <w:szCs w:val="24"/>
        </w:rPr>
        <w:t xml:space="preserve">附件5.中小企业声明函</w:t>
      </w:r>
      <w:bookmarkEnd w:id="69"/>
      <w:r/>
      <w:bookmarkEnd w:id="70"/>
      <w:r/>
      <w:bookmarkEnd w:id="71"/>
      <w:r/>
      <w:bookmarkEnd w:id="72"/>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ind w:left="0"/>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u w:val="single"/>
        </w:rPr>
        <w:t xml:space="preserve">：</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lang w:eastAsia="zh-CN"/>
        </w:rPr>
        <w:t xml:space="preserve">苏州市交通运输应急指挥中心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 </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lang w:eastAsia="zh-CN"/>
        </w:rPr>
        <w:t xml:space="preserve">苏州市交通运输应急指挥中心指挥大厅运行监测坐席采购</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工业</w:t>
      </w:r>
      <w:r>
        <w:rPr>
          <w:rFonts w:hint="eastAsia" w:ascii="宋体" w:hAnsi="宋体" w:eastAsia="宋体" w:cs="宋体"/>
          <w:sz w:val="24"/>
          <w:szCs w:val="24"/>
          <w:u w:val="single"/>
        </w:rPr>
        <w:t xml:space="preserve">）行业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Style w:val="927"/>
          <w:rFonts w:hint="eastAsia" w:ascii="宋体" w:hAnsi="宋体" w:eastAsia="宋体" w:cs="宋体"/>
          <w:sz w:val="24"/>
          <w:szCs w:val="24"/>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（标的名称）</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w:t>
      </w:r>
      <w:r>
        <w:rPr>
          <w:rFonts w:hint="eastAsia" w:ascii="宋体" w:hAnsi="宋体" w:eastAsia="宋体" w:cs="宋体"/>
          <w:b/>
          <w:sz w:val="24"/>
          <w:szCs w:val="24"/>
          <w:u w:val="single"/>
          <w:lang w:val="zh-CN"/>
        </w:rPr>
        <w:t xml:space="preserve">工业</w:t>
      </w:r>
      <w:r>
        <w:rPr>
          <w:rFonts w:hint="eastAsia" w:ascii="宋体" w:hAnsi="宋体" w:eastAsia="宋体" w:cs="宋体"/>
          <w:sz w:val="24"/>
          <w:szCs w:val="24"/>
          <w:u w:val="single"/>
          <w:lang w:val="zh-CN"/>
        </w:rPr>
        <w:t xml:space="preserve">）行业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82"/>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企业名称（盖章）：</w:t>
      </w:r>
      <w:r>
        <w:rPr>
          <w:rFonts w:hint="eastAsia" w:ascii="宋体" w:hAnsi="宋体" w:eastAsia="宋体" w:cs="宋体"/>
          <w:sz w:val="24"/>
          <w:szCs w:val="24"/>
          <w:lang w:val="zh-CN"/>
        </w:rPr>
        <w:br/>
      </w:r>
      <w:r>
        <w:rPr>
          <w:rFonts w:hint="eastAsia" w:ascii="宋体" w:hAnsi="宋体" w:eastAsia="宋体" w:cs="宋体"/>
          <w:sz w:val="24"/>
          <w:szCs w:val="24"/>
          <w:lang w:val="zh-CN"/>
        </w:rPr>
        <w:t xml:space="preserve">日 期： 年  月 日</w:t>
      </w:r>
      <w:r/>
    </w:p>
    <w:p>
      <w:pPr>
        <w:ind w:left="0"/>
        <w:spacing w:line="280" w:lineRule="exact"/>
        <w:rPr>
          <w:rFonts w:hint="eastAsia" w:ascii="宋体" w:hAnsi="宋体" w:eastAsia="宋体" w:cs="宋体"/>
          <w:b/>
          <w:sz w:val="24"/>
          <w:szCs w:val="24"/>
        </w:rPr>
      </w:pPr>
      <w:r>
        <w:rPr>
          <w:rFonts w:hint="eastAsia" w:ascii="宋体" w:hAnsi="宋体" w:eastAsia="宋体" w:cs="宋体"/>
          <w:sz w:val="24"/>
          <w:szCs w:val="24"/>
          <w:lang w:val="zh-CN"/>
        </w:rPr>
        <w:br w:type="page" w:clear="all"/>
      </w:r>
      <w:bookmarkStart w:id="73" w:name="_Toc71810485"/>
      <w:r>
        <w:rPr>
          <w:rFonts w:hint="eastAsia" w:ascii="宋体" w:hAnsi="宋体" w:eastAsia="宋体" w:cs="宋体"/>
          <w:b/>
          <w:sz w:val="24"/>
          <w:szCs w:val="24"/>
        </w:rPr>
        <w:t xml:space="preserve">附：中小企业划型标准规定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（二）</w:t>
      </w:r>
      <w:bookmarkStart w:id="74" w:name="OLE_LINK19"/>
      <w:r/>
      <w:bookmarkStart w:id="75" w:name="OLE_LINK18"/>
      <w:r>
        <w:rPr>
          <w:rFonts w:hint="eastAsia" w:ascii="宋体" w:hAnsi="宋体" w:eastAsia="宋体" w:cs="宋体"/>
          <w:b/>
          <w:sz w:val="24"/>
          <w:szCs w:val="24"/>
        </w:rPr>
        <w:t xml:space="preserve">工业</w:t>
      </w:r>
      <w:bookmarkEnd w:id="74"/>
      <w:r/>
      <w:bookmarkEnd w:id="75"/>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w:t>
      </w:r>
      <w:r/>
    </w:p>
    <w:p>
      <w:pPr>
        <w:ind w:left="0"/>
        <w:spacing w:line="280" w:lineRule="exact"/>
        <w:rPr>
          <w:rFonts w:hint="eastAsia" w:ascii="宋体" w:hAnsi="宋体" w:eastAsia="宋体" w:cs="宋体"/>
          <w:sz w:val="24"/>
          <w:szCs w:val="24"/>
        </w:rPr>
      </w:pPr>
      <w:r>
        <w:rPr>
          <w:rFonts w:hint="eastAsia" w:ascii="宋体" w:hAnsi="宋体" w:eastAsia="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2"/>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eastAsia="宋体" w:cs="宋体"/>
          <w:b/>
          <w:sz w:val="24"/>
          <w:szCs w:val="24"/>
        </w:rPr>
      </w:pPr>
      <w:r/>
      <w:bookmarkStart w:id="76" w:name="_Toc105397784"/>
      <w:r>
        <w:rPr>
          <w:rFonts w:hint="eastAsia" w:ascii="宋体" w:hAnsi="宋体" w:eastAsia="宋体" w:cs="宋体"/>
          <w:b/>
          <w:sz w:val="24"/>
          <w:szCs w:val="24"/>
        </w:rPr>
        <w:br w:type="page" w:clear="all"/>
      </w:r>
      <w:r/>
    </w:p>
    <w:p>
      <w:pPr>
        <w:ind w:left="0"/>
        <w:jc w:val="left"/>
        <w:rPr>
          <w:rFonts w:hint="eastAsia" w:ascii="宋体" w:hAnsi="宋体" w:eastAsia="宋体" w:cs="宋体"/>
          <w:b/>
          <w:bCs/>
          <w:sz w:val="24"/>
          <w:szCs w:val="24"/>
        </w:rPr>
        <w:outlineLvl w:val="0"/>
      </w:pPr>
      <w:r>
        <w:rPr>
          <w:rFonts w:hint="eastAsia" w:ascii="宋体" w:hAnsi="宋体" w:eastAsia="宋体" w:cs="宋体"/>
          <w:b/>
          <w:sz w:val="24"/>
          <w:szCs w:val="24"/>
        </w:rPr>
        <w:t xml:space="preserve">附件6.残疾人福利性单位声明函</w:t>
      </w:r>
      <w:bookmarkEnd w:id="73"/>
      <w:r/>
      <w:bookmarkEnd w:id="76"/>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残疾人福利性单位声明函</w:t>
      </w:r>
      <w:r/>
    </w:p>
    <w:p>
      <w:pPr>
        <w:ind w:left="0"/>
        <w:spacing w:line="360" w:lineRule="auto"/>
        <w:rPr>
          <w:rFonts w:hint="eastAsia" w:ascii="宋体" w:hAnsi="宋体" w:eastAsia="宋体" w:cs="宋体"/>
          <w:sz w:val="24"/>
          <w:szCs w:val="24"/>
          <w:lang w:val="zh-CN"/>
        </w:rPr>
      </w:pPr>
      <w:r/>
      <w:bookmarkStart w:id="77" w:name="_Toc32206"/>
      <w:r/>
      <w:bookmarkStart w:id="78" w:name="_Toc3869"/>
      <w:r/>
      <w:bookmarkStart w:id="79" w:name="_Toc15378"/>
      <w:r>
        <w:rPr>
          <w:rFonts w:hint="eastAsia" w:ascii="宋体" w:hAnsi="宋体" w:eastAsia="宋体" w:cs="宋体"/>
          <w:sz w:val="24"/>
          <w:szCs w:val="24"/>
          <w:u w:val="single"/>
          <w:lang w:val="zh-CN"/>
        </w:rPr>
        <w:t xml:space="preserve">苏州市永诚建设咨询有限公司</w:t>
      </w:r>
      <w:r>
        <w:rPr>
          <w:rFonts w:hint="eastAsia" w:ascii="宋体" w:hAnsi="宋体" w:eastAsia="宋体" w:cs="宋体"/>
          <w:sz w:val="24"/>
          <w:szCs w:val="24"/>
          <w:lang w:val="zh-CN"/>
        </w:rPr>
        <w:t xml:space="preserve">：</w:t>
      </w:r>
      <w:bookmarkEnd w:id="77"/>
      <w:r/>
      <w:bookmarkEnd w:id="78"/>
      <w:r/>
      <w:bookmarkEnd w:id="79"/>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lang w:val="zh-CN"/>
        </w:rPr>
        <w:t xml:space="preserve">贵中心组织实施的编号为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号的招标活动</w:t>
      </w:r>
      <w:r>
        <w:rPr>
          <w:rFonts w:hint="eastAsia" w:ascii="宋体" w:hAnsi="宋体" w:eastAsia="宋体" w:cs="宋体"/>
          <w:sz w:val="24"/>
          <w:szCs w:val="24"/>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pStyle w:val="1357"/>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eastAsia="宋体" w:cs="宋体"/>
          <w:b/>
          <w:sz w:val="24"/>
          <w:szCs w:val="24"/>
        </w:rPr>
      </w:pPr>
      <w:r/>
      <w:bookmarkStart w:id="80" w:name="OLE_LINK15"/>
      <w:r/>
      <w:bookmarkStart w:id="81" w:name="OLE_LINK16"/>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附件7.关于符合本国产品标准的声明函</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关于符合本国产品标准的声明函</w:t>
      </w:r>
      <w:r/>
    </w:p>
    <w:p>
      <w:pPr>
        <w:pStyle w:val="915"/>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1.</w:t>
      </w:r>
      <w:r>
        <w:rPr>
          <w:rStyle w:val="924"/>
          <w:rFonts w:hint="eastAsia" w:ascii="宋体" w:hAnsi="宋体" w:eastAsia="宋体" w:cs="宋体"/>
          <w:sz w:val="24"/>
          <w:szCs w:val="24"/>
          <w:u w:val="single"/>
        </w:rPr>
        <w:t xml:space="preserve">（产品名称1）</w:t>
      </w:r>
      <w:r>
        <w:rPr>
          <w:rStyle w:val="924"/>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Style w:val="924"/>
          <w:rFonts w:hint="eastAsia" w:ascii="宋体" w:hAnsi="宋体" w:eastAsia="宋体" w:cs="宋体"/>
          <w:sz w:val="24"/>
          <w:szCs w:val="24"/>
          <w:u w:val="single"/>
        </w:rPr>
        <w:t xml:space="preserve">（厂名）</w:t>
      </w:r>
      <w:r>
        <w:rPr>
          <w:rStyle w:val="924"/>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Style w:val="924"/>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924"/>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Style w:val="924"/>
          <w:rFonts w:hint="eastAsia" w:ascii="宋体" w:hAnsi="宋体" w:eastAsia="宋体" w:cs="宋体"/>
          <w:sz w:val="24"/>
          <w:szCs w:val="24"/>
          <w:u w:val="single"/>
        </w:rPr>
        <w:t xml:space="preserve">（规定比例）</w:t>
      </w:r>
      <w:r>
        <w:rPr>
          <w:rStyle w:val="924"/>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Style w:val="924"/>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924"/>
          <w:rFonts w:hint="eastAsia" w:ascii="宋体" w:hAnsi="宋体" w:eastAsia="宋体" w:cs="宋体"/>
          <w:sz w:val="24"/>
          <w:szCs w:val="24"/>
          <w:u w:val="single"/>
        </w:rPr>
        <w:t xml:space="preserve">（关键组件）</w:t>
      </w:r>
      <w:r>
        <w:rPr>
          <w:rStyle w:val="924"/>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Style w:val="924"/>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Style w:val="924"/>
          <w:rFonts w:hint="eastAsia" w:ascii="宋体" w:hAnsi="宋体" w:eastAsia="宋体" w:cs="宋体"/>
          <w:sz w:val="24"/>
          <w:szCs w:val="24"/>
          <w:u w:val="single"/>
        </w:rPr>
        <w:t xml:space="preserve">（关键工序）</w:t>
      </w:r>
      <w:r>
        <w:rPr>
          <w:rStyle w:val="924"/>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sz w:val="24"/>
          <w:szCs w:val="24"/>
        </w:rPr>
        <w:t xml:space="preserve">2.</w:t>
      </w:r>
      <w:r>
        <w:rPr>
          <w:rStyle w:val="924"/>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Style w:val="924"/>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Style w:val="924"/>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Style w:val="924"/>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Style w:val="924"/>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Style w:val="924"/>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924"/>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Style w:val="924"/>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Style w:val="924"/>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p>
    <w:p>
      <w:pPr>
        <w:pStyle w:val="915"/>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w:t>
      </w:r>
      <w:r/>
    </w:p>
    <w:p>
      <w:pPr>
        <w:pStyle w:val="915"/>
        <w:ind w:firstLine="48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pStyle w:val="915"/>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915"/>
        <w:ind w:right="815"/>
        <w:jc w:val="center"/>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915"/>
        <w:ind w:left="0" w:right="815" w:firstLine="540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15"/>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915"/>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915"/>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915"/>
        <w:jc w:val="right"/>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r>
      <w:r/>
    </w:p>
    <w:p>
      <w:pPr>
        <w:pStyle w:val="915"/>
        <w:ind w:left="0" w:firstLine="0"/>
        <w:spacing w:before="30" w:after="3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__________________</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pStyle w:val="915"/>
        <w:ind w:firstLine="480"/>
        <w:spacing w:before="0" w:after="0"/>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用斜线划除的地方无需填写。</w:t>
      </w:r>
      <w:bookmarkEnd w:id="80"/>
      <w:r/>
      <w:bookmarkEnd w:id="81"/>
      <w:r/>
      <w:r/>
    </w:p>
    <w:p>
      <w:pPr>
        <w:ind w:left="0"/>
        <w:jc w:val="left"/>
        <w:rPr>
          <w:rFonts w:hint="eastAsia" w:ascii="宋体" w:hAnsi="宋体" w:eastAsia="宋体" w:cs="宋体"/>
          <w:sz w:val="24"/>
          <w:szCs w:val="24"/>
        </w:rPr>
        <w:outlineLvl w:val="0"/>
      </w:pPr>
      <w:r>
        <w:rPr>
          <w:rFonts w:hint="eastAsia" w:ascii="宋体" w:hAnsi="宋体" w:eastAsia="宋体" w:cs="宋体"/>
          <w:sz w:val="24"/>
          <w:szCs w:val="24"/>
          <w:lang w:val="zh-CN"/>
        </w:rPr>
        <w:br w:type="page" w:clear="all"/>
      </w:r>
      <w:bookmarkStart w:id="82" w:name="_Toc31973"/>
      <w:r/>
      <w:bookmarkStart w:id="83" w:name="_Toc27138"/>
      <w:r/>
      <w:r/>
    </w:p>
    <w:p>
      <w:pPr>
        <w:ind w:left="0"/>
        <w:jc w:val="left"/>
        <w:rPr>
          <w:rFonts w:hint="eastAsia" w:ascii="宋体" w:hAnsi="宋体" w:eastAsia="宋体" w:cs="宋体"/>
          <w:b/>
          <w:sz w:val="24"/>
          <w:szCs w:val="24"/>
        </w:rPr>
        <w:outlineLvl w:val="0"/>
      </w:pPr>
      <w:r/>
      <w:bookmarkStart w:id="84" w:name="_Toc105397786"/>
      <w:r>
        <w:rPr>
          <w:rFonts w:hint="eastAsia" w:ascii="宋体" w:hAnsi="宋体" w:eastAsia="宋体" w:cs="宋体"/>
          <w:b/>
          <w:sz w:val="24"/>
          <w:szCs w:val="24"/>
        </w:rPr>
        <w:t xml:space="preserve">附件8.</w:t>
      </w:r>
      <w:bookmarkEnd w:id="84"/>
      <w:r>
        <w:rPr>
          <w:rFonts w:hint="eastAsia" w:ascii="宋体" w:hAnsi="宋体" w:eastAsia="宋体" w:cs="宋体"/>
          <w:sz w:val="24"/>
          <w:szCs w:val="24"/>
        </w:rPr>
        <w:t xml:space="preserve"> </w:t>
      </w:r>
      <w:r>
        <w:rPr>
          <w:rFonts w:hint="eastAsia" w:ascii="宋体" w:hAnsi="宋体" w:eastAsia="宋体" w:cs="宋体"/>
          <w:b/>
          <w:sz w:val="24"/>
          <w:szCs w:val="24"/>
        </w:rPr>
        <w:t xml:space="preserve">技术参数响应及偏离表</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技术参数响应及偏离表</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偏离说明</w:t>
            </w:r>
            <w:r/>
          </w:p>
        </w:tc>
        <w:tc>
          <w:tcPr>
            <w:tcW w:w="1418" w:type="dxa"/>
            <w:vAlign w:val="center"/>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以上表格内容不够的请自行添加。</w:t>
      </w:r>
      <w:r/>
    </w:p>
    <w:p>
      <w:pPr>
        <w:ind w:left="0" w:right="156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附件9.</w:t>
      </w:r>
      <w:r>
        <w:rPr>
          <w:rFonts w:hint="eastAsia" w:ascii="宋体" w:hAnsi="宋体" w:eastAsia="宋体" w:cs="宋体"/>
          <w:sz w:val="24"/>
          <w:szCs w:val="24"/>
        </w:rPr>
        <w:t xml:space="preserve"> </w:t>
      </w:r>
      <w:r>
        <w:rPr>
          <w:rFonts w:hint="eastAsia" w:ascii="宋体" w:hAnsi="宋体" w:eastAsia="宋体" w:cs="宋体"/>
          <w:b/>
          <w:sz w:val="24"/>
          <w:szCs w:val="24"/>
        </w:rPr>
        <w:t xml:space="preserve">商务条款响应及偏离表</w:t>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商务条款响应及偏离表</w:t>
      </w:r>
      <w:r/>
    </w:p>
    <w:tbl>
      <w:tblPr>
        <w:tblStyle w:val="8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招标要求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投标内容</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以上表格内容不够的请自行添加。</w:t>
      </w:r>
      <w:r/>
    </w:p>
    <w:p>
      <w:pPr>
        <w:ind w:left="0" w:right="156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left="0"/>
        <w:jc w:val="left"/>
        <w:rPr>
          <w:rFonts w:hint="eastAsia" w:ascii="宋体" w:hAnsi="宋体" w:eastAsia="宋体" w:cs="宋体"/>
          <w:b/>
          <w:sz w:val="24"/>
          <w:szCs w:val="24"/>
        </w:rPr>
        <w:outlineLvl w:val="0"/>
      </w:pPr>
      <w:r/>
      <w:bookmarkStart w:id="85" w:name="_Toc71810489"/>
      <w:r/>
      <w:bookmarkStart w:id="86" w:name="_Toc105397787"/>
      <w:r>
        <w:rPr>
          <w:rFonts w:hint="eastAsia" w:ascii="宋体" w:hAnsi="宋体" w:eastAsia="宋体" w:cs="宋体"/>
          <w:b/>
          <w:sz w:val="24"/>
          <w:szCs w:val="24"/>
        </w:rPr>
        <w:br w:type="page" w:clear="all"/>
      </w:r>
      <w:r>
        <w:rPr>
          <w:rFonts w:hint="eastAsia" w:ascii="宋体" w:hAnsi="宋体" w:eastAsia="宋体" w:cs="宋体"/>
          <w:b/>
          <w:sz w:val="24"/>
          <w:szCs w:val="24"/>
        </w:rPr>
        <w:t xml:space="preserve">附件10.相关业绩一览表</w:t>
      </w:r>
      <w:bookmarkEnd w:id="85"/>
      <w:r/>
      <w:bookmarkEnd w:id="86"/>
      <w:r/>
      <w:r/>
    </w:p>
    <w:p>
      <w:pPr>
        <w:ind w:left="0"/>
        <w:jc w:val="center"/>
        <w:spacing w:before="100" w:beforeAutospacing="1" w:after="100" w:afterAutospacing="1" w:line="480" w:lineRule="auto"/>
        <w:rPr>
          <w:rFonts w:hint="eastAsia" w:ascii="宋体" w:hAnsi="宋体" w:eastAsia="宋体" w:cs="宋体"/>
          <w:b/>
          <w:sz w:val="24"/>
          <w:szCs w:val="24"/>
        </w:rPr>
      </w:pPr>
      <w:r>
        <w:rPr>
          <w:rFonts w:hint="eastAsia" w:ascii="宋体" w:hAnsi="宋体" w:eastAsia="宋体" w:cs="宋体"/>
          <w:b/>
          <w:sz w:val="24"/>
          <w:szCs w:val="24"/>
        </w:rPr>
        <w:t xml:space="preserve">相关业绩一览表</w:t>
      </w:r>
      <w:r/>
    </w:p>
    <w:tbl>
      <w:tblPr>
        <w:tblStyle w:val="86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合同期</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合同金额</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3</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4</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5</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注：1.若事项较多，投标人可根据投标内容的实际情况另纸说明。</w:t>
      </w:r>
      <w:r/>
    </w:p>
    <w:p>
      <w:pPr>
        <w:ind w:left="0" w:firstLine="84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2.请将其他相关证明材料复印件加盖公章后附在本表后面。</w:t>
      </w:r>
      <w:r/>
    </w:p>
    <w:p>
      <w:pPr>
        <w:ind w:left="0"/>
        <w:jc w:val="left"/>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8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r>
      <w:r/>
    </w:p>
    <w:p>
      <w:pPr>
        <w:pStyle w:val="883"/>
        <w:rPr>
          <w:rFonts w:hint="eastAsia" w:ascii="宋体" w:hAnsi="宋体" w:eastAsia="宋体" w:cs="宋体"/>
          <w:sz w:val="24"/>
          <w:szCs w:val="24"/>
        </w:rPr>
      </w:pPr>
      <w:r>
        <w:rPr>
          <w:rFonts w:hint="eastAsia" w:ascii="宋体" w:hAnsi="宋体" w:eastAsia="宋体" w:cs="宋体"/>
          <w:sz w:val="24"/>
          <w:szCs w:val="24"/>
        </w:rPr>
      </w:r>
      <w:r/>
    </w:p>
    <w:p>
      <w:pPr>
        <w:pStyle w:val="87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bookmarkEnd w:id="82"/>
      <w:r/>
      <w:bookmarkEnd w:id="83"/>
      <w:r/>
      <w:r/>
    </w:p>
    <w:p>
      <w:pPr>
        <w:rPr>
          <w:rFonts w:hint="eastAsia" w:ascii="宋体" w:hAnsi="宋体" w:eastAsia="宋体" w:cs="宋体"/>
          <w:sz w:val="24"/>
          <w:szCs w:val="24"/>
        </w:rPr>
      </w:pPr>
      <w:r/>
      <w:bookmarkStart w:id="87" w:name="_Toc71810490"/>
      <w:r>
        <w:rPr>
          <w:rFonts w:hint="eastAsia" w:ascii="宋体" w:hAnsi="宋体" w:eastAsia="宋体" w:cs="宋体"/>
          <w:sz w:val="24"/>
          <w:szCs w:val="24"/>
        </w:rPr>
        <w:t xml:space="preserve"> </w:t>
      </w:r>
      <w:r/>
    </w:p>
    <w:p>
      <w:pPr>
        <w:pStyle w:val="87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sz w:val="24"/>
          <w:szCs w:val="24"/>
        </w:rPr>
      </w:pPr>
      <w:r/>
      <w:bookmarkStart w:id="88" w:name="_Toc105397789"/>
      <w:r>
        <w:rPr>
          <w:rFonts w:hint="eastAsia" w:ascii="宋体" w:hAnsi="宋体" w:eastAsia="宋体" w:cs="宋体"/>
          <w:b/>
          <w:sz w:val="24"/>
          <w:szCs w:val="24"/>
        </w:rPr>
        <w:br w:type="page" w:clear="all"/>
      </w:r>
      <w:r/>
    </w:p>
    <w:p>
      <w:pPr>
        <w:ind w:left="0"/>
        <w:jc w:val="left"/>
        <w:rPr>
          <w:rFonts w:hint="eastAsia" w:ascii="宋体" w:hAnsi="宋体" w:eastAsia="宋体" w:cs="宋体"/>
          <w:b/>
          <w:sz w:val="24"/>
          <w:szCs w:val="24"/>
        </w:rPr>
        <w:outlineLvl w:val="0"/>
      </w:pPr>
      <w:r>
        <w:rPr>
          <w:rFonts w:hint="eastAsia" w:ascii="宋体" w:hAnsi="宋体" w:eastAsia="宋体" w:cs="宋体"/>
          <w:b/>
          <w:sz w:val="24"/>
          <w:szCs w:val="24"/>
        </w:rPr>
        <w:t xml:space="preserve">附件11.关于资格文件的声明函</w:t>
      </w:r>
      <w:bookmarkEnd w:id="87"/>
      <w:r/>
      <w:bookmarkEnd w:id="88"/>
      <w:r/>
      <w:r/>
    </w:p>
    <w:p>
      <w:pPr>
        <w:ind w:left="0" w:firstLine="420"/>
        <w:jc w:val="center"/>
        <w:rPr>
          <w:rFonts w:hint="eastAsia" w:ascii="宋体" w:hAnsi="宋体" w:eastAsia="宋体" w:cs="宋体"/>
          <w:b/>
          <w:sz w:val="24"/>
          <w:szCs w:val="24"/>
        </w:rPr>
      </w:pPr>
      <w:r>
        <w:rPr>
          <w:rFonts w:hint="eastAsia" w:ascii="宋体" w:hAnsi="宋体" w:eastAsia="宋体" w:cs="宋体"/>
          <w:b/>
          <w:sz w:val="24"/>
          <w:szCs w:val="24"/>
        </w:rPr>
      </w:r>
      <w:r/>
    </w:p>
    <w:p>
      <w:pPr>
        <w:ind w:left="0"/>
        <w:jc w:val="center"/>
        <w:rPr>
          <w:rFonts w:hint="eastAsia" w:ascii="宋体" w:hAnsi="宋体" w:eastAsia="宋体" w:cs="宋体"/>
          <w:b/>
          <w:sz w:val="24"/>
          <w:szCs w:val="24"/>
        </w:rPr>
      </w:pPr>
      <w:r>
        <w:rPr>
          <w:rFonts w:hint="eastAsia" w:ascii="宋体" w:hAnsi="宋体" w:eastAsia="宋体" w:cs="宋体"/>
          <w:b/>
          <w:sz w:val="24"/>
          <w:szCs w:val="24"/>
        </w:rPr>
        <w:t xml:space="preserve">关于资格文件的声明函</w:t>
      </w:r>
      <w:r/>
    </w:p>
    <w:p>
      <w:pPr>
        <w:ind w:left="0" w:firstLine="420"/>
        <w:jc w:val="center"/>
        <w:rPr>
          <w:rFonts w:hint="eastAsia" w:ascii="宋体" w:hAnsi="宋体" w:eastAsia="宋体" w:cs="宋体"/>
          <w:sz w:val="24"/>
          <w:szCs w:val="24"/>
        </w:rPr>
      </w:pPr>
      <w:r>
        <w:rPr>
          <w:rFonts w:hint="eastAsia" w:ascii="宋体" w:hAnsi="宋体" w:eastAsia="宋体" w:cs="宋体"/>
          <w:sz w:val="24"/>
          <w:szCs w:val="24"/>
        </w:rPr>
      </w:r>
      <w:r/>
    </w:p>
    <w:p>
      <w:pPr>
        <w:ind w:left="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lang w:eastAsia="zh-CN"/>
        </w:rPr>
        <w:t xml:space="preserve">苏州市永诚建设咨询有限公司</w:t>
      </w:r>
      <w:r>
        <w:rPr>
          <w:rFonts w:hint="eastAsia" w:ascii="宋体" w:hAnsi="宋体" w:eastAsia="宋体" w:cs="宋体"/>
          <w:sz w:val="24"/>
          <w:szCs w:val="24"/>
        </w:rPr>
        <w:t xml:space="preserve">：</w:t>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本公司愿就由贵中心组织实施的编号为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3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 </w:t>
      </w:r>
      <w:r/>
    </w:p>
    <w:p>
      <w:pPr>
        <w:ind w:firstLine="28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3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ind w:left="0" w:right="0"/>
        <w:jc w:val="left"/>
        <w:keepLines w:val="0"/>
        <w:keepNext w:val="0"/>
        <w:spacing w:before="0" w:beforeAutospacing="0" w:after="0" w:afterAutospacing="0"/>
        <w:widowControl/>
        <w:rPr>
          <w:rFonts w:hint="eastAsia" w:ascii="宋体" w:hAnsi="宋体" w:eastAsia="宋体" w:cs="宋体"/>
          <w:b/>
          <w:bCs w:val="0"/>
          <w:sz w:val="24"/>
          <w:szCs w:val="24"/>
        </w:rPr>
        <w:outlineLvl w:val="0"/>
        <w:suppressLineNumbers w:val="0"/>
      </w:pPr>
      <w:r>
        <w:rPr>
          <w:rFonts w:hint="eastAsia" w:ascii="宋体" w:hAnsi="宋体" w:eastAsia="宋体" w:cs="宋体"/>
          <w:sz w:val="24"/>
          <w:szCs w:val="24"/>
        </w:rPr>
        <w:br w:type="page" w:clear="all"/>
      </w:r>
      <w:r>
        <w:rPr>
          <w:rFonts w:hint="eastAsia" w:ascii="宋体" w:hAnsi="宋体" w:eastAsia="宋体" w:cs="宋体"/>
          <w:b/>
          <w:sz w:val="24"/>
          <w:szCs w:val="24"/>
        </w:rPr>
        <w:t xml:space="preserve">附件12.</w:t>
      </w:r>
      <w:r>
        <w:rPr>
          <w:rFonts w:hint="eastAsia" w:ascii="宋体" w:hAnsi="宋体" w:eastAsia="宋体" w:cs="宋体"/>
          <w:b/>
          <w:bCs w:val="0"/>
          <w:sz w:val="24"/>
          <w:szCs w:val="24"/>
          <w:lang w:val="en-US" w:eastAsia="zh-CN" w:bidi="ar"/>
        </w:rPr>
        <w:t xml:space="preserve">投标货物和服务数量、品牌规格、性能、交货期说明表</w:t>
      </w:r>
      <w:r/>
    </w:p>
    <w:p>
      <w:pPr>
        <w:ind w:left="0" w:right="0"/>
        <w:jc w:val="center"/>
        <w:keepLines w:val="0"/>
        <w:keepNext w:val="0"/>
        <w:spacing w:before="0" w:beforeAutospacing="1" w:after="0" w:afterAutospacing="1" w:line="480" w:lineRule="auto"/>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投标货物和服务数量、品牌规格、性能、交货期说明表</w:t>
      </w:r>
      <w:r/>
    </w:p>
    <w:tbl>
      <w:tblPr>
        <w:tblStyle w:val="867"/>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711"/>
        <w:gridCol w:w="2335"/>
        <w:gridCol w:w="2197"/>
        <w:gridCol w:w="1319"/>
        <w:gridCol w:w="1984"/>
        <w:gridCol w:w="1427"/>
      </w:tblGrid>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54"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品牌、规格、性能</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交货期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center"/>
            <w:textDirection w:val="lrTb"/>
            <w:noWrap/>
          </w:tcPr>
          <w:p>
            <w:pPr>
              <w:ind w:left="0" w:right="0"/>
              <w:jc w:val="center"/>
              <w:keepLines w:val="0"/>
              <w:keepNext w:val="0"/>
              <w:spacing w:before="0" w:beforeAutospacing="0" w:after="0" w:afterAutospacing="0" w:line="560" w:lineRule="exact"/>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right w:w="108" w:type="dxa"/>
            </w:tcMar>
            <w:tcW w:w="3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70"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110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661"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Mar>
              <w:left w:w="108" w:type="dxa"/>
              <w:right w:w="108" w:type="dxa"/>
            </w:tcMar>
            <w:tcW w:w="994"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15" w:type="pct"/>
            <w:vAlign w:val="top"/>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jc w:val="left"/>
        <w:keepLines w:val="0"/>
        <w:keepNext w:val="0"/>
        <w:spacing w:before="0" w:beforeAutospacing="0" w:after="0" w:afterAutospacing="0"/>
        <w:widowControl/>
        <w:rPr>
          <w:rFonts w:hint="eastAsia" w:ascii="宋体" w:hAnsi="宋体" w:eastAsia="宋体" w:cs="宋体"/>
          <w:b/>
          <w:bCs w:val="0"/>
          <w:sz w:val="24"/>
          <w:szCs w:val="24"/>
        </w:rPr>
        <w:suppressLineNumbers w:val="0"/>
      </w:pPr>
      <w:r>
        <w:rPr>
          <w:rFonts w:hint="eastAsia" w:ascii="宋体" w:hAnsi="宋体" w:eastAsia="宋体" w:cs="宋体"/>
          <w:b/>
          <w:bCs w:val="0"/>
          <w:sz w:val="24"/>
          <w:szCs w:val="24"/>
          <w:lang w:val="en-US" w:eastAsia="zh-CN" w:bidi="ar"/>
        </w:rPr>
        <w:t xml:space="preserve"> </w:t>
      </w:r>
      <w:r/>
    </w:p>
    <w:p>
      <w:pPr>
        <w:ind w:left="0" w:right="0" w:firstLine="105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投标方（盖章）：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法定代表人或代理人（签字或盖章）：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ectPr>
          <w:headerReference w:type="first" r:id="rId10"/>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suppressLineNumbers w:val="0"/>
      </w:pPr>
      <w:r>
        <w:rPr>
          <w:rFonts w:hint="eastAsia" w:ascii="宋体" w:hAnsi="宋体" w:eastAsia="宋体" w:cs="宋体"/>
          <w:sz w:val="24"/>
          <w:szCs w:val="24"/>
          <w:lang w:val="en-US" w:eastAsia="zh-CN" w:bidi="ar"/>
        </w:rPr>
        <w:t xml:space="preserve">日期:       年月日</w:t>
      </w:r>
      <w:r/>
    </w:p>
    <w:p>
      <w:pPr>
        <w:ind w:left="0" w:right="0"/>
        <w:jc w:val="left"/>
        <w:keepLines w:val="0"/>
        <w:keepNext w:val="0"/>
        <w:spacing w:before="0" w:beforeAutospacing="0" w:after="0" w:afterAutospacing="0"/>
        <w:widowControl/>
        <w:rPr>
          <w:rFonts w:hint="eastAsia" w:ascii="宋体" w:hAnsi="宋体" w:eastAsia="宋体" w:cs="宋体"/>
          <w:b/>
          <w:bCs w:val="0"/>
          <w:sz w:val="24"/>
          <w:szCs w:val="24"/>
        </w:rPr>
        <w:outlineLvl w:val="0"/>
        <w:suppressLineNumbers w:val="0"/>
      </w:pPr>
      <w:r>
        <w:rPr>
          <w:rFonts w:hint="eastAsia" w:ascii="宋体" w:hAnsi="宋体" w:eastAsia="宋体" w:cs="宋体"/>
          <w:b/>
          <w:bCs w:val="0"/>
          <w:sz w:val="24"/>
          <w:szCs w:val="24"/>
          <w:lang w:val="en-US" w:eastAsia="zh-CN" w:bidi="ar"/>
        </w:rPr>
        <w:t xml:space="preserve">附件13.投标方基本情况表</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tbl>
      <w:tblPr>
        <w:tblStyle w:val="867"/>
        <w:tblW w:w="90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成立日期</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注册地址</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注册资金</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firstLine="216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经营范围</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实现利润</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2025年万元</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员工总人数</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资产总计</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26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万元</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1418"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营业收入</w:t>
            </w:r>
            <w:r/>
          </w:p>
        </w:tc>
        <w:tc>
          <w:tcPr>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2835" w:type="dxa"/>
            <w:vAlign w:val="center"/>
            <w:textDirection w:val="lrTb"/>
            <w:noWrap/>
          </w:tcPr>
          <w:p>
            <w:pPr>
              <w:ind w:left="0" w:right="0" w:firstLine="420"/>
              <w:jc w:val="both"/>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2025年万元</w:t>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单位简历及内设机构情况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单位优势及特长</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商业信誉和健全的财务会计制度介绍</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履行合同所必需的设备和专业技术能力情况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依法缴纳税收和社会保障资金情况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参加政府采购活动前三年内，在经营活动中有无重大违法记录</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80"/>
        </w:trPr>
        <w:tc>
          <w:tcPr>
            <w:shd w:val="clear" w:color="auto" w:fill="auto"/>
            <w:tcBorders>
              <w:top w:val="single" w:color="000000" w:sz="6" w:space="0"/>
              <w:left w:val="single" w:color="000000" w:sz="6" w:space="0"/>
              <w:bottom w:val="single" w:color="000000" w:sz="6" w:space="0"/>
              <w:right w:val="single" w:color="000000" w:sz="6" w:space="0"/>
            </w:tcBorders>
            <w:tcMar>
              <w:left w:w="108" w:type="dxa"/>
              <w:right w:w="108" w:type="dxa"/>
            </w:tcMar>
            <w:tcW w:w="255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其他需要说明的情况</w:t>
            </w:r>
            <w:r/>
          </w:p>
        </w:tc>
        <w:tc>
          <w:tcPr>
            <w:gridSpan w:val="3"/>
            <w:shd w:val="clear" w:color="auto" w:fill="auto"/>
            <w:tcBorders>
              <w:top w:val="single" w:color="000000" w:sz="6" w:space="0"/>
              <w:left w:val="none" w:color="000000" w:sz="4" w:space="0"/>
              <w:bottom w:val="single" w:color="000000" w:sz="6" w:space="0"/>
              <w:right w:val="single" w:color="000000" w:sz="6" w:space="0"/>
            </w:tcBorders>
            <w:tcMar>
              <w:left w:w="108" w:type="dxa"/>
              <w:right w:w="108" w:type="dxa"/>
            </w:tcMar>
            <w:tcW w:w="652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0" w:firstLine="315"/>
        <w:jc w:val="left"/>
        <w:keepLines w:val="0"/>
        <w:keepNext w:val="0"/>
        <w:spacing w:before="0" w:beforeAutospacing="0" w:after="0" w:afterAutospacing="0" w:line="360" w:lineRule="auto"/>
        <w:widowControl/>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注：若事项较多，投标方可根据投标内容的实际情况另纸说明。</w:t>
      </w:r>
      <w:r/>
    </w:p>
    <w:p>
      <w:pPr>
        <w:ind w:left="0" w:right="0" w:firstLine="368"/>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945"/>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投标方（盖章）：</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法定代表人或代理人（签字或盖章）：</w:t>
      </w:r>
      <w:r/>
    </w:p>
    <w:p>
      <w:pPr>
        <w:ind w:left="1024" w:right="0"/>
        <w:jc w:val="left"/>
        <w:keepLines w:val="0"/>
        <w:keepNext w:val="0"/>
        <w:spacing w:before="0" w:beforeAutospacing="0" w:after="0" w:afterAutospacing="0" w:line="360" w:lineRule="auto"/>
        <w:widowControl/>
        <w:rPr>
          <w:rFonts w:hint="eastAsia" w:ascii="宋体" w:hAnsi="宋体" w:eastAsia="宋体" w:cs="宋体"/>
          <w:b/>
          <w:bCs w:val="0"/>
          <w:sz w:val="24"/>
          <w:szCs w:val="24"/>
        </w:rPr>
        <w:suppressLineNumbers w:val="0"/>
      </w:pPr>
      <w:r>
        <w:rPr>
          <w:rFonts w:hint="eastAsia" w:ascii="宋体" w:hAnsi="宋体" w:eastAsia="宋体" w:cs="宋体"/>
          <w:sz w:val="24"/>
          <w:szCs w:val="24"/>
          <w:lang w:val="en-US" w:eastAsia="zh-CN" w:bidi="ar"/>
        </w:rPr>
        <w:t xml:space="preserve">日期:       年月日</w:t>
      </w:r>
      <w:r/>
    </w:p>
    <w:p>
      <w:pPr>
        <w:ind w:left="1024" w:right="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ectPr>
          <w:footnotePr/>
          <w:endnotePr/>
          <w:type w:val="nextPage"/>
          <w:pgSz w:w="11906" w:h="16838" w:orient="portrait"/>
          <w:pgMar w:top="1418" w:right="1021" w:bottom="1418" w:left="1021" w:header="567" w:footer="567" w:gutter="0"/>
          <w:cols w:num="1" w:sep="0" w:space="720" w:equalWidth="1"/>
          <w:docGrid w:linePitch="360"/>
          <w:titlePg/>
        </w:sectPr>
        <w:suppressLineNumbers w:val="0"/>
      </w:pPr>
      <w:r>
        <w:rPr>
          <w:rFonts w:hint="eastAsia" w:ascii="宋体" w:hAnsi="宋体" w:eastAsia="宋体" w:cs="宋体"/>
          <w:sz w:val="24"/>
          <w:szCs w:val="24"/>
          <w:lang w:val="en-US" w:eastAsia="zh-CN" w:bidi="ar"/>
        </w:rPr>
      </w:r>
      <w:r/>
    </w:p>
    <w:p>
      <w:pPr>
        <w:pStyle w:val="857"/>
        <w:ind w:left="0" w:firstLine="0"/>
        <w:jc w:val="center"/>
        <w:rPr>
          <w:rFonts w:hint="eastAsia" w:ascii="宋体" w:hAnsi="宋体" w:eastAsia="宋体" w:cs="宋体"/>
          <w:b/>
          <w:sz w:val="44"/>
          <w:szCs w:val="22"/>
        </w:rPr>
      </w:pPr>
      <w:r/>
      <w:bookmarkStart w:id="89" w:name="_Toc4098"/>
      <w:r/>
      <w:bookmarkStart w:id="90" w:name="_Toc105397793"/>
      <w:r/>
      <w:bookmarkStart w:id="91" w:name="_Toc23660"/>
      <w:r>
        <w:rPr>
          <w:rFonts w:hint="eastAsia" w:ascii="宋体" w:hAnsi="宋体" w:eastAsia="宋体" w:cs="宋体"/>
          <w:b/>
          <w:sz w:val="44"/>
          <w:szCs w:val="22"/>
        </w:rPr>
        <w:t xml:space="preserve">第四章  </w:t>
      </w:r>
      <w:bookmarkStart w:id="92" w:name="招标书"/>
      <w:r/>
      <w:bookmarkEnd w:id="92"/>
      <w:r>
        <w:rPr>
          <w:rFonts w:hint="eastAsia" w:ascii="宋体" w:hAnsi="宋体" w:eastAsia="宋体" w:cs="宋体"/>
          <w:b/>
          <w:sz w:val="44"/>
          <w:szCs w:val="22"/>
        </w:rPr>
        <w:t xml:space="preserve">招标书</w:t>
      </w:r>
      <w:bookmarkEnd w:id="89"/>
      <w:r/>
      <w:bookmarkEnd w:id="90"/>
      <w:r/>
      <w:bookmarkEnd w:id="91"/>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苏州市永诚建设咨询有限公司</w:t>
      </w:r>
      <w:r>
        <w:rPr>
          <w:rFonts w:hint="eastAsia" w:ascii="宋体" w:hAnsi="宋体" w:eastAsia="宋体" w:cs="宋体"/>
          <w:sz w:val="24"/>
          <w:szCs w:val="24"/>
        </w:rPr>
        <w:t xml:space="preserve">受</w:t>
      </w:r>
      <w:r>
        <w:rPr>
          <w:rFonts w:hint="eastAsia" w:ascii="宋体" w:hAnsi="宋体" w:eastAsia="宋体" w:cs="宋体"/>
          <w:sz w:val="24"/>
          <w:szCs w:val="24"/>
          <w:u w:val="single"/>
          <w:lang w:eastAsia="zh-CN"/>
        </w:rPr>
        <w:t xml:space="preserve">苏州市交通运输应急指挥中心</w:t>
      </w:r>
      <w:r>
        <w:rPr>
          <w:rFonts w:hint="eastAsia" w:ascii="宋体" w:hAnsi="宋体" w:eastAsia="宋体" w:cs="宋体"/>
          <w:sz w:val="24"/>
          <w:szCs w:val="24"/>
        </w:rPr>
        <w:t xml:space="preserve">的委托，就</w:t>
      </w:r>
      <w:r>
        <w:rPr>
          <w:rFonts w:hint="eastAsia" w:ascii="宋体" w:hAnsi="宋体" w:eastAsia="宋体" w:cs="宋体"/>
          <w:sz w:val="24"/>
          <w:szCs w:val="24"/>
          <w:u w:val="single"/>
          <w:lang w:eastAsia="zh-CN"/>
        </w:rPr>
        <w:t xml:space="preserve">苏州市交通运输应急指挥中心指挥大厅运行监测坐席采购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项目进行公开招标，现欢迎符合相关条件的供应商参加投标。</w:t>
      </w:r>
      <w:r/>
    </w:p>
    <w:p>
      <w:pPr>
        <w:ind w:left="0" w:firstLine="420"/>
        <w:spacing w:line="360" w:lineRule="auto"/>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一、项目编号：</w:t>
      </w:r>
      <w:r>
        <w:rPr>
          <w:rFonts w:hint="eastAsia" w:ascii="宋体" w:hAnsi="宋体" w:eastAsia="宋体" w:cs="宋体"/>
          <w:sz w:val="24"/>
          <w:szCs w:val="24"/>
          <w:lang w:eastAsia="zh-CN"/>
        </w:rPr>
        <w:t xml:space="preserve">苏州市交通运输应急指挥中心</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二、项目名称：</w:t>
      </w:r>
      <w:r>
        <w:rPr>
          <w:rFonts w:hint="eastAsia" w:ascii="宋体" w:hAnsi="宋体" w:eastAsia="宋体" w:cs="宋体"/>
          <w:sz w:val="24"/>
          <w:szCs w:val="24"/>
          <w:lang w:eastAsia="zh-CN"/>
        </w:rPr>
        <w:t xml:space="preserve">苏州市交通运输应急指挥中心指挥大厅运行监测坐席采购</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三、预算金额：人民币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四、最高限价：人民币</w:t>
      </w:r>
      <w:r>
        <w:rPr>
          <w:rFonts w:hint="eastAsia" w:ascii="宋体" w:hAnsi="宋体" w:cs="宋体"/>
          <w:sz w:val="24"/>
          <w:szCs w:val="24"/>
          <w:lang w:eastAsia="zh-CN"/>
        </w:rPr>
        <w:t xml:space="preserve">壹佰零伍万元</w:t>
      </w:r>
      <w:r>
        <w:rPr>
          <w:rFonts w:hint="eastAsia" w:ascii="宋体" w:hAnsi="宋体" w:eastAsia="宋体" w:cs="宋体"/>
          <w:sz w:val="24"/>
          <w:szCs w:val="24"/>
          <w:lang w:eastAsia="zh-CN"/>
        </w:rPr>
        <w:t xml:space="preserve">整</w:t>
      </w:r>
      <w:r>
        <w:rPr>
          <w:rFonts w:hint="eastAsia" w:ascii="宋体" w:hAnsi="宋体" w:eastAsia="宋体" w:cs="宋体"/>
          <w:sz w:val="24"/>
          <w:szCs w:val="24"/>
        </w:rPr>
        <w:t xml:space="preserve">（¥</w:t>
      </w:r>
      <w:r>
        <w:rPr>
          <w:rFonts w:hint="eastAsia" w:ascii="宋体" w:hAnsi="宋体" w:cs="宋体"/>
          <w:sz w:val="24"/>
          <w:szCs w:val="24"/>
          <w:lang w:eastAsia="zh-CN"/>
        </w:rPr>
        <w:t xml:space="preserve">1050000</w:t>
      </w:r>
      <w:r>
        <w:rPr>
          <w:rFonts w:hint="eastAsia" w:ascii="宋体" w:hAnsi="宋体" w:eastAsia="宋体" w:cs="宋体"/>
          <w:sz w:val="24"/>
          <w:szCs w:val="24"/>
          <w:lang w:eastAsia="zh-CN"/>
        </w:rPr>
        <w:t xml:space="preserve">.00</w:t>
      </w:r>
      <w:r>
        <w:rPr>
          <w:rFonts w:hint="eastAsia" w:ascii="宋体" w:hAnsi="宋体" w:eastAsia="宋体" w:cs="宋体"/>
          <w:sz w:val="24"/>
          <w:szCs w:val="24"/>
        </w:rPr>
        <w:t xml:space="preserve">）</w:t>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五、合同履行期限：</w:t>
      </w:r>
      <w:r>
        <w:rPr>
          <w:rFonts w:hint="eastAsia" w:ascii="宋体" w:hAnsi="宋体" w:eastAsia="宋体" w:cs="宋体"/>
          <w:sz w:val="24"/>
          <w:szCs w:val="24"/>
          <w:lang w:eastAsia="zh-CN"/>
        </w:rPr>
        <w:t xml:space="preserve">合同生效后，45 日内将合同标的全部交付并安装调试完毕</w:t>
      </w:r>
      <w:r>
        <w:rPr>
          <w:rFonts w:hint="eastAsia" w:ascii="宋体" w:hAnsi="宋体" w:eastAsia="宋体" w:cs="宋体"/>
          <w:sz w:val="24"/>
          <w:szCs w:val="24"/>
        </w:rPr>
        <w:t xml:space="preserve">。本项目免费质量保证期要求不低于3 年。免费质量保证期从货物供货、安装、调试正常且经采购使用部门确认验收合格之日起算。</w:t>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六、招标内容：</w:t>
      </w:r>
      <w:r/>
    </w:p>
    <w:p>
      <w:pPr>
        <w:ind w:left="0" w:firstLine="420"/>
        <w:spacing w:line="360" w:lineRule="auto"/>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1、项目概况：</w:t>
      </w:r>
      <w:r/>
    </w:p>
    <w:p>
      <w:pPr>
        <w:ind w:left="0" w:firstLine="420"/>
        <w:spacing w:line="360" w:lineRule="auto"/>
        <w:tabs>
          <w:tab w:val="left" w:pos="420" w:leader="none"/>
        </w:tabs>
        <w:rPr>
          <w:rStyle w:val="1425"/>
          <w:rFonts w:hint="eastAsia" w:ascii="宋体" w:hAnsi="宋体" w:eastAsia="宋体" w:cs="宋体"/>
          <w:color w:val="auto"/>
          <w:sz w:val="24"/>
          <w:szCs w:val="24"/>
          <w:lang w:val="en-US" w:eastAsia="zh-CN"/>
        </w:rPr>
      </w:pPr>
      <w:r>
        <w:rPr>
          <w:rStyle w:val="1425"/>
          <w:rFonts w:hint="eastAsia" w:ascii="宋体" w:hAnsi="宋体" w:eastAsia="宋体" w:cs="宋体"/>
          <w:color w:val="auto"/>
          <w:sz w:val="24"/>
          <w:szCs w:val="24"/>
          <w:lang w:val="en-US" w:eastAsia="zh-CN"/>
        </w:rPr>
        <w:t xml:space="preserve">本项目拟购置一批模块化智能指挥操作台，涵盖设备供货、结合指挥大厅场地进行定制化方案设计、坐席安装调试及3年期维修质保服务。操作台主体框架结构应使用优质冷轧碳钢矩形管框架与防火环保面板模块化构造，优化桌面尺寸拓展席位空间，适配后续业务扩容；内置走线结构可搭载显示器升降架、USB集中充电口；台面需满足防火、耐磨、耐湿热耐污染指标，设计使用年限≥15 年，简约外观匹配大厅智能化风貌，优化收纳布局提升办公舒适度，用以强化指挥大厅调度保障能力。</w:t>
      </w:r>
      <w:r/>
    </w:p>
    <w:p>
      <w:pPr>
        <w:ind w:left="0" w:firstLine="420"/>
        <w:spacing w:line="360" w:lineRule="auto"/>
        <w:tabs>
          <w:tab w:val="left" w:pos="420" w:leader="none"/>
        </w:tabs>
        <w:rPr>
          <w:rStyle w:val="1425"/>
          <w:rFonts w:hint="eastAsia" w:ascii="宋体" w:hAnsi="宋体" w:eastAsia="宋体" w:cs="宋体"/>
          <w:color w:val="auto"/>
          <w:sz w:val="24"/>
          <w:szCs w:val="24"/>
          <w:lang w:val="en-US" w:eastAsia="zh-CN"/>
        </w:rPr>
      </w:pPr>
      <w:r>
        <w:rPr>
          <w:rStyle w:val="1425"/>
          <w:rFonts w:hint="eastAsia" w:ascii="宋体" w:hAnsi="宋体" w:eastAsia="宋体" w:cs="宋体"/>
          <w:color w:val="auto"/>
          <w:sz w:val="24"/>
          <w:szCs w:val="24"/>
          <w:lang w:val="en-US" w:eastAsia="zh-CN"/>
        </w:rPr>
        <w:t xml:space="preserve">指挥中心建筑总面积约776㎡，实际可使用面积长*宽约：32.46米*23.9米，根据指挥大厅的职能，需要考虑不少于45个坐席</w:t>
      </w:r>
      <w:r>
        <w:rPr>
          <w:rStyle w:val="1425"/>
          <w:rFonts w:hint="eastAsia" w:ascii="宋体" w:hAnsi="宋体" w:eastAsia="宋体" w:cs="宋体"/>
          <w:color w:val="auto"/>
          <w:sz w:val="24"/>
          <w:szCs w:val="24"/>
          <w:lang w:val="en-US" w:eastAsia="zh-CN"/>
        </w:rPr>
        <w:t xml:space="preserve">（不含已建的10个坐席），其中包括：运管4个坐席、公路2个坐席、危货不少于3个坐席、热线8个坐席、95128不少于4个坐席、绕城7个坐席、水运不少于3个坐席、苏高速3个坐席、运维2个坐席、备用坐席不少于9个（可临时作为领导观摩使用），每个席位不少于1.5米，还需要考虑一个可坐不少于10人的研判会议桌，每个功能区设计需要跟整个指挥大厅总体布局既独立又统一，美观大方；每个操作席配置显示器支臂、PDU、电脑键盘、主机托盘、多媒体信息盒、文件柜、人体工程学椅，特殊席位需要根据用户实际使用需求设置特殊设备嵌入斜台面。</w:t>
      </w:r>
      <w:r/>
    </w:p>
    <w:p>
      <w:pPr>
        <w:ind w:left="0" w:firstLine="0"/>
        <w:pageBreakBefore w:val="0"/>
        <w:spacing w:line="360" w:lineRule="auto"/>
        <w:widowControl w:val="off"/>
        <w:rPr>
          <w:rStyle w:val="1425"/>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firstLine="0"/>
        <w:pageBreakBefore w:val="0"/>
        <w:spacing w:line="360" w:lineRule="auto"/>
        <w:widowControl w:val="off"/>
        <w:rPr>
          <w:rStyle w:val="1425"/>
          <w:rFonts w:hint="eastAsia" w:ascii="宋体" w:hAnsi="宋体" w:eastAsia="宋体" w:cs="宋体"/>
          <w:color w:val="auto"/>
          <w:sz w:val="24"/>
          <w:szCs w:val="24"/>
          <w:lang w:val="en-US" w:eastAsia="zh-CN"/>
        </w:rPr>
      </w:pPr>
      <w:r>
        <w:rPr>
          <w:rStyle w:val="1425"/>
          <w:rFonts w:hint="eastAsia" w:ascii="宋体" w:hAnsi="宋体" w:eastAsia="宋体" w:cs="宋体"/>
          <w:color w:val="auto"/>
          <w:sz w:val="24"/>
          <w:szCs w:val="24"/>
          <w:lang w:val="en-US" w:eastAsia="zh-CN"/>
        </w:rPr>
        <w:t xml:space="preserve">指挥大厅平面示意图如下：</w:t>
      </w:r>
      <w:r/>
    </w:p>
    <w:p>
      <w:pPr>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5264785" cy="3721735"/>
                <wp:effectExtent l="0" t="0" r="12065" b="12065"/>
                <wp:docPr id="17" name="图片 1" descr="tocc大厅（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tocc大厅（空）"/>
                        <pic:cNvPicPr>
                          <a:picLocks noChangeAspect="1"/>
                        </pic:cNvPicPr>
                        <pic:nvPr/>
                      </pic:nvPicPr>
                      <pic:blipFill>
                        <a:blip r:embed="rId16"/>
                        <a:stretch/>
                      </pic:blipFill>
                      <pic:spPr bwMode="auto">
                        <a:xfrm>
                          <a:off x="0" y="0"/>
                          <a:ext cx="5264785" cy="3721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5pt;height:293.1pt;mso-wrap-distance-left:0.0pt;mso-wrap-distance-top:0.0pt;mso-wrap-distance-right:0.0pt;mso-wrap-distance-bottom:0.0pt;" stroked="f">
                <v:path textboxrect="0,0,0,0"/>
                <v:imagedata r:id="rId16" o:title=""/>
              </v:shape>
            </w:pict>
          </mc:Fallback>
        </mc:AlternateContent>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2、采购清单：</w:t>
      </w:r>
      <w:r/>
    </w:p>
    <w:tbl>
      <w:tblPr>
        <w:tblStyle w:val="867"/>
        <w:tblW w:w="95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5"/>
        <w:gridCol w:w="2030"/>
        <w:gridCol w:w="3090"/>
        <w:gridCol w:w="780"/>
        <w:gridCol w:w="885"/>
        <w:gridCol w:w="216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设备名称</w:t>
            </w:r>
            <w:r/>
          </w:p>
        </w:tc>
        <w:tc>
          <w:tcPr>
            <w:shd w:val="clear" w:color="auto" w:fill="auto"/>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规格要求</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备注</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一、控制台</w:t>
            </w:r>
            <w:r/>
          </w:p>
        </w:tc>
        <w:tc>
          <w:tcPr>
            <w:shd w:val="clear" w:color="auto" w:fill="auto"/>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控制台的每个席位宽*深*高不小于1500mm*1000*730；详见招标文件《技术参数及功能要求》内容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席</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因各投标人设计方案有差异，且需保证一些职能部门部分席位电脑显示器数量可达4个，因此控制台总米数要求不低于71米，单席位不低于1.5米</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研判会议桌</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尺寸：长*深*高不小于3900*1600*750mm，</w:t>
            </w:r>
            <w:r>
              <w:rPr>
                <w:rFonts w:hint="eastAsia" w:ascii="宋体" w:hAnsi="宋体" w:eastAsia="宋体" w:cs="宋体"/>
                <w:i w:val="0"/>
                <w:iCs w:val="0"/>
                <w:color w:val="000000"/>
                <w:sz w:val="24"/>
                <w:szCs w:val="24"/>
                <w:lang w:val="en-US" w:eastAsia="zh-CN" w:bidi="ar"/>
              </w:rPr>
              <w:br/>
            </w: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组</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二、控制台相关配套设备</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显示器气动支臂（单层）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显示器气动支臂（双层）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16</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3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重型支臂</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挂墙型可多方向自由调节、伸缩的支架。详见招标文件《技术参数及功能要求》内容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键盘托盘</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抽拉式托盘，尺寸不小于550mm*310mm,可放纸笔等物品。金属材质，人体工程学机构。详见招标文件《技术参数及功能要求》内容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电脑主机服务器托盘</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金属托盘，详见招标文件《技术参数及功能要求》内容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电源PDU</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9英寸标准机架PDU，八位国标五孔；详见招标文件《技术参数及功能要求》内容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68</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7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多媒体信息插座</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嵌入式结构，详见招标文件《技术参数及功能要求》内容）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8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单席位工作照明系统</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灯光控制软件系</w:t>
            </w:r>
            <w:r/>
          </w:p>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统</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文件柜</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个</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11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智控滑屏器</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rPr>
              <w:suppressLineNumbers w:val="0"/>
            </w:pPr>
            <w:r>
              <w:rPr>
                <w:rFonts w:hint="eastAsia" w:ascii="宋体" w:hAnsi="宋体" w:cs="宋体"/>
                <w:i w:val="0"/>
                <w:iCs w:val="0"/>
                <w:color w:val="000000"/>
                <w:sz w:val="24"/>
                <w:szCs w:val="24"/>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12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人体工学坐椅</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会议室专用椅</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把</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原有控制台拆旧</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auto"/>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项</w:t>
            </w:r>
            <w:r/>
          </w:p>
        </w:tc>
        <w:tc>
          <w:tcPr>
            <w:shd w:val="clear" w:color="auto" w:fill="auto"/>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ff0000"/>
                <w:sz w:val="24"/>
                <w:szCs w:val="24"/>
              </w:rPr>
              <w:suppressLineNumbers w:val="0"/>
            </w:pPr>
            <w:r>
              <w:rPr>
                <w:rFonts w:hint="eastAsia" w:ascii="宋体" w:hAnsi="宋体" w:eastAsia="宋体" w:cs="宋体"/>
                <w:b/>
                <w:bCs/>
                <w:i w:val="0"/>
                <w:iCs w:val="0"/>
                <w:color w:val="ff0000"/>
                <w:sz w:val="24"/>
                <w:szCs w:val="24"/>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lang w:val="en-US" w:eastAsia="zh-CN"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W w:w="20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安装调试</w:t>
            </w:r>
            <w:r/>
          </w:p>
        </w:tc>
        <w:tc>
          <w:tcPr>
            <w:shd w:val="clear" w:color="auto" w:fill="ffffff"/>
            <w:tcBorders>
              <w:top w:val="single" w:color="000000" w:sz="4" w:space="0"/>
              <w:left w:val="none" w:color="000000" w:sz="4" w:space="0"/>
              <w:bottom w:val="single" w:color="000000" w:sz="4" w:space="0"/>
              <w:right w:val="single" w:color="000000" w:sz="4" w:space="0"/>
            </w:tcBorders>
            <w:tcW w:w="30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详见招标文件《技术参数及功能要求》内容</w:t>
            </w:r>
            <w:r/>
          </w:p>
        </w:tc>
        <w:tc>
          <w:tcPr>
            <w:shd w:val="clear" w:color="auto"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项</w:t>
            </w:r>
            <w:r/>
          </w:p>
        </w:tc>
        <w:tc>
          <w:tcPr>
            <w:shd w:val="clear" w:color="auto" w:fill="ffffff"/>
            <w:tcBorders>
              <w:top w:val="single" w:color="000000" w:sz="4" w:space="0"/>
              <w:left w:val="none" w:color="000000" w:sz="4" w:space="0"/>
              <w:bottom w:val="single" w:color="000000" w:sz="4" w:space="0"/>
              <w:right w:val="single" w:color="000000" w:sz="4" w:space="0"/>
            </w:tcBorders>
            <w:tcW w:w="2160" w:type="dxa"/>
            <w:vAlign w:val="bottom"/>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bl>
    <w:p>
      <w:pPr>
        <w:ind w:left="40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3、技术参数及功能需求：</w:t>
      </w:r>
      <w:r/>
    </w:p>
    <w:tbl>
      <w:tblPr>
        <w:tblStyle w:val="867"/>
        <w:tblW w:w="95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110"/>
        <w:gridCol w:w="7788"/>
      </w:tblGrid>
      <w:tr>
        <w:trPr>
          <w:trHeight w:val="83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序号</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设备名称</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技术参数要求</w:t>
            </w:r>
            <w:r/>
          </w:p>
        </w:tc>
      </w:tr>
      <w:tr>
        <w:trPr>
          <w:trHeight w:val="830"/>
        </w:trPr>
        <w:tc>
          <w:tcPr>
            <w:gridSpan w:val="2"/>
            <w:tcBorders>
              <w:top w:val="single" w:color="000000" w:sz="4" w:space="0"/>
              <w:left w:val="single" w:color="000000" w:sz="8" w:space="0"/>
              <w:bottom w:val="single" w:color="000000" w:sz="4" w:space="0"/>
              <w:right w:val="single" w:color="000000" w:sz="4" w:space="0"/>
            </w:tcBorders>
            <w:tcW w:w="174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一、控制台</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rPr>
            </w:r>
            <w:r/>
          </w:p>
        </w:tc>
      </w:tr>
      <w:tr>
        <w:trPr>
          <w:trHeight w:val="330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 ★1.总体要求：控制台的组成为模块化结构，主体框架为钣金结构，并且制造厂商控制台的形状设计，可选择有对应主体钣金结构的直线模块（600、750、900、1200、1500），切角模块（5度、10度、15度）,转角模块（22.5度、30度、45度），用户可以根据自己的需求提供灵活的增加或减少席位；控制台单边深度不小于1000mm，提供足够的腿部空间和纵向不小于590mm桌面操作空间；工作台面到地面距离为740-760 mm，满足人机工程学要求。</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2.框架结构：主体框架结构使用优质冷轧碳钢矩形管，其中前端面板支撑臂采用厚度不小于2.0mm矩形管切割加工，主体框架采用规格不小于40mm*50mm规格，厚度不小于2.0mm优质冷轧碳钢矩形管，采用激光切管工艺加工。</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3.台面板：面板使用实木颗粒板双面贴防火板加工，整体厚度不小于27mm；面板连接采用箭头槽样式，通过M6螺杆连接一体，面板前侧采用鸭嘴边封边，与桌面材质无缝粘接，保证整体外观协调统一的舒适度，避免疲劳及损伤肢体。后面板后侧应采用T型封边或者PVC封边，采用PVC封边应添加防护配件，方便线路通过及灰尘阻挡；所有封边应与桌面材质无缝粘接，保证整体外观协调统一</w:t>
            </w:r>
            <w:r>
              <w:rPr>
                <w:rFonts w:hint="eastAsia" w:ascii="宋体" w:hAnsi="宋体" w:cs="宋体"/>
                <w:b/>
                <w:bCs/>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桌面抗菌性能应符合JC/T 2039-2010标准，金黄色葡萄球菌、大肠杆菌</w:t>
            </w:r>
            <w:r>
              <w:rPr>
                <w:rFonts w:hint="eastAsia" w:ascii="宋体" w:hAnsi="宋体" w:cs="宋体"/>
                <w:i w:val="0"/>
                <w:iCs w:val="0"/>
                <w:color w:val="auto"/>
                <w:sz w:val="24"/>
                <w:szCs w:val="24"/>
                <w:lang w:val="en-US" w:eastAsia="zh-CN" w:bidi="ar"/>
              </w:rPr>
              <w:t xml:space="preserve">（大肠埃希氏菌）</w:t>
            </w:r>
            <w:r>
              <w:rPr>
                <w:rFonts w:hint="eastAsia" w:ascii="宋体" w:hAnsi="宋体" w:eastAsia="宋体" w:cs="宋体"/>
                <w:i w:val="0"/>
                <w:iCs w:val="0"/>
                <w:color w:val="auto"/>
                <w:sz w:val="24"/>
                <w:szCs w:val="24"/>
                <w:lang w:val="en-US" w:eastAsia="zh-CN" w:bidi="ar"/>
              </w:rPr>
              <w:t xml:space="preserve">、肺炎克雷伯氏菌、粪肠球菌抗（细）菌，抗菌率≥99%。(</w:t>
            </w:r>
            <w:r>
              <w:rPr>
                <w:rFonts w:hint="eastAsia" w:ascii="宋体" w:hAnsi="宋体" w:eastAsia="宋体" w:cs="宋体"/>
                <w:b/>
                <w:bCs/>
                <w:i w:val="0"/>
                <w:iCs w:val="0"/>
                <w:color w:val="auto"/>
                <w:sz w:val="24"/>
                <w:szCs w:val="24"/>
                <w:lang w:val="en-US" w:eastAsia="zh-CN" w:bidi="ar"/>
              </w:rPr>
              <w:t xml:space="preserve">投标</w:t>
            </w:r>
            <w:r>
              <w:rPr>
                <w:rFonts w:hint="eastAsia" w:ascii="宋体" w:hAnsi="宋体" w:eastAsia="宋体" w:cs="宋体"/>
                <w:b/>
                <w:bCs/>
                <w:i w:val="0"/>
                <w:iCs w:val="0"/>
                <w:color w:val="000000"/>
                <w:sz w:val="24"/>
                <w:szCs w:val="24"/>
                <w:lang w:val="en-US" w:eastAsia="zh-CN" w:bidi="ar"/>
              </w:rPr>
              <w:t xml:space="preserve">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4.前后门板：前后门板采用优质板材加工成型厚度不小于20mm，四周采用PVC封边条进行封边处理地，封边接缝平整严密；连接铰链应使用高档五金件，应具有质轻，手感好，开关门噪音小等优点，保证其不小于100000次无障碍开</w:t>
            </w:r>
            <w:r>
              <w:rPr>
                <w:rFonts w:hint="eastAsia" w:ascii="宋体" w:hAnsi="宋体" w:eastAsia="宋体" w:cs="宋体"/>
                <w:i w:val="0"/>
                <w:iCs w:val="0"/>
                <w:color w:val="auto"/>
                <w:sz w:val="24"/>
                <w:szCs w:val="24"/>
                <w:lang w:val="en-US" w:eastAsia="zh-CN" w:bidi="ar"/>
              </w:rPr>
              <w:t xml:space="preserve">启</w:t>
            </w:r>
            <w:r>
              <w:rPr>
                <w:rFonts w:hint="eastAsia" w:ascii="宋体" w:hAnsi="宋体" w:cs="宋体"/>
                <w:b/>
                <w:bCs/>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铰链经</w:t>
            </w:r>
            <w:r>
              <w:rPr>
                <w:rFonts w:hint="eastAsia" w:ascii="宋体" w:hAnsi="宋体" w:cs="宋体"/>
                <w:i w:val="0"/>
                <w:iCs w:val="0"/>
                <w:color w:val="auto"/>
                <w:sz w:val="24"/>
                <w:szCs w:val="24"/>
                <w:lang w:val="en-US" w:eastAsia="zh-CN" w:bidi="ar"/>
              </w:rPr>
              <w:t xml:space="preserve">240</w:t>
            </w:r>
            <w:r>
              <w:rPr>
                <w:rFonts w:hint="eastAsia" w:ascii="宋体" w:hAnsi="宋体" w:eastAsia="宋体" w:cs="宋体"/>
                <w:i w:val="0"/>
                <w:iCs w:val="0"/>
                <w:color w:val="auto"/>
                <w:sz w:val="24"/>
                <w:szCs w:val="24"/>
                <w:lang w:val="en-US" w:eastAsia="zh-CN" w:bidi="ar"/>
              </w:rPr>
              <w:t xml:space="preserve">h中性盐雾测试后性能评级达10级水准，满足GB/T10125-2021《人造气氛腐蚀试验盐雾试验》(</w:t>
            </w:r>
            <w:r>
              <w:rPr>
                <w:rFonts w:hint="eastAsia" w:ascii="宋体" w:hAnsi="宋体" w:eastAsia="宋体" w:cs="宋体"/>
                <w:b/>
                <w:bCs/>
                <w:i w:val="0"/>
                <w:iCs w:val="0"/>
                <w:color w:val="auto"/>
                <w:sz w:val="24"/>
                <w:szCs w:val="24"/>
                <w:lang w:val="en-US" w:eastAsia="zh-CN" w:bidi="ar"/>
              </w:rPr>
              <w:t xml:space="preserve">投</w:t>
            </w:r>
            <w:r>
              <w:rPr>
                <w:rFonts w:hint="eastAsia" w:ascii="宋体" w:hAnsi="宋体" w:eastAsia="宋体" w:cs="宋体"/>
                <w:b/>
                <w:bCs/>
                <w:i w:val="0"/>
                <w:iCs w:val="0"/>
                <w:color w:val="000000"/>
                <w:sz w:val="24"/>
                <w:szCs w:val="24"/>
                <w:lang w:val="en-US" w:eastAsia="zh-CN" w:bidi="ar"/>
              </w:rPr>
              <w:t xml:space="preserve">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5.侧板：整体外观造型应采用方倒圆造型，材质应为铝型材和钣金组成，侧板可以对LOGO定制化要求，侧板也可根据用户需求选配镶嵌LED高清显示屏，功能；支持文字、音频、图片、视频等内容显示；支持“组”席位信息显示，可高清显示每组控制台功能职位信息；也可以更改背景颜色；</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▲6.后背墙： 采用铝合金型材材质，搭配背部亚克力面板装饰；背墙顶部应为铝合金开模型材，连接拐角处端盖也应采用压铸工艺一次成型开模铝型材，光滑过渡无尖角。背墙表面应采用喷漆工艺；后背墙可悬挂显示器，电话托，工作灯等设备，其表面静电喷塑；后背墙整体厚度应不小于150mm，可选择高度不小于203mm的背墙或者高度不小于376mm的背墙，可根据用户需求具备灵活嵌入电子铭牌设备功能，也可根据需要选择无背墙，背墙可选择安装警示亚克力灯光系统，可做屏风又可以起到警报功</w:t>
            </w:r>
            <w:r>
              <w:rPr>
                <w:rFonts w:hint="eastAsia" w:ascii="宋体" w:hAnsi="宋体" w:eastAsia="宋体" w:cs="宋体"/>
                <w:i w:val="0"/>
                <w:iCs w:val="0"/>
                <w:color w:val="auto"/>
                <w:sz w:val="24"/>
                <w:szCs w:val="24"/>
                <w:lang w:val="en-US" w:eastAsia="zh-CN" w:bidi="ar"/>
              </w:rPr>
              <w:t xml:space="preserve">能</w:t>
            </w:r>
            <w:r>
              <w:rPr>
                <w:rFonts w:hint="eastAsia" w:ascii="宋体" w:hAnsi="宋体" w:cs="宋体"/>
                <w:b w:val="0"/>
                <w:bCs w:val="0"/>
                <w:i w:val="0"/>
                <w:iCs w:val="0"/>
                <w:color w:val="auto"/>
                <w:sz w:val="24"/>
                <w:szCs w:val="24"/>
                <w:lang w:val="en-US" w:eastAsia="zh-CN" w:bidi="ar"/>
              </w:rPr>
              <w:t xml:space="preserve">。</w:t>
            </w:r>
            <w:r>
              <w:rPr>
                <w:rFonts w:hint="eastAsia" w:ascii="宋体" w:hAnsi="宋体" w:eastAsia="宋体" w:cs="宋体"/>
                <w:i w:val="0"/>
                <w:iCs w:val="0"/>
                <w:color w:val="auto"/>
                <w:sz w:val="24"/>
                <w:szCs w:val="24"/>
                <w:lang w:val="en-US" w:eastAsia="zh-CN" w:bidi="ar"/>
              </w:rPr>
              <w:t xml:space="preserve">亚</w:t>
            </w:r>
            <w:r>
              <w:rPr>
                <w:rFonts w:hint="eastAsia" w:ascii="宋体" w:hAnsi="宋体" w:eastAsia="宋体" w:cs="宋体"/>
                <w:i w:val="0"/>
                <w:iCs w:val="0"/>
                <w:color w:val="000000"/>
                <w:sz w:val="24"/>
                <w:szCs w:val="24"/>
                <w:lang w:val="en-US" w:eastAsia="zh-CN" w:bidi="ar"/>
              </w:rPr>
              <w:t xml:space="preserve">克力耐老化性能需满足冲击强度保持率不低于80%；耐冷热循环应无裂纹、鼓泡、变色、起皱，且外观无明显变化；邵氏硬度不低于hd80(</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7.钣金件：所有钣金配件外表面应使用静电吸塑工艺，整体结构稳固防腐； </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▲8.控制台整体有符合GB/T3325-2024标准出具的检测报告，报告包含控制台理化性能、力学性能、安全性能相关方面检测，为保证桌面耐磨性能，其中木质件表面贴面层耐磨性能磨960r后无露底，耐污染、耐湿热</w:t>
            </w:r>
            <w:r>
              <w:rPr>
                <w:rFonts w:hint="eastAsia" w:ascii="宋体" w:hAnsi="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lang w:val="en-US" w:eastAsia="zh-CN" w:bidi="ar"/>
              </w:rPr>
              <w:t xml:space="preserve">耐干热达到5级，抗冲击1级</w:t>
            </w:r>
            <w:r>
              <w:rPr>
                <w:rFonts w:hint="eastAsia" w:ascii="宋体" w:hAnsi="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lang w:val="en-US" w:eastAsia="zh-CN" w:bidi="ar"/>
              </w:rPr>
              <w:t xml:space="preserve">其中有害物质甲醛释放量&lt;0.005mg/m，达到并优于国家强制标准Enf级苯、甲苯、二甲苯、总挥发性有机化合物(TVOC)未检出;可迁移有害元素均为未检出;且满足主桌面垂直静载荷试验采用2000N的力无损坏;桌面挠度实验800kg，均匀布载7天;水平静载荷试验通过1500N水平力无损坏;桌面水平耐久试验用350N的力加载90000次无损坏;桌面垂直冲击试验300mm高度跌落无损坏(</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▲9.控制台的带喷</w:t>
            </w:r>
            <w:r>
              <w:rPr>
                <w:rFonts w:hint="eastAsia" w:ascii="宋体" w:hAnsi="宋体" w:eastAsia="宋体" w:cs="宋体"/>
                <w:i w:val="0"/>
                <w:iCs w:val="0"/>
                <w:color w:val="auto"/>
                <w:sz w:val="24"/>
                <w:szCs w:val="24"/>
                <w:lang w:val="en-US" w:eastAsia="zh-CN" w:bidi="ar"/>
              </w:rPr>
              <w:t xml:space="preserve">塑</w:t>
            </w:r>
            <w:r>
              <w:rPr>
                <w:rFonts w:hint="eastAsia" w:ascii="宋体" w:hAnsi="宋体" w:cs="宋体"/>
                <w:i w:val="0"/>
                <w:iCs w:val="0"/>
                <w:color w:val="auto"/>
                <w:sz w:val="24"/>
                <w:szCs w:val="24"/>
                <w:lang w:val="en-US" w:eastAsia="zh-CN" w:bidi="ar"/>
              </w:rPr>
              <w:t xml:space="preserve">涂</w:t>
            </w:r>
            <w:r>
              <w:rPr>
                <w:rFonts w:hint="eastAsia" w:ascii="宋体" w:hAnsi="宋体" w:eastAsia="宋体" w:cs="宋体"/>
                <w:i w:val="0"/>
                <w:iCs w:val="0"/>
                <w:color w:val="auto"/>
                <w:sz w:val="24"/>
                <w:szCs w:val="24"/>
                <w:lang w:val="en-US" w:eastAsia="zh-CN" w:bidi="ar"/>
              </w:rPr>
              <w:t xml:space="preserve">层</w:t>
            </w:r>
            <w:r>
              <w:rPr>
                <w:rFonts w:hint="eastAsia" w:ascii="宋体" w:hAnsi="宋体" w:eastAsia="宋体" w:cs="宋体"/>
                <w:i w:val="0"/>
                <w:iCs w:val="0"/>
                <w:color w:val="000000"/>
                <w:sz w:val="24"/>
                <w:szCs w:val="24"/>
                <w:lang w:val="en-US" w:eastAsia="zh-CN" w:bidi="ar"/>
              </w:rPr>
              <w:t xml:space="preserve">的钢部件材料，应该通过环境标志产品认证检测，其可迁移元素（包括锑，砷，铅，镉，汞，铬，钡，硒，需满足HJ2547-2016《环境标志产品技术要求家具》规定要求(</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0</w:t>
            </w:r>
            <w:r>
              <w:rPr>
                <w:rFonts w:hint="eastAsia" w:ascii="宋体" w:hAnsi="宋体" w:eastAsia="宋体" w:cs="宋体"/>
                <w:i w:val="0"/>
                <w:iCs w:val="0"/>
                <w:color w:val="000000"/>
                <w:sz w:val="24"/>
                <w:szCs w:val="24"/>
                <w:lang w:val="en-US" w:eastAsia="zh-CN" w:bidi="ar"/>
              </w:rPr>
              <w:t xml:space="preserve">.控制台中所使用的铝合金具备抗腐蚀性能，根据 GB/T 10125-2021 对样品进行≥450h 中性盐雾试验(NSS 试验)，试验后，根据 GB/T 6461-2002 进行性能评级，不低于 10 级(</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1</w:t>
            </w:r>
            <w:r>
              <w:rPr>
                <w:rFonts w:hint="eastAsia" w:ascii="宋体" w:hAnsi="宋体" w:eastAsia="宋体" w:cs="宋体"/>
                <w:i w:val="0"/>
                <w:iCs w:val="0"/>
                <w:color w:val="000000"/>
                <w:sz w:val="24"/>
                <w:szCs w:val="24"/>
                <w:lang w:val="en-US" w:eastAsia="zh-CN" w:bidi="ar"/>
              </w:rPr>
              <w:t xml:space="preserve">.控制台具备设备电磁兼容抗扰度功能，相关控制台的传导发射、辐射骚扰、静电放电抗扰度、射频电磁场辐射抗扰度、电快速瞬变脉冲群抗扰度、浪涌（冲击）抗扰度、射频场感应的传导骚扰抗扰度的测试结果应符合GB/T 17743-2021、GB/T 18595-2014 标准要求(</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2</w:t>
            </w:r>
            <w:r>
              <w:rPr>
                <w:rFonts w:hint="eastAsia" w:ascii="宋体" w:hAnsi="宋体" w:eastAsia="宋体" w:cs="宋体"/>
                <w:i w:val="0"/>
                <w:iCs w:val="0"/>
                <w:color w:val="000000"/>
                <w:sz w:val="24"/>
                <w:szCs w:val="24"/>
                <w:lang w:val="en-US" w:eastAsia="zh-CN" w:bidi="ar"/>
              </w:rPr>
              <w:t xml:space="preserve">.控制台整体按GB20286-2006附录C做燃烧测试等级达到阻燃1</w:t>
            </w:r>
            <w:r>
              <w:rPr>
                <w:rFonts w:hint="eastAsia" w:ascii="宋体" w:hAnsi="宋体" w:eastAsia="宋体" w:cs="宋体"/>
                <w:i w:val="0"/>
                <w:iCs w:val="0"/>
                <w:color w:val="auto"/>
                <w:sz w:val="24"/>
                <w:szCs w:val="24"/>
                <w:lang w:val="en-US" w:eastAsia="zh-CN" w:bidi="ar"/>
              </w:rPr>
              <w:t xml:space="preserve">级，5</w:t>
            </w:r>
            <w:r>
              <w:rPr>
                <w:rFonts w:hint="eastAsia" w:ascii="宋体" w:hAnsi="宋体" w:eastAsia="宋体" w:cs="宋体"/>
                <w:i w:val="0"/>
                <w:iCs w:val="0"/>
                <w:color w:val="000000"/>
                <w:sz w:val="24"/>
                <w:szCs w:val="24"/>
                <w:lang w:val="en-US" w:eastAsia="zh-CN" w:bidi="ar"/>
              </w:rPr>
              <w:t xml:space="preserve">分钟热释放量应小于1MJ，一氧化碳浓度应小于40ppm(</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default" w:ascii="宋体" w:hAnsi="宋体" w:cs="宋体"/>
                <w:i w:val="0"/>
                <w:iCs w:val="0"/>
                <w:color w:val="000000"/>
                <w:sz w:val="24"/>
                <w:szCs w:val="24"/>
                <w:lang w:eastAsia="zh-CN" w:bidi="ar"/>
              </w:rPr>
              <w:t xml:space="preserve">3</w:t>
            </w:r>
            <w:r>
              <w:rPr>
                <w:rFonts w:hint="eastAsia" w:ascii="宋体" w:hAnsi="宋体" w:eastAsia="宋体" w:cs="宋体"/>
                <w:i w:val="0"/>
                <w:iCs w:val="0"/>
                <w:color w:val="000000"/>
                <w:sz w:val="24"/>
                <w:szCs w:val="24"/>
                <w:lang w:val="en-US" w:eastAsia="zh-CN" w:bidi="ar"/>
              </w:rPr>
              <w:t xml:space="preserve">.控制台具有抗震性能，依据YD 5083-2005《电信设备抗地震性能检测规范》标准检测，通过9烈度抗震试验(</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tc>
      </w:tr>
      <w:tr>
        <w:trPr>
          <w:trHeight w:val="32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研判会议桌</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尺寸约3900mm*1600mm*750mm。会议桌的组成为模块化结构，用户可以根据自己的需求增加或减少模块，提供405mm的腿部空间和纵向不小于500mm桌面操作应用空间，工作台面到地面距离为750-770mm，满足人体工程学要求；</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(1)主体框架结构：桌腿为钣金结构，其面板支撑采用不小于2.0mm的优质冷轧钢板加工而成。</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(2)台面板：面板使用刨花板双面贴防火板，面板整体厚度不低于27mm，符合国家环保标准。面板前侧采用鸭嘴边封边形式，鸭嘴边厚度为约55mm，宽度约23mm；与桌面材质无缝粘接，保证整体外观协调统一</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(3)门板使用刨花板+防火板制成，整体厚度不小于20mm，采用PUR封边工艺，胶线较普通封边更小，同时，避免了封边后期脱落问题，环保性能更优，具有更优良的耐水蒸汽性、抗腐蚀性、耐久性、耐热性、抗寒性；</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(4)侧板为保证整体美观、协调，端部配置侧板；侧板采用防火板+刨花板制作而成，且为模块化设计样式，方便安装；侧板可以对LOGO定制化要求，依据提供LOGO标识进行生产制作。</w:t>
            </w:r>
            <w:r/>
          </w:p>
        </w:tc>
      </w:tr>
      <w:tr>
        <w:trP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174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i w:val="0"/>
                <w:iCs w:val="0"/>
                <w:color w:val="000000"/>
                <w:sz w:val="24"/>
                <w:szCs w:val="24"/>
              </w:rPr>
              <w:suppressLineNumbers w:val="0"/>
            </w:pPr>
            <w:r>
              <w:rPr>
                <w:rFonts w:hint="eastAsia" w:ascii="宋体" w:hAnsi="宋体" w:eastAsia="宋体" w:cs="宋体"/>
                <w:b/>
                <w:bCs/>
                <w:i w:val="0"/>
                <w:iCs w:val="0"/>
                <w:color w:val="000000"/>
                <w:sz w:val="24"/>
                <w:szCs w:val="24"/>
                <w:lang w:val="en-US" w:eastAsia="zh-CN" w:bidi="ar"/>
              </w:rPr>
              <w:t xml:space="preserve">二、控制台相关配套设备</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显示器气动支臂（单层）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w:t>
            </w:r>
            <w:r>
              <w:rPr>
                <w:rFonts w:hint="eastAsia" w:ascii="宋体" w:hAnsi="宋体" w:eastAsia="宋体" w:cs="宋体"/>
                <w:i w:val="0"/>
                <w:iCs w:val="0"/>
                <w:color w:val="000000"/>
                <w:sz w:val="24"/>
                <w:szCs w:val="24"/>
              </w:rPr>
              <w:t xml:space="preserve">型固定于控制台背墙，可多方向自由调节、伸缩的支架，至少可以稳定承重1个27寸以下液晶显示器。符合VESA国际安装标准孔位：75×75mm和100×100mm；手臂最大可延伸至445mm；可调倾斜范围：-60°~ +85°；可实现空间180°旋转/平面内360°旋转；快拆式定位安装结构，最大限度节省安装时间；表面处理：喷粉；颜色支持：黑色。显示器伸缩支架具备抗腐蚀性能，依据符合国标GB/T 10125-2021《人造气氛腐蚀实验盐雾实验》标准检测240小时，镀（涂）层对基体的保护等级及自身耐腐蚀等级达到10级</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 </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2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显示器气动支臂（双层）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型固定于控制台背墙，可多方向自由调节、伸缩的支架，至少可稳定承重2个27寸以下液晶显示器。符合VESA国际安装标准孔位：75×75mm和100×100mm；快拆式定位安装结构最大限度节省安装时间；表面处理：喷粉；颜色支持：黑色。</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3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重型支臂</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挂墙型固定于控制台背墙，可多方向自由调节、伸缩的支架，最大可支持承重1个49寸曲面屏，符合VESA国际安装标准孔位：75×75mm和100×100mm；快拆式定位安装结构最大限度节省安装时间；表面处理：喷粉；颜色支持：黑色。</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4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键盘托盘</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rPr>
              <w:t xml:space="preserve">控制台桌下设抽拉式托盘，尺寸不小于550mm*310mm,可放纸笔等物品。金属材质，用优质滚珠导轨，抽拉灵活，左右晃动少，设计有柔性皮制腕垫，保护皮肤不受伤害，长时间使用手腕亦无疲劳感，符合人体工程学结构</w:t>
            </w:r>
            <w:r>
              <w:rPr>
                <w:rFonts w:hint="eastAsia" w:ascii="宋体" w:hAnsi="宋体" w:eastAsia="宋体" w:cs="宋体"/>
                <w:i w:val="0"/>
                <w:iCs w:val="0"/>
                <w:color w:val="000000"/>
                <w:sz w:val="24"/>
                <w:szCs w:val="24"/>
                <w:lang w:eastAsia="zh-CN"/>
              </w:rPr>
              <w:t xml:space="preserve">。</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5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电脑主机服务器托盘</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金属托盘，可竖直放置电脑主机等设备。扣式安装在框架；托盘上开有过线孔，方便线路通过。</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电源PDU</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标准机架PDU，可直连UPS配电柜1、产品类型：19英寸标准安装；插座孔形及数量：六位国标五孔；输出线长度：2米~3*1.5mm线缆，端头为标准三孔插头；额定电压/额定电流：220V/10A；外壳材质：黑色铝合金。</w:t>
            </w:r>
            <w:r/>
          </w:p>
        </w:tc>
      </w:tr>
      <w:tr>
        <w:trPr>
          <w:trHeight w:val="8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7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多媒体信息插座</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多媒体插座采用简单易用的接入方式，连接视频、音频、计算机视频、网络、电话、电源等接口。可根据需求定制</w:t>
            </w:r>
            <w:r>
              <w:rPr>
                <w:rFonts w:hint="eastAsia" w:ascii="宋体" w:hAnsi="宋体" w:eastAsia="宋体" w:cs="宋体"/>
                <w:i w:val="0"/>
                <w:iCs w:val="0"/>
                <w:color w:val="000000"/>
                <w:sz w:val="24"/>
                <w:szCs w:val="24"/>
                <w:lang w:eastAsia="zh-CN"/>
              </w:rPr>
              <w:t xml:space="preserve">。</w:t>
            </w:r>
            <w:r/>
          </w:p>
        </w:tc>
      </w:tr>
      <w:tr>
        <w:trPr>
          <w:trHeight w:val="8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8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单席位工作照明系统</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控制台每席位配置专用照明系统，独立开关，提供局部照明，局部照明设计考虑不增加显示器及台面的眩光；预计使用寿命不低于50000小时，符合人体工程学，光线柔和，光源具备不同色温和照度的功能；照明角度可以人工进行调整，调整不会对人体造成任何伤害；不可以遮挡操作员的视线。</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9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Hans"/>
              </w:rPr>
              <w:suppressLineNumbers w:val="0"/>
            </w:pPr>
            <w:r>
              <w:rPr>
                <w:rFonts w:hint="eastAsia" w:ascii="宋体" w:hAnsi="宋体" w:eastAsia="宋体" w:cs="宋体"/>
                <w:i w:val="0"/>
                <w:iCs w:val="0"/>
                <w:color w:val="auto"/>
                <w:sz w:val="24"/>
                <w:szCs w:val="24"/>
                <w:lang w:val="en-US" w:eastAsia="zh-CN" w:bidi="ar"/>
              </w:rPr>
              <w:t xml:space="preserve">灯光控制</w:t>
            </w:r>
            <w:r>
              <w:rPr>
                <w:rFonts w:hint="eastAsia" w:ascii="宋体" w:hAnsi="宋体" w:cs="宋体"/>
                <w:i w:val="0"/>
                <w:iCs w:val="0"/>
                <w:color w:val="auto"/>
                <w:sz w:val="24"/>
                <w:szCs w:val="24"/>
                <w:lang w:val="en-US" w:eastAsia="zh-Hans" w:bidi="ar"/>
              </w:rPr>
              <w:t xml:space="preserve">软件系统</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▲为了满足控制中心控制台灯光效果的多种使用场景的功能需求，灯光控制软件</w:t>
            </w:r>
            <w:r>
              <w:rPr>
                <w:rFonts w:hint="eastAsia" w:ascii="宋体" w:hAnsi="宋体" w:eastAsia="宋体" w:cs="宋体"/>
                <w:i w:val="0"/>
                <w:iCs w:val="0"/>
                <w:color w:val="000000"/>
                <w:sz w:val="24"/>
                <w:szCs w:val="24"/>
              </w:rPr>
              <w:t xml:space="preserve">系统应主要由导光板、灯带、控制器、控制单元、通讯转换器、电源适配器等组成，并且与调度控制台浑然一体。警示系统用灯光的方式展现，并且通过亚克力导光性扩大展现面积，使得灯光效果细腻柔和。支持本地控制和中控控制两种控制模式；支持采用TCP\IP转485或USB转485的控制方式，实现任意颜色的改变以及任意颜色的闪烁。支持本地按钮改变6种常用氛围颜色（蓝、红、绿、紫、黄、冰蓝）切换；支持常亮、闪烁两种常用氛围状态（通用和报警功能划分）；支持485通信协议组网，确保远距离传输的稳定可靠性的同时，兼具了更丰富的控制方式</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灯带应具有高低温适应环境功能，防水及抗振动功能，依据GB/T 2423.1-2008、GB/T2423.2-2008标准进行检测，至少满足高温80°，低温-10°的测试条件，且测试后产 品的外观、功能均应正常。依据通过国标GB/T 4208-2017进IPX7防水检测，且测试后无水进入产品内部检测合格。通过国标GB/T2423.10-2019振动测试合格</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i w:val="0"/>
                <w:iCs w:val="0"/>
                <w:color w:val="000000"/>
                <w:sz w:val="24"/>
                <w:szCs w:val="24"/>
                <w:lang w:val="en-US" w:eastAsia="zh-CN" w:bidi="ar"/>
              </w:rPr>
              <w:t xml:space="preserve">投标文件中提供具有CMA或CNAS资质认证的第三方机构出具的检测报告扫描件</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i w:val="0"/>
                <w:iCs w:val="0"/>
                <w:color w:val="000000"/>
                <w:sz w:val="24"/>
                <w:szCs w:val="24"/>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10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文件柜</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产品参数:基本尺寸:不小</w:t>
            </w:r>
            <w:r>
              <w:rPr>
                <w:rFonts w:hint="eastAsia" w:ascii="宋体" w:hAnsi="宋体" w:eastAsia="宋体" w:cs="宋体"/>
                <w:i w:val="0"/>
                <w:iCs w:val="0"/>
                <w:color w:val="000000"/>
                <w:sz w:val="24"/>
                <w:szCs w:val="24"/>
                <w:highlight w:val="none"/>
                <w:lang w:val="en-US" w:eastAsia="zh-CN" w:bidi="ar"/>
              </w:rPr>
              <w:t xml:space="preserve">于W350mm*D450mm*H570mm </w:t>
            </w:r>
            <w:r>
              <w:rPr>
                <w:rFonts w:hint="eastAsia" w:ascii="宋体" w:hAnsi="宋体" w:eastAsia="宋体" w:cs="宋体"/>
                <w:i w:val="0"/>
                <w:iCs w:val="0"/>
                <w:color w:val="000000"/>
                <w:sz w:val="24"/>
                <w:szCs w:val="24"/>
                <w:lang w:val="en-US" w:eastAsia="zh-CN" w:bidi="ar"/>
              </w:rPr>
              <w:t xml:space="preserve"> 材质:木质板材 配色:白色  功能:顶部半开放式设计，可放置水杯等物品，下部双层抽屉满足日常办公储物，最上层抽屉设置有锁孔，底端设置支撑轮，方便移动。</w:t>
            </w:r>
            <w:r/>
          </w:p>
        </w:tc>
      </w:tr>
      <w:tr>
        <w:trPr>
          <w:trHeight w:val="41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11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智控滑屏器</w:t>
            </w:r>
            <w:r/>
          </w:p>
        </w:tc>
        <w:tc>
          <w:tcPr>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▲通过鼠标滑动在不少于</w:t>
            </w:r>
            <w:r>
              <w:rPr>
                <w:rFonts w:hint="eastAsia" w:ascii="宋体" w:hAnsi="宋体" w:eastAsia="宋体" w:cs="宋体"/>
                <w:i w:val="0"/>
                <w:iCs w:val="0"/>
                <w:color w:val="000000"/>
                <w:sz w:val="24"/>
                <w:szCs w:val="24"/>
              </w:rPr>
              <w:t xml:space="preserve">4个显示器之间实现快速和即时的切换，无延迟；基于USBHID的键盘/鼠标切换；支持Centos Windows 8.1 Redhat Windows 10 Ubuntu 凝思磐石 Windows7 中标麒麟等多系统应用；支持通过LED灯显示键盘鼠标活动状态;支持热键切换预定位，快速定位鼠标位置；配合控制台使用，支持机架和桌面两种安装方式；支持扩展电子铭牌，32位真彩色显示；支持图形界面化配置，简单易用。通过图形界面，任意配置显示器的布局，支持水平:1x8或2x4任意布局，任意大小、任意分辨率、任意摆放模式。</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考虑其使用性能及安全性(</w:t>
            </w:r>
            <w:r>
              <w:rPr>
                <w:rFonts w:hint="eastAsia" w:ascii="宋体" w:hAnsi="宋体" w:eastAsia="宋体" w:cs="宋体"/>
                <w:b/>
                <w:bCs/>
                <w:i w:val="0"/>
                <w:iCs w:val="0"/>
                <w:color w:val="000000"/>
                <w:sz w:val="24"/>
                <w:szCs w:val="24"/>
              </w:rPr>
              <w:t xml:space="preserve">投标文件中提供具有CMA或CNAS资质认证的第三方机构出具的检测报告扫描件</w:t>
            </w:r>
            <w:r>
              <w:rPr>
                <w:rFonts w:hint="eastAsia" w:ascii="宋体" w:hAnsi="宋体" w:eastAsia="宋体" w:cs="宋体"/>
                <w:i w:val="0"/>
                <w:iCs w:val="0"/>
                <w:color w:val="000000"/>
                <w:sz w:val="24"/>
                <w:szCs w:val="24"/>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12 </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人体工学坐椅</w:t>
            </w:r>
            <w:r/>
          </w:p>
        </w:tc>
        <w:tc>
          <w:tcPr>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面材：采用品牌优质网布，受力按压迅速恢复，无压痕及变形，符合GB 18401-2010《国家纺织产品基本安全技术规范》标准。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椅架：采用尼龙加玻纤椅背框</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扶手：采用PU软质扶手面，4D扶手，扶手角度、前后、高度可调整，给予手臂全方位的支撑；</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椅背、座垫：采用网布椅背座垫，透气不闷热，支撑性好；</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气压棒：采用品牌100mm气软着陆气压杆，可承受280kg压力，连续升降10万次无损坏坚固耐用，移动声音小，升降顺畅，至最高点保证座椅稳定；</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五星脚：采用优质铝合金精抛光椅脚，黑色防震PU滑轮，滚动顺畅、无异响，强度高、耐磨性好；</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底盘机构、背垫：采用线控底盘；采用人机工程学腰靠，能对相应的坐姿提供全方位支撑；</w:t>
            </w:r>
            <w:r/>
          </w:p>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功能：头枕角度及高度可调整，可根据用户需求选购折叠收纳脚蹋，小腿支撑解决躺式午休</w:t>
            </w:r>
            <w:r>
              <w:rPr>
                <w:rFonts w:hint="eastAsia" w:ascii="宋体" w:hAnsi="宋体" w:cs="宋体"/>
                <w:i w:val="0"/>
                <w:iCs w:val="0"/>
                <w:color w:val="000000"/>
                <w:sz w:val="24"/>
                <w:szCs w:val="24"/>
                <w:lang w:eastAsia="zh-CN"/>
              </w:rPr>
              <w:t xml:space="preserve">。</w:t>
            </w:r>
            <w:r/>
          </w:p>
        </w:tc>
      </w:tr>
      <w:tr>
        <w:trPr>
          <w:trHeight w:val="1620"/>
        </w:trPr>
        <w:tc>
          <w:tcPr>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000000"/>
                <w:sz w:val="24"/>
                <w:szCs w:val="24"/>
                <w:lang w:val="en-US" w:eastAsia="zh-CN" w:bidi="ar"/>
              </w:rPr>
              <w:suppressLineNumbers w:val="0"/>
            </w:pPr>
            <w:r>
              <w:rPr>
                <w:rFonts w:hint="eastAsia" w:ascii="宋体" w:hAnsi="宋体" w:cs="宋体"/>
                <w:i w:val="0"/>
                <w:iCs w:val="0"/>
                <w:color w:val="000000"/>
                <w:sz w:val="24"/>
                <w:szCs w:val="24"/>
                <w:lang w:val="en-US" w:eastAsia="zh-CN" w:bidi="ar"/>
              </w:rPr>
              <w:t xml:space="preserve">13</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会议室专用椅</w:t>
            </w:r>
            <w:r/>
          </w:p>
        </w:tc>
        <w:tc>
          <w:tcPr>
            <w:tcBorders>
              <w:top w:val="single" w:color="000000" w:sz="4" w:space="0"/>
              <w:left w:val="none" w:color="000000" w:sz="4" w:space="0"/>
              <w:bottom w:val="single" w:color="000000" w:sz="4" w:space="0"/>
              <w:right w:val="single" w:color="000000" w:sz="4" w:space="0"/>
            </w:tcBorders>
            <w:tcW w:w="7788" w:type="dxa"/>
            <w:vAlign w:val="top"/>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皮料：优质头层黑牛皮饰面；</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板材：椅背采用双层板，密度≥600kg/m3多层板，经干燥、高温层压处理，不变形、不霉变；</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油漆面：白色烤漆、胡桃木或水曲柳色可选；</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海绵：不小于45#密度原生高弹海棉；                      </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底盘：不小于2.5mm厚方盘；</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气杆：优质电镀气杆，不小于120行程；</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椅脚：高强度不小于330#铝合金脚，铝合金压铸一体成型，静压测试不小于1136KG，符合BIFMA标准；</w:t>
            </w:r>
            <w:r/>
          </w:p>
          <w:p>
            <w:pPr>
              <w:ind w:left="0" w:right="0"/>
              <w:jc w:val="both"/>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rPr>
              <w:t xml:space="preserve">椅轮：50#静音电镀轮。</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4</w:t>
            </w:r>
            <w:r>
              <w:rPr>
                <w:rFonts w:hint="eastAsia" w:ascii="宋体" w:hAnsi="宋体" w:eastAsia="宋体" w:cs="宋体"/>
                <w:i w:val="0"/>
                <w:iCs w:val="0"/>
                <w:color w:val="000000"/>
                <w:sz w:val="24"/>
                <w:szCs w:val="24"/>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原有控制台拆旧</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包含现有指挥中心老旧控制台整体拆除、运输、现场清理。</w:t>
            </w:r>
            <w:r/>
          </w:p>
        </w:tc>
      </w:tr>
      <w:tr>
        <w:trPr>
          <w:trHeight w:val="1240"/>
        </w:trPr>
        <w:tc>
          <w:tcPr>
            <w:shd w:val="clear" w:color="auto" w:fill="auto"/>
            <w:tcBorders>
              <w:top w:val="single" w:color="000000" w:sz="4" w:space="0"/>
              <w:left w:val="single" w:color="000000" w:sz="8" w:space="0"/>
              <w:bottom w:val="single" w:color="000000" w:sz="4" w:space="0"/>
              <w:right w:val="single" w:color="000000" w:sz="4" w:space="0"/>
            </w:tcBorders>
            <w:tcW w:w="632"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cs="宋体"/>
                <w:i w:val="0"/>
                <w:iCs w:val="0"/>
                <w:color w:val="000000"/>
                <w:sz w:val="24"/>
                <w:szCs w:val="24"/>
                <w:lang w:val="en-US" w:eastAsia="zh-CN" w:bidi="ar"/>
              </w:rPr>
              <w:t xml:space="preserve">5</w:t>
            </w:r>
            <w:r>
              <w:rPr>
                <w:rFonts w:hint="eastAsia" w:ascii="宋体" w:hAnsi="宋体" w:eastAsia="宋体" w:cs="宋体"/>
                <w:i w:val="0"/>
                <w:iCs w:val="0"/>
                <w:color w:val="000000"/>
                <w:sz w:val="24"/>
                <w:szCs w:val="24"/>
                <w:lang w:val="en-US" w:eastAsia="zh-CN"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i w:val="0"/>
                <w:iCs w:val="0"/>
                <w:color w:val="000000"/>
                <w:sz w:val="24"/>
                <w:szCs w:val="24"/>
              </w:rPr>
              <w:suppressLineNumbers w:val="0"/>
            </w:pPr>
            <w:r>
              <w:rPr>
                <w:rFonts w:hint="eastAsia" w:ascii="宋体" w:hAnsi="宋体" w:eastAsia="宋体" w:cs="宋体"/>
                <w:i w:val="0"/>
                <w:iCs w:val="0"/>
                <w:color w:val="000000"/>
                <w:sz w:val="24"/>
                <w:szCs w:val="24"/>
                <w:lang w:val="en-US" w:eastAsia="zh-CN" w:bidi="ar"/>
              </w:rPr>
              <w:t xml:space="preserve">安装调试</w:t>
            </w:r>
            <w:r/>
          </w:p>
        </w:tc>
        <w:tc>
          <w:tcPr>
            <w:shd w:val="clear" w:color="auto" w:fill="ffffff"/>
            <w:tcBorders>
              <w:top w:val="single" w:color="000000" w:sz="4" w:space="0"/>
              <w:left w:val="none" w:color="000000" w:sz="4" w:space="0"/>
              <w:bottom w:val="single" w:color="000000" w:sz="4" w:space="0"/>
              <w:right w:val="single" w:color="000000" w:sz="4" w:space="0"/>
            </w:tcBorders>
            <w:tcW w:w="7788"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4"/>
                <w:szCs w:val="24"/>
                <w:lang w:eastAsia="zh-CN"/>
              </w:rPr>
              <w:suppressLineNumbers w:val="0"/>
            </w:pPr>
            <w:r>
              <w:rPr>
                <w:rFonts w:hint="eastAsia" w:ascii="宋体" w:hAnsi="宋体" w:eastAsia="宋体" w:cs="宋体"/>
                <w:i w:val="0"/>
                <w:iCs w:val="0"/>
                <w:color w:val="000000"/>
                <w:sz w:val="24"/>
                <w:szCs w:val="24"/>
              </w:rPr>
              <w:t xml:space="preserve">包含全新控制台重新施工安装，全过程做到零业务中断，实现各业务系统切换无缝衔接、不间断稳定运行</w:t>
            </w:r>
            <w:r>
              <w:rPr>
                <w:rFonts w:hint="eastAsia" w:ascii="宋体" w:hAnsi="宋体" w:eastAsia="宋体" w:cs="宋体"/>
                <w:i w:val="0"/>
                <w:iCs w:val="0"/>
                <w:color w:val="000000"/>
                <w:sz w:val="24"/>
                <w:szCs w:val="24"/>
                <w:lang w:eastAsia="zh-CN"/>
              </w:rPr>
              <w:t xml:space="preserve">。</w:t>
            </w:r>
            <w:r/>
          </w:p>
        </w:tc>
      </w:tr>
    </w:tbl>
    <w:p>
      <w:pPr>
        <w:ind w:left="40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40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sz w:val="24"/>
          <w:szCs w:val="24"/>
        </w:rPr>
        <w:t xml:space="preserve">注：</w:t>
      </w:r>
      <w:r>
        <w:rPr>
          <w:rFonts w:hint="eastAsia" w:ascii="宋体" w:hAnsi="宋体" w:eastAsia="宋体" w:cs="宋体"/>
          <w:sz w:val="24"/>
          <w:szCs w:val="24"/>
        </w:rPr>
        <w:br/>
      </w:r>
      <w:r>
        <w:rPr>
          <w:rFonts w:hint="eastAsia" w:ascii="宋体" w:hAnsi="宋体" w:eastAsia="宋体" w:cs="宋体"/>
          <w:b/>
          <w:bCs/>
          <w:sz w:val="24"/>
          <w:szCs w:val="24"/>
        </w:rPr>
        <w:t xml:space="preserve">1.本项目核心产品：</w:t>
      </w:r>
      <w:r>
        <w:rPr>
          <w:rFonts w:hint="eastAsia" w:ascii="宋体" w:hAnsi="宋体" w:eastAsia="宋体" w:cs="宋体"/>
          <w:i w:val="0"/>
          <w:iCs w:val="0"/>
          <w:color w:val="000000"/>
          <w:sz w:val="24"/>
          <w:szCs w:val="24"/>
          <w:lang w:val="en-US" w:eastAsia="zh-CN" w:bidi="ar"/>
        </w:rPr>
        <w:t xml:space="preserve">●</w:t>
      </w:r>
      <w:r>
        <w:rPr>
          <w:rFonts w:hint="eastAsia" w:ascii="宋体" w:hAnsi="宋体" w:eastAsia="宋体" w:cs="宋体"/>
          <w:b/>
          <w:bCs/>
          <w:sz w:val="24"/>
          <w:szCs w:val="24"/>
        </w:rPr>
        <w:t xml:space="preserve">控制台。提供相同品牌核心产品且通过资格审查、符合性审查的不同投标人参加同一合同项下响应的，按一家投标人计算</w:t>
      </w:r>
      <w:r>
        <w:rPr>
          <w:rFonts w:hint="eastAsia" w:ascii="宋体" w:hAnsi="宋体" w:eastAsia="宋体" w:cs="宋体"/>
          <w:b/>
          <w:bCs/>
          <w:sz w:val="24"/>
          <w:szCs w:val="24"/>
          <w:lang w:eastAsia="zh-CN"/>
        </w:rPr>
        <w:t xml:space="preserve">。</w:t>
      </w:r>
      <w:r/>
    </w:p>
    <w:p>
      <w:pPr>
        <w:numPr>
          <w:ilvl w:val="0"/>
          <w:numId w:val="0"/>
        </w:numPr>
        <w:ind w:left="0" w:firstLine="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2.投标人需明确所投产品的品牌、型号、规格及一些必须说明的技术参数，以及设备配置清单，并提供详细的技术参数及性能说明书。</w:t>
      </w:r>
      <w:r/>
    </w:p>
    <w:p>
      <w:pPr>
        <w:numPr>
          <w:ilvl w:val="0"/>
          <w:numId w:val="0"/>
        </w:numPr>
        <w:ind w:left="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numPr>
          <w:ilvl w:val="0"/>
          <w:numId w:val="0"/>
        </w:numPr>
        <w:ind w:left="42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投标人在投标文件中必须逐条响应（具体在技术参数响应及偏离表中写明），如漏项或未提供，则视同非实质性响应文件要求，作无效标处理。其中打★号指标为必须满足项，如有负偏离将作为非实质性响应文件要求，作无效标处理。</w:t>
      </w:r>
      <w:r/>
    </w:p>
    <w:p>
      <w:pPr>
        <w:ind w:left="0" w:firstLine="42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5.合同生效后，45 日内将合同标的全部交付并安装调试完毕。</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中标人应及时安装调试，安装调试期间采购人的使用人员协助配合；安装调试完毕，中标人需组织采购人使用人员进行使用及日常维护等的培训。</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验收时需提供全部的技术资料（产品中/英文说明书、中文操作手册和产品合格证书</w:t>
      </w:r>
      <w:r>
        <w:rPr>
          <w:rFonts w:hint="eastAsia" w:ascii="宋体" w:hAnsi="宋体" w:cs="宋体"/>
          <w:b w:val="0"/>
          <w:bCs w:val="0"/>
          <w:sz w:val="24"/>
          <w:szCs w:val="24"/>
          <w:lang w:val="en-US" w:eastAsia="zh-CN"/>
        </w:rPr>
        <w:t xml:space="preserve">等</w:t>
      </w:r>
      <w:r>
        <w:rPr>
          <w:rFonts w:hint="eastAsia" w:ascii="宋体" w:hAnsi="宋体" w:eastAsia="宋体" w:cs="宋体"/>
          <w:b w:val="0"/>
          <w:bCs w:val="0"/>
          <w:sz w:val="24"/>
          <w:szCs w:val="24"/>
        </w:rPr>
        <w:t xml:space="preserve">）。</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投标人安装调试时采取必要的安全措施，如有意外或事故发生，由中标人负全部责任。</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本采购项目所涉及的所有内容，均须符合中华人民共和国现行有效的强制性标准及最新版本的推荐性标准（包括但不限于国家标准、行业标准）。凡标准有不同版本或更新版本的，应执行发布最新且要求最严格的版本。若各标准、规范之间存在不一致之处，应以要求更严格者为准。</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七、售后服务要求</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1、本项目免费质量保证期要求不低于3 年。免费质量保证期从货物供货、安装、调试正常且经采购使用部门确认验收合格之日起算。</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2、在质保期内，对采购人所提出的维修要求做出实质性响应，并提供应急策略；如出现货物故障，在24小时内不能解决问题，应免费在7天内用同样的品牌、规格或更高的部件更换到位。</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3、为采购人提供全面的技术支持，帮助采购人及时解决使用中遇到的技术问题。</w:t>
      </w:r>
      <w:r/>
    </w:p>
    <w:p>
      <w:pPr>
        <w:ind w:left="0" w:firstLine="42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4、培训要求：采购人的运行维护技术人员经过培训应能进行日常设备运行维护工作。</w:t>
      </w:r>
      <w:r/>
    </w:p>
    <w:p>
      <w:pPr>
        <w:ind w:left="0" w:firstLine="420"/>
        <w:spacing w:line="360" w:lineRule="auto"/>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5、此次项目服务内容还必须包含指挥中心原老旧控制台拆除</w:t>
      </w:r>
      <w:r>
        <w:rPr>
          <w:rFonts w:hint="eastAsia" w:ascii="宋体" w:hAnsi="宋体" w:eastAsia="宋体" w:cs="宋体"/>
          <w:b w:val="0"/>
          <w:bCs w:val="0"/>
          <w:sz w:val="24"/>
          <w:szCs w:val="24"/>
          <w:lang w:eastAsia="zh-CN"/>
        </w:rPr>
        <w:t xml:space="preserve">、运输、现场清理</w:t>
      </w:r>
      <w:r>
        <w:rPr>
          <w:rFonts w:hint="eastAsia" w:ascii="宋体" w:hAnsi="宋体" w:eastAsia="宋体" w:cs="宋体"/>
          <w:b w:val="0"/>
          <w:bCs w:val="0"/>
          <w:sz w:val="24"/>
          <w:szCs w:val="24"/>
        </w:rPr>
        <w:t xml:space="preserve">工作</w:t>
      </w:r>
      <w:r>
        <w:rPr>
          <w:rFonts w:hint="eastAsia" w:ascii="宋体" w:hAnsi="宋体" w:eastAsia="宋体" w:cs="宋体"/>
          <w:b w:val="0"/>
          <w:bCs w:val="0"/>
          <w:sz w:val="24"/>
          <w:szCs w:val="24"/>
          <w:lang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、综合说明</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3.中标单位将根据招标文件、投标文件的相关约定，承担合同责任，履行合同义务。</w:t>
      </w:r>
      <w:r/>
    </w:p>
    <w:p>
      <w:pPr>
        <w:ind w:left="0" w:firstLine="42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2"/>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、政府采购政策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1.中小微企业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本项目属于专门面向中小企业采购。</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根据《政府采购促进中小企业发展管理办法》（财库〔2020〕46号）及《中小企业划型标准规定》（工信部联企业〔2011〕300号），</w:t>
      </w:r>
      <w:r>
        <w:rPr>
          <w:rFonts w:hint="eastAsia" w:ascii="宋体" w:hAnsi="宋体" w:eastAsia="宋体" w:cs="宋体"/>
          <w:b/>
          <w:sz w:val="24"/>
          <w:szCs w:val="24"/>
        </w:rPr>
        <w:t xml:space="preserve">本采购标的对应的中小企业划分标准所属行业为：工业。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2.残疾人福利性单位</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3.监狱企业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eastAsia="宋体" w:cs="宋体"/>
          <w:sz w:val="24"/>
          <w:szCs w:val="24"/>
        </w:rPr>
      </w:pPr>
      <w:r/>
      <w:bookmarkStart w:id="93" w:name="OLE_LINK31"/>
      <w:r/>
      <w:bookmarkStart w:id="94" w:name="OLE_LINK34"/>
      <w:r>
        <w:rPr>
          <w:rFonts w:hint="eastAsia" w:ascii="宋体" w:hAnsi="宋体" w:eastAsia="宋体" w:cs="宋体"/>
          <w:sz w:val="24"/>
          <w:szCs w:val="24"/>
        </w:rPr>
        <w:t xml:space="preserve">4.对本国产品的支持政策</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根据《国务院办公厅关于在</w:t>
      </w:r>
      <w:r>
        <w:rPr>
          <w:rFonts w:hint="eastAsia" w:ascii="宋体" w:hAnsi="宋体" w:eastAsia="宋体" w:cs="宋体"/>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93"/>
      <w:r/>
      <w:bookmarkEnd w:id="94"/>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5.绿色采购</w:t>
      </w:r>
      <w:r/>
    </w:p>
    <w:p>
      <w:pPr>
        <w:ind w:left="0" w:firstLine="422"/>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（1）</w:t>
      </w:r>
      <w:r>
        <w:rPr>
          <w:rFonts w:hint="eastAsia" w:ascii="宋体" w:hAnsi="宋体" w:eastAsia="宋体" w:cs="宋体"/>
          <w:sz w:val="24"/>
          <w:szCs w:val="24"/>
        </w:rPr>
        <w:t xml:space="preserve">根据《关于调整优化节能产品、环境标志产品政府采购执行机制的通知》（财库〔2019〕9号）等相关文件的规定，</w:t>
      </w:r>
      <w:r>
        <w:rPr>
          <w:rFonts w:hint="eastAsia" w:ascii="宋体" w:hAnsi="宋体" w:eastAsia="宋体" w:cs="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、关于对参与供应商信用记录的政府采购要求</w:t>
      </w:r>
      <w:r/>
    </w:p>
    <w:p>
      <w:pPr>
        <w:ind w:left="0" w:firstLine="420"/>
        <w:spacing w:line="360" w:lineRule="auto"/>
        <w:tabs>
          <w:tab w:val="left" w:pos="567" w:leader="none"/>
        </w:tabs>
        <w:rPr>
          <w:rFonts w:hint="eastAsia" w:ascii="宋体" w:hAnsi="宋体" w:eastAsia="宋体" w:cs="宋体"/>
          <w:b/>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、凡涉及招标文件的补充说明和修改，均以网上发布的通知为准。</w:t>
      </w:r>
      <w:r/>
    </w:p>
    <w:p>
      <w:pPr>
        <w:pStyle w:val="857"/>
        <w:ind w:left="0" w:firstLine="0"/>
        <w:jc w:val="center"/>
        <w:rPr>
          <w:rFonts w:hint="eastAsia" w:ascii="宋体" w:hAnsi="宋体" w:eastAsia="宋体" w:cs="宋体"/>
          <w:b/>
          <w:sz w:val="44"/>
          <w:szCs w:val="22"/>
        </w:rPr>
      </w:pPr>
      <w:r/>
      <w:bookmarkStart w:id="95" w:name="_Toc5111"/>
      <w:r/>
      <w:bookmarkStart w:id="96" w:name="_Toc11789"/>
      <w:r/>
      <w:bookmarkStart w:id="97" w:name="_Hlk55741158"/>
      <w:r>
        <w:rPr>
          <w:rFonts w:hint="eastAsia" w:ascii="宋体" w:hAnsi="宋体" w:eastAsia="宋体" w:cs="宋体"/>
          <w:b/>
          <w:sz w:val="44"/>
          <w:szCs w:val="22"/>
        </w:rPr>
        <w:br w:type="page" w:clear="all"/>
      </w:r>
      <w:bookmarkStart w:id="98" w:name="_Toc105397794"/>
      <w:r>
        <w:rPr>
          <w:rFonts w:hint="eastAsia" w:ascii="宋体" w:hAnsi="宋体" w:eastAsia="宋体" w:cs="宋体"/>
          <w:b/>
          <w:sz w:val="44"/>
          <w:szCs w:val="22"/>
        </w:rPr>
        <w:t xml:space="preserve">第五章 </w:t>
      </w:r>
      <w:bookmarkStart w:id="99" w:name="合同的特殊条款"/>
      <w:r/>
      <w:bookmarkEnd w:id="99"/>
      <w:r>
        <w:rPr>
          <w:rFonts w:hint="eastAsia" w:ascii="宋体" w:hAnsi="宋体" w:eastAsia="宋体" w:cs="宋体"/>
          <w:b/>
          <w:sz w:val="44"/>
          <w:szCs w:val="22"/>
        </w:rPr>
        <w:t xml:space="preserve">合同及主要条款</w:t>
      </w:r>
      <w:bookmarkEnd w:id="95"/>
      <w:r/>
      <w:bookmarkEnd w:id="96"/>
      <w:r/>
      <w:bookmarkEnd w:id="98"/>
      <w:r/>
      <w:bookmarkEnd w:id="97"/>
      <w:r/>
      <w:r/>
    </w:p>
    <w:p>
      <w:pPr>
        <w:ind w:left="0"/>
        <w:jc w:val="center"/>
        <w:rPr>
          <w:rFonts w:hint="eastAsia" w:ascii="宋体" w:hAnsi="宋体" w:eastAsia="宋体" w:cs="宋体"/>
          <w:b/>
          <w:sz w:val="24"/>
          <w:szCs w:val="24"/>
        </w:rPr>
      </w:pPr>
      <w:r/>
      <w:bookmarkStart w:id="100" w:name="_Toc8564"/>
      <w:r/>
      <w:bookmarkStart w:id="101" w:name="_Toc27667"/>
      <w:r/>
      <w:bookmarkStart w:id="102" w:name="_Toc57376410"/>
      <w:r>
        <w:rPr>
          <w:rFonts w:hint="eastAsia" w:ascii="宋体" w:hAnsi="宋体" w:eastAsia="宋体" w:cs="宋体"/>
          <w:b/>
          <w:sz w:val="24"/>
          <w:szCs w:val="24"/>
        </w:rPr>
        <w:t xml:space="preserve">政府采购合同</w:t>
      </w:r>
      <w:r/>
    </w:p>
    <w:p>
      <w:pPr>
        <w:pStyle w:val="883"/>
        <w:ind w:left="0" w:firstLine="0"/>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bookmarkStart w:id="103" w:name="_Toc105397795"/>
      <w:r>
        <w:rPr>
          <w:rFonts w:hint="eastAsia" w:ascii="宋体" w:hAnsi="宋体" w:eastAsia="宋体" w:cs="宋体"/>
          <w:sz w:val="24"/>
          <w:szCs w:val="24"/>
        </w:rPr>
        <w:t xml:space="preserve">项目编号：</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苏州市交通运输应急指挥中心</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           </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根据《中华人民共和国民法典》等相关法律法规的规定，甲乙双方就此次成交的【</w:t>
      </w:r>
      <w:r>
        <w:rPr>
          <w:rFonts w:hint="eastAsia" w:ascii="宋体" w:hAnsi="宋体" w:eastAsia="宋体" w:cs="宋体"/>
          <w:sz w:val="24"/>
          <w:szCs w:val="24"/>
          <w:lang w:eastAsia="zh-CN"/>
        </w:rPr>
        <w:t xml:space="preserve">苏州市交通运输应急指挥中心指挥大厅运行监测坐席采购</w:t>
      </w:r>
      <w:r>
        <w:rPr>
          <w:rFonts w:hint="eastAsia" w:ascii="宋体" w:hAnsi="宋体" w:eastAsia="宋体" w:cs="宋体"/>
          <w:sz w:val="24"/>
          <w:szCs w:val="24"/>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一、</w:t>
      </w:r>
      <w:bookmarkStart w:id="104" w:name="_Hlk55399711"/>
      <w:r>
        <w:rPr>
          <w:rFonts w:hint="eastAsia" w:ascii="宋体" w:hAnsi="宋体" w:eastAsia="宋体" w:cs="宋体"/>
          <w:b w:val="0"/>
          <w:bCs/>
          <w:sz w:val="24"/>
          <w:szCs w:val="24"/>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rPr>
          <w:rFonts w:hint="eastAsia" w:ascii="宋体" w:hAnsi="宋体" w:eastAsia="宋体" w:cs="宋体"/>
          <w:sz w:val="24"/>
          <w:szCs w:val="24"/>
        </w:rPr>
        <w:tab/>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（3）采购文件；</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（4）投标（响应）文件；</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rPr>
        <w:t xml:space="preserve">以上文件视为是能互相说明的，如上述文件之间存在冲突或不一致的，以排列序位在前的文件为准，同一序位的文件以形成时间在后的为准。</w:t>
      </w:r>
      <w:bookmarkEnd w:id="104"/>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二、合同内容</w:t>
      </w:r>
      <w:r/>
    </w:p>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（一）项目内容：乙方负责完成甲方的</w:t>
      </w:r>
      <w:r>
        <w:rPr>
          <w:rFonts w:hint="eastAsia" w:ascii="宋体" w:hAnsi="宋体" w:eastAsia="宋体" w:cs="宋体"/>
          <w:sz w:val="24"/>
          <w:szCs w:val="24"/>
          <w:u w:val="single"/>
        </w:rPr>
        <w:t xml:space="preserve">“</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eastAsia="zh-CN"/>
        </w:rPr>
        <w:t xml:space="preserve">（</w:t>
      </w:r>
      <w:r>
        <w:rPr>
          <w:rFonts w:hint="eastAsia" w:ascii="宋体" w:hAnsi="宋体" w:eastAsia="宋体" w:cs="宋体"/>
          <w:b/>
          <w:sz w:val="24"/>
          <w:szCs w:val="24"/>
          <w:u w:val="single"/>
          <w:lang w:val="en-US" w:eastAsia="zh-CN"/>
        </w:rPr>
        <w:t xml:space="preserve">项目名称</w:t>
      </w:r>
      <w:r>
        <w:rPr>
          <w:rFonts w:hint="eastAsia" w:ascii="宋体" w:hAnsi="宋体" w:eastAsia="宋体" w:cs="宋体"/>
          <w:b/>
          <w:sz w:val="24"/>
          <w:szCs w:val="24"/>
          <w:u w:val="single"/>
          <w:lang w:eastAsia="zh-CN"/>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，具体内容见下表：</w:t>
      </w:r>
      <w:r/>
    </w:p>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867"/>
        <w:tblW w:w="5650" w:type="pct"/>
        <w:jc w:val="center"/>
        <w:tblLayout w:type="autofit"/>
        <w:tblCellMar>
          <w:left w:w="0" w:type="dxa"/>
          <w:top w:w="0" w:type="dxa"/>
          <w:right w:w="0" w:type="dxa"/>
          <w:bottom w:w="0" w:type="dxa"/>
        </w:tblCellMar>
        <w:tblLook w:val="04A0" w:firstRow="1" w:lastRow="0" w:firstColumn="1" w:lastColumn="0" w:noHBand="0" w:noVBand="1"/>
      </w:tblPr>
      <w:tblGrid>
        <w:gridCol w:w="843"/>
        <w:gridCol w:w="1933"/>
        <w:gridCol w:w="3526"/>
        <w:gridCol w:w="825"/>
        <w:gridCol w:w="825"/>
        <w:gridCol w:w="1220"/>
        <w:gridCol w:w="1327"/>
        <w:gridCol w:w="670"/>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8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869"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158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7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22"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9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303"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bottom w:w="0" w:type="dxa"/>
            </w:tcMar>
            <w:tcW w:w="500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sz w:val="24"/>
                <w:szCs w:val="24"/>
              </w:rPr>
              <w:suppressLineNumbers w:val="0"/>
            </w:pPr>
            <w:r>
              <w:rPr>
                <w:rFonts w:hint="eastAsia" w:ascii="宋体" w:hAnsi="宋体" w:eastAsia="宋体" w:cs="宋体"/>
                <w:bCs/>
                <w:sz w:val="24"/>
                <w:szCs w:val="24"/>
              </w:rPr>
              <w:t xml:space="preserve">总价（含税）：</w:t>
            </w:r>
            <w:r>
              <w:rPr>
                <w:rFonts w:hint="eastAsia" w:ascii="宋体" w:hAnsi="宋体" w:eastAsia="宋体" w:cs="宋体"/>
                <w:sz w:val="24"/>
                <w:szCs w:val="24"/>
              </w:rPr>
              <w:t xml:space="preserve">                             ¥</w:t>
            </w:r>
            <w:r/>
          </w:p>
        </w:tc>
      </w:tr>
    </w:tbl>
    <w:p>
      <w:pPr>
        <w:ind w:left="0" w:firstLine="42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（二）交付期限：自本合同签订生效之日起【</w:t>
      </w:r>
      <w:r>
        <w:rPr>
          <w:rFonts w:hint="eastAsia" w:ascii="宋体" w:hAnsi="宋体" w:eastAsia="宋体" w:cs="宋体"/>
          <w:sz w:val="24"/>
          <w:szCs w:val="24"/>
          <w:lang w:val="en-US" w:eastAsia="zh-CN"/>
        </w:rPr>
        <w:t xml:space="preserve">45</w:t>
      </w:r>
      <w:r>
        <w:rPr>
          <w:rFonts w:hint="eastAsia" w:ascii="宋体" w:hAnsi="宋体" w:eastAsia="宋体" w:cs="宋体"/>
          <w:sz w:val="24"/>
          <w:szCs w:val="24"/>
        </w:rPr>
        <w:t xml:space="preserve">】日内，乙方应完成本项目全部采购内容的安装、调试并交付甲方正常使用。</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（三）交付地点：甲方指定地点。</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（四）质保期：不少于【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rPr>
        <w:t xml:space="preserve">，自本项目设备经甲方</w:t>
      </w:r>
      <w:r>
        <w:rPr>
          <w:rFonts w:hint="eastAsia" w:ascii="宋体" w:hAnsi="宋体" w:eastAsia="宋体" w:cs="宋体"/>
          <w:sz w:val="24"/>
          <w:szCs w:val="24"/>
          <w:lang w:val="en-US" w:eastAsia="zh-CN"/>
        </w:rPr>
        <w:t xml:space="preserve">确认</w:t>
      </w:r>
      <w:r>
        <w:rPr>
          <w:rFonts w:hint="eastAsia" w:ascii="宋体" w:hAnsi="宋体" w:eastAsia="宋体" w:cs="宋体"/>
          <w:sz w:val="24"/>
          <w:szCs w:val="24"/>
        </w:rPr>
        <w:t xml:space="preserve">验收通过之日起开始计算。</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三、价格与支付</w:t>
      </w:r>
      <w:r/>
    </w:p>
    <w:p>
      <w:pPr>
        <w:ind w:left="0" w:firstLine="48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（一）本合同金额按此次中标（成交）价格执行，</w:t>
      </w:r>
      <w:bookmarkStart w:id="105" w:name="_Hlk55399813"/>
      <w:r>
        <w:rPr>
          <w:rFonts w:hint="eastAsia" w:ascii="宋体" w:hAnsi="宋体" w:eastAsia="宋体" w:cs="宋体"/>
          <w:sz w:val="24"/>
          <w:szCs w:val="24"/>
        </w:rPr>
        <w:t xml:space="preserve">本合同总金额（含税）为人民币（大写）___________________（¥：____________</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。上述合同总金额</w:t>
      </w:r>
      <w:bookmarkEnd w:id="105"/>
      <w:r>
        <w:rPr>
          <w:rFonts w:hint="eastAsia" w:ascii="宋体" w:hAnsi="宋体" w:eastAsia="宋体" w:cs="宋体"/>
          <w:sz w:val="24"/>
          <w:szCs w:val="24"/>
        </w:rPr>
        <w:t xml:space="preserve">已包括</w:t>
      </w:r>
      <w:r>
        <w:rPr>
          <w:rFonts w:hint="eastAsia" w:ascii="宋体" w:hAnsi="宋体" w:eastAsia="宋体" w:cs="宋体"/>
          <w:sz w:val="24"/>
          <w:szCs w:val="24"/>
          <w:lang w:val="zh-CN"/>
        </w:rPr>
        <w:t xml:space="preserve">响应产品、</w:t>
      </w:r>
      <w:bookmarkStart w:id="106" w:name="_Hlk32483319"/>
      <w:r>
        <w:rPr>
          <w:rFonts w:hint="eastAsia" w:ascii="宋体" w:hAnsi="宋体" w:eastAsia="宋体" w:cs="宋体"/>
          <w:sz w:val="24"/>
          <w:szCs w:val="24"/>
          <w:lang w:val="zh-CN"/>
        </w:rPr>
        <w:t xml:space="preserve">安装辅材及其备品备件和专用工具费用</w:t>
      </w:r>
      <w:bookmarkEnd w:id="106"/>
      <w:r>
        <w:rPr>
          <w:rFonts w:hint="eastAsia" w:ascii="宋体" w:hAnsi="宋体" w:eastAsia="宋体" w:cs="宋体"/>
          <w:sz w:val="24"/>
          <w:szCs w:val="24"/>
          <w:lang w:val="zh-CN"/>
        </w:rPr>
        <w:t xml:space="preserve">、税费、包装、运至最终目的地的运输、保险、现场安装调试、检测验收、技术支持与培训、质保和售后服务及相关劳务支出等</w:t>
      </w:r>
      <w:r>
        <w:rPr>
          <w:rFonts w:hint="eastAsia" w:ascii="宋体" w:hAnsi="宋体" w:eastAsia="宋体" w:cs="宋体"/>
          <w:sz w:val="24"/>
          <w:szCs w:val="24"/>
        </w:rPr>
        <w:t xml:space="preserve">履行本合同</w:t>
      </w:r>
      <w:r>
        <w:rPr>
          <w:rFonts w:hint="eastAsia" w:ascii="宋体" w:hAnsi="宋体" w:eastAsia="宋体" w:cs="宋体"/>
          <w:sz w:val="24"/>
          <w:szCs w:val="24"/>
          <w:lang w:val="zh-CN"/>
        </w:rPr>
        <w:t xml:space="preserve">所发生的全部费用以及</w:t>
      </w:r>
      <w:r>
        <w:rPr>
          <w:rFonts w:hint="eastAsia" w:ascii="宋体" w:hAnsi="宋体" w:eastAsia="宋体" w:cs="宋体"/>
          <w:sz w:val="24"/>
          <w:szCs w:val="24"/>
        </w:rPr>
        <w:t xml:space="preserve">乙方</w:t>
      </w:r>
      <w:r>
        <w:rPr>
          <w:rFonts w:hint="eastAsia" w:ascii="宋体" w:hAnsi="宋体" w:eastAsia="宋体" w:cs="宋体"/>
          <w:sz w:val="24"/>
          <w:szCs w:val="24"/>
          <w:lang w:val="zh-CN"/>
        </w:rPr>
        <w:t xml:space="preserve">的企业利润、税金和政策性文件规定及合同包含的所有风险、责任等各项应有费用</w:t>
      </w:r>
      <w:r>
        <w:rPr>
          <w:rFonts w:hint="eastAsia" w:ascii="宋体" w:hAnsi="宋体" w:eastAsia="宋体" w:cs="宋体"/>
          <w:bCs/>
          <w:sz w:val="24"/>
          <w:szCs w:val="24"/>
        </w:rPr>
        <w:t xml:space="preserve">。</w:t>
      </w:r>
      <w:r>
        <w:rPr>
          <w:rFonts w:hint="eastAsia" w:ascii="宋体" w:hAnsi="宋体" w:eastAsia="宋体" w:cs="宋体"/>
          <w:sz w:val="24"/>
          <w:szCs w:val="24"/>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（二）合同价款的支付及付款方式：</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1、付款流程：合同签订并生效后甲方向乙方支付合同总金额的30%作为预付款，货物到货交付完成甲方向乙方支付</w:t>
      </w:r>
      <w:r>
        <w:rPr>
          <w:rFonts w:hint="eastAsia" w:ascii="宋体" w:hAnsi="宋体" w:eastAsia="宋体" w:cs="宋体"/>
          <w:sz w:val="24"/>
          <w:szCs w:val="24"/>
          <w:lang w:val="en-US" w:eastAsia="zh-CN"/>
        </w:rPr>
        <w:t xml:space="preserve">至</w:t>
      </w:r>
      <w:r>
        <w:rPr>
          <w:rFonts w:hint="eastAsia" w:ascii="宋体" w:hAnsi="宋体" w:eastAsia="宋体" w:cs="宋体"/>
          <w:sz w:val="24"/>
          <w:szCs w:val="24"/>
        </w:rPr>
        <w:t xml:space="preserve">合同总金额的</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待货物安装、调试正常且经甲方确认验收合格</w:t>
      </w:r>
      <w:r>
        <w:rPr>
          <w:rFonts w:hint="eastAsia" w:ascii="宋体" w:hAnsi="宋体" w:eastAsia="宋体" w:cs="宋体"/>
          <w:sz w:val="24"/>
          <w:szCs w:val="24"/>
        </w:rPr>
        <w:t xml:space="preserve">后，甲方向乙方支付</w:t>
      </w:r>
      <w:r>
        <w:rPr>
          <w:rFonts w:hint="eastAsia" w:ascii="宋体" w:hAnsi="宋体" w:eastAsia="宋体" w:cs="宋体"/>
          <w:sz w:val="24"/>
          <w:szCs w:val="24"/>
          <w:lang w:val="en-US" w:eastAsia="zh-CN"/>
        </w:rPr>
        <w:t xml:space="preserve">至</w:t>
      </w:r>
      <w:r>
        <w:rPr>
          <w:rFonts w:hint="eastAsia" w:ascii="宋体" w:hAnsi="宋体" w:eastAsia="宋体" w:cs="宋体"/>
          <w:sz w:val="24"/>
          <w:szCs w:val="24"/>
        </w:rPr>
        <w:t xml:space="preserve">合同总金额的</w:t>
      </w:r>
      <w:r>
        <w:rPr>
          <w:rFonts w:hint="eastAsia" w:ascii="宋体" w:hAnsi="宋体" w:eastAsia="宋体" w:cs="宋体"/>
          <w:sz w:val="24"/>
          <w:szCs w:val="24"/>
          <w:lang w:val="en-US" w:eastAsia="zh-CN"/>
        </w:rPr>
        <w:t xml:space="preserve">100</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在签订合同时，乙方明确表示无需预付款或者主动要求降低预付款比例的，甲方可不适用上述关于预付款的规定。</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2、乙方提请甲方付款前，应提供以下资料：</w:t>
      </w:r>
      <w:r/>
    </w:p>
    <w:p>
      <w:pPr>
        <w:ind w:left="0" w:firstLine="420"/>
        <w:spacing w:line="360" w:lineRule="auto"/>
        <w:widowControl w:val="off"/>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sz w:val="24"/>
          <w:szCs w:val="24"/>
        </w:rPr>
      </w:pPr>
      <w:r>
        <w:rPr>
          <w:rFonts w:hint="eastAsia" w:ascii="宋体" w:hAnsi="宋体" w:eastAsia="宋体" w:cs="宋体"/>
          <w:sz w:val="24"/>
          <w:szCs w:val="24"/>
        </w:rPr>
        <w:t xml:space="preserve">（2）随设备附带的所有有关资料（如质量保证书等）；</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（3）由甲乙双方共同签章的《政府采购合同履行验收书》。</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3、付款方式：银行转账</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乙方账户信息如下：</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（三）履约保证金</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履约保证金金额为：合同总金额的【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乙方应在合同签订后【7】日内，按照合同约定，向甲方提交履约保证金，履约保证金可以以支票、汇票、本票或者金融机构、担保机构出</w:t>
      </w:r>
      <w:r>
        <w:rPr>
          <w:rFonts w:hint="eastAsia" w:ascii="宋体" w:hAnsi="宋体" w:eastAsia="宋体" w:cs="宋体"/>
          <w:sz w:val="24"/>
          <w:szCs w:val="24"/>
        </w:rPr>
        <w:t xml:space="preserve">具的履约保函等非现金形式提交。乙方无正当理由拖延或拒不提交履约保证金的，甲方有权解除本合同，乙方应向甲方支付本合同总价款【3%】的违约金，给甲方造成损失的，乙方应赔偿甲方一切直接、间接损失。本项目质保期三年，乙方待质保期满且完成服务缺陷更正，并配合主管部门办理移交手续后，甲方退还履约保证金（无息）。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65"/>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四、保密条款</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五、质量保证</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（四）</w:t>
      </w:r>
      <w:bookmarkStart w:id="107" w:name="_Hlk32483710"/>
      <w:r>
        <w:rPr>
          <w:rFonts w:hint="eastAsia" w:ascii="宋体" w:hAnsi="宋体" w:eastAsia="宋体" w:cs="宋体"/>
          <w:sz w:val="24"/>
          <w:szCs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构成上述侵权的，乙方应承担全部责任，并赔偿由此给甲方造成的一切直接、间接损失。</w:t>
      </w:r>
      <w:bookmarkEnd w:id="107"/>
      <w:r/>
      <w:r/>
    </w:p>
    <w:p>
      <w:pPr>
        <w:ind w:left="0" w:firstLine="413"/>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六、包装</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（一）乙方应当按照《商品包装政府采购需求标准（试行）》、《快递包装政府采购需求标准（试行）》的标准及约定的包装方式交付</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。对包装方式没有约定或约定不明确的，应当按照双方补充协议约定的方式包装，或按照通用的方式包装；没有补充协议或通用方式的，应当按照采取足以保护</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且有利于节约资源、保护生态环境的包装方式。因乙方未采取合理包装方式致使</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）如因包装、运输问题导致货物毁损或者品质下降，甲方有权要求降价、换货、拒收部分或整批货物，由此造成甲方的费用和损失，均由乙方承担。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）产品运输（送）安全由乙方全权负责，造成货物丢失或其他重大损失等情况，由此带来的经济损失、法律后果由乙方完全负责，甲方将依据合同条款保留追究乙方责任的权利。</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）运输费用由乙方承担。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）运输须严格遵守《中华人民共和国道路运输条例》相关规定。</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七、设备的交付</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（一）本项目设备的所有权自设备由乙方交付甲方时转移。</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（二）乙方应当按照本合同约定的期限和约定的地点交付设备。</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t xml:space="preserve">    八、伴随服务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1、设备的现场安装、启动、调试、监督（如果必须安装、调试的话）；</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2、提供设备组装和一般维修所必需的工具；</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4、对甲方技术人员进行技术指导或培训服务。</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九、设备的检验（检测）和验收</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（一）交付本合同</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前，乙方应对</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的质量、规格、性能、数量、外观、随机备件备品、装箱单、随机资料、包装等进行详细而全面的检验，并出具一份检验合格证明，检验合格证明仅作为甲方验收的依据，但不能作为本合同项下</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质量、规格、数量或性能的最终检验结果。</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sz w:val="24"/>
          <w:szCs w:val="24"/>
        </w:rPr>
        <w:t xml:space="preserve">    （三）乙方应自本项目所有设备交付甲方，完成安装、调试，并试运行完成之日</w:t>
      </w:r>
      <w:r>
        <w:rPr>
          <w:rFonts w:hint="eastAsia" w:ascii="宋体" w:hAnsi="宋体" w:eastAsia="宋体" w:cs="宋体"/>
          <w:color w:val="auto"/>
          <w:sz w:val="24"/>
          <w:szCs w:val="24"/>
          <w:highlight w:val="none"/>
        </w:rPr>
        <w:t xml:space="preserve">起15日内进行验收。特殊情况需延长的，</w:t>
      </w:r>
      <w:bookmarkStart w:id="108" w:name="_Hlk32482846"/>
      <w:r>
        <w:rPr>
          <w:rFonts w:hint="eastAsia" w:ascii="宋体" w:hAnsi="宋体" w:eastAsia="宋体" w:cs="宋体"/>
          <w:color w:val="auto"/>
          <w:sz w:val="24"/>
          <w:szCs w:val="24"/>
          <w:highlight w:val="none"/>
        </w:rPr>
        <w:t xml:space="preserve">由甲乙双方另行协商确定</w:t>
      </w:r>
      <w:bookmarkEnd w:id="108"/>
      <w:r>
        <w:rPr>
          <w:rFonts w:hint="eastAsia" w:ascii="宋体" w:hAnsi="宋体" w:eastAsia="宋体" w:cs="宋体"/>
          <w:color w:val="auto"/>
          <w:sz w:val="24"/>
          <w:szCs w:val="24"/>
          <w:highlight w:val="none"/>
        </w:rPr>
        <w:t xml:space="preserve">。</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（五）由于甲方自身能力、检验（检测）方法和检验（检测）手段的限制，对于</w:t>
      </w:r>
      <w:r>
        <w:rPr>
          <w:rFonts w:hint="eastAsia" w:ascii="宋体" w:hAnsi="宋体" w:eastAsia="宋体" w:cs="宋体"/>
          <w:sz w:val="24"/>
          <w:szCs w:val="24"/>
          <w:lang w:val="en-US" w:eastAsia="zh-CN"/>
        </w:rPr>
        <w:t xml:space="preserve">设备</w:t>
      </w:r>
      <w:r>
        <w:rPr>
          <w:rFonts w:hint="eastAsia" w:ascii="宋体" w:hAnsi="宋体" w:eastAsia="宋体" w:cs="宋体"/>
          <w:sz w:val="24"/>
          <w:szCs w:val="24"/>
        </w:rPr>
        <w:t xml:space="preserve">部分质量瑕疵尤其是潜在的或隐蔽的质量瑕疵，在短时间内可能无法发现。因此，验收单的签署仅作为</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质保期起算的依据，不代表甲方对质量异议权利的放弃，也不代表乙方对</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质量保证责任的免除。甲方验收通过，并不免除乙方对</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质量问题承担责任的义务，如验收通过后，</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十、</w:t>
      </w:r>
      <w:r>
        <w:rPr>
          <w:rFonts w:hint="eastAsia" w:ascii="宋体" w:hAnsi="宋体" w:eastAsia="宋体" w:cs="宋体"/>
          <w:b/>
          <w:bCs/>
          <w:sz w:val="24"/>
          <w:szCs w:val="24"/>
          <w:lang w:eastAsia="zh-CN"/>
        </w:rPr>
        <w:t xml:space="preserve">设备</w:t>
      </w:r>
      <w:r>
        <w:rPr>
          <w:rFonts w:hint="eastAsia" w:ascii="宋体" w:hAnsi="宋体" w:eastAsia="宋体" w:cs="宋体"/>
          <w:b/>
          <w:bCs/>
          <w:sz w:val="24"/>
          <w:szCs w:val="24"/>
        </w:rPr>
        <w:t xml:space="preserve">提出异议的时间和办法</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（一）甲方在验收过程中，应当于双方约定的验收期间内将</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的数量或质量不符合约定的情况及处理方式以书面形式通知乙方。若</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存在甲方无法检验（检测）的质量问题，则对该</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的检验（检测）不受验收期间的限制，但甲方应在发现质量问题后及时提出。</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 十一、售后服务</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1、本项目免费质量保证期要求不低于【 】年。免费质量保证期从货物供货、安装、调试正常且经采购使用部门确认最终验收合格之日起算。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2、在质保期内，</w:t>
      </w:r>
      <w:r>
        <w:rPr>
          <w:rFonts w:hint="eastAsia" w:ascii="宋体" w:hAnsi="宋体" w:eastAsia="宋体" w:cs="宋体"/>
          <w:sz w:val="24"/>
          <w:szCs w:val="24"/>
          <w:lang w:val="en-US" w:eastAsia="zh-CN"/>
        </w:rPr>
        <w:t xml:space="preserve">乙方应</w:t>
      </w:r>
      <w:r>
        <w:rPr>
          <w:rFonts w:hint="eastAsia" w:ascii="宋体" w:hAnsi="宋体" w:eastAsia="宋体" w:cs="宋体"/>
          <w:sz w:val="24"/>
          <w:szCs w:val="24"/>
        </w:rPr>
        <w:t xml:space="preserve">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所提出的维修要求做出实质性响应，并提供应急策略；如出现货物故障，在24小时内不能解决问题，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应免费在7天内用同样的品牌、规格或更高的部件更换到位。</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乙方应</w:t>
      </w:r>
      <w:r>
        <w:rPr>
          <w:rFonts w:hint="eastAsia" w:ascii="宋体" w:hAnsi="宋体" w:eastAsia="宋体" w:cs="宋体"/>
          <w:sz w:val="24"/>
          <w:szCs w:val="24"/>
        </w:rPr>
        <w:t xml:space="preserve">为</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提供全面的技术支持，帮助</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及时解决使用中遇到的技术问题。</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4、培训要求：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的运行维护技术人员经过培训应能进行日常设备运行维护工作。</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此次项目服务内容还必须包含指挥中心原老旧控制台拆除、运输、现场清理工作。</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十二、安全生产</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sz w:val="24"/>
          <w:szCs w:val="24"/>
        </w:rPr>
        <w:br/>
      </w:r>
      <w:r>
        <w:rPr>
          <w:rFonts w:hint="eastAsia" w:ascii="宋体" w:hAnsi="宋体" w:eastAsia="宋体" w:cs="宋体"/>
          <w:sz w:val="24"/>
          <w:szCs w:val="24"/>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sz w:val="24"/>
          <w:szCs w:val="24"/>
        </w:rPr>
        <w:br/>
      </w:r>
      <w:r>
        <w:rPr>
          <w:rFonts w:hint="eastAsia" w:ascii="宋体" w:hAnsi="宋体" w:eastAsia="宋体" w:cs="宋体"/>
          <w:sz w:val="24"/>
          <w:szCs w:val="24"/>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十三、分包与转包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（一）本合同项目不得转包与分包。</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（一）甲方违约责任</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1、本合同生效后，甲方无正当理由要求退货的，应向乙方支付本合同总金额20%的违约金，违约金不足以弥补损失的，乙方有权要求甲方补足。</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、甲方违反本合同规定，无正当理由拒绝接收乙方交付的合格</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的，应当承担因此给乙方造成的损失。</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（二）乙方违约责任</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2、因乙方违约导致甲方解除合同的，甲方有权另行采购本合同约定的</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8.若甲方在本合同完结之后，产生的后续其他项目涉及到与本合同内相关</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十五、不可抗力</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109" w:name="_Hlk62832803"/>
      <w:r>
        <w:rPr>
          <w:rFonts w:hint="eastAsia" w:ascii="宋体" w:hAnsi="宋体" w:eastAsia="宋体" w:cs="宋体"/>
          <w:sz w:val="24"/>
          <w:szCs w:val="24"/>
        </w:rPr>
        <w:t xml:space="preserve">不可抗力通知发出后的7日</w:t>
      </w:r>
      <w:bookmarkEnd w:id="109"/>
      <w:r>
        <w:rPr>
          <w:rFonts w:hint="eastAsia" w:ascii="宋体" w:hAnsi="宋体" w:eastAsia="宋体" w:cs="宋体"/>
          <w:sz w:val="24"/>
          <w:szCs w:val="24"/>
        </w:rPr>
        <w:t xml:space="preserve">内提供书面证明文件。</w:t>
      </w:r>
      <w:r/>
    </w:p>
    <w:p>
      <w:pPr>
        <w:ind w:left="0" w:firstLine="48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（三）</w:t>
      </w:r>
      <w:bookmarkStart w:id="110" w:name="_Hlk62832818"/>
      <w:r>
        <w:rPr>
          <w:rFonts w:hint="eastAsia" w:ascii="宋体" w:hAnsi="宋体" w:eastAsia="宋体" w:cs="宋体"/>
          <w:sz w:val="24"/>
          <w:szCs w:val="24"/>
        </w:rPr>
        <w:t xml:space="preserve">不可抗力事由消除后，合同继续履行或解除等相关事宜，由合同双方协商解决。</w:t>
      </w:r>
      <w:bookmarkEnd w:id="110"/>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十六、索赔</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（一）</w:t>
      </w:r>
      <w:bookmarkStart w:id="111" w:name="_Hlk62832834"/>
      <w:r>
        <w:rPr>
          <w:rFonts w:hint="eastAsia" w:ascii="宋体" w:hAnsi="宋体" w:eastAsia="宋体" w:cs="宋体"/>
          <w:sz w:val="24"/>
          <w:szCs w:val="24"/>
        </w:rPr>
        <w:t xml:space="preserve">乙方交付的本项目</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的质量、数量、规格、性能等经检验（检测）、验收不合格的，</w:t>
      </w:r>
      <w:bookmarkEnd w:id="111"/>
      <w:r>
        <w:rPr>
          <w:rFonts w:hint="eastAsia" w:ascii="宋体" w:hAnsi="宋体" w:eastAsia="宋体" w:cs="宋体"/>
          <w:sz w:val="24"/>
          <w:szCs w:val="24"/>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1、乙方同意退货，并按本合同规定的货币形式将货款退还给甲方，并且承担由此发生的一切直接、间接损失和费用，包括利息、银行手续费、运费、总包配合费、保险费、检验（检测）费、仓储费、装卸费以及为保护退回</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所需的其他必要费用。</w:t>
      </w:r>
      <w:r/>
    </w:p>
    <w:p>
      <w:pPr>
        <w:ind w:left="0"/>
        <w:spacing w:line="360" w:lineRule="auto"/>
        <w:widowControl w:val="off"/>
        <w:tabs>
          <w:tab w:val="left" w:pos="0"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2、根据</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的低劣程度、损坏程度以及甲方遭受损失的数额，经甲乙双方协商确定降低</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的价格。</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3、</w:t>
      </w:r>
      <w:bookmarkStart w:id="112" w:name="_Hlk62832935"/>
      <w:r>
        <w:rPr>
          <w:rFonts w:hint="eastAsia" w:ascii="宋体" w:hAnsi="宋体" w:eastAsia="宋体" w:cs="宋体"/>
          <w:sz w:val="24"/>
          <w:szCs w:val="24"/>
        </w:rPr>
        <w:t xml:space="preserve">乙方应在收到甲方书面索赔通知后7日内，</w:t>
      </w:r>
      <w:bookmarkEnd w:id="112"/>
      <w:r>
        <w:rPr>
          <w:rFonts w:hint="eastAsia" w:ascii="宋体" w:hAnsi="宋体" w:eastAsia="宋体" w:cs="宋体"/>
          <w:sz w:val="24"/>
          <w:szCs w:val="24"/>
        </w:rPr>
        <w:t xml:space="preserve">负责采用符合规格、质量和性能要求的新零件、部件或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来更换有缺陷的部分或修补缺陷部分，乙方应承担由此产生的一切费用和风险，给甲方造成损失的，应赔偿甲方一切直接、间接损失。同时，乙方应按本合同规定，相应延长修补或被更换部件或</w:t>
      </w:r>
      <w:r>
        <w:rPr>
          <w:rFonts w:hint="eastAsia" w:ascii="宋体" w:hAnsi="宋体" w:eastAsia="宋体" w:cs="宋体"/>
          <w:sz w:val="24"/>
          <w:szCs w:val="24"/>
          <w:lang w:eastAsia="zh-CN"/>
        </w:rPr>
        <w:t xml:space="preserve">设备</w:t>
      </w:r>
      <w:r>
        <w:rPr>
          <w:rFonts w:hint="eastAsia" w:ascii="宋体" w:hAnsi="宋体" w:eastAsia="宋体" w:cs="宋体"/>
          <w:sz w:val="24"/>
          <w:szCs w:val="24"/>
        </w:rPr>
        <w:t xml:space="preserve">的质量保证期。</w:t>
      </w:r>
      <w:r/>
    </w:p>
    <w:p>
      <w:pPr>
        <w:ind w:left="0"/>
        <w:spacing w:line="360" w:lineRule="auto"/>
        <w:widowControl w:val="off"/>
        <w:tabs>
          <w:tab w:val="left" w:pos="251"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sz w:val="24"/>
          <w:szCs w:val="24"/>
        </w:rPr>
        <w:outlineLvl w:val="0"/>
      </w:pPr>
      <w:r>
        <w:rPr>
          <w:rFonts w:hint="eastAsia" w:ascii="宋体" w:hAnsi="宋体" w:eastAsia="宋体" w:cs="宋体"/>
          <w:b/>
          <w:bCs/>
          <w:sz w:val="24"/>
          <w:szCs w:val="24"/>
        </w:rPr>
        <w:t xml:space="preserve">十七、合同的解除</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（二）有下列情形之一的，合同一方可以解除合同：</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4、有权解除合同的一方，应当在违约事实或不可抗力发生后30日内书面通知对方以主张解除本合同，本合同在书面通知到达对方时解除。</w:t>
      </w:r>
      <w:r/>
    </w:p>
    <w:p>
      <w:pPr>
        <w:ind w:left="0" w:firstLine="422"/>
        <w:spacing w:line="360" w:lineRule="auto"/>
        <w:widowControl w:val="off"/>
        <w:rPr>
          <w:rFonts w:hint="eastAsia" w:ascii="宋体" w:hAnsi="宋体" w:eastAsia="宋体" w:cs="宋体"/>
          <w:sz w:val="24"/>
          <w:szCs w:val="24"/>
        </w:rPr>
      </w:pPr>
      <w:r/>
      <w:bookmarkStart w:id="113" w:name="_Toc13543222"/>
      <w:r>
        <w:rPr>
          <w:rFonts w:hint="eastAsia" w:ascii="宋体" w:hAnsi="宋体" w:eastAsia="宋体" w:cs="宋体"/>
          <w:b/>
          <w:bCs/>
          <w:sz w:val="24"/>
          <w:szCs w:val="24"/>
        </w:rPr>
        <w:t xml:space="preserve">十八、合同的生效</w:t>
      </w:r>
      <w:bookmarkEnd w:id="113"/>
      <w:r/>
      <w:r/>
    </w:p>
    <w:p>
      <w:pPr>
        <w:ind w:left="0" w:firstLine="420"/>
        <w:spacing w:line="360" w:lineRule="auto"/>
        <w:widowControl w:val="off"/>
        <w:rPr>
          <w:rFonts w:hint="eastAsia" w:ascii="宋体" w:hAnsi="宋体" w:eastAsia="宋体" w:cs="宋体"/>
          <w:sz w:val="24"/>
          <w:szCs w:val="24"/>
        </w:rPr>
      </w:pPr>
      <w:r/>
      <w:bookmarkStart w:id="114" w:name="_Toc13543223"/>
      <w:r>
        <w:rPr>
          <w:rFonts w:hint="eastAsia" w:ascii="宋体" w:hAnsi="宋体" w:eastAsia="宋体" w:cs="宋体"/>
          <w:sz w:val="24"/>
          <w:szCs w:val="24"/>
        </w:rPr>
        <w:t xml:space="preserve">本合同经甲乙双方法定代表人或授权代表人签字加盖公章后即生效，生效后须进行网上备案。</w:t>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十九、争议解决</w:t>
      </w:r>
      <w:bookmarkEnd w:id="114"/>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甲乙双方因履行本合同或与本合同有关的一切事项发生争议的，应友好协商解决；协商不成的，任何一方均有权向甲方所在地人民法院起诉。</w:t>
      </w:r>
      <w:bookmarkStart w:id="115" w:name="_Hlk62833016"/>
      <w:r>
        <w:rPr>
          <w:rFonts w:hint="eastAsia" w:ascii="宋体" w:hAnsi="宋体" w:eastAsia="宋体" w:cs="宋体"/>
          <w:sz w:val="24"/>
          <w:szCs w:val="24"/>
        </w:rPr>
        <w:t xml:space="preserve">因乙方违约或乙方追究甲方违约但不成立，导致甲方为处理此纠纷产生的费用由乙方承担，该费用包括但不限于公证费、诉讼费、保全费、鉴定费、执行费、律师费、差旅费等。</w:t>
      </w:r>
      <w:bookmarkEnd w:id="115"/>
      <w:r/>
      <w:bookmarkStart w:id="116" w:name="_Toc13543224"/>
      <w:r/>
      <w:r/>
    </w:p>
    <w:p>
      <w:pPr>
        <w:ind w:left="0" w:firstLine="422"/>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二十、</w:t>
      </w:r>
      <w:bookmarkEnd w:id="116"/>
      <w:r>
        <w:rPr>
          <w:rFonts w:hint="eastAsia" w:ascii="宋体" w:hAnsi="宋体" w:eastAsia="宋体" w:cs="宋体"/>
          <w:b/>
          <w:bCs/>
          <w:sz w:val="24"/>
          <w:szCs w:val="24"/>
        </w:rPr>
        <w:t xml:space="preserve">其他附则</w:t>
      </w:r>
      <w:r/>
    </w:p>
    <w:p>
      <w:pPr>
        <w:ind w:left="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（一）合同份数：本合同一式【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】份，甲方执【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】份，乙方执【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】份，采购代理机构执【</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各份合同具有同等法律效力。</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（二）本合同未尽事宜应按《中华人民共和国民法典》《中华人民共和国政府采购法》</w:t>
      </w:r>
      <w:bookmarkStart w:id="117" w:name="_Hlk32483171"/>
      <w:r>
        <w:rPr>
          <w:rFonts w:hint="eastAsia" w:ascii="宋体" w:hAnsi="宋体" w:eastAsia="宋体" w:cs="宋体"/>
          <w:sz w:val="24"/>
          <w:szCs w:val="24"/>
        </w:rPr>
        <w:t xml:space="preserve">以及其它法律、法规</w:t>
      </w:r>
      <w:bookmarkEnd w:id="117"/>
      <w:r>
        <w:rPr>
          <w:rFonts w:hint="eastAsia" w:ascii="宋体" w:hAnsi="宋体" w:eastAsia="宋体" w:cs="宋体"/>
          <w:sz w:val="24"/>
          <w:szCs w:val="24"/>
        </w:rPr>
        <w:t xml:space="preserve">之规定解释，</w:t>
      </w:r>
      <w:r>
        <w:rPr>
          <w:rFonts w:hint="eastAsia" w:ascii="宋体" w:hAnsi="宋体" w:eastAsia="宋体" w:cs="宋体"/>
          <w:bCs/>
          <w:sz w:val="24"/>
          <w:szCs w:val="24"/>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（三）</w:t>
      </w:r>
      <w:bookmarkStart w:id="118" w:name="_Hlk62833081"/>
      <w:r>
        <w:rPr>
          <w:rFonts w:hint="eastAsia" w:ascii="宋体" w:hAnsi="宋体" w:eastAsia="宋体" w:cs="宋体"/>
          <w:bCs/>
          <w:sz w:val="24"/>
          <w:szCs w:val="24"/>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（以下无正文）</w:t>
      </w:r>
      <w:bookmarkEnd w:id="118"/>
      <w:r/>
      <w:r/>
    </w:p>
    <w:p>
      <w:pPr>
        <w:ind w:left="0" w:firstLine="480"/>
        <w:spacing w:line="360" w:lineRule="auto"/>
        <w:widowControl w:val="off"/>
        <w:rPr>
          <w:rFonts w:hint="eastAsia" w:ascii="宋体" w:hAnsi="宋体" w:eastAsia="宋体" w:cs="宋体"/>
          <w:bCs/>
          <w:sz w:val="24"/>
          <w:szCs w:val="24"/>
        </w:rPr>
      </w:pPr>
      <w:r/>
      <w:bookmarkStart w:id="119" w:name="_Hlk62833094"/>
      <w:r/>
      <w:r/>
    </w:p>
    <w:p>
      <w:pPr>
        <w:ind w:left="0" w:firstLine="48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甲方（盖章）：</w:t>
      </w:r>
      <w:r>
        <w:rPr>
          <w:rFonts w:hint="eastAsia" w:ascii="宋体" w:hAnsi="宋体" w:eastAsia="宋体" w:cs="宋体"/>
          <w:bCs/>
          <w:sz w:val="24"/>
          <w:szCs w:val="24"/>
          <w:lang w:eastAsia="zh-CN"/>
        </w:rPr>
        <w:t xml:space="preserve">苏州市交通运输应急指挥中心</w:t>
      </w:r>
      <w:r>
        <w:rPr>
          <w:rFonts w:hint="eastAsia" w:ascii="宋体" w:hAnsi="宋体" w:eastAsia="宋体" w:cs="宋体"/>
          <w:bCs/>
          <w:sz w:val="24"/>
          <w:szCs w:val="24"/>
        </w:rPr>
        <w:t xml:space="preserve">                  乙方（盖章）：</w:t>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法定（授权）代表人（签字）：                法定（授权）代表人（签字）：</w:t>
      </w:r>
      <w:r/>
    </w:p>
    <w:p>
      <w:pPr>
        <w:ind w:left="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日期：    年   月   日                     日期：    年   月   日</w:t>
      </w:r>
      <w:bookmarkEnd w:id="119"/>
      <w:r/>
      <w:r/>
    </w:p>
    <w:p>
      <w:pPr>
        <w:ind w:left="0"/>
        <w:spacing w:line="360" w:lineRule="auto"/>
        <w:widowControl w:val="off"/>
        <w:rPr>
          <w:rFonts w:hint="eastAsia" w:ascii="宋体" w:hAnsi="宋体" w:eastAsia="宋体" w:cs="宋体"/>
          <w:bCs/>
          <w:sz w:val="24"/>
          <w:szCs w:val="22"/>
        </w:rPr>
      </w:pPr>
      <w:r>
        <w:rPr>
          <w:rFonts w:hint="eastAsia" w:ascii="宋体" w:hAnsi="宋体" w:eastAsia="宋体" w:cs="宋体"/>
          <w:bCs/>
          <w:sz w:val="24"/>
          <w:szCs w:val="22"/>
        </w:rPr>
      </w:r>
      <w:r/>
    </w:p>
    <w:p>
      <w:pPr>
        <w:ind w:left="0"/>
        <w:jc w:val="left"/>
        <w:rPr>
          <w:rFonts w:hint="eastAsia" w:ascii="宋体" w:hAnsi="宋体" w:eastAsia="宋体" w:cs="宋体"/>
          <w:sz w:val="21"/>
          <w:szCs w:val="22"/>
        </w:rPr>
      </w:pPr>
      <w:r>
        <w:rPr>
          <w:rFonts w:hint="eastAsia" w:ascii="宋体" w:hAnsi="宋体" w:eastAsia="宋体" w:cs="宋体"/>
          <w:sz w:val="21"/>
          <w:szCs w:val="22"/>
        </w:rPr>
        <w:br w:type="page" w:clear="all"/>
      </w:r>
      <w:r/>
    </w:p>
    <w:p>
      <w:pPr>
        <w:ind w:left="0"/>
        <w:widowControl w:val="off"/>
        <w:rPr>
          <w:rFonts w:hint="eastAsia" w:ascii="宋体" w:hAnsi="宋体" w:eastAsia="宋体" w:cs="宋体"/>
          <w:sz w:val="21"/>
          <w:szCs w:val="22"/>
        </w:rPr>
      </w:pPr>
      <w:r>
        <w:rPr>
          <w:rFonts w:hint="eastAsia" w:ascii="宋体" w:hAnsi="宋体" w:eastAsia="宋体" w:cs="宋体"/>
          <w:sz w:val="21"/>
          <w:szCs w:val="22"/>
        </w:rPr>
      </w:r>
      <w:r/>
    </w:p>
    <w:p>
      <w:pPr>
        <w:pStyle w:val="857"/>
        <w:ind w:left="0" w:firstLine="0"/>
        <w:jc w:val="center"/>
        <w:rPr>
          <w:rFonts w:hint="eastAsia" w:ascii="宋体" w:hAnsi="宋体" w:eastAsia="宋体" w:cs="宋体"/>
          <w:b/>
          <w:sz w:val="44"/>
          <w:szCs w:val="22"/>
        </w:rPr>
      </w:pPr>
      <w:r>
        <w:rPr>
          <w:rFonts w:hint="eastAsia" w:ascii="宋体" w:hAnsi="宋体" w:eastAsia="宋体" w:cs="宋体"/>
          <w:b/>
          <w:sz w:val="44"/>
          <w:szCs w:val="22"/>
        </w:rPr>
        <w:t xml:space="preserve">第六章 </w:t>
      </w:r>
      <w:bookmarkStart w:id="120" w:name="评分要点"/>
      <w:r/>
      <w:bookmarkEnd w:id="120"/>
      <w:r>
        <w:rPr>
          <w:rFonts w:hint="eastAsia" w:ascii="宋体" w:hAnsi="宋体" w:eastAsia="宋体" w:cs="宋体"/>
          <w:b/>
          <w:sz w:val="44"/>
          <w:szCs w:val="22"/>
        </w:rPr>
        <w:t xml:space="preserve">评标办法和评分标准</w:t>
      </w:r>
      <w:bookmarkEnd w:id="100"/>
      <w:r/>
      <w:bookmarkEnd w:id="101"/>
      <w:r/>
      <w:bookmarkEnd w:id="102"/>
      <w:r/>
      <w:bookmarkEnd w:id="103"/>
      <w:r/>
      <w:r/>
    </w:p>
    <w:p>
      <w:pPr>
        <w:ind w:left="0" w:firstLine="422"/>
        <w:spacing w:line="360" w:lineRule="auto"/>
        <w:rPr>
          <w:rFonts w:hint="eastAsia" w:ascii="宋体" w:hAnsi="宋体" w:eastAsia="宋体" w:cs="宋体"/>
          <w:b/>
          <w:sz w:val="24"/>
          <w:szCs w:val="24"/>
        </w:rPr>
      </w:pPr>
      <w:r/>
      <w:bookmarkStart w:id="121" w:name="_Toc698"/>
      <w:r/>
      <w:bookmarkStart w:id="122" w:name="_Toc17476"/>
      <w:r/>
      <w:bookmarkStart w:id="123" w:name="_Toc16264"/>
      <w:r>
        <w:rPr>
          <w:rFonts w:hint="eastAsia" w:ascii="宋体" w:hAnsi="宋体" w:eastAsia="宋体" w:cs="宋体"/>
          <w:b/>
          <w:sz w:val="24"/>
          <w:szCs w:val="24"/>
        </w:rPr>
        <w:t xml:space="preserve">一、评标办法：</w:t>
      </w:r>
      <w:bookmarkEnd w:id="121"/>
      <w:r/>
      <w:bookmarkEnd w:id="122"/>
      <w:r/>
      <w:bookmarkEnd w:id="123"/>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1.评标办法采用</w:t>
      </w:r>
      <w:r>
        <w:rPr>
          <w:rFonts w:hint="eastAsia" w:ascii="宋体" w:hAnsi="宋体" w:eastAsia="宋体" w:cs="宋体"/>
          <w:b/>
          <w:sz w:val="24"/>
          <w:szCs w:val="24"/>
        </w:rPr>
        <w:t xml:space="preserve">综合评分法</w:t>
      </w:r>
      <w:r>
        <w:rPr>
          <w:rFonts w:hint="eastAsia" w:ascii="宋体" w:hAnsi="宋体" w:eastAsia="宋体" w:cs="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4"/>
          <w:szCs w:val="24"/>
        </w:rPr>
        <w:t xml:space="preserve">非单一产品采购项目，多家投标人提供的核心产品品牌相同的，按照此规定处理。</w:t>
      </w:r>
      <w:r/>
    </w:p>
    <w:p>
      <w:pPr>
        <w:ind w:left="0" w:firstLine="480"/>
        <w:keepLines w:val="0"/>
        <w:keepNext w:val="0"/>
        <w:pageBreakBefore w:val="0"/>
        <w:spacing w:line="360" w:lineRule="auto"/>
        <w:widowControl/>
        <w:tabs>
          <w:tab w:val="left" w:pos="567" w:leader="none"/>
        </w:tabs>
        <w:rPr>
          <w:rFonts w:hint="eastAsia" w:ascii="宋体" w:hAnsi="宋体" w:eastAsia="宋体" w:cs="宋体"/>
          <w:sz w:val="24"/>
          <w:szCs w:val="24"/>
        </w:rPr>
      </w:pPr>
      <w:r/>
      <w:bookmarkStart w:id="124" w:name="OLE_LINK14"/>
      <w:r/>
      <w:bookmarkStart w:id="125" w:name="OLE_LINK13"/>
      <w:r>
        <w:rPr>
          <w:rFonts w:hint="eastAsia" w:ascii="宋体" w:hAnsi="宋体" w:eastAsia="宋体" w:cs="宋体"/>
          <w:sz w:val="24"/>
          <w:szCs w:val="24"/>
        </w:rPr>
        <w:t xml:space="preserve">5.针对中小型企业、残疾人福利企业和监狱企业的评审：</w:t>
      </w:r>
      <w:bookmarkEnd w:id="124"/>
      <w:r/>
      <w:bookmarkEnd w:id="125"/>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5.1、根据财政部、工业和信息化部关于印发《政府采购促进中小企业发展管理办法》的通知规定：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
          <w:color w:val="000000"/>
          <w:sz w:val="24"/>
          <w:szCs w:val="24"/>
        </w:rPr>
        <w:t xml:space="preserve">本项目属于专门面向中小企业采购。</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（3）本项目采购标的对应的中小企业划分标准所属行业为：</w:t>
      </w:r>
      <w:r>
        <w:rPr>
          <w:rFonts w:hint="eastAsia" w:ascii="宋体" w:hAnsi="宋体" w:eastAsia="宋体" w:cs="宋体"/>
          <w:b/>
          <w:color w:val="000000"/>
          <w:sz w:val="24"/>
          <w:szCs w:val="24"/>
          <w:lang w:val="en-US" w:eastAsia="zh-CN"/>
        </w:rPr>
        <w:t xml:space="preserve">工业</w:t>
      </w:r>
      <w:r>
        <w:rPr>
          <w:rFonts w:hint="eastAsia" w:ascii="宋体" w:hAnsi="宋体" w:eastAsia="宋体"/>
          <w:b/>
          <w:bCs/>
          <w:color w:val="000000"/>
          <w:sz w:val="24"/>
          <w:szCs w:val="24"/>
        </w:rPr>
        <w:t xml:space="preserve">。</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（4）中小企业参加政府采购活动，应当出具《政府采购促进中小企业发展管理办法》附件规定《中小企业声明函》，否则不得享受相关中小企业扶持政策。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（6）若供应商提供的《中小企业声明函》为虚假声明则视同提供虚假材料，按政府采购相关规定处理并报请政府监管部门给予行政处罚。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5.2、残疾人福利性单位</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5.3、监狱企业</w:t>
      </w:r>
      <w:r/>
    </w:p>
    <w:p>
      <w:pPr>
        <w:ind w:left="0" w:firstLine="480"/>
        <w:keepLines w:val="0"/>
        <w:keepNext w:val="0"/>
        <w:pageBreakBefore w:val="0"/>
        <w:spacing w:line="360" w:lineRule="auto"/>
        <w:widowControl/>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left="0" w:firstLine="420"/>
        <w:spacing w:line="360" w:lineRule="auto"/>
        <w:rPr>
          <w:rFonts w:hint="eastAsia" w:ascii="宋体" w:hAnsi="宋体" w:eastAsia="宋体" w:cs="宋体"/>
          <w:sz w:val="24"/>
          <w:szCs w:val="24"/>
        </w:rPr>
      </w:pPr>
      <w:r/>
      <w:bookmarkStart w:id="126" w:name="OLE_LINK29"/>
      <w:r/>
      <w:bookmarkStart w:id="127" w:name="OLE_LINK30"/>
      <w:r>
        <w:rPr>
          <w:rFonts w:hint="eastAsia" w:ascii="宋体" w:hAnsi="宋体" w:eastAsia="宋体" w:cs="宋体"/>
          <w:sz w:val="24"/>
          <w:szCs w:val="24"/>
        </w:rPr>
        <w:t xml:space="preserve">6.采购本国产品的支持政策</w:t>
      </w:r>
      <w:r/>
    </w:p>
    <w:p>
      <w:pPr>
        <w:ind w:left="0" w:firstLine="420"/>
        <w:spacing w:line="360" w:lineRule="auto"/>
        <w:rPr>
          <w:rFonts w:hint="eastAsia" w:ascii="宋体" w:hAnsi="宋体" w:eastAsia="宋体" w:cs="宋体"/>
          <w:sz w:val="24"/>
          <w:szCs w:val="24"/>
        </w:rPr>
      </w:pPr>
      <w:r/>
      <w:bookmarkStart w:id="128" w:name="OLE_LINK17"/>
      <w:r/>
      <w:bookmarkStart w:id="129" w:name="OLE_LINK25"/>
      <w:r>
        <w:rPr>
          <w:rFonts w:hint="eastAsia" w:ascii="宋体" w:hAnsi="宋体" w:eastAsia="宋体" w:cs="宋体"/>
          <w:sz w:val="24"/>
          <w:szCs w:val="24"/>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4"/>
          <w:szCs w:val="24"/>
          <w:u w:val="single"/>
        </w:rPr>
        <w:t xml:space="preserve">20%</w:t>
      </w:r>
      <w:r>
        <w:rPr>
          <w:rFonts w:hint="eastAsia" w:ascii="宋体" w:hAnsi="宋体" w:eastAsia="宋体" w:cs="宋体"/>
          <w:sz w:val="24"/>
          <w:szCs w:val="24"/>
        </w:rPr>
        <w:t xml:space="preserve">的价格扣除，用扣除后的价格参与评审。</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sz w:val="24"/>
          <w:szCs w:val="24"/>
          <w:u w:val="single"/>
        </w:rPr>
        <w:t xml:space="preserve">20%</w:t>
      </w:r>
      <w:r>
        <w:rPr>
          <w:rFonts w:hint="eastAsia" w:ascii="宋体" w:hAnsi="宋体" w:eastAsia="宋体" w:cs="宋体"/>
          <w:sz w:val="24"/>
          <w:szCs w:val="24"/>
        </w:rPr>
        <w:t xml:space="preserve">的价格扣除，用扣除后的价格参与评审。</w:t>
      </w:r>
      <w:bookmarkStart w:id="130" w:name="OLE_LINK26"/>
      <w:r>
        <w:rPr>
          <w:rFonts w:hint="eastAsia" w:ascii="宋体" w:hAnsi="宋体" w:eastAsia="宋体" w:cs="宋体"/>
          <w:b/>
          <w:sz w:val="24"/>
          <w:szCs w:val="24"/>
        </w:rPr>
        <w:t xml:space="preserve">供应商未填写比例数值，或比例数值未达到</w:t>
      </w:r>
      <w:r>
        <w:rPr>
          <w:rFonts w:hint="eastAsia" w:ascii="宋体" w:hAnsi="宋体" w:eastAsia="宋体" w:cs="宋体"/>
          <w:b/>
          <w:sz w:val="24"/>
          <w:szCs w:val="24"/>
          <w:u w:val="single"/>
        </w:rPr>
        <w:t xml:space="preserve">80%</w:t>
      </w:r>
      <w:r>
        <w:rPr>
          <w:rFonts w:hint="eastAsia" w:ascii="宋体" w:hAnsi="宋体" w:eastAsia="宋体" w:cs="宋体"/>
          <w:b/>
          <w:sz w:val="24"/>
          <w:szCs w:val="24"/>
        </w:rPr>
        <w:t xml:space="preserve">的，将不享受本国产品价格评审优惠。</w:t>
      </w:r>
      <w:bookmarkEnd w:id="128"/>
      <w:r/>
      <w:bookmarkEnd w:id="129"/>
      <w:r/>
      <w:bookmarkEnd w:id="130"/>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left="0"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②供应商提供虚假《声明函》、虚假证明文件谋取中标、成交的，依照《中华人民共和国政府采购法》等法律法规规定追究相应责任。</w:t>
      </w:r>
      <w:bookmarkEnd w:id="126"/>
      <w:r/>
      <w:bookmarkEnd w:id="127"/>
      <w:r/>
      <w:r/>
    </w:p>
    <w:p>
      <w:pPr>
        <w:ind w:left="0"/>
        <w:rPr>
          <w:rFonts w:hint="eastAsia" w:ascii="宋体" w:hAnsi="宋体" w:eastAsia="宋体" w:cs="宋体"/>
          <w:sz w:val="24"/>
          <w:szCs w:val="24"/>
        </w:rPr>
      </w:pPr>
      <w:r>
        <w:rPr>
          <w:rFonts w:hint="eastAsia" w:ascii="宋体" w:hAnsi="宋体" w:eastAsia="宋体" w:cs="宋体"/>
          <w:sz w:val="24"/>
          <w:szCs w:val="24"/>
        </w:rPr>
      </w:r>
      <w:r/>
    </w:p>
    <w:p>
      <w:pPr>
        <w:ind w:left="0"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二、评分标准：</w:t>
      </w:r>
      <w:r/>
    </w:p>
    <w:tbl>
      <w:tblPr>
        <w:tblStyle w:val="867"/>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评审类别</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评审项</w:t>
            </w:r>
            <w:r/>
          </w:p>
        </w:tc>
        <w:tc>
          <w:tcPr>
            <w:tcW w:w="46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评审规则</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分值（分）</w:t>
            </w:r>
            <w:r/>
          </w:p>
        </w:tc>
      </w:tr>
      <w:tr>
        <w:trPr>
          <w:trHeight w:val="113"/>
        </w:trPr>
        <w:tc>
          <w:tcPr>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价格部分</w:t>
            </w:r>
            <w:r/>
          </w:p>
          <w:p>
            <w:pPr>
              <w:ind w:left="0" w:right="0"/>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30</w:t>
            </w:r>
            <w:r>
              <w:rPr>
                <w:rFonts w:hint="eastAsia" w:ascii="宋体" w:hAnsi="宋体" w:eastAsia="宋体" w:cs="宋体"/>
                <w:b/>
                <w:sz w:val="24"/>
                <w:szCs w:val="24"/>
              </w:rPr>
              <w:t xml:space="preserve">分）</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sz w:val="24"/>
                <w:szCs w:val="24"/>
              </w:rPr>
              <w:suppressLineNumbers w:val="0"/>
            </w:pPr>
            <w:r>
              <w:rPr>
                <w:rFonts w:hint="eastAsia" w:ascii="宋体" w:hAnsi="宋体" w:eastAsia="宋体" w:cs="宋体"/>
                <w:bCs/>
                <w:sz w:val="24"/>
                <w:szCs w:val="24"/>
              </w:rPr>
              <w:t xml:space="preserve">投标报价</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第一步：投标报价低于或等于预算价格（或最高限价）的，为有效投标报价。超预算（或最高限价）的投标报价为无效投标报价。</w:t>
            </w:r>
            <w:r/>
          </w:p>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right="0"/>
              <w:keepLines w:val="0"/>
              <w:keepNext w:val="0"/>
              <w:spacing w:before="0" w:beforeAutospacing="0" w:after="0" w:afterAutospacing="0" w:line="360" w:lineRule="auto"/>
              <w:widowControl/>
              <w:rPr>
                <w:rFonts w:hint="eastAsia" w:ascii="宋体" w:hAnsi="宋体" w:eastAsia="宋体" w:cs="宋体"/>
                <w:b/>
                <w:sz w:val="24"/>
                <w:szCs w:val="24"/>
                <w:lang w:bidi="ar"/>
              </w:rPr>
              <w:suppressLineNumbers w:val="0"/>
            </w:pPr>
            <w:r>
              <w:rPr>
                <w:rFonts w:hint="eastAsia" w:ascii="宋体" w:hAnsi="宋体" w:eastAsia="宋体" w:cs="宋体"/>
                <w:sz w:val="24"/>
                <w:szCs w:val="24"/>
                <w:lang w:bidi="ar"/>
              </w:rPr>
              <w:t xml:space="preserve">投标报价得分＝（评标基准价/投标报价）×</w:t>
            </w:r>
            <w:r>
              <w:rPr>
                <w:rFonts w:hint="eastAsia" w:ascii="宋体" w:hAnsi="宋体" w:eastAsia="宋体" w:cs="宋体"/>
                <w:sz w:val="24"/>
                <w:szCs w:val="24"/>
                <w:lang w:val="en-US" w:eastAsia="zh-CN" w:bidi="ar"/>
              </w:rPr>
              <w:t xml:space="preserve">30%</w:t>
            </w:r>
            <w:r>
              <w:rPr>
                <w:rFonts w:hint="eastAsia" w:ascii="宋体" w:hAnsi="宋体" w:eastAsia="宋体" w:cs="宋体"/>
                <w:sz w:val="24"/>
                <w:szCs w:val="24"/>
                <w:lang w:bidi="ar"/>
              </w:rPr>
              <w:t xml:space="preserve">×100</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bidi="ar"/>
              </w:rPr>
              <w:t xml:space="preserve">30</w:t>
            </w:r>
            <w:r/>
          </w:p>
        </w:tc>
      </w:tr>
      <w:tr>
        <w:trPr>
          <w:trHeight w:val="113"/>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sz w:val="24"/>
                <w:szCs w:val="24"/>
              </w:rPr>
              <w:suppressLineNumbers w:val="0"/>
            </w:pPr>
            <w:r>
              <w:rPr>
                <w:rFonts w:hint="eastAsia" w:ascii="宋体" w:hAnsi="宋体" w:eastAsia="宋体" w:cs="宋体"/>
                <w:b/>
                <w:sz w:val="24"/>
                <w:szCs w:val="24"/>
              </w:rPr>
              <w:t xml:space="preserve">技术及商务部分</w:t>
            </w:r>
            <w:r/>
          </w:p>
          <w:p>
            <w:pPr>
              <w:ind w:left="0" w:right="0"/>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0分）</w:t>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产品功能、性能、配置要求</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bidi="ar"/>
              </w:rPr>
              <w:t xml:space="preserve">所投设备的技术参数满足或高于招标文件要求的得</w:t>
            </w:r>
            <w:r>
              <w:rPr>
                <w:rFonts w:hint="eastAsia" w:ascii="宋体" w:hAnsi="宋体" w:eastAsia="宋体" w:cs="宋体"/>
                <w:sz w:val="24"/>
                <w:szCs w:val="24"/>
                <w:lang w:val="en-US" w:eastAsia="zh-CN" w:bidi="ar"/>
              </w:rPr>
              <w:t xml:space="preserve">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打“▲”的为重要技术指标，出现一个负偏离扣1分，其他技术指标出现负偏离，每一个扣0.5分。扣完为止。标注“▲”的参数需按照招标文件要求提供相应检测报告证明材料，其余技术参数可提供投标单位盖章的技术参数响应及偏离表。</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p>
        </w:tc>
      </w:tr>
      <w:tr>
        <w:trPr>
          <w:trHeight w:val="113"/>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类似业绩</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eastAsia="zh-CN" w:bidi="ar"/>
              </w:rPr>
              <w:suppressLineNumbers w:val="0"/>
            </w:pPr>
            <w:r>
              <w:rPr>
                <w:rFonts w:hint="eastAsia" w:ascii="宋体" w:hAnsi="宋体" w:eastAsia="宋体" w:cs="宋体"/>
                <w:sz w:val="24"/>
                <w:szCs w:val="24"/>
                <w:lang w:bidi="ar"/>
              </w:rPr>
              <w:t xml:space="preserve">投标人自2023年1月1日</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以合同签订日期为准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以来，具有与本项目类似业绩</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每提供一份得</w:t>
            </w:r>
            <w:r>
              <w:rPr>
                <w:rFonts w:hint="eastAsia" w:ascii="宋体" w:hAnsi="宋体" w:eastAsia="宋体" w:cs="宋体"/>
                <w:sz w:val="24"/>
                <w:szCs w:val="24"/>
                <w:lang w:val="en-US" w:eastAsia="zh-CN" w:bidi="ar"/>
              </w:rPr>
              <w:t xml:space="preserve">0.5</w:t>
            </w:r>
            <w:r>
              <w:rPr>
                <w:rFonts w:hint="eastAsia" w:ascii="宋体" w:hAnsi="宋体" w:eastAsia="宋体" w:cs="宋体"/>
                <w:sz w:val="24"/>
                <w:szCs w:val="24"/>
                <w:lang w:bidi="ar"/>
              </w:rPr>
              <w:t xml:space="preserve">分，最高</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分。日期以合同签订日期为准。合同内容完整，签字盖章齐全且清晰可见</w:t>
            </w:r>
            <w:r>
              <w:rPr>
                <w:rFonts w:hint="eastAsia" w:ascii="宋体" w:hAnsi="宋体" w:eastAsia="宋体" w:cs="宋体"/>
                <w:sz w:val="24"/>
                <w:szCs w:val="24"/>
                <w:lang w:eastAsia="zh-CN" w:bidi="ar"/>
              </w:rPr>
              <w:t xml:space="preserve">。</w:t>
            </w:r>
            <w:r/>
          </w:p>
          <w:p>
            <w:pPr>
              <w:ind w:left="0" w:right="0"/>
              <w:keepLines w:val="0"/>
              <w:keepNext w:val="0"/>
              <w:spacing w:before="0" w:beforeAutospacing="0" w:after="0" w:afterAutospacing="0" w:line="360" w:lineRule="auto"/>
              <w:widowControl w:val="off"/>
              <w:rPr>
                <w:rFonts w:hint="eastAsia" w:ascii="宋体" w:hAnsi="宋体" w:eastAsia="宋体" w:cs="宋体"/>
                <w:sz w:val="24"/>
                <w:szCs w:val="24"/>
                <w:lang w:bidi="ar"/>
              </w:rPr>
              <w:suppressLineNumbers w:val="0"/>
            </w:pPr>
            <w:r>
              <w:rPr>
                <w:rFonts w:hint="eastAsia" w:ascii="宋体" w:hAnsi="宋体" w:eastAsia="宋体" w:cs="宋体"/>
                <w:sz w:val="24"/>
                <w:szCs w:val="24"/>
                <w:lang w:bidi="ar"/>
              </w:rPr>
              <w:t xml:space="preserve">投标文件中提供业绩合同扫描件和验收</w:t>
            </w:r>
            <w:r>
              <w:rPr>
                <w:rFonts w:hint="eastAsia" w:ascii="宋体" w:hAnsi="宋体" w:eastAsia="宋体" w:cs="宋体"/>
                <w:sz w:val="24"/>
                <w:szCs w:val="24"/>
                <w:lang w:val="en-US" w:eastAsia="zh-CN" w:bidi="ar"/>
              </w:rPr>
              <w:t xml:space="preserve">合格</w:t>
            </w:r>
            <w:r>
              <w:rPr>
                <w:rFonts w:hint="eastAsia" w:ascii="宋体" w:hAnsi="宋体" w:eastAsia="宋体" w:cs="宋体"/>
                <w:sz w:val="24"/>
                <w:szCs w:val="24"/>
                <w:lang w:bidi="ar"/>
              </w:rPr>
              <w:t xml:space="preserve">证明（验收报告）扫描件（</w:t>
            </w:r>
            <w:r>
              <w:rPr>
                <w:rFonts w:hint="eastAsia" w:ascii="宋体" w:hAnsi="宋体" w:eastAsia="宋体" w:cs="宋体"/>
                <w:sz w:val="24"/>
                <w:szCs w:val="24"/>
                <w:lang w:val="en-US" w:eastAsia="zh-CN" w:bidi="ar"/>
              </w:rPr>
              <w:t xml:space="preserve">两</w:t>
            </w:r>
            <w:r>
              <w:rPr>
                <w:rFonts w:hint="eastAsia" w:ascii="宋体" w:hAnsi="宋体" w:eastAsia="宋体" w:cs="宋体"/>
                <w:sz w:val="24"/>
                <w:szCs w:val="24"/>
                <w:lang w:bidi="ar"/>
              </w:rPr>
              <w:t xml:space="preserve">者须同时具备，否则不得分，内容不清晰或未提供的不得分）。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3</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bidi="ar"/>
              </w:rPr>
              <w:t xml:space="preserve">指挥中心改造的设计方案</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b w:val="0"/>
                <w:bCs/>
                <w:sz w:val="24"/>
                <w:szCs w:val="24"/>
                <w:lang w:bidi="ar"/>
              </w:rPr>
              <w:suppressLineNumbers w:val="0"/>
            </w:pPr>
            <w:r>
              <w:rPr>
                <w:rFonts w:hint="eastAsia" w:ascii="宋体" w:hAnsi="宋体" w:eastAsia="宋体" w:cs="宋体"/>
                <w:b w:val="0"/>
                <w:bCs/>
                <w:sz w:val="24"/>
                <w:szCs w:val="24"/>
                <w:lang w:bidi="ar"/>
              </w:rPr>
              <w:t xml:space="preserve">根据投标人所提供的指挥中心改造的设计方案（平面布置图及效果图等）综合进行评审： 深化设计详尽且规范、美观，切实符合用户实际需求的得</w:t>
            </w:r>
            <w:r>
              <w:rPr>
                <w:rFonts w:hint="eastAsia" w:ascii="宋体" w:hAnsi="宋体" w:eastAsia="宋体" w:cs="宋体"/>
                <w:b w:val="0"/>
                <w:bCs/>
                <w:sz w:val="24"/>
                <w:szCs w:val="24"/>
                <w:lang w:val="en-US" w:eastAsia="zh-CN" w:bidi="ar"/>
              </w:rPr>
              <w:t xml:space="preserve">10</w:t>
            </w:r>
            <w:r>
              <w:rPr>
                <w:rFonts w:hint="eastAsia" w:ascii="宋体" w:hAnsi="宋体" w:eastAsia="宋体" w:cs="宋体"/>
                <w:b w:val="0"/>
                <w:bCs/>
                <w:sz w:val="24"/>
                <w:szCs w:val="24"/>
                <w:lang w:bidi="ar"/>
              </w:rPr>
              <w:t xml:space="preserve"> 分； 深化设计较规范、美观、基本符合现场实际情况无遗漏的得</w:t>
            </w:r>
            <w:r>
              <w:rPr>
                <w:rFonts w:hint="eastAsia" w:ascii="宋体" w:hAnsi="宋体" w:eastAsia="宋体" w:cs="宋体"/>
                <w:b w:val="0"/>
                <w:bCs/>
                <w:sz w:val="24"/>
                <w:szCs w:val="24"/>
                <w:lang w:val="en-US" w:eastAsia="zh-CN" w:bidi="ar"/>
              </w:rPr>
              <w:t xml:space="preserve">6</w:t>
            </w:r>
            <w:r>
              <w:rPr>
                <w:rFonts w:hint="eastAsia" w:ascii="宋体" w:hAnsi="宋体" w:eastAsia="宋体" w:cs="宋体"/>
                <w:b w:val="0"/>
                <w:bCs/>
                <w:sz w:val="24"/>
                <w:szCs w:val="24"/>
                <w:lang w:bidi="ar"/>
              </w:rPr>
              <w:t xml:space="preserve"> 分； 深化设计基本规范的得 </w:t>
            </w:r>
            <w:r>
              <w:rPr>
                <w:rFonts w:hint="eastAsia" w:ascii="宋体" w:hAnsi="宋体" w:eastAsia="宋体" w:cs="宋体"/>
                <w:b w:val="0"/>
                <w:bCs/>
                <w:sz w:val="24"/>
                <w:szCs w:val="24"/>
                <w:lang w:val="en-US" w:eastAsia="zh-CN" w:bidi="ar"/>
              </w:rPr>
              <w:t xml:space="preserve">2</w:t>
            </w:r>
            <w:r>
              <w:rPr>
                <w:rFonts w:hint="eastAsia" w:ascii="宋体" w:hAnsi="宋体" w:eastAsia="宋体" w:cs="宋体"/>
                <w:b w:val="0"/>
                <w:bCs/>
                <w:sz w:val="24"/>
                <w:szCs w:val="24"/>
                <w:lang w:bidi="ar"/>
              </w:rPr>
              <w:t xml:space="preserve"> 分。缺项或未提供不得分。 </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rPr>
              <w:suppressLineNumbers w:val="0"/>
            </w:pPr>
            <w:r>
              <w:rPr>
                <w:rFonts w:hint="eastAsia" w:ascii="宋体" w:hAnsi="宋体" w:eastAsia="宋体" w:cs="宋体"/>
                <w:b w:val="0"/>
                <w:bCs/>
                <w:sz w:val="24"/>
                <w:szCs w:val="24"/>
                <w:lang w:val="en-US" w:eastAsia="zh-CN"/>
              </w:rPr>
              <w:t xml:space="preserve">10</w:t>
            </w:r>
            <w:r/>
          </w:p>
        </w:tc>
      </w:tr>
      <w:tr>
        <w:trPr>
          <w:trHeight w:val="78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b w:val="0"/>
                <w:bCs/>
                <w:sz w:val="24"/>
                <w:szCs w:val="24"/>
                <w:lang w:bidi="ar"/>
              </w:rPr>
              <w:t xml:space="preserve">核心产品控制台的设计</w:t>
            </w:r>
            <w:r>
              <w:rPr>
                <w:rFonts w:hint="eastAsia" w:ascii="宋体" w:hAnsi="宋体" w:eastAsia="宋体" w:cs="宋体"/>
                <w:b w:val="0"/>
                <w:bCs/>
                <w:sz w:val="24"/>
                <w:szCs w:val="24"/>
                <w:lang w:val="en-US" w:eastAsia="zh-CN" w:bidi="ar"/>
              </w:rPr>
              <w:t xml:space="preserve">图纸比较</w:t>
            </w:r>
            <w:r/>
          </w:p>
        </w:tc>
        <w:tc>
          <w:tcPr>
            <w:tcW w:w="4678" w:type="dxa"/>
            <w:vAlign w:val="center"/>
            <w:textDirection w:val="lrTb"/>
            <w:noWrap w:val="false"/>
          </w:tcPr>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lang w:bidi="ar"/>
              </w:rPr>
              <w:suppressLineNumbers w:val="0"/>
            </w:pPr>
            <w:r>
              <w:rPr>
                <w:rFonts w:hint="eastAsia" w:ascii="宋体" w:hAnsi="宋体" w:eastAsia="宋体" w:cs="宋体"/>
                <w:b w:val="0"/>
                <w:bCs/>
                <w:sz w:val="24"/>
                <w:szCs w:val="24"/>
                <w:lang w:bidi="ar"/>
              </w:rPr>
              <w:t xml:space="preserve">根据投标人所提供核心产品控制台的设计图纸（轮廓线条图、三视图、部件分解图、用料说明、彩图及实物图</w:t>
            </w:r>
            <w:r>
              <w:rPr>
                <w:rFonts w:hint="eastAsia" w:ascii="宋体" w:hAnsi="宋体" w:cs="宋体"/>
                <w:b w:val="0"/>
                <w:bCs/>
                <w:sz w:val="24"/>
                <w:szCs w:val="24"/>
                <w:lang w:val="en-US" w:eastAsia="zh-CN" w:bidi="ar"/>
              </w:rPr>
              <w:t xml:space="preserve">等</w:t>
            </w:r>
            <w:r>
              <w:rPr>
                <w:rFonts w:hint="eastAsia" w:ascii="宋体" w:hAnsi="宋体" w:eastAsia="宋体" w:cs="宋体"/>
                <w:b w:val="0"/>
                <w:bCs/>
                <w:sz w:val="24"/>
                <w:szCs w:val="24"/>
                <w:lang w:bidi="ar"/>
              </w:rPr>
              <w:t xml:space="preserve">）综合进行评审：外观设计造型优美、内部结构科学、颜色搭配合理的得</w:t>
            </w:r>
            <w:r>
              <w:rPr>
                <w:rFonts w:hint="eastAsia" w:ascii="宋体" w:hAnsi="宋体" w:eastAsia="宋体" w:cs="宋体"/>
                <w:b w:val="0"/>
                <w:bCs/>
                <w:sz w:val="24"/>
                <w:szCs w:val="24"/>
                <w:lang w:val="en-US" w:eastAsia="zh-CN" w:bidi="ar"/>
              </w:rPr>
              <w:t xml:space="preserve">10</w:t>
            </w:r>
            <w:r>
              <w:rPr>
                <w:rFonts w:hint="eastAsia" w:ascii="宋体" w:hAnsi="宋体" w:eastAsia="宋体" w:cs="宋体"/>
                <w:b w:val="0"/>
                <w:bCs/>
                <w:sz w:val="24"/>
                <w:szCs w:val="24"/>
                <w:lang w:bidi="ar"/>
              </w:rPr>
              <w:t xml:space="preserve"> 分，外观设计造型合理、内部结构较科学、颜色搭配一般的得</w:t>
            </w:r>
            <w:r>
              <w:rPr>
                <w:rFonts w:hint="eastAsia" w:ascii="宋体" w:hAnsi="宋体" w:eastAsia="宋体" w:cs="宋体"/>
                <w:b w:val="0"/>
                <w:bCs/>
                <w:sz w:val="24"/>
                <w:szCs w:val="24"/>
                <w:lang w:val="en-US" w:eastAsia="zh-CN" w:bidi="ar"/>
              </w:rPr>
              <w:t xml:space="preserve">6</w:t>
            </w:r>
            <w:r>
              <w:rPr>
                <w:rFonts w:hint="eastAsia" w:ascii="宋体" w:hAnsi="宋体" w:eastAsia="宋体" w:cs="宋体"/>
                <w:b w:val="0"/>
                <w:bCs/>
                <w:sz w:val="24"/>
                <w:szCs w:val="24"/>
                <w:lang w:bidi="ar"/>
              </w:rPr>
              <w:t xml:space="preserve"> 分，外观设计普通、内部结构基本满足项目需求、颜色搭配较差的得 </w:t>
            </w:r>
            <w:r>
              <w:rPr>
                <w:rFonts w:hint="eastAsia" w:ascii="宋体" w:hAnsi="宋体" w:eastAsia="宋体" w:cs="宋体"/>
                <w:b w:val="0"/>
                <w:bCs/>
                <w:sz w:val="24"/>
                <w:szCs w:val="24"/>
                <w:lang w:val="en-US" w:eastAsia="zh-CN" w:bidi="ar"/>
              </w:rPr>
              <w:t xml:space="preserve">2</w:t>
            </w:r>
            <w:r>
              <w:rPr>
                <w:rFonts w:hint="eastAsia" w:ascii="宋体" w:hAnsi="宋体" w:eastAsia="宋体" w:cs="宋体"/>
                <w:b w:val="0"/>
                <w:bCs/>
                <w:sz w:val="24"/>
                <w:szCs w:val="24"/>
                <w:lang w:bidi="ar"/>
              </w:rPr>
              <w:t xml:space="preserve">分，缺项或未提供不得分。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r>
      <w:tr>
        <w:trPr>
          <w:trHeight w:val="328"/>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项目实施方案</w:t>
            </w:r>
            <w:r/>
          </w:p>
        </w:tc>
        <w:tc>
          <w:tcPr>
            <w:tcW w:w="4678" w:type="dxa"/>
            <w:vAlign w:val="center"/>
            <w:textDirection w:val="lrTb"/>
            <w:noWrap w:val="false"/>
          </w:tcPr>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的项目实施方案（实施方案应包括组织实施保证措施、时间进度计划、质量管控措施、协调配合能力、应急保证措施、配送和安装方案等几方面内容）进行评审。</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（1）方案内容清晰、完整的，措施合理、可行，针对性强，整体方案体现出针对本项目的特殊优化，突出对本项目的理解，得</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（2）方案较清晰、完整，措施可行性、具备部分针对本项目的优化，得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（3）方案基本全面、清晰，措施基本可行，缺乏对本项目的针对性的，得2分；未提供不得分。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11</w:t>
            </w:r>
            <w:r/>
          </w:p>
        </w:tc>
      </w:tr>
      <w:tr>
        <w:trPr>
          <w:trHeight w:val="274"/>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售后服务方案</w:t>
            </w:r>
            <w:r/>
          </w:p>
        </w:tc>
        <w:tc>
          <w:tcPr>
            <w:tcW w:w="4678" w:type="dxa"/>
            <w:vAlign w:val="center"/>
            <w:textDirection w:val="lrTb"/>
            <w:noWrap w:val="false"/>
          </w:tcPr>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提供的售后服务方案，包括售后服务体系、服务内容、故障解决方案、售后服务承诺（质保期内和质保期外）、售后服务团队规模、故障维修响应时间、到场时间、备件到位时间、配件储备情况以及其他优惠的售后服务措施等综合情况进行</w:t>
            </w:r>
            <w:r>
              <w:rPr>
                <w:rFonts w:hint="eastAsia" w:ascii="宋体" w:hAnsi="宋体" w:eastAsia="宋体" w:cs="宋体"/>
                <w:sz w:val="24"/>
                <w:szCs w:val="24"/>
                <w:lang w:val="en-US" w:eastAsia="zh-CN"/>
              </w:rPr>
              <w:t xml:space="preserve">评审</w:t>
            </w:r>
            <w:r>
              <w:rPr>
                <w:rFonts w:hint="eastAsia" w:ascii="宋体" w:hAnsi="宋体" w:eastAsia="宋体" w:cs="宋体"/>
                <w:sz w:val="24"/>
                <w:szCs w:val="24"/>
              </w:rPr>
              <w:t xml:space="preserve">： </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具备完善的服务体系，故障解决方案可行性强、专门面向本项目，配备技术优秀的专业技术人员和专线售后保障服务电话，得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具备较为完善的服务体系，故障解决方案具备一定实用性、可靠的专业技术人员保障和服务电话的，得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具备基本完善的服务体系，故障解决方案具备一定的缺失性、售后技术人员和售后服务电话出现缺失的，得2分；未提供不得分。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r>
      <w:tr>
        <w:trPr>
          <w:trHeight w:val="292"/>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培训方案</w:t>
            </w:r>
            <w:r/>
          </w:p>
        </w:tc>
        <w:tc>
          <w:tcPr>
            <w:tcW w:w="4678" w:type="dxa"/>
            <w:vAlign w:val="center"/>
            <w:textDirection w:val="lrTb"/>
            <w:noWrap w:val="false"/>
          </w:tcPr>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投标人提供详尽的培训方案，确保使用人员能够独立操作软硬件，内容包括但不限于:培训人数、培训时间、培训内容、培训方式。</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方案科学合理，针对性和合理性强的，得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方案较为科学合理，针对性和合理性较强的，得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883"/>
              <w:ind w:left="0" w:right="0" w:firstLine="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方案基本满足项目需求的，得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分；未提供方案不得分。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r>
      <w:tr>
        <w:trPr>
          <w:trHeight w:val="977"/>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rPr>
            </w:r>
            <w:r/>
          </w:p>
        </w:tc>
        <w:tc>
          <w:tcPr>
            <w:tcW w:w="14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bCs/>
                <w:sz w:val="24"/>
                <w:szCs w:val="24"/>
                <w:lang w:val="en-US" w:eastAsia="zh-CN"/>
              </w:rPr>
              <w:suppressLineNumbers w:val="0"/>
            </w:pPr>
            <w:r>
              <w:rPr>
                <w:rFonts w:hint="default" w:ascii="宋体" w:hAnsi="宋体" w:eastAsia="宋体" w:cs="宋体"/>
                <w:bCs/>
                <w:sz w:val="24"/>
                <w:szCs w:val="24"/>
                <w:lang w:val="en-US" w:eastAsia="zh-CN"/>
              </w:rPr>
              <w:t xml:space="preserve">系统割接方案</w:t>
            </w:r>
            <w:r/>
          </w:p>
        </w:tc>
        <w:tc>
          <w:tcPr>
            <w:tcW w:w="4678" w:type="dxa"/>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eastAsia="宋体" w:cs="宋体"/>
                <w:b/>
                <w:sz w:val="24"/>
                <w:szCs w:val="24"/>
                <w:lang w:val="zh-CN" w:bidi="zh-CN"/>
              </w:rPr>
              <w:suppressLineNumbers w:val="0"/>
            </w:pPr>
            <w:r>
              <w:rPr>
                <w:rFonts w:hint="eastAsia" w:ascii="宋体" w:hAnsi="宋体" w:eastAsia="宋体" w:cs="宋体"/>
                <w:b w:val="0"/>
                <w:bCs/>
                <w:sz w:val="24"/>
                <w:szCs w:val="24"/>
                <w:lang w:val="zh-CN" w:bidi="zh-CN"/>
              </w:rPr>
              <w:t xml:space="preserve">方案完整覆盖现状摸排、风险管控、分系统割接、数据保障、应急回退、错峰施工、分段切换贴合交通业务场景，无业务中断风险、落地性极强得</w:t>
            </w:r>
            <w:r>
              <w:rPr>
                <w:rFonts w:hint="eastAsia" w:ascii="宋体" w:hAnsi="宋体" w:cs="宋体"/>
                <w:b w:val="0"/>
                <w:bCs/>
                <w:sz w:val="24"/>
                <w:szCs w:val="24"/>
                <w:lang w:val="en-US" w:bidi="zh-CN"/>
              </w:rPr>
              <w:t xml:space="preserve">7</w:t>
            </w:r>
            <w:r>
              <w:rPr>
                <w:rFonts w:hint="eastAsia" w:ascii="宋体" w:hAnsi="宋体" w:eastAsia="宋体" w:cs="宋体"/>
                <w:b w:val="0"/>
                <w:bCs/>
                <w:sz w:val="24"/>
                <w:szCs w:val="24"/>
                <w:lang w:val="zh-CN" w:bidi="zh-CN"/>
              </w:rPr>
              <w:t xml:space="preserve">分；方案常规、保障措施简单，仅基础满足要求得3分；</w:t>
            </w:r>
            <w:r>
              <w:rPr>
                <w:rFonts w:hint="eastAsia" w:ascii="宋体" w:hAnsi="宋体" w:cs="宋体"/>
                <w:b w:val="0"/>
                <w:bCs/>
                <w:sz w:val="24"/>
                <w:szCs w:val="24"/>
                <w:lang w:val="en-US" w:bidi="zh-CN"/>
              </w:rPr>
              <w:t xml:space="preserve">方案较差，</w:t>
            </w:r>
            <w:r>
              <w:rPr>
                <w:rFonts w:hint="eastAsia" w:ascii="宋体" w:hAnsi="宋体" w:eastAsia="宋体" w:cs="宋体"/>
                <w:b w:val="0"/>
                <w:bCs/>
                <w:sz w:val="24"/>
                <w:szCs w:val="24"/>
                <w:lang w:val="zh-CN" w:bidi="zh-CN"/>
              </w:rPr>
              <w:t xml:space="preserve">不间断保障措施</w:t>
            </w:r>
            <w:r>
              <w:rPr>
                <w:rFonts w:hint="eastAsia" w:ascii="宋体" w:hAnsi="宋体" w:cs="宋体"/>
                <w:b w:val="0"/>
                <w:bCs/>
                <w:sz w:val="24"/>
                <w:szCs w:val="24"/>
                <w:lang w:val="en-US" w:bidi="zh-CN"/>
              </w:rPr>
              <w:t xml:space="preserve">落地性差得1分。未提供方案</w:t>
            </w:r>
            <w:r>
              <w:rPr>
                <w:rFonts w:hint="eastAsia" w:ascii="宋体" w:hAnsi="宋体" w:eastAsia="宋体" w:cs="宋体"/>
                <w:b w:val="0"/>
                <w:bCs/>
                <w:sz w:val="24"/>
                <w:szCs w:val="24"/>
                <w:lang w:val="zh-CN" w:bidi="zh-CN"/>
              </w:rPr>
              <w:t xml:space="preserve">不得分。</w:t>
            </w:r>
            <w:r/>
          </w:p>
        </w:tc>
        <w:tc>
          <w:tcPr>
            <w:tcW w:w="241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4"/>
                <w:szCs w:val="24"/>
                <w:lang w:val="en-US" w:eastAsia="zh-CN"/>
              </w:rPr>
              <w:suppressLineNumbers w:val="0"/>
            </w:pPr>
            <w:r>
              <w:rPr>
                <w:rFonts w:hint="eastAsia" w:ascii="宋体" w:hAnsi="宋体" w:cs="宋体"/>
                <w:sz w:val="24"/>
                <w:szCs w:val="24"/>
                <w:highlight w:val="none"/>
                <w:lang w:val="en-US" w:eastAsia="zh-CN"/>
              </w:rPr>
              <w:t xml:space="preserve">7</w:t>
            </w:r>
            <w:r/>
          </w:p>
        </w:tc>
      </w:tr>
    </w:tbl>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Microsoft YaHei UI">
    <w:panose1 w:val="020B0503020204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苏州市永诚建设咨询有限公司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ind w:left="1024"/>
      <w:jc w:val="both"/>
    </w:pPr>
    <w:rPr>
      <w:rFonts w:hint="default" w:ascii="Calibri" w:hAnsi="Calibri" w:eastAsia="宋体" w:cs="宋体"/>
    </w:rPr>
  </w:style>
  <w:style w:type="paragraph" w:styleId="857">
    <w:name w:val="Heading 1"/>
    <w:basedOn w:val="868"/>
    <w:next w:val="856"/>
    <w:uiPriority w:val="0"/>
    <w:qFormat/>
    <w:pPr>
      <w:ind w:left="432" w:firstLine="18"/>
      <w:spacing w:before="340" w:after="330" w:line="578" w:lineRule="auto"/>
      <w:outlineLvl w:val="0"/>
    </w:pPr>
  </w:style>
  <w:style w:type="paragraph" w:styleId="858">
    <w:name w:val="Heading 2"/>
    <w:basedOn w:val="856"/>
    <w:next w:val="856"/>
    <w:uiPriority w:val="0"/>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69"/>
    <w:uiPriority w:val="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uiPriority w:val="0"/>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uiPriority w:val="0"/>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uiPriority w:val="0"/>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uiPriority w:val="0"/>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uiPriority w:val="0"/>
    <w:qFormat/>
    <w:pPr>
      <w:ind w:left="1440"/>
      <w:spacing w:before="240" w:after="64" w:line="320" w:lineRule="auto"/>
      <w:outlineLvl w:val="7"/>
    </w:pPr>
    <w:rPr>
      <w:rFonts w:ascii="Times New Roman" w:hAnsi="Times New Roman" w:cs="Times New Roman"/>
    </w:rPr>
  </w:style>
  <w:style w:type="paragraph" w:styleId="865">
    <w:name w:val="Heading 9"/>
    <w:basedOn w:val="857"/>
    <w:next w:val="856"/>
    <w:uiPriority w:val="0"/>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qFormat/>
  </w:style>
  <w:style w:type="table" w:styleId="86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68">
    <w:name w:val="Block Text"/>
    <w:basedOn w:val="856"/>
    <w:uiPriority w:val="0"/>
    <w:qFormat/>
    <w:pPr>
      <w:ind w:left="420" w:right="33" w:firstLine="2560"/>
      <w:spacing w:before="0" w:after="0" w:line="240" w:lineRule="auto"/>
    </w:pPr>
    <w:rPr>
      <w:rFonts w:ascii="Times New Roman" w:hAnsi="Times New Roman" w:cs="Times New Roman"/>
    </w:rPr>
  </w:style>
  <w:style w:type="paragraph" w:styleId="869" w:customStyle="1">
    <w:name w:val="正文2"/>
    <w:basedOn w:val="856"/>
    <w:next w:val="856"/>
    <w:uiPriority w:val="0"/>
    <w:qFormat/>
    <w:pPr>
      <w:ind w:left="0" w:hanging="2155"/>
      <w:spacing w:line="360" w:lineRule="auto"/>
      <w:shd w:val="clear" w:color="auto" w:fill="ffffff"/>
    </w:pPr>
    <w:rPr>
      <w:rFonts w:ascii="宋体" w:hAnsi="宋体"/>
    </w:rPr>
  </w:style>
  <w:style w:type="paragraph" w:styleId="870">
    <w:name w:val="toc 7"/>
    <w:basedOn w:val="857"/>
    <w:next w:val="856"/>
    <w:uiPriority w:val="0"/>
    <w:qFormat/>
    <w:pPr>
      <w:ind w:left="1640" w:firstLine="3784"/>
      <w:spacing w:before="0" w:after="0" w:line="360" w:lineRule="auto"/>
    </w:pPr>
    <w:rPr>
      <w:rFonts w:ascii="Times New Roman" w:hAnsi="Times New Roman" w:cs="Times New Roman"/>
    </w:rPr>
  </w:style>
  <w:style w:type="paragraph" w:styleId="871">
    <w:name w:val="List Bullet 4"/>
    <w:basedOn w:val="857"/>
    <w:next w:val="872"/>
    <w:uiPriority w:val="0"/>
    <w:qFormat/>
    <w:pPr>
      <w:ind w:left="1620" w:firstLine="2652"/>
      <w:spacing w:before="0" w:after="0" w:line="360" w:lineRule="auto"/>
    </w:pPr>
    <w:rPr>
      <w:rFonts w:ascii="Times New Roman" w:hAnsi="Times New Roman" w:cs="Times New Roman"/>
    </w:rPr>
  </w:style>
  <w:style w:type="paragraph" w:styleId="872">
    <w:name w:val="List Bullet 2"/>
    <w:basedOn w:val="857"/>
    <w:next w:val="856"/>
    <w:uiPriority w:val="0"/>
    <w:qFormat/>
    <w:pPr>
      <w:ind w:left="900" w:firstLine="2652"/>
      <w:spacing w:before="0" w:after="0" w:line="360" w:lineRule="auto"/>
    </w:pPr>
    <w:rPr>
      <w:rFonts w:ascii="Times New Roman" w:hAnsi="Times New Roman" w:cs="Times New Roman"/>
    </w:rPr>
  </w:style>
  <w:style w:type="paragraph" w:styleId="873">
    <w:name w:val="List Number"/>
    <w:basedOn w:val="857"/>
    <w:next w:val="856"/>
    <w:uiPriority w:val="0"/>
    <w:qFormat/>
    <w:pPr>
      <w:ind w:left="454" w:firstLine="2788"/>
      <w:spacing w:before="0" w:after="0" w:line="240" w:lineRule="auto"/>
    </w:pPr>
    <w:rPr>
      <w:rFonts w:ascii="Times New Roman" w:hAnsi="Times New Roman" w:cs="Times New Roman"/>
    </w:rPr>
  </w:style>
  <w:style w:type="paragraph" w:styleId="874">
    <w:name w:val="Normal Indent"/>
    <w:basedOn w:val="856"/>
    <w:next w:val="856"/>
    <w:link w:val="1073"/>
    <w:uiPriority w:val="0"/>
    <w:qFormat/>
    <w:pPr>
      <w:ind w:left="420" w:firstLine="4772"/>
    </w:pPr>
  </w:style>
  <w:style w:type="paragraph" w:styleId="875">
    <w:name w:val="Caption"/>
    <w:basedOn w:val="857"/>
    <w:next w:val="856"/>
    <w:uiPriority w:val="0"/>
    <w:qFormat/>
    <w:pPr>
      <w:ind w:left="200" w:firstLine="2248"/>
      <w:jc w:val="center"/>
      <w:spacing w:before="0" w:after="0" w:line="240" w:lineRule="auto"/>
    </w:pPr>
    <w:rPr>
      <w:rFonts w:ascii="Times New Roman" w:hAnsi="Times New Roman" w:cs="Times New Roman"/>
    </w:rPr>
  </w:style>
  <w:style w:type="paragraph" w:styleId="876">
    <w:name w:val="List Bullet"/>
    <w:basedOn w:val="857"/>
    <w:next w:val="856"/>
    <w:uiPriority w:val="0"/>
    <w:qFormat/>
    <w:pPr>
      <w:ind w:left="900" w:firstLine="2652"/>
      <w:spacing w:before="0" w:after="0" w:line="360" w:lineRule="auto"/>
    </w:pPr>
    <w:rPr>
      <w:rFonts w:ascii="Times New Roman" w:hAnsi="Times New Roman" w:cs="Times New Roman"/>
    </w:rPr>
  </w:style>
  <w:style w:type="paragraph" w:styleId="877">
    <w:name w:val="Document Map"/>
    <w:basedOn w:val="857"/>
    <w:next w:val="878"/>
    <w:uiPriority w:val="0"/>
    <w:qFormat/>
    <w:pPr>
      <w:ind w:left="0" w:firstLine="4"/>
      <w:spacing w:before="0" w:after="0" w:line="240" w:lineRule="auto"/>
      <w:shd w:val="clear" w:color="000000" w:fill="000080"/>
    </w:pPr>
    <w:rPr>
      <w:rFonts w:ascii="Times New Roman" w:hAnsi="Times New Roman" w:cs="Times New Roman"/>
    </w:rPr>
  </w:style>
  <w:style w:type="paragraph" w:styleId="878">
    <w:name w:val="annotation subject"/>
    <w:next w:val="856"/>
    <w:uiPriority w:val="0"/>
    <w:qFormat/>
    <w:pPr>
      <w:ind w:firstLine="4608"/>
      <w:spacing w:line="360" w:lineRule="auto"/>
    </w:pPr>
    <w:rPr>
      <w:rFonts w:hint="default" w:ascii="Calibri" w:hAnsi="Calibri" w:eastAsia="宋体" w:cs="宋体"/>
    </w:rPr>
  </w:style>
  <w:style w:type="paragraph" w:styleId="879">
    <w:name w:val="annotation text"/>
    <w:basedOn w:val="857"/>
    <w:next w:val="856"/>
    <w:uiPriority w:val="99"/>
    <w:qFormat/>
    <w:pPr>
      <w:ind w:left="0" w:firstLine="3584"/>
      <w:spacing w:before="0" w:after="0" w:line="360" w:lineRule="auto"/>
    </w:pPr>
    <w:rPr>
      <w:rFonts w:ascii="Times New Roman" w:hAnsi="Times New Roman" w:cs="Times New Roman"/>
    </w:rPr>
  </w:style>
  <w:style w:type="paragraph" w:styleId="880">
    <w:name w:val="Body Text 3"/>
    <w:basedOn w:val="857"/>
    <w:next w:val="856"/>
    <w:uiPriority w:val="0"/>
    <w:qFormat/>
    <w:pPr>
      <w:ind w:left="0" w:firstLine="2048"/>
      <w:spacing w:before="0" w:after="0" w:line="500" w:lineRule="exact"/>
    </w:pPr>
    <w:rPr>
      <w:rFonts w:ascii="Times New Roman" w:hAnsi="Times New Roman" w:cs="Times New Roman"/>
    </w:rPr>
  </w:style>
  <w:style w:type="paragraph" w:styleId="881">
    <w:name w:val="List Bullet 3"/>
    <w:basedOn w:val="857"/>
    <w:next w:val="856"/>
    <w:uiPriority w:val="0"/>
    <w:qFormat/>
    <w:pPr>
      <w:ind w:left="900" w:firstLine="2652"/>
      <w:spacing w:before="0" w:after="0" w:line="360" w:lineRule="auto"/>
    </w:pPr>
    <w:rPr>
      <w:rFonts w:ascii="Times New Roman" w:hAnsi="Times New Roman" w:cs="Times New Roman"/>
    </w:rPr>
  </w:style>
  <w:style w:type="paragraph" w:styleId="882">
    <w:name w:val="Body Text"/>
    <w:basedOn w:val="856"/>
    <w:next w:val="856"/>
    <w:uiPriority w:val="0"/>
    <w:qFormat/>
    <w:pPr>
      <w:ind w:left="0" w:firstLine="2560"/>
    </w:pPr>
    <w:rPr>
      <w:rFonts w:ascii="Times New Roman" w:hAnsi="Times New Roman" w:cs="Times New Roman"/>
    </w:rPr>
  </w:style>
  <w:style w:type="paragraph" w:styleId="883">
    <w:name w:val="Body Text Indent"/>
    <w:basedOn w:val="856"/>
    <w:next w:val="856"/>
    <w:uiPriority w:val="0"/>
    <w:qFormat/>
    <w:pPr>
      <w:ind w:left="420" w:firstLine="1188"/>
      <w:spacing w:line="360" w:lineRule="exact"/>
    </w:pPr>
    <w:rPr>
      <w:rFonts w:ascii="Times New Roman" w:hAnsi="Times New Roman" w:cs="Times New Roman"/>
    </w:rPr>
  </w:style>
  <w:style w:type="paragraph" w:styleId="884">
    <w:name w:val="List Number 3"/>
    <w:basedOn w:val="857"/>
    <w:next w:val="856"/>
    <w:uiPriority w:val="0"/>
    <w:qFormat/>
    <w:pPr>
      <w:ind w:left="420" w:firstLine="3584"/>
      <w:spacing w:before="0" w:after="0" w:line="240" w:lineRule="auto"/>
    </w:pPr>
    <w:rPr>
      <w:rFonts w:ascii="Times New Roman" w:hAnsi="Times New Roman" w:cs="Times New Roman"/>
    </w:rPr>
  </w:style>
  <w:style w:type="paragraph" w:styleId="885">
    <w:name w:val="List 2"/>
    <w:basedOn w:val="857"/>
    <w:next w:val="870"/>
    <w:uiPriority w:val="0"/>
    <w:qFormat/>
    <w:pPr>
      <w:ind w:left="100" w:firstLine="3640"/>
      <w:spacing w:before="0" w:after="0" w:line="240" w:lineRule="auto"/>
    </w:pPr>
    <w:rPr>
      <w:rFonts w:ascii="Times New Roman" w:hAnsi="Times New Roman" w:cs="Times New Roman"/>
    </w:rPr>
  </w:style>
  <w:style w:type="paragraph" w:styleId="886">
    <w:name w:val="toc 5"/>
    <w:basedOn w:val="857"/>
    <w:next w:val="856"/>
    <w:uiPriority w:val="0"/>
    <w:qFormat/>
    <w:pPr>
      <w:ind w:left="1160" w:firstLine="3784"/>
      <w:spacing w:before="0" w:after="0" w:line="360" w:lineRule="auto"/>
    </w:pPr>
    <w:rPr>
      <w:rFonts w:ascii="Times New Roman" w:hAnsi="Times New Roman" w:cs="Times New Roman"/>
    </w:rPr>
  </w:style>
  <w:style w:type="paragraph" w:styleId="887">
    <w:name w:val="toc 3"/>
    <w:basedOn w:val="857"/>
    <w:next w:val="856"/>
    <w:uiPriority w:val="0"/>
    <w:qFormat/>
    <w:pPr>
      <w:ind w:left="0" w:firstLine="1024"/>
      <w:spacing w:before="0" w:after="0" w:line="360" w:lineRule="auto"/>
    </w:pPr>
    <w:rPr>
      <w:rFonts w:ascii="Times New Roman" w:hAnsi="Times New Roman" w:cs="Times New Roman"/>
    </w:rPr>
  </w:style>
  <w:style w:type="paragraph" w:styleId="888">
    <w:name w:val="Plain Text"/>
    <w:basedOn w:val="857"/>
    <w:next w:val="889"/>
    <w:uiPriority w:val="0"/>
    <w:qFormat/>
    <w:pPr>
      <w:ind w:left="0" w:firstLine="2048"/>
      <w:spacing w:before="0" w:after="0" w:line="240" w:lineRule="auto"/>
    </w:pPr>
    <w:rPr>
      <w:rFonts w:ascii="Times New Roman" w:hAnsi="Times New Roman" w:cs="Times New Roman"/>
    </w:rPr>
  </w:style>
  <w:style w:type="paragraph" w:styleId="889">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0">
    <w:name w:val="List Bullet 5"/>
    <w:basedOn w:val="857"/>
    <w:next w:val="891"/>
    <w:uiPriority w:val="0"/>
    <w:qFormat/>
    <w:pPr>
      <w:ind w:left="2040" w:firstLine="2560"/>
      <w:spacing w:before="0" w:after="0" w:line="360" w:lineRule="auto"/>
    </w:pPr>
    <w:rPr>
      <w:rFonts w:ascii="Times New Roman" w:hAnsi="Times New Roman" w:cs="Times New Roman"/>
    </w:rPr>
  </w:style>
  <w:style w:type="paragraph" w:styleId="891" w:customStyle="1">
    <w:name w:val="正文首行缩进1"/>
    <w:basedOn w:val="892"/>
    <w:uiPriority w:val="0"/>
    <w:qFormat/>
    <w:pPr>
      <w:ind w:left="420" w:firstLine="2724"/>
      <w:spacing w:after="120" w:line="360" w:lineRule="auto"/>
    </w:pPr>
    <w:rPr>
      <w:rFonts w:hint="default" w:ascii="Calibri" w:hAnsi="Calibri" w:eastAsia="宋体" w:cs="宋体"/>
    </w:rPr>
  </w:style>
  <w:style w:type="paragraph" w:styleId="892" w:customStyle="1">
    <w:name w:val="正文文本1"/>
    <w:basedOn w:val="856"/>
    <w:next w:val="856"/>
    <w:uiPriority w:val="0"/>
    <w:qFormat/>
    <w:pPr>
      <w:jc w:val="left"/>
      <w:spacing w:after="120"/>
    </w:pPr>
    <w:rPr>
      <w:rFonts w:hint="eastAsia" w:ascii="宋体" w:hAnsi="宋体" w:eastAsia="宋体" w:cs="Times New Roman"/>
      <w:sz w:val="22"/>
      <w:szCs w:val="22"/>
    </w:rPr>
  </w:style>
  <w:style w:type="paragraph" w:styleId="893">
    <w:name w:val="toc 8"/>
    <w:basedOn w:val="857"/>
    <w:next w:val="856"/>
    <w:uiPriority w:val="0"/>
    <w:qFormat/>
    <w:pPr>
      <w:ind w:left="1880" w:firstLine="3784"/>
      <w:spacing w:before="0" w:after="0" w:line="360" w:lineRule="auto"/>
    </w:pPr>
    <w:rPr>
      <w:rFonts w:ascii="Times New Roman" w:hAnsi="Times New Roman" w:cs="Times New Roman"/>
    </w:rPr>
  </w:style>
  <w:style w:type="paragraph" w:styleId="894">
    <w:name w:val="Date"/>
    <w:basedOn w:val="857"/>
    <w:next w:val="856"/>
    <w:uiPriority w:val="0"/>
    <w:qFormat/>
    <w:pPr>
      <w:ind w:left="0" w:firstLine="2560"/>
      <w:spacing w:before="0" w:after="0" w:line="240" w:lineRule="auto"/>
    </w:pPr>
    <w:rPr>
      <w:rFonts w:ascii="Times New Roman" w:hAnsi="Times New Roman" w:cs="Times New Roman"/>
    </w:rPr>
  </w:style>
  <w:style w:type="paragraph" w:styleId="895">
    <w:name w:val="Body Text Indent 2"/>
    <w:basedOn w:val="857"/>
    <w:next w:val="883"/>
    <w:uiPriority w:val="0"/>
    <w:qFormat/>
    <w:pPr>
      <w:ind w:left="481" w:firstLine="2784"/>
      <w:spacing w:before="0" w:after="0" w:line="400" w:lineRule="exact"/>
    </w:pPr>
    <w:rPr>
      <w:rFonts w:ascii="Times New Roman" w:hAnsi="Times New Roman" w:cs="Times New Roman"/>
    </w:rPr>
  </w:style>
  <w:style w:type="paragraph" w:styleId="896">
    <w:name w:val="endnote text"/>
    <w:basedOn w:val="857"/>
    <w:next w:val="897"/>
    <w:uiPriority w:val="0"/>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uiPriority w:val="0"/>
    <w:qFormat/>
    <w:pPr>
      <w:ind w:left="0" w:firstLine="3584"/>
      <w:spacing w:before="0" w:after="0" w:line="240" w:lineRule="auto"/>
    </w:pPr>
    <w:rPr>
      <w:rFonts w:ascii="Times New Roman" w:hAnsi="Times New Roman" w:cs="Times New Roman"/>
    </w:rPr>
  </w:style>
  <w:style w:type="paragraph" w:styleId="898">
    <w:name w:val="Balloon Text"/>
    <w:basedOn w:val="857"/>
    <w:next w:val="873"/>
    <w:uiPriority w:val="0"/>
    <w:qFormat/>
    <w:pPr>
      <w:ind w:left="0" w:firstLine="2048"/>
      <w:spacing w:before="0" w:after="0" w:line="240" w:lineRule="auto"/>
    </w:pPr>
    <w:rPr>
      <w:rFonts w:ascii="Times New Roman" w:hAnsi="Times New Roman" w:cs="Times New Roman"/>
    </w:rPr>
  </w:style>
  <w:style w:type="paragraph" w:styleId="899">
    <w:name w:val="Footer"/>
    <w:basedOn w:val="856"/>
    <w:next w:val="900"/>
    <w:link w:val="1074"/>
    <w:uiPriority w:val="0"/>
    <w:qFormat/>
    <w:pPr>
      <w:ind w:left="0" w:firstLine="3584"/>
    </w:pPr>
  </w:style>
  <w:style w:type="paragraph" w:styleId="900" w:customStyle="1">
    <w:name w:val="Char Char Char Char Char Char Char Char Char Char Char Char Char"/>
    <w:basedOn w:val="857"/>
    <w:next w:val="856"/>
    <w:uiPriority w:val="0"/>
    <w:qFormat/>
    <w:pPr>
      <w:ind w:left="0" w:firstLine="3584"/>
      <w:spacing w:before="0" w:after="160" w:line="240" w:lineRule="exact"/>
    </w:pPr>
    <w:rPr>
      <w:rFonts w:ascii="Times New Roman" w:hAnsi="Times New Roman" w:cs="Times New Roman"/>
    </w:rPr>
  </w:style>
  <w:style w:type="paragraph" w:styleId="901">
    <w:name w:val="Header"/>
    <w:basedOn w:val="857"/>
    <w:next w:val="894"/>
    <w:link w:val="1075"/>
    <w:uiPriority w:val="0"/>
    <w:qFormat/>
    <w:pPr>
      <w:ind w:left="0" w:firstLine="3584"/>
      <w:jc w:val="center"/>
      <w:spacing w:before="0" w:after="0" w:line="240" w:lineRule="auto"/>
    </w:pPr>
  </w:style>
  <w:style w:type="paragraph" w:styleId="902">
    <w:name w:val="toc 4"/>
    <w:basedOn w:val="857"/>
    <w:next w:val="856"/>
    <w:uiPriority w:val="0"/>
    <w:qFormat/>
    <w:pPr>
      <w:ind w:left="1260" w:firstLine="1024"/>
      <w:spacing w:before="0" w:after="0" w:line="240" w:lineRule="auto"/>
    </w:pPr>
    <w:rPr>
      <w:rFonts w:ascii="Times New Roman" w:hAnsi="Times New Roman" w:cs="Times New Roman"/>
    </w:rPr>
  </w:style>
  <w:style w:type="paragraph" w:styleId="903">
    <w:name w:val="Subtitle"/>
    <w:next w:val="856"/>
    <w:uiPriority w:val="0"/>
    <w:qFormat/>
    <w:pPr>
      <w:ind w:left="1024"/>
      <w:jc w:val="center"/>
      <w:spacing w:after="60"/>
    </w:pPr>
    <w:rPr>
      <w:rFonts w:hint="default" w:ascii="Calibri" w:hAnsi="Calibri" w:eastAsia="宋体" w:cs="宋体"/>
    </w:rPr>
  </w:style>
  <w:style w:type="paragraph" w:styleId="904">
    <w:name w:val="List"/>
    <w:basedOn w:val="857"/>
    <w:next w:val="905"/>
    <w:uiPriority w:val="0"/>
    <w:qFormat/>
    <w:pPr>
      <w:ind w:left="200" w:firstLine="3640"/>
      <w:spacing w:before="0" w:after="0" w:line="240" w:lineRule="auto"/>
    </w:pPr>
    <w:rPr>
      <w:rFonts w:ascii="Times New Roman" w:hAnsi="Times New Roman" w:cs="Times New Roman"/>
    </w:rPr>
  </w:style>
  <w:style w:type="paragraph" w:styleId="905">
    <w:name w:val="Body Text First Indent"/>
    <w:next w:val="856"/>
    <w:uiPriority w:val="0"/>
    <w:qFormat/>
    <w:pPr>
      <w:ind w:left="420" w:firstLine="3748"/>
      <w:spacing w:after="120"/>
    </w:pPr>
    <w:rPr>
      <w:rFonts w:hint="default" w:ascii="Calibri" w:hAnsi="Calibri" w:eastAsia="宋体" w:cs="宋体"/>
    </w:rPr>
  </w:style>
  <w:style w:type="paragraph" w:styleId="906">
    <w:name w:val="footnote text"/>
    <w:basedOn w:val="857"/>
    <w:next w:val="868"/>
    <w:uiPriority w:val="0"/>
    <w:qFormat/>
    <w:pPr>
      <w:ind w:left="0" w:firstLine="3584"/>
      <w:spacing w:before="0" w:after="0" w:line="360" w:lineRule="auto"/>
    </w:pPr>
    <w:rPr>
      <w:rFonts w:ascii="Times New Roman" w:hAnsi="Times New Roman" w:cs="Times New Roman"/>
    </w:rPr>
  </w:style>
  <w:style w:type="paragraph" w:styleId="907">
    <w:name w:val="toc 6"/>
    <w:basedOn w:val="857"/>
    <w:next w:val="856"/>
    <w:uiPriority w:val="0"/>
    <w:qFormat/>
    <w:pPr>
      <w:ind w:left="1400" w:firstLine="3784"/>
      <w:spacing w:before="0" w:after="0" w:line="360" w:lineRule="auto"/>
    </w:pPr>
    <w:rPr>
      <w:rFonts w:ascii="Times New Roman" w:hAnsi="Times New Roman" w:cs="Times New Roman"/>
    </w:rPr>
  </w:style>
  <w:style w:type="paragraph" w:styleId="908">
    <w:name w:val="List 5"/>
    <w:basedOn w:val="857"/>
    <w:next w:val="882"/>
    <w:uiPriority w:val="0"/>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uiPriority w:val="0"/>
    <w:qFormat/>
    <w:pPr>
      <w:ind w:left="480" w:firstLine="2784"/>
      <w:spacing w:before="0" w:after="0" w:line="400" w:lineRule="exact"/>
    </w:pPr>
    <w:rPr>
      <w:rFonts w:ascii="Times New Roman" w:hAnsi="Times New Roman" w:cs="Times New Roman"/>
    </w:rPr>
  </w:style>
  <w:style w:type="paragraph" w:styleId="910">
    <w:name w:val="table of figures"/>
    <w:basedOn w:val="856"/>
    <w:next w:val="856"/>
    <w:uiPriority w:val="99"/>
    <w:unhideWhenUsed/>
    <w:qFormat/>
    <w:pPr>
      <w:spacing w:after="0" w:afterAutospacing="0"/>
    </w:pPr>
  </w:style>
  <w:style w:type="paragraph" w:styleId="911">
    <w:name w:val="toc 2"/>
    <w:basedOn w:val="857"/>
    <w:next w:val="856"/>
    <w:uiPriority w:val="0"/>
    <w:qFormat/>
    <w:pPr>
      <w:ind w:left="0" w:firstLine="1024"/>
      <w:spacing w:before="0" w:after="0" w:line="360" w:lineRule="auto"/>
    </w:pPr>
    <w:rPr>
      <w:rFonts w:ascii="Times New Roman" w:hAnsi="Times New Roman" w:cs="Times New Roman"/>
    </w:rPr>
  </w:style>
  <w:style w:type="paragraph" w:styleId="912">
    <w:name w:val="toc 9"/>
    <w:basedOn w:val="857"/>
    <w:next w:val="856"/>
    <w:uiPriority w:val="0"/>
    <w:qFormat/>
    <w:pPr>
      <w:ind w:left="2120" w:firstLine="3784"/>
      <w:spacing w:before="0" w:after="0" w:line="360" w:lineRule="auto"/>
    </w:pPr>
    <w:rPr>
      <w:rFonts w:ascii="Times New Roman" w:hAnsi="Times New Roman" w:cs="Times New Roman"/>
    </w:rPr>
  </w:style>
  <w:style w:type="paragraph" w:styleId="913">
    <w:name w:val="Body Text 2"/>
    <w:basedOn w:val="857"/>
    <w:next w:val="876"/>
    <w:uiPriority w:val="0"/>
    <w:qFormat/>
    <w:pPr>
      <w:ind w:left="0" w:firstLine="1024"/>
      <w:spacing w:before="0" w:after="120" w:line="480" w:lineRule="auto"/>
    </w:pPr>
    <w:rPr>
      <w:rFonts w:ascii="Times New Roman" w:hAnsi="Times New Roman" w:cs="Times New Roman"/>
    </w:rPr>
  </w:style>
  <w:style w:type="paragraph" w:styleId="914">
    <w:name w:val="HTML Preformatted"/>
    <w:basedOn w:val="857"/>
    <w:next w:val="875"/>
    <w:uiPriority w:val="0"/>
    <w:qFormat/>
    <w:pPr>
      <w:ind w:left="0" w:firstLine="2048"/>
      <w:spacing w:before="0" w:after="0" w:line="253" w:lineRule="atLeast"/>
    </w:pPr>
    <w:rPr>
      <w:rFonts w:ascii="Times New Roman" w:hAnsi="Times New Roman" w:cs="Times New Roman"/>
    </w:rPr>
  </w:style>
  <w:style w:type="paragraph" w:styleId="915">
    <w:name w:val="Normal (Web)"/>
    <w:basedOn w:val="856"/>
    <w:next w:val="885"/>
    <w:uiPriority w:val="99"/>
    <w:qFormat/>
    <w:pPr>
      <w:ind w:left="15" w:right="15" w:firstLine="4608"/>
      <w:spacing w:before="60" w:after="60" w:line="312" w:lineRule="auto"/>
    </w:pPr>
    <w:rPr>
      <w:rFonts w:ascii="Times New Roman" w:hAnsi="Times New Roman" w:cs="Times New Roman"/>
    </w:rPr>
  </w:style>
  <w:style w:type="paragraph" w:styleId="916">
    <w:name w:val="index 1"/>
    <w:basedOn w:val="857"/>
    <w:next w:val="856"/>
    <w:uiPriority w:val="0"/>
    <w:qFormat/>
    <w:pPr>
      <w:ind w:left="0" w:firstLine="3584"/>
      <w:spacing w:before="0" w:after="0" w:line="240" w:lineRule="auto"/>
    </w:pPr>
    <w:rPr>
      <w:rFonts w:ascii="Times New Roman" w:hAnsi="Times New Roman" w:cs="Times New Roman"/>
    </w:rPr>
  </w:style>
  <w:style w:type="paragraph" w:styleId="917">
    <w:name w:val="Title"/>
    <w:basedOn w:val="856"/>
    <w:next w:val="856"/>
    <w:link w:val="938"/>
    <w:uiPriority w:val="10"/>
    <w:qFormat/>
    <w:pPr>
      <w:contextualSpacing/>
      <w:spacing w:before="300" w:after="200"/>
    </w:pPr>
    <w:rPr>
      <w:sz w:val="48"/>
      <w:szCs w:val="48"/>
    </w:rPr>
  </w:style>
  <w:style w:type="paragraph" w:styleId="918">
    <w:name w:val="Body Text First Indent 2"/>
    <w:basedOn w:val="883"/>
    <w:uiPriority w:val="0"/>
    <w:unhideWhenUsed/>
    <w:qFormat/>
    <w:pPr>
      <w:ind w:firstLine="420"/>
    </w:pPr>
  </w:style>
  <w:style w:type="table" w:styleId="91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uiPriority w:val="22"/>
    <w:qFormat/>
    <w:rPr>
      <w:rFonts w:ascii="Times New Roman" w:hAnsi="Times New Roman" w:eastAsia="宋体" w:cs="Times New Roman"/>
      <w:b/>
      <w:sz w:val="20"/>
    </w:rPr>
  </w:style>
  <w:style w:type="character" w:styleId="921">
    <w:name w:val="endnote reference"/>
    <w:basedOn w:val="866"/>
    <w:uiPriority w:val="99"/>
    <w:semiHidden/>
    <w:unhideWhenUsed/>
    <w:qFormat/>
    <w:rPr>
      <w:vertAlign w:val="superscript"/>
    </w:rPr>
  </w:style>
  <w:style w:type="character" w:styleId="922">
    <w:name w:val="page number"/>
    <w:uiPriority w:val="0"/>
    <w:qFormat/>
    <w:rPr>
      <w:rFonts w:ascii="Times New Roman" w:hAnsi="Times New Roman" w:eastAsia="宋体" w:cs="Times New Roman"/>
      <w:sz w:val="20"/>
    </w:rPr>
  </w:style>
  <w:style w:type="character" w:styleId="923">
    <w:name w:val="FollowedHyperlink"/>
    <w:uiPriority w:val="0"/>
    <w:qFormat/>
    <w:rPr>
      <w:rFonts w:ascii="Times New Roman" w:hAnsi="Times New Roman" w:eastAsia="宋体" w:cs="Times New Roman"/>
      <w:color w:val="800080"/>
      <w:sz w:val="20"/>
      <w:u w:val="single"/>
    </w:rPr>
  </w:style>
  <w:style w:type="character" w:styleId="924">
    <w:name w:val="Emphasis"/>
    <w:uiPriority w:val="20"/>
    <w:qFormat/>
    <w:rPr>
      <w:rFonts w:ascii="Times New Roman" w:hAnsi="Times New Roman" w:eastAsia="宋体" w:cs="Times New Roman"/>
      <w:i/>
      <w:sz w:val="21"/>
    </w:rPr>
  </w:style>
  <w:style w:type="character" w:styleId="925">
    <w:name w:val="Hyperlink"/>
    <w:uiPriority w:val="99"/>
    <w:qFormat/>
    <w:rPr>
      <w:rFonts w:ascii="Times New Roman" w:hAnsi="Times New Roman" w:eastAsia="宋体" w:cs="Times New Roman"/>
      <w:color w:val="0000ff"/>
      <w:sz w:val="20"/>
      <w:u w:val="single"/>
    </w:rPr>
  </w:style>
  <w:style w:type="character" w:styleId="926">
    <w:name w:val="annotation reference"/>
    <w:uiPriority w:val="0"/>
    <w:qFormat/>
    <w:rPr>
      <w:rFonts w:ascii="Times New Roman" w:hAnsi="Times New Roman" w:eastAsia="宋体" w:cs="Times New Roman"/>
      <w:sz w:val="20"/>
    </w:rPr>
  </w:style>
  <w:style w:type="character" w:styleId="927">
    <w:name w:val="footnote reference"/>
    <w:uiPriority w:val="0"/>
    <w:qFormat/>
    <w:rPr>
      <w:rFonts w:ascii="Times New Roman" w:hAnsi="Times New Roman" w:eastAsia="宋体" w:cs="Times New Roman"/>
      <w:vertAlign w:val="superscript"/>
    </w:rPr>
  </w:style>
  <w:style w:type="character" w:styleId="928" w:customStyle="1">
    <w:name w:val="Heading 1 Char"/>
    <w:basedOn w:val="866"/>
    <w:uiPriority w:val="9"/>
    <w:qFormat/>
    <w:rPr>
      <w:rFonts w:ascii="Arial" w:hAnsi="Arial" w:eastAsia="Arial" w:cs="Arial"/>
      <w:sz w:val="40"/>
      <w:szCs w:val="40"/>
    </w:rPr>
  </w:style>
  <w:style w:type="character" w:styleId="929" w:customStyle="1">
    <w:name w:val="Heading 2 Char"/>
    <w:basedOn w:val="866"/>
    <w:uiPriority w:val="9"/>
    <w:qFormat/>
    <w:rPr>
      <w:rFonts w:ascii="Arial" w:hAnsi="Arial" w:eastAsia="Arial" w:cs="Arial"/>
      <w:sz w:val="34"/>
    </w:rPr>
  </w:style>
  <w:style w:type="character" w:styleId="930" w:customStyle="1">
    <w:name w:val="Heading 3 Char"/>
    <w:basedOn w:val="866"/>
    <w:uiPriority w:val="9"/>
    <w:qFormat/>
    <w:rPr>
      <w:rFonts w:ascii="Arial" w:hAnsi="Arial" w:eastAsia="Arial" w:cs="Arial"/>
      <w:sz w:val="30"/>
      <w:szCs w:val="30"/>
    </w:rPr>
  </w:style>
  <w:style w:type="character" w:styleId="931" w:customStyle="1">
    <w:name w:val="Heading 4 Char"/>
    <w:basedOn w:val="866"/>
    <w:uiPriority w:val="9"/>
    <w:qFormat/>
    <w:rPr>
      <w:rFonts w:ascii="Arial" w:hAnsi="Arial" w:eastAsia="Arial" w:cs="Arial"/>
      <w:b/>
      <w:bCs/>
      <w:sz w:val="26"/>
      <w:szCs w:val="26"/>
    </w:rPr>
  </w:style>
  <w:style w:type="character" w:styleId="932" w:customStyle="1">
    <w:name w:val="Heading 5 Char"/>
    <w:basedOn w:val="866"/>
    <w:uiPriority w:val="9"/>
    <w:qFormat/>
    <w:rPr>
      <w:rFonts w:ascii="Arial" w:hAnsi="Arial" w:eastAsia="Arial" w:cs="Arial"/>
      <w:b/>
      <w:bCs/>
      <w:sz w:val="24"/>
      <w:szCs w:val="24"/>
    </w:rPr>
  </w:style>
  <w:style w:type="character" w:styleId="933" w:customStyle="1">
    <w:name w:val="Heading 6 Char"/>
    <w:basedOn w:val="866"/>
    <w:uiPriority w:val="9"/>
    <w:qFormat/>
    <w:rPr>
      <w:rFonts w:ascii="Arial" w:hAnsi="Arial" w:eastAsia="Arial" w:cs="Arial"/>
      <w:b/>
      <w:bCs/>
      <w:sz w:val="22"/>
      <w:szCs w:val="22"/>
    </w:rPr>
  </w:style>
  <w:style w:type="character" w:styleId="934" w:customStyle="1">
    <w:name w:val="Heading 7 Char"/>
    <w:basedOn w:val="866"/>
    <w:uiPriority w:val="9"/>
    <w:qFormat/>
    <w:rPr>
      <w:rFonts w:ascii="Arial" w:hAnsi="Arial" w:eastAsia="Arial" w:cs="Arial"/>
      <w:b/>
      <w:bCs/>
      <w:i/>
      <w:iCs/>
      <w:sz w:val="22"/>
      <w:szCs w:val="22"/>
    </w:rPr>
  </w:style>
  <w:style w:type="character" w:styleId="935" w:customStyle="1">
    <w:name w:val="Heading 8 Char"/>
    <w:basedOn w:val="866"/>
    <w:uiPriority w:val="9"/>
    <w:qFormat/>
    <w:rPr>
      <w:rFonts w:ascii="Arial" w:hAnsi="Arial" w:eastAsia="Arial" w:cs="Arial"/>
      <w:i/>
      <w:iCs/>
      <w:sz w:val="22"/>
      <w:szCs w:val="22"/>
    </w:rPr>
  </w:style>
  <w:style w:type="character" w:styleId="936" w:customStyle="1">
    <w:name w:val="Heading 9 Char"/>
    <w:basedOn w:val="866"/>
    <w:uiPriority w:val="9"/>
    <w:qFormat/>
    <w:rPr>
      <w:rFonts w:ascii="Arial" w:hAnsi="Arial" w:eastAsia="Arial" w:cs="Arial"/>
      <w:i/>
      <w:iCs/>
      <w:sz w:val="21"/>
      <w:szCs w:val="21"/>
    </w:rPr>
  </w:style>
  <w:style w:type="paragraph" w:styleId="937">
    <w:name w:val="No Spacing"/>
    <w:uiPriority w:val="1"/>
    <w:qFormat/>
    <w:pPr>
      <w:spacing w:before="0" w:after="0" w:line="240" w:lineRule="auto"/>
    </w:pPr>
    <w:rPr>
      <w:rFonts w:hint="default" w:ascii="宋体" w:hAnsi="宋体" w:eastAsia="宋体" w:cs="宋体"/>
    </w:rPr>
  </w:style>
  <w:style w:type="character" w:styleId="938" w:customStyle="1">
    <w:name w:val="Title Char"/>
    <w:basedOn w:val="866"/>
    <w:link w:val="917"/>
    <w:uiPriority w:val="10"/>
    <w:qFormat/>
    <w:rPr>
      <w:sz w:val="48"/>
      <w:szCs w:val="48"/>
    </w:rPr>
  </w:style>
  <w:style w:type="character" w:styleId="939" w:customStyle="1">
    <w:name w:val="Subtitle Char"/>
    <w:basedOn w:val="866"/>
    <w:uiPriority w:val="11"/>
    <w:qFormat/>
    <w:rPr>
      <w:sz w:val="24"/>
      <w:szCs w:val="24"/>
    </w:rPr>
  </w:style>
  <w:style w:type="character" w:styleId="940" w:customStyle="1">
    <w:name w:val="Quote Char"/>
    <w:uiPriority w:val="29"/>
    <w:qFormat/>
    <w:rPr>
      <w:i/>
    </w:rPr>
  </w:style>
  <w:style w:type="character" w:styleId="941" w:customStyle="1">
    <w:name w:val="Intense Quote Char"/>
    <w:uiPriority w:val="30"/>
    <w:qFormat/>
    <w:rPr>
      <w:i/>
    </w:rPr>
  </w:style>
  <w:style w:type="character" w:styleId="942" w:customStyle="1">
    <w:name w:val="Header Char"/>
    <w:basedOn w:val="866"/>
    <w:uiPriority w:val="99"/>
    <w:qFormat/>
  </w:style>
  <w:style w:type="character" w:styleId="943" w:customStyle="1">
    <w:name w:val="Footer Char"/>
    <w:basedOn w:val="866"/>
    <w:uiPriority w:val="99"/>
    <w:qFormat/>
  </w:style>
  <w:style w:type="character" w:styleId="944" w:customStyle="1">
    <w:name w:val="Caption Char"/>
    <w:uiPriority w:val="99"/>
    <w:qFormat/>
  </w:style>
  <w:style w:type="table" w:styleId="945" w:customStyle="1">
    <w:name w:val="Table Grid Light"/>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6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6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6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6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6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6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6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6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6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6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6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6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6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6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0" w:customStyle="1">
    <w:name w:val="Grid Table 6 Colorful - Accent 4"/>
    <w:basedOn w:val="8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6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6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6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6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6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6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6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6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6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6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6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6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6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6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6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6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6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6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6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6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6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6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6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6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6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6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6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6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6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6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6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6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6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6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6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6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6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6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6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6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6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6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6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6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6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6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6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6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6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6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6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6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6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6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6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6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6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6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6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6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6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6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宋体" w:hAnsi="宋体" w:eastAsia="宋体" w:cs="宋体"/>
    </w:rPr>
  </w:style>
  <w:style w:type="character" w:styleId="1073" w:customStyle="1">
    <w:name w:val="正文缩进 Char1"/>
    <w:link w:val="874"/>
    <w:uiPriority w:val="0"/>
    <w:qFormat/>
    <w:rPr>
      <w:rFonts w:ascii="Calibri" w:hAnsi="Calibri" w:eastAsia="宋体" w:cs="Times New Roman"/>
    </w:rPr>
  </w:style>
  <w:style w:type="character" w:styleId="1074" w:customStyle="1">
    <w:name w:val="页脚 Char2"/>
    <w:link w:val="899"/>
    <w:uiPriority w:val="0"/>
    <w:qFormat/>
    <w:rPr>
      <w:rFonts w:ascii="Calibri" w:hAnsi="Calibri" w:eastAsia="宋体" w:cs="Times New Roman"/>
    </w:rPr>
  </w:style>
  <w:style w:type="character" w:styleId="1075" w:customStyle="1">
    <w:name w:val="页眉 Char2"/>
    <w:link w:val="901"/>
    <w:uiPriority w:val="0"/>
    <w:qFormat/>
    <w:rPr>
      <w:rFonts w:ascii="Calibri" w:hAnsi="Calibri" w:eastAsia="宋体" w:cs="Times New Roman"/>
    </w:rPr>
  </w:style>
  <w:style w:type="character" w:styleId="1076" w:customStyle="1">
    <w:name w:val="日期 Char"/>
    <w:uiPriority w:val="0"/>
    <w:qFormat/>
    <w:rPr>
      <w:rFonts w:ascii="Times New Roman" w:hAnsi="Times New Roman" w:eastAsia="宋体" w:cs="Times New Roman"/>
      <w:sz w:val="20"/>
    </w:rPr>
  </w:style>
  <w:style w:type="character" w:styleId="1077" w:customStyle="1">
    <w:name w:val="批注引用1"/>
    <w:uiPriority w:val="0"/>
    <w:qFormat/>
    <w:rPr>
      <w:rFonts w:ascii="Times New Roman" w:hAnsi="Times New Roman" w:eastAsia="宋体" w:cs="Times New Roman"/>
      <w:sz w:val="20"/>
    </w:rPr>
  </w:style>
  <w:style w:type="character" w:styleId="1078" w:customStyle="1">
    <w:name w:val="应答文本 Char Char"/>
    <w:uiPriority w:val="0"/>
    <w:qFormat/>
    <w:rPr>
      <w:rFonts w:ascii="Times New Roman" w:hAnsi="Times New Roman" w:eastAsia="宋体" w:cs="Times New Roman"/>
      <w:sz w:val="20"/>
    </w:rPr>
  </w:style>
  <w:style w:type="character" w:styleId="1079" w:customStyle="1">
    <w:name w:val="图片0 Char Char"/>
    <w:uiPriority w:val="0"/>
    <w:qFormat/>
    <w:rPr>
      <w:rFonts w:ascii="Times New Roman" w:hAnsi="Times New Roman" w:eastAsia="宋体" w:cs="Times New Roman"/>
      <w:sz w:val="20"/>
    </w:rPr>
  </w:style>
  <w:style w:type="character" w:styleId="1080" w:customStyle="1">
    <w:name w:val="尾注文本 Char"/>
    <w:uiPriority w:val="0"/>
    <w:qFormat/>
    <w:rPr>
      <w:rFonts w:ascii="Times New Roman" w:hAnsi="Times New Roman" w:eastAsia="宋体" w:cs="Times New Roman"/>
      <w:sz w:val="20"/>
    </w:rPr>
  </w:style>
  <w:style w:type="character" w:styleId="1081" w:customStyle="1">
    <w:name w:val="文档结构图 字符"/>
    <w:uiPriority w:val="0"/>
    <w:qFormat/>
    <w:rPr>
      <w:rFonts w:ascii="Microsoft YaHei UI" w:hAnsi="Times New Roman" w:eastAsia="Microsoft YaHei UI" w:cs="Times New Roman"/>
      <w:sz w:val="18"/>
      <w:szCs w:val="18"/>
    </w:rPr>
  </w:style>
  <w:style w:type="character" w:styleId="1082" w:customStyle="1">
    <w:name w:val="_Style 337"/>
    <w:uiPriority w:val="0"/>
    <w:qFormat/>
    <w:rPr>
      <w:rFonts w:ascii="Times New Roman" w:hAnsi="Times New Roman" w:eastAsia="宋体" w:cs="Times New Roman"/>
      <w:color w:val="auto"/>
      <w:sz w:val="21"/>
    </w:rPr>
  </w:style>
  <w:style w:type="character" w:styleId="1083" w:customStyle="1">
    <w:name w:val="正文文本 字符"/>
    <w:uiPriority w:val="0"/>
    <w:qFormat/>
    <w:rPr>
      <w:rFonts w:ascii="Times New Roman" w:hAnsi="Times New Roman" w:eastAsia="宋体" w:cs="Times New Roman"/>
      <w:sz w:val="21"/>
    </w:rPr>
  </w:style>
  <w:style w:type="character" w:styleId="1084" w:customStyle="1">
    <w:name w:val="批注文字 字符"/>
    <w:uiPriority w:val="0"/>
    <w:qFormat/>
    <w:rPr>
      <w:rFonts w:ascii="Times New Roman" w:hAnsi="Times New Roman" w:eastAsia="宋体" w:cs="Times New Roman"/>
      <w:sz w:val="20"/>
    </w:rPr>
  </w:style>
  <w:style w:type="character" w:styleId="1085" w:customStyle="1">
    <w:name w:val="批注文字 Char1"/>
    <w:uiPriority w:val="0"/>
    <w:qFormat/>
    <w:rPr>
      <w:rFonts w:ascii="Times New Roman" w:hAnsi="Times New Roman" w:eastAsia="宋体" w:cs="Times New Roman"/>
      <w:sz w:val="20"/>
    </w:rPr>
  </w:style>
  <w:style w:type="character" w:styleId="1086" w:customStyle="1">
    <w:name w:val="txt"/>
    <w:uiPriority w:val="0"/>
    <w:qFormat/>
    <w:rPr>
      <w:rFonts w:ascii="Times New Roman" w:hAnsi="Times New Roman" w:eastAsia="宋体" w:cs="Times New Roman"/>
      <w:sz w:val="20"/>
    </w:rPr>
  </w:style>
  <w:style w:type="character" w:styleId="1087" w:customStyle="1">
    <w:name w:val="标书正文 Char"/>
    <w:uiPriority w:val="0"/>
    <w:qFormat/>
    <w:rPr>
      <w:rFonts w:ascii="Times New Roman" w:hAnsi="Times New Roman" w:eastAsia="宋体" w:cs="Times New Roman"/>
      <w:sz w:val="20"/>
    </w:rPr>
  </w:style>
  <w:style w:type="character" w:styleId="1088" w:customStyle="1">
    <w:name w:val="font21"/>
    <w:uiPriority w:val="0"/>
    <w:qFormat/>
    <w:rPr>
      <w:rFonts w:hint="eastAsia" w:ascii="宋体" w:hAnsi="宋体" w:eastAsia="宋体" w:cs="宋体"/>
      <w:color w:val="ff0000"/>
      <w:sz w:val="24"/>
      <w:szCs w:val="24"/>
      <w:u w:val="none"/>
    </w:rPr>
  </w:style>
  <w:style w:type="character" w:styleId="1089" w:customStyle="1">
    <w:name w:val="apple-converted-space"/>
    <w:uiPriority w:val="0"/>
    <w:qFormat/>
    <w:rPr>
      <w:rFonts w:ascii="Times New Roman" w:hAnsi="Times New Roman" w:eastAsia="宋体" w:cs="Times New Roman"/>
      <w:sz w:val="20"/>
    </w:rPr>
  </w:style>
  <w:style w:type="character" w:styleId="1090" w:customStyle="1">
    <w:name w:val="纯文本 Char1"/>
    <w:uiPriority w:val="0"/>
    <w:qFormat/>
    <w:rPr>
      <w:rFonts w:ascii="Times New Roman" w:hAnsi="Times New Roman" w:eastAsia="宋体" w:cs="Times New Roman"/>
      <w:sz w:val="20"/>
    </w:rPr>
  </w:style>
  <w:style w:type="character" w:styleId="1091" w:customStyle="1">
    <w:name w:val="para1"/>
    <w:uiPriority w:val="0"/>
    <w:qFormat/>
    <w:rPr>
      <w:rFonts w:ascii="Times New Roman" w:hAnsi="Times New Roman" w:eastAsia="宋体" w:cs="Times New Roman"/>
      <w:sz w:val="20"/>
    </w:rPr>
  </w:style>
  <w:style w:type="character" w:styleId="1092" w:customStyle="1">
    <w:name w:val="HTML 预设格式 Char1"/>
    <w:uiPriority w:val="0"/>
    <w:qFormat/>
    <w:rPr>
      <w:rFonts w:ascii="Times New Roman" w:hAnsi="Times New Roman" w:eastAsia="宋体" w:cs="Times New Roman"/>
      <w:sz w:val="20"/>
    </w:rPr>
  </w:style>
  <w:style w:type="character" w:styleId="1093" w:customStyle="1">
    <w:name w:val="批注文字 Char"/>
    <w:uiPriority w:val="0"/>
    <w:qFormat/>
    <w:rPr>
      <w:rFonts w:ascii="Times New Roman" w:hAnsi="Times New Roman" w:eastAsia="宋体" w:cs="Times New Roman"/>
      <w:sz w:val="20"/>
    </w:rPr>
  </w:style>
  <w:style w:type="character" w:styleId="1094" w:customStyle="1">
    <w:name w:val="文档结构图 Char"/>
    <w:uiPriority w:val="0"/>
    <w:qFormat/>
    <w:rPr>
      <w:rFonts w:ascii="Times New Roman" w:hAnsi="Times New Roman" w:eastAsia="宋体" w:cs="Times New Roman"/>
      <w:sz w:val="20"/>
    </w:rPr>
  </w:style>
  <w:style w:type="character" w:styleId="1095" w:customStyle="1">
    <w:name w:val="超级链接"/>
    <w:uiPriority w:val="0"/>
    <w:qFormat/>
    <w:rPr>
      <w:rFonts w:ascii="Times New Roman" w:hAnsi="Times New Roman" w:eastAsia="宋体" w:cs="Times New Roman"/>
      <w:color w:val="0000ff"/>
      <w:sz w:val="20"/>
      <w:u w:val="single"/>
    </w:rPr>
  </w:style>
  <w:style w:type="character" w:styleId="1096" w:customStyle="1">
    <w:name w:val="p141"/>
    <w:uiPriority w:val="0"/>
    <w:qFormat/>
    <w:rPr>
      <w:rFonts w:ascii="Times New Roman" w:hAnsi="Times New Roman" w:eastAsia="宋体" w:cs="Times New Roman"/>
      <w:color w:val="000000"/>
      <w:sz w:val="20"/>
      <w:u w:val="none"/>
    </w:rPr>
  </w:style>
  <w:style w:type="character" w:styleId="1097" w:customStyle="1">
    <w:name w:val="宏文本 Char"/>
    <w:uiPriority w:val="0"/>
    <w:qFormat/>
    <w:rPr>
      <w:rFonts w:ascii="Times New Roman" w:hAnsi="Times New Roman" w:eastAsia="宋体" w:cs="Times New Roman"/>
      <w:sz w:val="20"/>
    </w:rPr>
  </w:style>
  <w:style w:type="character" w:styleId="1098" w:customStyle="1">
    <w:name w:val="_Style 313"/>
    <w:uiPriority w:val="0"/>
    <w:qFormat/>
    <w:rPr>
      <w:rFonts w:ascii="Times New Roman" w:hAnsi="Times New Roman" w:eastAsia="宋体" w:cs="Times New Roman"/>
      <w:b/>
      <w:i/>
      <w:sz w:val="21"/>
    </w:rPr>
  </w:style>
  <w:style w:type="character" w:styleId="1099" w:customStyle="1">
    <w:name w:val="页脚 Char1"/>
    <w:uiPriority w:val="0"/>
    <w:qFormat/>
    <w:rPr>
      <w:rFonts w:ascii="Times New Roman" w:hAnsi="Times New Roman" w:eastAsia="宋体" w:cs="Times New Roman"/>
      <w:sz w:val="20"/>
    </w:rPr>
  </w:style>
  <w:style w:type="character" w:styleId="1100" w:customStyle="1">
    <w:name w:val="页眉 Char"/>
    <w:uiPriority w:val="0"/>
    <w:qFormat/>
    <w:rPr>
      <w:rFonts w:ascii="Times New Roman" w:hAnsi="Times New Roman" w:eastAsia="宋体" w:cs="Times New Roman"/>
      <w:sz w:val="20"/>
    </w:rPr>
  </w:style>
  <w:style w:type="character" w:styleId="1101" w:customStyle="1">
    <w:name w:val="标题 7 Char"/>
    <w:uiPriority w:val="0"/>
    <w:qFormat/>
    <w:rPr>
      <w:rFonts w:ascii="Times New Roman" w:hAnsi="Times New Roman" w:eastAsia="宋体" w:cs="Times New Roman"/>
      <w:b/>
      <w:sz w:val="20"/>
    </w:rPr>
  </w:style>
  <w:style w:type="character" w:styleId="1102" w:customStyle="1">
    <w:name w:val="Char Char12"/>
    <w:uiPriority w:val="0"/>
    <w:qFormat/>
    <w:rPr>
      <w:rFonts w:ascii="Times New Roman" w:hAnsi="Times New Roman" w:eastAsia="宋体" w:cs="Times New Roman"/>
      <w:sz w:val="20"/>
    </w:rPr>
  </w:style>
  <w:style w:type="character" w:styleId="1103" w:customStyle="1">
    <w:name w:val="标题 3 Char"/>
    <w:uiPriority w:val="0"/>
    <w:qFormat/>
    <w:rPr>
      <w:rFonts w:ascii="Times New Roman" w:hAnsi="Times New Roman" w:eastAsia="宋体" w:cs="Times New Roman"/>
      <w:b/>
      <w:sz w:val="20"/>
    </w:rPr>
  </w:style>
  <w:style w:type="character" w:styleId="1104" w:customStyle="1">
    <w:name w:val="正文（首行缩进 2 字符） Char Char"/>
    <w:uiPriority w:val="0"/>
    <w:qFormat/>
    <w:rPr>
      <w:rFonts w:ascii="Times New Roman" w:hAnsi="Times New Roman" w:eastAsia="宋体" w:cs="Times New Roman"/>
      <w:sz w:val="20"/>
    </w:rPr>
  </w:style>
  <w:style w:type="character" w:styleId="1105" w:customStyle="1">
    <w:name w:val="表格用 Char Char"/>
    <w:uiPriority w:val="0"/>
    <w:qFormat/>
    <w:rPr>
      <w:rFonts w:ascii="Times New Roman" w:hAnsi="Times New Roman" w:eastAsia="宋体" w:cs="Times New Roman"/>
      <w:sz w:val="20"/>
    </w:rPr>
  </w:style>
  <w:style w:type="character" w:styleId="1106" w:customStyle="1">
    <w:name w:val="正文文本缩进 3 Char1"/>
    <w:uiPriority w:val="0"/>
    <w:qFormat/>
    <w:rPr>
      <w:rFonts w:ascii="Times New Roman" w:hAnsi="Times New Roman" w:eastAsia="宋体" w:cs="Times New Roman"/>
      <w:sz w:val="20"/>
    </w:rPr>
  </w:style>
  <w:style w:type="character" w:styleId="1107" w:customStyle="1">
    <w:name w:val="正文缩进 Char"/>
    <w:uiPriority w:val="0"/>
    <w:qFormat/>
    <w:rPr>
      <w:rFonts w:ascii="Times New Roman" w:hAnsi="Times New Roman" w:eastAsia="宋体" w:cs="Times New Roman"/>
      <w:sz w:val="20"/>
    </w:rPr>
  </w:style>
  <w:style w:type="character" w:styleId="1108" w:customStyle="1">
    <w:name w:val="批注框文本 Char1"/>
    <w:uiPriority w:val="0"/>
    <w:qFormat/>
    <w:rPr>
      <w:rFonts w:ascii="Times New Roman" w:hAnsi="Times New Roman" w:eastAsia="宋体" w:cs="Times New Roman"/>
      <w:sz w:val="20"/>
    </w:rPr>
  </w:style>
  <w:style w:type="character" w:styleId="1109" w:customStyle="1">
    <w:name w:val="Char Char13"/>
    <w:uiPriority w:val="0"/>
    <w:qFormat/>
    <w:rPr>
      <w:rFonts w:ascii="Times New Roman" w:hAnsi="Times New Roman" w:eastAsia="宋体" w:cs="Times New Roman"/>
      <w:sz w:val="20"/>
    </w:rPr>
  </w:style>
  <w:style w:type="character" w:styleId="1110" w:customStyle="1">
    <w:name w:val="样式2 Char"/>
    <w:uiPriority w:val="0"/>
    <w:qFormat/>
    <w:rPr>
      <w:rFonts w:ascii="Times New Roman" w:hAnsi="Times New Roman" w:eastAsia="宋体" w:cs="Times New Roman"/>
      <w:b/>
      <w:sz w:val="20"/>
    </w:rPr>
  </w:style>
  <w:style w:type="character" w:styleId="1111" w:customStyle="1">
    <w:name w:val="页脚 Char"/>
    <w:uiPriority w:val="0"/>
    <w:qFormat/>
    <w:rPr>
      <w:rFonts w:ascii="Times New Roman" w:hAnsi="Times New Roman" w:eastAsia="宋体" w:cs="Times New Roman"/>
      <w:sz w:val="20"/>
    </w:rPr>
  </w:style>
  <w:style w:type="character" w:styleId="1112" w:customStyle="1">
    <w:name w:val="标准文本 Char"/>
    <w:uiPriority w:val="0"/>
    <w:qFormat/>
    <w:rPr>
      <w:rFonts w:ascii="Times New Roman" w:hAnsi="Times New Roman" w:eastAsia="宋体" w:cs="Times New Roman"/>
      <w:sz w:val="20"/>
    </w:rPr>
  </w:style>
  <w:style w:type="character" w:styleId="1113" w:customStyle="1">
    <w:name w:val="font01"/>
    <w:uiPriority w:val="0"/>
    <w:qFormat/>
    <w:rPr>
      <w:rFonts w:hint="eastAsia" w:ascii="宋体" w:hAnsi="宋体" w:eastAsia="宋体" w:cs="宋体"/>
      <w:color w:val="000000"/>
      <w:sz w:val="24"/>
      <w:szCs w:val="24"/>
      <w:u w:val="none"/>
    </w:rPr>
  </w:style>
  <w:style w:type="character" w:styleId="1114" w:customStyle="1">
    <w:name w:val="标题 3 Char1"/>
    <w:uiPriority w:val="0"/>
    <w:qFormat/>
    <w:rPr>
      <w:rFonts w:ascii="Times New Roman" w:hAnsi="Times New Roman" w:eastAsia="宋体" w:cs="Times New Roman"/>
      <w:b/>
      <w:sz w:val="20"/>
      <w:u w:val="single"/>
    </w:rPr>
  </w:style>
  <w:style w:type="character" w:styleId="1115" w:customStyle="1">
    <w:name w:val="表格 Char Char"/>
    <w:uiPriority w:val="0"/>
    <w:qFormat/>
    <w:rPr>
      <w:rFonts w:ascii="Times New Roman" w:hAnsi="Times New Roman" w:eastAsia="宋体" w:cs="Times New Roman"/>
      <w:sz w:val="20"/>
    </w:rPr>
  </w:style>
  <w:style w:type="character" w:styleId="1116" w:customStyle="1">
    <w:name w:val="正文首行缩进 Char"/>
    <w:uiPriority w:val="0"/>
    <w:qFormat/>
    <w:rPr>
      <w:rFonts w:ascii="Times New Roman" w:hAnsi="Times New Roman" w:eastAsia="宋体" w:cs="Times New Roman"/>
      <w:sz w:val="20"/>
    </w:rPr>
  </w:style>
  <w:style w:type="character" w:styleId="1117" w:customStyle="1">
    <w:name w:val="标题 9 Char"/>
    <w:uiPriority w:val="0"/>
    <w:qFormat/>
    <w:rPr>
      <w:rFonts w:ascii="Times New Roman" w:hAnsi="Times New Roman" w:eastAsia="宋体" w:cs="Times New Roman"/>
      <w:sz w:val="20"/>
    </w:rPr>
  </w:style>
  <w:style w:type="character" w:styleId="1118" w:customStyle="1">
    <w:name w:val="lh151"/>
    <w:uiPriority w:val="0"/>
    <w:qFormat/>
    <w:rPr>
      <w:rFonts w:ascii="Times New Roman" w:hAnsi="Times New Roman" w:eastAsia="宋体" w:cs="Times New Roman"/>
      <w:color w:val="666666"/>
      <w:sz w:val="20"/>
    </w:rPr>
  </w:style>
  <w:style w:type="character" w:styleId="1119" w:customStyle="1">
    <w:name w:val="日期 Char1"/>
    <w:uiPriority w:val="0"/>
    <w:qFormat/>
    <w:rPr>
      <w:rFonts w:ascii="Times New Roman" w:hAnsi="Times New Roman" w:eastAsia="宋体" w:cs="Times New Roman"/>
      <w:sz w:val="20"/>
    </w:rPr>
  </w:style>
  <w:style w:type="character" w:styleId="1120" w:customStyle="1">
    <w:name w:val="图片 Char Char"/>
    <w:uiPriority w:val="0"/>
    <w:qFormat/>
    <w:rPr>
      <w:rFonts w:ascii="Times New Roman" w:hAnsi="Times New Roman" w:eastAsia="宋体" w:cs="Times New Roman"/>
      <w:sz w:val="20"/>
    </w:rPr>
  </w:style>
  <w:style w:type="character" w:styleId="1121" w:customStyle="1">
    <w:name w:val="批注框文本 字符"/>
    <w:uiPriority w:val="0"/>
    <w:qFormat/>
    <w:rPr>
      <w:rFonts w:ascii="Times New Roman" w:hAnsi="Times New Roman" w:eastAsia="宋体" w:cs="Times New Roman"/>
      <w:sz w:val="20"/>
    </w:rPr>
  </w:style>
  <w:style w:type="character" w:styleId="1122" w:customStyle="1">
    <w:name w:val="HTML 预设格式 Char"/>
    <w:uiPriority w:val="0"/>
    <w:qFormat/>
    <w:rPr>
      <w:rFonts w:ascii="Times New Roman" w:hAnsi="Times New Roman" w:eastAsia="宋体" w:cs="Times New Roman"/>
      <w:sz w:val="20"/>
    </w:rPr>
  </w:style>
  <w:style w:type="character" w:styleId="1123" w:customStyle="1">
    <w:name w:val="列出段落 Char"/>
    <w:uiPriority w:val="0"/>
    <w:qFormat/>
    <w:rPr>
      <w:rFonts w:ascii="Times New Roman" w:hAnsi="Times New Roman" w:eastAsia="宋体" w:cs="Times New Roman"/>
      <w:sz w:val="20"/>
    </w:rPr>
  </w:style>
  <w:style w:type="character" w:styleId="1124" w:customStyle="1">
    <w:name w:val="标题 5 Char"/>
    <w:uiPriority w:val="0"/>
    <w:qFormat/>
    <w:rPr>
      <w:rFonts w:ascii="Times New Roman" w:hAnsi="Times New Roman" w:eastAsia="宋体" w:cs="Times New Roman"/>
      <w:b/>
      <w:sz w:val="20"/>
    </w:rPr>
  </w:style>
  <w:style w:type="character" w:styleId="1125" w:customStyle="1">
    <w:name w:val="链接"/>
    <w:uiPriority w:val="0"/>
    <w:qFormat/>
    <w:rPr>
      <w:rFonts w:ascii="Times New Roman" w:hAnsi="Times New Roman" w:eastAsia="宋体" w:cs="Times New Roman"/>
      <w:color w:val="0000ff"/>
      <w:sz w:val="20"/>
      <w:u w:val="single"/>
    </w:rPr>
  </w:style>
  <w:style w:type="character" w:styleId="1126" w:customStyle="1">
    <w:name w:val="18h1"/>
    <w:uiPriority w:val="0"/>
    <w:qFormat/>
    <w:rPr>
      <w:rFonts w:ascii="Times New Roman" w:hAnsi="Times New Roman" w:eastAsia="宋体" w:cs="Times New Roman"/>
      <w:color w:val="3b3b3b"/>
      <w:sz w:val="20"/>
    </w:rPr>
  </w:style>
  <w:style w:type="character" w:styleId="1127" w:customStyle="1">
    <w:name w:val="表格文字（两侧对齐） Char Char"/>
    <w:uiPriority w:val="0"/>
    <w:qFormat/>
    <w:rPr>
      <w:rFonts w:ascii="Times New Roman" w:hAnsi="Times New Roman" w:eastAsia="宋体" w:cs="Times New Roman"/>
      <w:sz w:val="20"/>
    </w:rPr>
  </w:style>
  <w:style w:type="character" w:styleId="1128" w:customStyle="1">
    <w:name w:val="正文文本缩进 2 Char"/>
    <w:uiPriority w:val="0"/>
    <w:qFormat/>
    <w:rPr>
      <w:rFonts w:ascii="Times New Roman" w:hAnsi="Times New Roman" w:eastAsia="宋体" w:cs="Times New Roman"/>
      <w:sz w:val="20"/>
    </w:rPr>
  </w:style>
  <w:style w:type="character" w:styleId="1129" w:customStyle="1">
    <w:name w:val="Char Char14"/>
    <w:uiPriority w:val="0"/>
    <w:qFormat/>
    <w:rPr>
      <w:rFonts w:ascii="Times New Roman" w:hAnsi="Times New Roman" w:eastAsia="宋体" w:cs="Times New Roman"/>
      <w:sz w:val="20"/>
    </w:rPr>
  </w:style>
  <w:style w:type="character" w:styleId="1130" w:customStyle="1">
    <w:name w:val="标题 1 Char1"/>
    <w:uiPriority w:val="0"/>
    <w:qFormat/>
    <w:rPr>
      <w:rFonts w:ascii="Times New Roman" w:hAnsi="Times New Roman" w:eastAsia="宋体" w:cs="Times New Roman"/>
      <w:b/>
      <w:sz w:val="20"/>
    </w:rPr>
  </w:style>
  <w:style w:type="character" w:styleId="1131" w:customStyle="1">
    <w:name w:val="批注框文本 Char"/>
    <w:uiPriority w:val="0"/>
    <w:qFormat/>
    <w:rPr>
      <w:rFonts w:ascii="Times New Roman" w:hAnsi="Times New Roman" w:eastAsia="宋体" w:cs="Times New Roman"/>
      <w:sz w:val="20"/>
    </w:rPr>
  </w:style>
  <w:style w:type="character" w:styleId="1132" w:customStyle="1">
    <w:name w:val="apple-style-span"/>
    <w:uiPriority w:val="0"/>
    <w:qFormat/>
    <w:rPr>
      <w:rFonts w:ascii="Times New Roman" w:hAnsi="Times New Roman" w:eastAsia="宋体" w:cs="Times New Roman"/>
      <w:sz w:val="20"/>
    </w:rPr>
  </w:style>
  <w:style w:type="character" w:styleId="1133" w:customStyle="1">
    <w:name w:val="插图 Char Char"/>
    <w:uiPriority w:val="0"/>
    <w:qFormat/>
    <w:rPr>
      <w:rFonts w:ascii="Times New Roman" w:hAnsi="Times New Roman" w:eastAsia="宋体" w:cs="Times New Roman"/>
      <w:sz w:val="20"/>
    </w:rPr>
  </w:style>
  <w:style w:type="character" w:styleId="1134" w:customStyle="1">
    <w:name w:val="标题 2 Char1"/>
    <w:uiPriority w:val="0"/>
    <w:qFormat/>
    <w:rPr>
      <w:rFonts w:ascii="Times New Roman" w:hAnsi="Times New Roman" w:eastAsia="宋体" w:cs="Times New Roman"/>
      <w:b/>
      <w:sz w:val="20"/>
    </w:rPr>
  </w:style>
  <w:style w:type="character" w:styleId="1135" w:customStyle="1">
    <w:name w:val="_Style 332"/>
    <w:uiPriority w:val="0"/>
    <w:qFormat/>
    <w:rPr>
      <w:rFonts w:ascii="Times New Roman" w:hAnsi="Times New Roman" w:eastAsia="宋体" w:cs="Times New Roman"/>
      <w:i/>
      <w:color w:val="auto"/>
      <w:sz w:val="21"/>
    </w:rPr>
  </w:style>
  <w:style w:type="character" w:styleId="1136" w:customStyle="1">
    <w:name w:val="正文文本 3 Char1"/>
    <w:uiPriority w:val="0"/>
    <w:qFormat/>
    <w:rPr>
      <w:rFonts w:ascii="Times New Roman" w:hAnsi="Times New Roman" w:eastAsia="宋体" w:cs="Times New Roman"/>
      <w:sz w:val="20"/>
    </w:rPr>
  </w:style>
  <w:style w:type="character" w:styleId="1137" w:customStyle="1">
    <w:name w:val="标题 5 Char1"/>
    <w:uiPriority w:val="0"/>
    <w:qFormat/>
    <w:rPr>
      <w:rFonts w:ascii="Times New Roman" w:hAnsi="Times New Roman" w:eastAsia="宋体" w:cs="Times New Roman"/>
      <w:b/>
      <w:sz w:val="20"/>
    </w:rPr>
  </w:style>
  <w:style w:type="character" w:styleId="1138" w:customStyle="1">
    <w:name w:val="批注主题 Char"/>
    <w:uiPriority w:val="0"/>
    <w:qFormat/>
    <w:rPr>
      <w:rFonts w:ascii="Times New Roman" w:hAnsi="Times New Roman" w:eastAsia="宋体" w:cs="Times New Roman"/>
      <w:b/>
      <w:sz w:val="20"/>
    </w:rPr>
  </w:style>
  <w:style w:type="character" w:styleId="1139" w:customStyle="1">
    <w:name w:val="标题 1 Char"/>
    <w:uiPriority w:val="0"/>
    <w:qFormat/>
    <w:rPr>
      <w:rFonts w:ascii="Times New Roman" w:hAnsi="Times New Roman" w:eastAsia="宋体" w:cs="Times New Roman"/>
      <w:b/>
      <w:sz w:val="20"/>
    </w:rPr>
  </w:style>
  <w:style w:type="character" w:styleId="1140" w:customStyle="1">
    <w:name w:val="正文文本 2 Char1"/>
    <w:uiPriority w:val="0"/>
    <w:qFormat/>
    <w:rPr>
      <w:rFonts w:ascii="Times New Roman" w:hAnsi="Times New Roman" w:eastAsia="宋体" w:cs="Times New Roman"/>
      <w:sz w:val="20"/>
    </w:rPr>
  </w:style>
  <w:style w:type="character" w:styleId="1141" w:customStyle="1">
    <w:name w:val="标题 4 Char1"/>
    <w:uiPriority w:val="0"/>
    <w:qFormat/>
    <w:rPr>
      <w:rFonts w:ascii="Times New Roman" w:hAnsi="Times New Roman" w:eastAsia="宋体" w:cs="Times New Roman"/>
      <w:b/>
      <w:sz w:val="20"/>
    </w:rPr>
  </w:style>
  <w:style w:type="character" w:styleId="1142" w:customStyle="1">
    <w:name w:val="正文文本 2 Char"/>
    <w:uiPriority w:val="0"/>
    <w:qFormat/>
    <w:rPr>
      <w:rFonts w:ascii="Times New Roman" w:hAnsi="Times New Roman" w:eastAsia="宋体" w:cs="Times New Roman"/>
      <w:sz w:val="20"/>
    </w:rPr>
  </w:style>
  <w:style w:type="character" w:styleId="1143" w:customStyle="1">
    <w:name w:val="_Style 376"/>
    <w:uiPriority w:val="0"/>
    <w:qFormat/>
    <w:rPr>
      <w:rFonts w:ascii="Times New Roman" w:hAnsi="Times New Roman" w:eastAsia="宋体" w:cs="Times New Roman"/>
      <w:b/>
      <w:color w:val="auto"/>
      <w:sz w:val="21"/>
    </w:rPr>
  </w:style>
  <w:style w:type="character" w:styleId="1144" w:customStyle="1">
    <w:name w:val="062"/>
    <w:uiPriority w:val="0"/>
    <w:qFormat/>
    <w:rPr>
      <w:rFonts w:ascii="Times New Roman" w:hAnsi="Times New Roman" w:eastAsia="宋体" w:cs="Times New Roman"/>
      <w:b/>
      <w:sz w:val="20"/>
    </w:rPr>
  </w:style>
  <w:style w:type="character" w:styleId="1145" w:customStyle="1">
    <w:name w:val="正文文本 Char1"/>
    <w:uiPriority w:val="0"/>
    <w:qFormat/>
    <w:rPr>
      <w:rFonts w:ascii="Times New Roman" w:hAnsi="Times New Roman" w:eastAsia="宋体" w:cs="Times New Roman"/>
      <w:sz w:val="20"/>
    </w:rPr>
  </w:style>
  <w:style w:type="character" w:styleId="1146" w:customStyle="1">
    <w:name w:val="题注 Char"/>
    <w:uiPriority w:val="0"/>
    <w:qFormat/>
    <w:rPr>
      <w:rFonts w:ascii="Times New Roman" w:hAnsi="Times New Roman" w:eastAsia="宋体" w:cs="Times New Roman"/>
      <w:sz w:val="20"/>
    </w:rPr>
  </w:style>
  <w:style w:type="character" w:styleId="1147" w:customStyle="1">
    <w:name w:val="脚注文本 Char"/>
    <w:uiPriority w:val="0"/>
    <w:qFormat/>
    <w:rPr>
      <w:rFonts w:ascii="Times New Roman" w:hAnsi="Times New Roman" w:eastAsia="宋体" w:cs="Times New Roman"/>
      <w:sz w:val="20"/>
    </w:rPr>
  </w:style>
  <w:style w:type="character" w:styleId="1148" w:customStyle="1">
    <w:name w:val="_Style 336"/>
    <w:uiPriority w:val="0"/>
    <w:qFormat/>
    <w:rPr>
      <w:rFonts w:ascii="Times New Roman" w:hAnsi="Times New Roman" w:eastAsia="宋体" w:cs="Times New Roman"/>
      <w:i/>
      <w:color w:val="auto"/>
      <w:sz w:val="21"/>
    </w:rPr>
  </w:style>
  <w:style w:type="character" w:styleId="1149" w:customStyle="1">
    <w:name w:val="表格 Char"/>
    <w:uiPriority w:val="0"/>
    <w:qFormat/>
    <w:rPr>
      <w:rFonts w:ascii="Times New Roman" w:hAnsi="Times New Roman" w:eastAsia="宋体" w:cs="Times New Roman"/>
      <w:color w:val="000000"/>
      <w:sz w:val="20"/>
    </w:rPr>
  </w:style>
  <w:style w:type="character" w:styleId="1150" w:customStyle="1">
    <w:name w:val="批注主题 字符"/>
    <w:uiPriority w:val="0"/>
    <w:qFormat/>
    <w:rPr>
      <w:rFonts w:ascii="Times New Roman" w:hAnsi="Times New Roman" w:eastAsia="宋体" w:cs="Times New Roman"/>
      <w:b/>
      <w:sz w:val="20"/>
    </w:rPr>
  </w:style>
  <w:style w:type="character" w:styleId="1151" w:customStyle="1">
    <w:name w:val="图注 Char Char"/>
    <w:uiPriority w:val="0"/>
    <w:qFormat/>
    <w:rPr>
      <w:rFonts w:ascii="Times New Roman" w:hAnsi="Times New Roman" w:eastAsia="宋体" w:cs="Times New Roman"/>
      <w:sz w:val="20"/>
    </w:rPr>
  </w:style>
  <w:style w:type="character" w:styleId="1152" w:customStyle="1">
    <w:name w:val="页码1"/>
    <w:uiPriority w:val="0"/>
    <w:qFormat/>
    <w:rPr>
      <w:rFonts w:ascii="Times New Roman" w:hAnsi="Times New Roman" w:eastAsia="宋体" w:cs="Times New Roman"/>
      <w:sz w:val="20"/>
    </w:rPr>
  </w:style>
  <w:style w:type="character" w:styleId="1153" w:customStyle="1">
    <w:name w:val="列表框1 Char Char"/>
    <w:uiPriority w:val="0"/>
    <w:qFormat/>
    <w:rPr>
      <w:rFonts w:ascii="Times New Roman" w:hAnsi="Times New Roman" w:eastAsia="宋体" w:cs="Times New Roman"/>
      <w:sz w:val="20"/>
    </w:rPr>
  </w:style>
  <w:style w:type="character" w:styleId="1154" w:customStyle="1">
    <w:name w:val="1ji Char"/>
    <w:uiPriority w:val="0"/>
    <w:qFormat/>
    <w:rPr>
      <w:rFonts w:ascii="Times New Roman" w:hAnsi="Times New Roman" w:eastAsia="宋体" w:cs="Times New Roman"/>
      <w:b/>
      <w:sz w:val="20"/>
    </w:rPr>
  </w:style>
  <w:style w:type="character" w:styleId="1155" w:customStyle="1">
    <w:name w:val="正文文本缩进 Char"/>
    <w:uiPriority w:val="0"/>
    <w:qFormat/>
    <w:rPr>
      <w:rFonts w:ascii="Times New Roman" w:hAnsi="Times New Roman" w:eastAsia="宋体" w:cs="Times New Roman"/>
      <w:sz w:val="20"/>
    </w:rPr>
  </w:style>
  <w:style w:type="character" w:styleId="1156" w:customStyle="1">
    <w:name w:val="标准文本 Char Char"/>
    <w:uiPriority w:val="0"/>
    <w:qFormat/>
    <w:rPr>
      <w:rFonts w:ascii="Times New Roman" w:hAnsi="Times New Roman" w:eastAsia="宋体" w:cs="Times New Roman"/>
      <w:sz w:val="20"/>
    </w:rPr>
  </w:style>
  <w:style w:type="character" w:styleId="1157" w:customStyle="1">
    <w:name w:val="表格用 Char"/>
    <w:uiPriority w:val="0"/>
    <w:qFormat/>
    <w:rPr>
      <w:rFonts w:ascii="Times New Roman" w:hAnsi="Times New Roman" w:eastAsia="宋体" w:cs="Times New Roman"/>
      <w:color w:val="000000"/>
      <w:sz w:val="20"/>
    </w:rPr>
  </w:style>
  <w:style w:type="character" w:styleId="1158" w:customStyle="1">
    <w:name w:val="标题 7 Char1"/>
    <w:uiPriority w:val="0"/>
    <w:qFormat/>
    <w:rPr>
      <w:rFonts w:ascii="Times New Roman" w:hAnsi="Times New Roman" w:eastAsia="宋体" w:cs="Times New Roman"/>
      <w:b/>
      <w:sz w:val="20"/>
    </w:rPr>
  </w:style>
  <w:style w:type="character" w:styleId="1159" w:customStyle="1">
    <w:name w:val="H 3 Char"/>
    <w:uiPriority w:val="0"/>
    <w:qFormat/>
    <w:rPr>
      <w:rFonts w:ascii="Times New Roman" w:hAnsi="Times New Roman" w:eastAsia="宋体" w:cs="Times New Roman"/>
      <w:b/>
      <w:sz w:val="20"/>
    </w:rPr>
  </w:style>
  <w:style w:type="character" w:styleId="1160" w:customStyle="1">
    <w:name w:val="正文文本缩进 3 字符"/>
    <w:uiPriority w:val="0"/>
    <w:qFormat/>
    <w:rPr>
      <w:rFonts w:ascii="Times New Roman" w:hAnsi="Times New Roman" w:eastAsia="宋体" w:cs="Times New Roman"/>
      <w:sz w:val="16"/>
      <w:szCs w:val="16"/>
    </w:rPr>
  </w:style>
  <w:style w:type="character" w:styleId="1161" w:customStyle="1">
    <w:name w:val="标题 Char"/>
    <w:uiPriority w:val="0"/>
    <w:qFormat/>
    <w:rPr>
      <w:rFonts w:ascii="Times New Roman" w:hAnsi="Times New Roman" w:eastAsia="宋体" w:cs="Times New Roman"/>
      <w:b/>
      <w:sz w:val="20"/>
    </w:rPr>
  </w:style>
  <w:style w:type="character" w:styleId="1162" w:customStyle="1">
    <w:name w:val="H 4 Char"/>
    <w:uiPriority w:val="0"/>
    <w:qFormat/>
    <w:rPr>
      <w:rFonts w:ascii="Times New Roman" w:hAnsi="Times New Roman" w:eastAsia="宋体" w:cs="Times New Roman"/>
      <w:b/>
      <w:sz w:val="20"/>
    </w:rPr>
  </w:style>
  <w:style w:type="character" w:styleId="1163" w:customStyle="1">
    <w:name w:val="批注主题 Char1"/>
    <w:uiPriority w:val="0"/>
    <w:qFormat/>
    <w:rPr>
      <w:rFonts w:ascii="Times New Roman" w:hAnsi="Times New Roman" w:eastAsia="宋体" w:cs="Times New Roman"/>
      <w:b/>
      <w:sz w:val="20"/>
    </w:rPr>
  </w:style>
  <w:style w:type="character" w:styleId="1164" w:customStyle="1">
    <w:name w:val="正文文本缩进 Char1"/>
    <w:uiPriority w:val="0"/>
    <w:qFormat/>
    <w:rPr>
      <w:rFonts w:ascii="Times New Roman" w:hAnsi="Times New Roman" w:eastAsia="宋体" w:cs="Times New Roman"/>
      <w:sz w:val="20"/>
    </w:rPr>
  </w:style>
  <w:style w:type="character" w:styleId="1165" w:customStyle="1">
    <w:name w:val="正文文本 3 Char"/>
    <w:uiPriority w:val="0"/>
    <w:qFormat/>
    <w:rPr>
      <w:rFonts w:ascii="Times New Roman" w:hAnsi="Times New Roman" w:eastAsia="宋体" w:cs="Times New Roman"/>
      <w:sz w:val="20"/>
    </w:rPr>
  </w:style>
  <w:style w:type="character" w:styleId="1166" w:customStyle="1">
    <w:name w:val="正文首行缩进 2 Char"/>
    <w:uiPriority w:val="0"/>
    <w:qFormat/>
    <w:rPr>
      <w:rFonts w:ascii="Times New Roman" w:hAnsi="Times New Roman" w:eastAsia="宋体" w:cs="Times New Roman"/>
      <w:sz w:val="20"/>
    </w:rPr>
  </w:style>
  <w:style w:type="character" w:styleId="1167" w:customStyle="1">
    <w:name w:val="页眉 Char1"/>
    <w:uiPriority w:val="0"/>
    <w:qFormat/>
    <w:rPr>
      <w:rFonts w:ascii="Times New Roman" w:hAnsi="Times New Roman" w:eastAsia="宋体" w:cs="Times New Roman"/>
      <w:sz w:val="20"/>
    </w:rPr>
  </w:style>
  <w:style w:type="character" w:styleId="1168" w:customStyle="1">
    <w:name w:val="Char Char2"/>
    <w:uiPriority w:val="0"/>
    <w:qFormat/>
    <w:rPr>
      <w:rFonts w:ascii="Times New Roman" w:hAnsi="Times New Roman" w:eastAsia="宋体" w:cs="Times New Roman"/>
      <w:sz w:val="20"/>
    </w:rPr>
  </w:style>
  <w:style w:type="character" w:styleId="1169" w:customStyle="1">
    <w:name w:val="样式 首行缩进:  2 字符 Char1"/>
    <w:uiPriority w:val="0"/>
    <w:qFormat/>
    <w:rPr>
      <w:rFonts w:ascii="Times New Roman" w:hAnsi="Times New Roman" w:eastAsia="宋体" w:cs="Times New Roman"/>
      <w:sz w:val="20"/>
    </w:rPr>
  </w:style>
  <w:style w:type="character" w:styleId="1170" w:customStyle="1">
    <w:name w:val="标题 2 Char"/>
    <w:uiPriority w:val="0"/>
    <w:qFormat/>
    <w:rPr>
      <w:rFonts w:ascii="Times New Roman" w:hAnsi="Times New Roman" w:eastAsia="宋体" w:cs="Times New Roman"/>
      <w:b/>
      <w:sz w:val="20"/>
    </w:rPr>
  </w:style>
  <w:style w:type="character" w:styleId="1171" w:customStyle="1">
    <w:name w:val="表格文字图表文字 Char Char"/>
    <w:uiPriority w:val="0"/>
    <w:qFormat/>
    <w:rPr>
      <w:rFonts w:ascii="Times New Roman" w:hAnsi="Times New Roman" w:eastAsia="宋体" w:cs="Times New Roman"/>
      <w:sz w:val="20"/>
    </w:rPr>
  </w:style>
  <w:style w:type="character" w:styleId="1172" w:customStyle="1">
    <w:name w:val="图片 Char"/>
    <w:uiPriority w:val="0"/>
    <w:qFormat/>
    <w:rPr>
      <w:rFonts w:ascii="Times New Roman" w:hAnsi="Times New Roman" w:eastAsia="宋体" w:cs="Times New Roman"/>
      <w:sz w:val="20"/>
    </w:rPr>
  </w:style>
  <w:style w:type="character" w:styleId="1173" w:customStyle="1">
    <w:name w:val="标题 6 Char"/>
    <w:uiPriority w:val="0"/>
    <w:qFormat/>
    <w:rPr>
      <w:rFonts w:ascii="Times New Roman" w:hAnsi="Times New Roman" w:eastAsia="宋体" w:cs="Times New Roman"/>
      <w:b/>
      <w:sz w:val="20"/>
    </w:rPr>
  </w:style>
  <w:style w:type="character" w:styleId="1174" w:customStyle="1">
    <w:name w:val="标题 4 Char"/>
    <w:uiPriority w:val="0"/>
    <w:qFormat/>
    <w:rPr>
      <w:rFonts w:ascii="Times New Roman" w:hAnsi="Times New Roman" w:eastAsia="宋体" w:cs="Times New Roman"/>
      <w:b/>
      <w:sz w:val="20"/>
    </w:rPr>
  </w:style>
  <w:style w:type="character" w:styleId="1175" w:customStyle="1">
    <w:name w:val="文档结构图 Char1"/>
    <w:uiPriority w:val="0"/>
    <w:qFormat/>
    <w:rPr>
      <w:rFonts w:ascii="Times New Roman" w:hAnsi="Times New Roman" w:eastAsia="宋体" w:cs="Times New Roman"/>
      <w:sz w:val="20"/>
    </w:rPr>
  </w:style>
  <w:style w:type="character" w:styleId="1176" w:customStyle="1">
    <w:name w:val="项目符0 Char"/>
    <w:uiPriority w:val="0"/>
    <w:qFormat/>
    <w:rPr>
      <w:rFonts w:ascii="Times New Roman" w:hAnsi="Times New Roman" w:eastAsia="宋体" w:cs="Times New Roman"/>
      <w:sz w:val="20"/>
    </w:rPr>
  </w:style>
  <w:style w:type="character" w:styleId="1177" w:customStyle="1">
    <w:name w:val="正文文本缩进 3 Char"/>
    <w:uiPriority w:val="0"/>
    <w:qFormat/>
    <w:rPr>
      <w:rFonts w:ascii="Times New Roman" w:hAnsi="Times New Roman" w:eastAsia="宋体" w:cs="Times New Roman"/>
      <w:sz w:val="20"/>
    </w:rPr>
  </w:style>
  <w:style w:type="character" w:styleId="1178" w:customStyle="1">
    <w:name w:val="Char Char3"/>
    <w:uiPriority w:val="0"/>
    <w:qFormat/>
    <w:rPr>
      <w:rFonts w:ascii="Times New Roman" w:hAnsi="Times New Roman" w:eastAsia="宋体" w:cs="Times New Roman"/>
      <w:sz w:val="20"/>
    </w:rPr>
  </w:style>
  <w:style w:type="character" w:styleId="1179" w:customStyle="1">
    <w:name w:val="纯文本 Char"/>
    <w:uiPriority w:val="0"/>
    <w:qFormat/>
    <w:rPr>
      <w:rFonts w:ascii="Times New Roman" w:hAnsi="Times New Roman" w:eastAsia="宋体" w:cs="Times New Roman"/>
      <w:sz w:val="20"/>
    </w:rPr>
  </w:style>
  <w:style w:type="character" w:styleId="1180" w:customStyle="1">
    <w:name w:val="正文文本缩进 2 Char1"/>
    <w:uiPriority w:val="0"/>
    <w:qFormat/>
    <w:rPr>
      <w:rFonts w:ascii="Times New Roman" w:hAnsi="Times New Roman" w:eastAsia="宋体" w:cs="Times New Roman"/>
      <w:sz w:val="20"/>
    </w:rPr>
  </w:style>
  <w:style w:type="character" w:styleId="1181" w:customStyle="1">
    <w:name w:val="标题 8 Char"/>
    <w:uiPriority w:val="0"/>
    <w:qFormat/>
    <w:rPr>
      <w:rFonts w:ascii="Times New Roman" w:hAnsi="Times New Roman" w:eastAsia="宋体" w:cs="Times New Roman"/>
      <w:sz w:val="20"/>
    </w:rPr>
  </w:style>
  <w:style w:type="character" w:styleId="1182" w:customStyle="1">
    <w:name w:val="标题 6 Char1"/>
    <w:uiPriority w:val="0"/>
    <w:qFormat/>
    <w:rPr>
      <w:rFonts w:ascii="Times New Roman" w:hAnsi="Times New Roman" w:eastAsia="宋体" w:cs="Times New Roman"/>
      <w:b/>
      <w:sz w:val="20"/>
    </w:rPr>
  </w:style>
  <w:style w:type="character" w:styleId="1183" w:customStyle="1">
    <w:name w:val="case31"/>
    <w:uiPriority w:val="0"/>
    <w:qFormat/>
    <w:rPr>
      <w:rFonts w:ascii="Times New Roman" w:hAnsi="Times New Roman" w:eastAsia="宋体" w:cs="Times New Roman"/>
      <w:sz w:val="20"/>
    </w:rPr>
  </w:style>
  <w:style w:type="character" w:styleId="1184" w:customStyle="1">
    <w:name w:val="正文文本 Char"/>
    <w:uiPriority w:val="0"/>
    <w:qFormat/>
    <w:rPr>
      <w:rFonts w:ascii="Times New Roman" w:hAnsi="Times New Roman" w:eastAsia="宋体" w:cs="Times New Roman"/>
      <w:sz w:val="20"/>
    </w:rPr>
  </w:style>
  <w:style w:type="paragraph" w:styleId="1185" w:customStyle="1">
    <w:name w:val="节标题"/>
    <w:basedOn w:val="857"/>
    <w:next w:val="1186"/>
    <w:uiPriority w:val="0"/>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863"/>
    <w:next w:val="856"/>
    <w:uiPriority w:val="0"/>
    <w:qFormat/>
    <w:pPr>
      <w:ind w:left="1134" w:firstLine="20"/>
      <w:spacing w:before="280" w:after="280" w:line="360" w:lineRule="auto"/>
      <w:outlineLvl w:val="5"/>
    </w:pPr>
  </w:style>
  <w:style w:type="paragraph" w:styleId="1187" w:customStyle="1">
    <w:name w:val="正文段"/>
    <w:basedOn w:val="857"/>
    <w:next w:val="1188"/>
    <w:uiPriority w:val="0"/>
    <w:qFormat/>
    <w:pPr>
      <w:ind w:left="454" w:firstLine="1222"/>
      <w:spacing w:before="0" w:after="240" w:line="240" w:lineRule="atLeast"/>
    </w:pPr>
    <w:rPr>
      <w:rFonts w:ascii="Times New Roman" w:hAnsi="Times New Roman" w:cs="Times New Roman"/>
    </w:rPr>
  </w:style>
  <w:style w:type="paragraph" w:styleId="1188" w:customStyle="1">
    <w:name w:val="批注主题1"/>
    <w:next w:val="856"/>
    <w:uiPriority w:val="0"/>
    <w:qFormat/>
    <w:pPr>
      <w:ind w:left="200" w:firstLine="4808"/>
      <w:spacing w:line="360" w:lineRule="auto"/>
    </w:pPr>
    <w:rPr>
      <w:rFonts w:hint="default" w:ascii="Calibri" w:hAnsi="Calibri" w:eastAsia="宋体" w:cs="宋体"/>
    </w:rPr>
  </w:style>
  <w:style w:type="paragraph" w:styleId="1189" w:customStyle="1">
    <w:name w:val="_Style 224"/>
    <w:next w:val="1190"/>
    <w:uiPriority w:val="0"/>
    <w:qFormat/>
    <w:pPr>
      <w:ind w:firstLine="3584"/>
    </w:pPr>
    <w:rPr>
      <w:rFonts w:hint="default" w:ascii="Calibri" w:hAnsi="Calibri" w:eastAsia="宋体" w:cs="宋体"/>
    </w:rPr>
  </w:style>
  <w:style w:type="paragraph" w:styleId="1190" w:customStyle="1">
    <w:name w:val="编号1"/>
    <w:basedOn w:val="857"/>
    <w:next w:val="1191"/>
    <w:uiPriority w:val="0"/>
    <w:qFormat/>
    <w:pPr>
      <w:ind w:left="360" w:right="210" w:firstLine="2200"/>
      <w:spacing w:before="0" w:after="0" w:line="240" w:lineRule="auto"/>
    </w:pPr>
    <w:rPr>
      <w:rFonts w:ascii="Times New Roman" w:hAnsi="Times New Roman" w:cs="Times New Roman"/>
    </w:rPr>
  </w:style>
  <w:style w:type="paragraph" w:styleId="1191" w:customStyle="1">
    <w:name w:val="图片"/>
    <w:basedOn w:val="857"/>
    <w:next w:val="1192"/>
    <w:uiPriority w:val="0"/>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909"/>
    <w:uiPriority w:val="0"/>
    <w:qFormat/>
    <w:pPr>
      <w:ind w:left="400" w:firstLine="5120"/>
      <w:spacing w:line="360" w:lineRule="auto"/>
      <w:widowControl w:val="off"/>
    </w:pPr>
    <w:rPr>
      <w:rFonts w:hint="default" w:ascii="Calibri" w:hAnsi="Calibri" w:eastAsia="宋体" w:cs="宋体"/>
    </w:rPr>
  </w:style>
  <w:style w:type="paragraph" w:styleId="1193" w:customStyle="1">
    <w:name w:val="图注"/>
    <w:next w:val="1194"/>
    <w:uiPriority w:val="0"/>
    <w:qFormat/>
    <w:pPr>
      <w:ind w:left="360" w:firstLine="2152"/>
      <w:jc w:val="center"/>
    </w:pPr>
    <w:rPr>
      <w:rFonts w:hint="default" w:ascii="Calibri" w:hAnsi="Calibri" w:eastAsia="宋体" w:cs="宋体"/>
    </w:rPr>
  </w:style>
  <w:style w:type="paragraph" w:styleId="1194" w:customStyle="1">
    <w:name w:val="列表编号 41"/>
    <w:basedOn w:val="857"/>
    <w:next w:val="1195"/>
    <w:uiPriority w:val="0"/>
    <w:qFormat/>
    <w:pPr>
      <w:ind w:left="1620" w:firstLine="2712"/>
      <w:spacing w:before="0" w:after="0" w:line="360" w:lineRule="auto"/>
    </w:pPr>
    <w:rPr>
      <w:rFonts w:ascii="Times New Roman" w:hAnsi="Times New Roman" w:cs="Times New Roman"/>
    </w:rPr>
  </w:style>
  <w:style w:type="paragraph" w:styleId="1195" w:customStyle="1">
    <w:name w:val="项目符0"/>
    <w:basedOn w:val="857"/>
    <w:next w:val="1196"/>
    <w:uiPriority w:val="0"/>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uiPriority w:val="0"/>
    <w:qFormat/>
    <w:pPr>
      <w:ind w:firstLine="5632"/>
      <w:widowControl w:val="off"/>
    </w:pPr>
    <w:rPr>
      <w:rFonts w:hint="default" w:ascii="Calibri" w:hAnsi="Calibri" w:eastAsia="宋体" w:cs="宋体"/>
    </w:rPr>
  </w:style>
  <w:style w:type="paragraph" w:styleId="1197" w:customStyle="1">
    <w:name w:val="Item Step in Table"/>
    <w:next w:val="1198"/>
    <w:uiPriority w:val="0"/>
    <w:qFormat/>
    <w:pPr>
      <w:ind w:left="397" w:firstLine="3699"/>
      <w:jc w:val="both"/>
      <w:spacing w:before="40" w:after="40"/>
    </w:pPr>
    <w:rPr>
      <w:rFonts w:hint="default" w:ascii="Calibri" w:hAnsi="Calibri" w:eastAsia="宋体" w:cs="宋体"/>
    </w:rPr>
  </w:style>
  <w:style w:type="paragraph" w:styleId="1198" w:customStyle="1">
    <w:name w:val="Char Char Char Char Char Char1 Char Char Char Char Char Char"/>
    <w:basedOn w:val="857"/>
    <w:next w:val="1199"/>
    <w:uiPriority w:val="0"/>
    <w:qFormat/>
    <w:pPr>
      <w:ind w:left="0" w:firstLine="2560"/>
      <w:spacing w:before="0" w:after="0" w:line="240" w:lineRule="auto"/>
    </w:pPr>
    <w:rPr>
      <w:rFonts w:ascii="Times New Roman" w:hAnsi="Times New Roman" w:cs="Times New Roman"/>
    </w:rPr>
  </w:style>
  <w:style w:type="paragraph" w:styleId="1199" w:customStyle="1">
    <w:name w:val="Char Char1"/>
    <w:basedOn w:val="857"/>
    <w:next w:val="1200"/>
    <w:uiPriority w:val="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860"/>
    <w:next w:val="916"/>
    <w:uiPriority w:val="0"/>
    <w:qFormat/>
    <w:pPr>
      <w:ind w:left="200" w:firstLine="18"/>
      <w:spacing w:before="0" w:after="0" w:line="360" w:lineRule="auto"/>
      <w:outlineLvl w:val="2"/>
    </w:pPr>
  </w:style>
  <w:style w:type="paragraph" w:styleId="1201" w:customStyle="1">
    <w:name w:val="xl76"/>
    <w:basedOn w:val="857"/>
    <w:next w:val="913"/>
    <w:uiPriority w:val="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857"/>
    <w:next w:val="120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857"/>
    <w:next w:val="895"/>
    <w:uiPriority w:val="0"/>
    <w:qFormat/>
    <w:pPr>
      <w:ind w:left="0" w:firstLine="2560"/>
      <w:spacing w:before="0" w:after="0" w:line="240" w:lineRule="auto"/>
    </w:pPr>
    <w:rPr>
      <w:rFonts w:ascii="Times New Roman" w:hAnsi="Times New Roman" w:cs="Times New Roman"/>
    </w:rPr>
  </w:style>
  <w:style w:type="paragraph" w:styleId="1204" w:customStyle="1">
    <w:name w:val="纯文本2"/>
    <w:basedOn w:val="857"/>
    <w:next w:val="1205"/>
    <w:uiPriority w:val="0"/>
    <w:qFormat/>
    <w:pPr>
      <w:ind w:left="0" w:firstLine="3584"/>
      <w:spacing w:before="0" w:after="0" w:line="240" w:lineRule="auto"/>
    </w:pPr>
    <w:rPr>
      <w:rFonts w:ascii="Times New Roman" w:hAnsi="Times New Roman" w:cs="Times New Roman"/>
    </w:rPr>
  </w:style>
  <w:style w:type="paragraph" w:styleId="1205" w:customStyle="1">
    <w:name w:val="xl69"/>
    <w:basedOn w:val="857"/>
    <w:next w:val="1206"/>
    <w:uiPriority w:val="0"/>
    <w:qFormat/>
    <w:pPr>
      <w:ind w:left="0" w:firstLine="3584"/>
      <w:spacing w:before="280" w:after="280" w:line="240" w:lineRule="auto"/>
    </w:pPr>
    <w:rPr>
      <w:rFonts w:ascii="Times New Roman" w:hAnsi="Times New Roman" w:cs="Times New Roman"/>
    </w:rPr>
  </w:style>
  <w:style w:type="paragraph" w:styleId="1206" w:customStyle="1">
    <w:name w:val="Char Char Char"/>
    <w:basedOn w:val="857"/>
    <w:next w:val="1207"/>
    <w:uiPriority w:val="0"/>
    <w:qFormat/>
    <w:pPr>
      <w:ind w:left="0" w:firstLine="2560"/>
      <w:spacing w:before="0" w:after="0" w:line="240" w:lineRule="auto"/>
    </w:pPr>
    <w:rPr>
      <w:rFonts w:ascii="Times New Roman" w:hAnsi="Times New Roman" w:cs="Times New Roman"/>
    </w:rPr>
  </w:style>
  <w:style w:type="paragraph" w:styleId="1207" w:customStyle="1">
    <w:name w:val="表格"/>
    <w:basedOn w:val="857"/>
    <w:next w:val="1202"/>
    <w:uiPriority w:val="0"/>
    <w:qFormat/>
    <w:pPr>
      <w:ind w:left="0" w:firstLine="2560"/>
      <w:spacing w:before="0" w:after="0" w:line="360" w:lineRule="auto"/>
    </w:pPr>
    <w:rPr>
      <w:rFonts w:ascii="Times New Roman" w:hAnsi="Times New Roman" w:cs="Times New Roman"/>
    </w:rPr>
  </w:style>
  <w:style w:type="paragraph" w:styleId="1208" w:customStyle="1">
    <w:name w:val="xl68"/>
    <w:basedOn w:val="857"/>
    <w:next w:val="1209"/>
    <w:uiPriority w:val="0"/>
    <w:qFormat/>
    <w:pPr>
      <w:ind w:left="100" w:firstLine="5220"/>
      <w:spacing w:before="280" w:after="280" w:line="240" w:lineRule="auto"/>
    </w:pPr>
    <w:rPr>
      <w:rFonts w:ascii="Times New Roman" w:hAnsi="Times New Roman" w:cs="Times New Roman"/>
    </w:rPr>
  </w:style>
  <w:style w:type="paragraph" w:styleId="1209" w:customStyle="1">
    <w:name w:val="Char1"/>
    <w:basedOn w:val="857"/>
    <w:next w:val="1210"/>
    <w:uiPriority w:val="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857"/>
    <w:next w:val="1211"/>
    <w:uiPriority w:val="0"/>
    <w:qFormat/>
    <w:pPr>
      <w:ind w:left="437" w:firstLine="2741"/>
      <w:spacing w:before="0" w:after="0" w:line="360" w:lineRule="auto"/>
    </w:pPr>
    <w:rPr>
      <w:rFonts w:ascii="Times New Roman" w:hAnsi="Times New Roman" w:cs="Times New Roman"/>
    </w:rPr>
  </w:style>
  <w:style w:type="paragraph" w:styleId="1211" w:customStyle="1">
    <w:name w:val="xl74"/>
    <w:basedOn w:val="857"/>
    <w:next w:val="121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857"/>
    <w:next w:val="1213"/>
    <w:uiPriority w:val="0"/>
    <w:qFormat/>
    <w:pPr>
      <w:ind w:left="0" w:firstLine="5120"/>
      <w:spacing w:before="280" w:after="280" w:line="240" w:lineRule="auto"/>
    </w:pPr>
    <w:rPr>
      <w:rFonts w:ascii="Times New Roman" w:hAnsi="Times New Roman" w:cs="Times New Roman"/>
    </w:rPr>
  </w:style>
  <w:style w:type="paragraph" w:styleId="1213" w:customStyle="1">
    <w:name w:val="xl70"/>
    <w:basedOn w:val="857"/>
    <w:next w:val="912"/>
    <w:uiPriority w:val="0"/>
    <w:qFormat/>
    <w:pPr>
      <w:ind w:left="0" w:firstLine="1024"/>
      <w:spacing w:before="280" w:after="280" w:line="240" w:lineRule="auto"/>
    </w:pPr>
    <w:rPr>
      <w:rFonts w:ascii="Times New Roman" w:hAnsi="Times New Roman" w:cs="Times New Roman"/>
    </w:rPr>
  </w:style>
  <w:style w:type="paragraph" w:styleId="1214" w:customStyle="1">
    <w:name w:val="文档标题5"/>
    <w:basedOn w:val="862"/>
    <w:next w:val="856"/>
    <w:uiPriority w:val="0"/>
    <w:qFormat/>
    <w:pPr>
      <w:ind w:left="992" w:firstLine="18"/>
      <w:spacing w:before="280" w:after="280" w:line="360" w:lineRule="auto"/>
      <w:outlineLvl w:val="4"/>
    </w:pPr>
  </w:style>
  <w:style w:type="paragraph" w:styleId="1215" w:customStyle="1">
    <w:name w:val="样式 加粗 居中"/>
    <w:basedOn w:val="857"/>
    <w:next w:val="1216"/>
    <w:uiPriority w:val="0"/>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uiPriority w:val="0"/>
    <w:qFormat/>
    <w:pPr>
      <w:ind w:firstLine="14"/>
      <w:spacing w:line="360" w:lineRule="auto"/>
      <w:shd w:val="clear" w:color="000000" w:fill="000080"/>
    </w:pPr>
    <w:rPr>
      <w:rFonts w:hint="default" w:ascii="Calibri" w:hAnsi="Calibri" w:eastAsia="宋体" w:cs="宋体"/>
    </w:rPr>
  </w:style>
  <w:style w:type="paragraph" w:styleId="1217" w:customStyle="1">
    <w:name w:val="正文文本缩进1"/>
    <w:basedOn w:val="857"/>
    <w:next w:val="1218"/>
    <w:uiPriority w:val="0"/>
    <w:qFormat/>
    <w:pPr>
      <w:ind w:left="420" w:firstLine="3584"/>
      <w:spacing w:before="0" w:after="120" w:line="240" w:lineRule="auto"/>
    </w:pPr>
    <w:rPr>
      <w:rFonts w:ascii="Times New Roman" w:hAnsi="Times New Roman" w:cs="Times New Roman"/>
    </w:rPr>
  </w:style>
  <w:style w:type="paragraph" w:styleId="1218" w:customStyle="1">
    <w:name w:val="列表编号 31"/>
    <w:basedOn w:val="857"/>
    <w:next w:val="914"/>
    <w:uiPriority w:val="0"/>
    <w:qFormat/>
    <w:pPr>
      <w:ind w:left="1200" w:firstLine="2712"/>
      <w:spacing w:before="0" w:after="0" w:line="360" w:lineRule="auto"/>
    </w:pPr>
    <w:rPr>
      <w:rFonts w:ascii="Times New Roman" w:hAnsi="Times New Roman" w:cs="Times New Roman"/>
    </w:rPr>
  </w:style>
  <w:style w:type="paragraph" w:styleId="1219" w:customStyle="1">
    <w:name w:val="三号 居中"/>
    <w:basedOn w:val="857"/>
    <w:next w:val="1220"/>
    <w:uiPriority w:val="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857"/>
    <w:next w:val="1221"/>
    <w:uiPriority w:val="0"/>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857"/>
    <w:next w:val="1222"/>
    <w:uiPriority w:val="0"/>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857"/>
    <w:next w:val="1223"/>
    <w:uiPriority w:val="0"/>
    <w:qFormat/>
    <w:pPr>
      <w:ind w:left="0" w:firstLine="2560"/>
      <w:spacing w:before="0" w:after="0" w:line="240" w:lineRule="auto"/>
    </w:pPr>
    <w:rPr>
      <w:rFonts w:ascii="Times New Roman" w:hAnsi="Times New Roman" w:cs="Times New Roman"/>
    </w:rPr>
  </w:style>
  <w:style w:type="paragraph" w:styleId="1223" w:customStyle="1">
    <w:name w:val="正文符号4"/>
    <w:basedOn w:val="857"/>
    <w:next w:val="1215"/>
    <w:uiPriority w:val="0"/>
    <w:qFormat/>
    <w:pPr>
      <w:ind w:left="0" w:firstLine="5632"/>
      <w:spacing w:before="0" w:after="0" w:line="240" w:lineRule="auto"/>
    </w:pPr>
    <w:rPr>
      <w:rFonts w:ascii="Times New Roman" w:hAnsi="Times New Roman" w:cs="Times New Roman"/>
    </w:rPr>
  </w:style>
  <w:style w:type="paragraph" w:styleId="1224" w:customStyle="1">
    <w:name w:val="加粗（居中）"/>
    <w:next w:val="1225"/>
    <w:uiPriority w:val="0"/>
    <w:qFormat/>
    <w:pPr>
      <w:ind w:firstLine="2560"/>
    </w:pPr>
    <w:rPr>
      <w:rFonts w:hint="default" w:ascii="Calibri" w:hAnsi="Calibri" w:eastAsia="宋体" w:cs="宋体"/>
    </w:rPr>
  </w:style>
  <w:style w:type="paragraph" w:styleId="1225" w:customStyle="1">
    <w:name w:val="xl65"/>
    <w:basedOn w:val="857"/>
    <w:next w:val="1185"/>
    <w:uiPriority w:val="0"/>
    <w:qFormat/>
    <w:pPr>
      <w:ind w:left="0" w:firstLine="5120"/>
      <w:spacing w:before="280" w:after="280" w:line="240" w:lineRule="auto"/>
    </w:pPr>
    <w:rPr>
      <w:rFonts w:ascii="Times New Roman" w:hAnsi="Times New Roman" w:cs="Times New Roman"/>
    </w:rPr>
  </w:style>
  <w:style w:type="paragraph" w:styleId="1226" w:customStyle="1">
    <w:name w:val="WPSOffice手动目录 3"/>
    <w:uiPriority w:val="0"/>
    <w:qFormat/>
    <w:pPr>
      <w:ind w:left="400"/>
    </w:pPr>
    <w:rPr>
      <w:rFonts w:hint="default" w:ascii="宋体" w:hAnsi="宋体" w:eastAsia="宋体" w:cs="宋体"/>
    </w:rPr>
  </w:style>
  <w:style w:type="paragraph" w:styleId="1227" w:customStyle="1">
    <w:name w:val="xl77"/>
    <w:basedOn w:val="857"/>
    <w:next w:val="1228"/>
    <w:uiPriority w:val="0"/>
    <w:qFormat/>
    <w:pPr>
      <w:ind w:left="0" w:firstLine="3584"/>
      <w:spacing w:before="280" w:after="280" w:line="240" w:lineRule="auto"/>
    </w:pPr>
    <w:rPr>
      <w:rFonts w:ascii="Times New Roman" w:hAnsi="Times New Roman" w:cs="Times New Roman"/>
    </w:rPr>
  </w:style>
  <w:style w:type="paragraph" w:styleId="1228" w:customStyle="1">
    <w:name w:val="Char Char Char1"/>
    <w:basedOn w:val="857"/>
    <w:next w:val="1229"/>
    <w:uiPriority w:val="0"/>
    <w:qFormat/>
    <w:pPr>
      <w:ind w:left="900" w:firstLine="2096"/>
      <w:spacing w:before="0" w:after="0" w:line="240" w:lineRule="auto"/>
    </w:pPr>
    <w:rPr>
      <w:rFonts w:ascii="Times New Roman" w:hAnsi="Times New Roman" w:cs="Times New Roman"/>
    </w:rPr>
  </w:style>
  <w:style w:type="paragraph" w:styleId="1229" w:customStyle="1">
    <w:name w:val="索引 21"/>
    <w:basedOn w:val="857"/>
    <w:next w:val="856"/>
    <w:uiPriority w:val="0"/>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uiPriority w:val="0"/>
    <w:qFormat/>
    <w:pPr>
      <w:ind w:left="480" w:firstLine="2784"/>
      <w:jc w:val="center"/>
      <w:spacing w:line="300" w:lineRule="auto"/>
    </w:pPr>
    <w:rPr>
      <w:rFonts w:hint="default" w:ascii="Calibri" w:hAnsi="Calibri" w:eastAsia="宋体" w:cs="宋体"/>
    </w:rPr>
  </w:style>
  <w:style w:type="paragraph" w:styleId="1231" w:customStyle="1">
    <w:name w:val="xl28"/>
    <w:basedOn w:val="857"/>
    <w:next w:val="1232"/>
    <w:uiPriority w:val="0"/>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857"/>
    <w:next w:val="1233"/>
    <w:uiPriority w:val="0"/>
    <w:qFormat/>
    <w:pPr>
      <w:ind w:left="0" w:firstLine="3584"/>
      <w:spacing w:before="0" w:after="0" w:line="253" w:lineRule="atLeast"/>
    </w:pPr>
    <w:rPr>
      <w:rFonts w:ascii="Times New Roman" w:hAnsi="Times New Roman" w:cs="Times New Roman"/>
    </w:rPr>
  </w:style>
  <w:style w:type="paragraph" w:styleId="1233" w:customStyle="1">
    <w:name w:val="项目符号：一级"/>
    <w:basedOn w:val="857"/>
    <w:next w:val="856"/>
    <w:uiPriority w:val="0"/>
    <w:qFormat/>
    <w:pPr>
      <w:ind w:left="425" w:firstLine="1111"/>
      <w:spacing w:before="0" w:after="0" w:line="360" w:lineRule="auto"/>
    </w:pPr>
    <w:rPr>
      <w:rFonts w:ascii="Times New Roman" w:hAnsi="Times New Roman" w:cs="Times New Roman"/>
    </w:rPr>
  </w:style>
  <w:style w:type="paragraph" w:styleId="1234" w:customStyle="1">
    <w:name w:val="Default"/>
    <w:next w:val="890"/>
    <w:uiPriority w:val="0"/>
    <w:qFormat/>
    <w:pPr>
      <w:ind w:firstLine="5120"/>
      <w:widowControl w:val="off"/>
    </w:pPr>
    <w:rPr>
      <w:rFonts w:hint="default" w:ascii="Calibri" w:hAnsi="Calibri" w:eastAsia="宋体" w:cs="宋体"/>
    </w:rPr>
  </w:style>
  <w:style w:type="paragraph" w:styleId="1235" w:customStyle="1">
    <w:name w:val="xl84"/>
    <w:basedOn w:val="857"/>
    <w:next w:val="1236"/>
    <w:uiPriority w:val="0"/>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859"/>
    <w:next w:val="1237"/>
    <w:uiPriority w:val="0"/>
    <w:qFormat/>
    <w:pPr>
      <w:ind w:left="0" w:firstLine="24"/>
      <w:jc w:val="center"/>
      <w:spacing w:before="0" w:after="0" w:line="360" w:lineRule="auto"/>
      <w:outlineLvl w:val="1"/>
    </w:pPr>
  </w:style>
  <w:style w:type="paragraph" w:styleId="1237" w:customStyle="1">
    <w:name w:val="应答文本"/>
    <w:basedOn w:val="857"/>
    <w:next w:val="1238"/>
    <w:uiPriority w:val="0"/>
    <w:qFormat/>
    <w:pPr>
      <w:ind w:left="1296" w:firstLine="2112"/>
      <w:spacing w:before="0" w:after="0" w:line="460" w:lineRule="exact"/>
    </w:pPr>
    <w:rPr>
      <w:rFonts w:ascii="Times New Roman" w:hAnsi="Times New Roman" w:cs="Times New Roman"/>
    </w:rPr>
  </w:style>
  <w:style w:type="paragraph" w:styleId="1238" w:customStyle="1">
    <w:name w:val="引文目录1"/>
    <w:basedOn w:val="857"/>
    <w:next w:val="856"/>
    <w:uiPriority w:val="0"/>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856"/>
    <w:uiPriority w:val="0"/>
    <w:qFormat/>
    <w:pPr>
      <w:ind w:firstLine="480"/>
    </w:pPr>
    <w:rPr>
      <w:rFonts w:ascii="Times New Roman" w:hAnsi="Times New Roman" w:cs="Times New Roman"/>
      <w:lang w:val="zh-CN"/>
    </w:rPr>
  </w:style>
  <w:style w:type="paragraph" w:styleId="1240" w:customStyle="1">
    <w:name w:val="font9"/>
    <w:basedOn w:val="857"/>
    <w:next w:val="1241"/>
    <w:uiPriority w:val="0"/>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860"/>
    <w:next w:val="1242"/>
    <w:uiPriority w:val="0"/>
    <w:qFormat/>
    <w:pPr>
      <w:ind w:left="0"/>
      <w:spacing w:before="0" w:after="0" w:line="400" w:lineRule="exact"/>
      <w:outlineLvl w:val="2"/>
    </w:pPr>
  </w:style>
  <w:style w:type="paragraph" w:styleId="1242" w:customStyle="1">
    <w:name w:val="标书正文"/>
    <w:basedOn w:val="857"/>
    <w:next w:val="1243"/>
    <w:uiPriority w:val="0"/>
    <w:qFormat/>
    <w:pPr>
      <w:ind w:left="440" w:right="100" w:firstLine="2760"/>
      <w:spacing w:before="0" w:after="0" w:line="360" w:lineRule="auto"/>
    </w:pPr>
    <w:rPr>
      <w:rFonts w:ascii="Times New Roman" w:hAnsi="Times New Roman" w:cs="Times New Roman"/>
    </w:rPr>
  </w:style>
  <w:style w:type="paragraph" w:styleId="1243" w:customStyle="1">
    <w:name w:val="xl67"/>
    <w:basedOn w:val="857"/>
    <w:next w:val="1244"/>
    <w:uiPriority w:val="0"/>
    <w:qFormat/>
    <w:pPr>
      <w:ind w:left="0" w:firstLine="5120"/>
      <w:spacing w:before="280" w:after="280" w:line="240" w:lineRule="auto"/>
    </w:pPr>
    <w:rPr>
      <w:rFonts w:ascii="Times New Roman" w:hAnsi="Times New Roman" w:cs="Times New Roman"/>
    </w:rPr>
  </w:style>
  <w:style w:type="paragraph" w:styleId="1244" w:customStyle="1">
    <w:name w:val="索引 61"/>
    <w:basedOn w:val="857"/>
    <w:next w:val="856"/>
    <w:uiPriority w:val="0"/>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857"/>
    <w:next w:val="856"/>
    <w:uiPriority w:val="0"/>
    <w:qFormat/>
    <w:pPr>
      <w:ind w:left="419" w:firstLine="5283"/>
      <w:spacing w:before="0" w:after="0" w:line="317" w:lineRule="atLeast"/>
    </w:pPr>
    <w:rPr>
      <w:rFonts w:ascii="Times New Roman" w:hAnsi="Times New Roman" w:cs="Times New Roman"/>
    </w:rPr>
  </w:style>
  <w:style w:type="paragraph" w:styleId="1246" w:customStyle="1">
    <w:name w:val="xl90"/>
    <w:basedOn w:val="857"/>
    <w:next w:val="1247"/>
    <w:uiPriority w:val="0"/>
    <w:qFormat/>
    <w:pPr>
      <w:ind w:left="0" w:firstLine="3584"/>
      <w:spacing w:before="280" w:after="280" w:line="240" w:lineRule="auto"/>
    </w:pPr>
    <w:rPr>
      <w:rFonts w:ascii="Times New Roman" w:hAnsi="Times New Roman" w:cs="Times New Roman"/>
    </w:rPr>
  </w:style>
  <w:style w:type="paragraph" w:styleId="1247" w:customStyle="1">
    <w:name w:val="列表框1"/>
    <w:next w:val="1238"/>
    <w:uiPriority w:val="0"/>
    <w:qFormat/>
    <w:pPr>
      <w:ind w:firstLine="2048"/>
      <w:spacing w:line="460" w:lineRule="exact"/>
    </w:pPr>
    <w:rPr>
      <w:rFonts w:hint="default" w:ascii="Calibri" w:hAnsi="Calibri" w:eastAsia="宋体" w:cs="宋体"/>
    </w:rPr>
  </w:style>
  <w:style w:type="paragraph" w:styleId="1248" w:customStyle="1">
    <w:name w:val="1ji"/>
    <w:basedOn w:val="858"/>
    <w:next w:val="1227"/>
    <w:uiPriority w:val="0"/>
    <w:qFormat/>
    <w:pPr>
      <w:ind w:left="0" w:firstLine="18"/>
      <w:jc w:val="center"/>
      <w:spacing w:before="0" w:after="0" w:line="240" w:lineRule="auto"/>
      <w:outlineLvl w:val="0"/>
    </w:pPr>
  </w:style>
  <w:style w:type="paragraph" w:styleId="1249" w:customStyle="1">
    <w:name w:val="索引 81"/>
    <w:basedOn w:val="857"/>
    <w:next w:val="856"/>
    <w:uiPriority w:val="0"/>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856"/>
    <w:next w:val="856"/>
    <w:uiPriority w:val="0"/>
    <w:qFormat/>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857"/>
    <w:next w:val="1252"/>
    <w:uiPriority w:val="0"/>
    <w:qFormat/>
    <w:pPr>
      <w:ind w:left="0" w:firstLine="2560"/>
      <w:spacing w:before="0" w:after="0" w:line="240" w:lineRule="auto"/>
    </w:pPr>
    <w:rPr>
      <w:rFonts w:ascii="Times New Roman" w:hAnsi="Times New Roman" w:cs="Times New Roman"/>
    </w:rPr>
  </w:style>
  <w:style w:type="paragraph" w:styleId="1252" w:customStyle="1">
    <w:name w:val="样式 加粗 居中11"/>
    <w:basedOn w:val="857"/>
    <w:next w:val="1253"/>
    <w:uiPriority w:val="0"/>
    <w:qFormat/>
    <w:pPr>
      <w:ind w:left="0" w:firstLine="2560"/>
      <w:jc w:val="center"/>
      <w:spacing w:before="0" w:after="0" w:line="360" w:lineRule="auto"/>
    </w:pPr>
    <w:rPr>
      <w:rFonts w:ascii="Times New Roman" w:hAnsi="Times New Roman" w:cs="Times New Roman"/>
    </w:rPr>
  </w:style>
  <w:style w:type="paragraph" w:styleId="1253" w:customStyle="1">
    <w:name w:val="xl89"/>
    <w:basedOn w:val="857"/>
    <w:next w:val="1254"/>
    <w:uiPriority w:val="0"/>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857"/>
    <w:next w:val="1255"/>
    <w:uiPriority w:val="0"/>
    <w:qFormat/>
    <w:pPr>
      <w:ind w:left="0" w:firstLine="2560"/>
      <w:spacing w:before="0" w:after="0" w:line="240" w:lineRule="auto"/>
    </w:pPr>
    <w:rPr>
      <w:rFonts w:ascii="Times New Roman" w:hAnsi="Times New Roman" w:cs="Times New Roman"/>
    </w:rPr>
  </w:style>
  <w:style w:type="paragraph" w:styleId="1255" w:customStyle="1">
    <w:name w:val="文章附标题"/>
    <w:basedOn w:val="857"/>
    <w:next w:val="857"/>
    <w:uiPriority w:val="0"/>
    <w:qFormat/>
    <w:pPr>
      <w:ind w:left="0" w:firstLine="5120"/>
      <w:jc w:val="center"/>
      <w:spacing w:before="187" w:after="175" w:line="374" w:lineRule="atLeast"/>
    </w:pPr>
    <w:rPr>
      <w:rFonts w:ascii="Times New Roman" w:hAnsi="Times New Roman" w:cs="Times New Roman"/>
    </w:rPr>
  </w:style>
  <w:style w:type="paragraph" w:styleId="1256">
    <w:name w:val="Quote"/>
    <w:next w:val="856"/>
    <w:uiPriority w:val="0"/>
    <w:qFormat/>
    <w:pPr>
      <w:ind w:left="3680" w:right="864"/>
      <w:jc w:val="center"/>
      <w:spacing w:before="200" w:after="160"/>
    </w:pPr>
    <w:rPr>
      <w:rFonts w:hint="default" w:ascii="Calibri" w:hAnsi="Calibri" w:eastAsia="宋体" w:cs="宋体"/>
      <w:i/>
    </w:rPr>
  </w:style>
  <w:style w:type="paragraph" w:styleId="1257" w:customStyle="1">
    <w:name w:val="Default Paragraph Font Para Char Char Char Char Char Char"/>
    <w:basedOn w:val="857"/>
    <w:next w:val="1258"/>
    <w:uiPriority w:val="0"/>
    <w:qFormat/>
    <w:pPr>
      <w:ind w:left="0" w:firstLine="3584"/>
      <w:spacing w:before="0" w:after="160" w:line="240" w:lineRule="exact"/>
    </w:pPr>
    <w:rPr>
      <w:rFonts w:ascii="Times New Roman" w:hAnsi="Times New Roman" w:cs="Times New Roman"/>
    </w:rPr>
  </w:style>
  <w:style w:type="paragraph" w:styleId="1258" w:customStyle="1">
    <w:name w:val="xl23"/>
    <w:basedOn w:val="857"/>
    <w:next w:val="893"/>
    <w:uiPriority w:val="0"/>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857"/>
    <w:next w:val="1260"/>
    <w:uiPriority w:val="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859"/>
    <w:next w:val="1261"/>
    <w:uiPriority w:val="0"/>
    <w:qFormat/>
    <w:pPr>
      <w:ind w:left="0" w:firstLine="24"/>
      <w:jc w:val="center"/>
      <w:spacing w:line="412" w:lineRule="auto"/>
      <w:outlineLvl w:val="1"/>
    </w:pPr>
  </w:style>
  <w:style w:type="paragraph" w:styleId="1261" w:customStyle="1">
    <w:name w:val="页脚 Char Char"/>
    <w:basedOn w:val="857"/>
    <w:next w:val="1262"/>
    <w:uiPriority w:val="0"/>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858"/>
    <w:next w:val="1263"/>
    <w:uiPriority w:val="0"/>
    <w:qFormat/>
    <w:pPr>
      <w:ind w:left="0" w:firstLine="18"/>
      <w:jc w:val="center"/>
      <w:spacing w:before="120" w:after="0" w:line="360" w:lineRule="auto"/>
      <w:outlineLvl w:val="0"/>
    </w:pPr>
  </w:style>
  <w:style w:type="paragraph" w:styleId="1263" w:customStyle="1">
    <w:name w:val="Char1 Char Char Char Char Char Char"/>
    <w:basedOn w:val="857"/>
    <w:next w:val="1264"/>
    <w:uiPriority w:val="0"/>
    <w:qFormat/>
    <w:pPr>
      <w:ind w:left="0" w:firstLine="2560"/>
      <w:spacing w:before="0" w:after="0" w:line="240" w:lineRule="auto"/>
    </w:pPr>
    <w:rPr>
      <w:rFonts w:ascii="Times New Roman" w:hAnsi="Times New Roman" w:cs="Times New Roman"/>
    </w:rPr>
  </w:style>
  <w:style w:type="paragraph" w:styleId="1264" w:customStyle="1">
    <w:name w:val="文档标题4"/>
    <w:basedOn w:val="861"/>
    <w:next w:val="856"/>
    <w:uiPriority w:val="0"/>
    <w:qFormat/>
    <w:pPr>
      <w:ind w:left="851" w:firstLine="30"/>
      <w:spacing w:after="280" w:line="360" w:lineRule="auto"/>
      <w:outlineLvl w:val="3"/>
    </w:pPr>
  </w:style>
  <w:style w:type="paragraph" w:styleId="1265" w:customStyle="1">
    <w:name w:val="font0"/>
    <w:basedOn w:val="857"/>
    <w:next w:val="1240"/>
    <w:uiPriority w:val="0"/>
    <w:qFormat/>
    <w:pPr>
      <w:ind w:left="0" w:firstLine="1024"/>
      <w:spacing w:before="280" w:after="280" w:line="240" w:lineRule="auto"/>
    </w:pPr>
    <w:rPr>
      <w:rFonts w:ascii="Times New Roman" w:hAnsi="Times New Roman" w:cs="Times New Roman"/>
    </w:rPr>
  </w:style>
  <w:style w:type="paragraph" w:styleId="1266" w:customStyle="1">
    <w:name w:val="CM5"/>
    <w:basedOn w:val="857"/>
    <w:next w:val="856"/>
    <w:uiPriority w:val="0"/>
    <w:qFormat/>
    <w:pPr>
      <w:ind w:left="200" w:firstLine="2760"/>
      <w:spacing w:before="0" w:after="0" w:line="400" w:lineRule="atLeast"/>
    </w:pPr>
    <w:rPr>
      <w:rFonts w:ascii="Times New Roman" w:hAnsi="Times New Roman" w:cs="Times New Roman"/>
    </w:rPr>
  </w:style>
  <w:style w:type="paragraph" w:styleId="1267" w:customStyle="1">
    <w:name w:val="Pa0"/>
    <w:basedOn w:val="857"/>
    <w:next w:val="856"/>
    <w:uiPriority w:val="0"/>
    <w:qFormat/>
    <w:pPr>
      <w:ind w:left="0" w:firstLine="4608"/>
      <w:spacing w:before="0" w:after="0" w:line="241" w:lineRule="atLeast"/>
    </w:pPr>
    <w:rPr>
      <w:rFonts w:ascii="Times New Roman" w:hAnsi="Times New Roman" w:cs="Times New Roman"/>
    </w:rPr>
  </w:style>
  <w:style w:type="paragraph" w:styleId="1268" w:customStyle="1">
    <w:name w:val="招标文件》"/>
    <w:basedOn w:val="857"/>
    <w:next w:val="1204"/>
    <w:uiPriority w:val="0"/>
    <w:qFormat/>
    <w:pPr>
      <w:ind w:left="420" w:firstLine="2140"/>
      <w:spacing w:before="120" w:after="120" w:line="300" w:lineRule="auto"/>
    </w:pPr>
    <w:rPr>
      <w:rFonts w:ascii="Times New Roman" w:hAnsi="Times New Roman" w:cs="Times New Roman"/>
    </w:rPr>
  </w:style>
  <w:style w:type="paragraph" w:styleId="1269" w:customStyle="1">
    <w:name w:val="段"/>
    <w:next w:val="856"/>
    <w:uiPriority w:val="0"/>
    <w:qFormat/>
    <w:pPr>
      <w:ind w:firstLine="200"/>
      <w:jc w:val="both"/>
      <w:spacing w:line="360" w:lineRule="auto"/>
    </w:pPr>
    <w:rPr>
      <w:rFonts w:hint="default" w:ascii="宋体" w:hAnsi="宋体" w:eastAsia="宋体" w:cs="宋体"/>
      <w:sz w:val="24"/>
      <w:szCs w:val="22"/>
    </w:rPr>
  </w:style>
  <w:style w:type="paragraph" w:styleId="1270" w:customStyle="1">
    <w:name w:val="标书_正文"/>
    <w:basedOn w:val="857"/>
    <w:next w:val="1271"/>
    <w:uiPriority w:val="0"/>
    <w:qFormat/>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859"/>
    <w:next w:val="1219"/>
    <w:uiPriority w:val="0"/>
    <w:qFormat/>
    <w:pPr>
      <w:ind w:left="0" w:firstLine="24"/>
      <w:spacing w:before="100" w:after="0" w:line="400" w:lineRule="exact"/>
      <w:outlineLvl w:val="1"/>
    </w:pPr>
  </w:style>
  <w:style w:type="paragraph" w:styleId="1272" w:customStyle="1">
    <w:name w:val="图片0"/>
    <w:basedOn w:val="857"/>
    <w:next w:val="904"/>
    <w:uiPriority w:val="0"/>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857"/>
    <w:next w:val="1245"/>
    <w:uiPriority w:val="0"/>
    <w:qFormat/>
    <w:pPr>
      <w:ind w:left="560" w:firstLine="3632"/>
      <w:spacing w:before="0" w:after="160" w:line="240" w:lineRule="exact"/>
    </w:pPr>
    <w:rPr>
      <w:rFonts w:ascii="Times New Roman" w:hAnsi="Times New Roman" w:cs="Times New Roman"/>
    </w:rPr>
  </w:style>
  <w:style w:type="paragraph" w:styleId="1274" w:customStyle="1">
    <w:name w:val="Char Char Char Char"/>
    <w:next w:val="1275"/>
    <w:uiPriority w:val="0"/>
    <w:qFormat/>
    <w:pPr>
      <w:ind w:firstLine="10"/>
      <w:spacing w:line="360" w:lineRule="auto"/>
      <w:shd w:val="clear" w:color="000000" w:fill="000080"/>
    </w:pPr>
    <w:rPr>
      <w:rFonts w:hint="default" w:ascii="Calibri" w:hAnsi="Calibri" w:eastAsia="宋体" w:cs="宋体"/>
    </w:rPr>
  </w:style>
  <w:style w:type="paragraph" w:styleId="1275" w:customStyle="1">
    <w:name w:val="杨昂超式样黑体主"/>
    <w:basedOn w:val="857"/>
    <w:next w:val="1276"/>
    <w:uiPriority w:val="0"/>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857"/>
    <w:next w:val="1277"/>
    <w:uiPriority w:val="0"/>
    <w:qFormat/>
    <w:pPr>
      <w:ind w:left="0" w:firstLine="2560"/>
      <w:spacing w:before="0" w:after="0" w:line="240" w:lineRule="auto"/>
    </w:pPr>
    <w:rPr>
      <w:rFonts w:ascii="Times New Roman" w:hAnsi="Times New Roman" w:cs="Times New Roman"/>
    </w:rPr>
  </w:style>
  <w:style w:type="paragraph" w:styleId="1277" w:customStyle="1">
    <w:name w:val="目录1"/>
    <w:basedOn w:val="857"/>
    <w:next w:val="856"/>
    <w:uiPriority w:val="0"/>
    <w:qFormat/>
    <w:pPr>
      <w:ind w:left="0" w:firstLine="7168"/>
      <w:spacing w:before="0" w:after="136" w:line="289" w:lineRule="atLeast"/>
    </w:pPr>
    <w:rPr>
      <w:rFonts w:ascii="Times New Roman" w:hAnsi="Times New Roman" w:cs="Times New Roman"/>
    </w:rPr>
  </w:style>
  <w:style w:type="paragraph" w:styleId="1278" w:customStyle="1">
    <w:name w:val="文档结构图1"/>
    <w:basedOn w:val="857"/>
    <w:next w:val="1279"/>
    <w:uiPriority w:val="0"/>
    <w:qFormat/>
    <w:pPr>
      <w:ind w:left="200" w:firstLine="2248"/>
      <w:spacing w:before="0" w:after="0" w:line="360" w:lineRule="auto"/>
    </w:pPr>
    <w:rPr>
      <w:rFonts w:ascii="Times New Roman" w:hAnsi="Times New Roman" w:cs="Times New Roman"/>
    </w:rPr>
  </w:style>
  <w:style w:type="paragraph" w:styleId="1279" w:customStyle="1">
    <w:name w:val="2ji"/>
    <w:basedOn w:val="859"/>
    <w:next w:val="899"/>
    <w:uiPriority w:val="0"/>
    <w:qFormat/>
    <w:pPr>
      <w:ind w:left="0" w:firstLine="24"/>
      <w:spacing w:before="0" w:after="0" w:line="360" w:lineRule="auto"/>
      <w:outlineLvl w:val="1"/>
    </w:pPr>
  </w:style>
  <w:style w:type="paragraph" w:styleId="1280" w:customStyle="1">
    <w:name w:val="xl91"/>
    <w:basedOn w:val="857"/>
    <w:next w:val="1201"/>
    <w:uiPriority w:val="0"/>
    <w:qFormat/>
    <w:pPr>
      <w:ind w:left="0" w:firstLine="3584"/>
      <w:spacing w:before="280" w:after="280" w:line="240" w:lineRule="auto"/>
    </w:pPr>
    <w:rPr>
      <w:rFonts w:ascii="Times New Roman" w:hAnsi="Times New Roman" w:cs="Times New Roman"/>
    </w:rPr>
  </w:style>
  <w:style w:type="paragraph" w:styleId="1281" w:customStyle="1">
    <w:name w:val="Text Body"/>
    <w:basedOn w:val="857"/>
    <w:next w:val="1282"/>
    <w:uiPriority w:val="0"/>
    <w:qFormat/>
    <w:pPr>
      <w:ind w:left="0" w:firstLine="4096"/>
      <w:spacing w:before="0" w:after="120" w:line="240" w:lineRule="auto"/>
    </w:pPr>
    <w:rPr>
      <w:rFonts w:ascii="Times New Roman" w:hAnsi="Times New Roman" w:cs="Times New Roman"/>
    </w:rPr>
  </w:style>
  <w:style w:type="paragraph" w:styleId="1282" w:customStyle="1">
    <w:name w:val="项目符1"/>
    <w:basedOn w:val="857"/>
    <w:next w:val="1283"/>
    <w:uiPriority w:val="0"/>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857"/>
    <w:next w:val="856"/>
    <w:uiPriority w:val="0"/>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860"/>
    <w:next w:val="1285"/>
    <w:uiPriority w:val="0"/>
    <w:qFormat/>
    <w:pPr>
      <w:ind w:left="1429" w:firstLine="18"/>
      <w:spacing w:before="100" w:after="100" w:line="360" w:lineRule="auto"/>
      <w:outlineLvl w:val="2"/>
    </w:pPr>
  </w:style>
  <w:style w:type="paragraph" w:styleId="1285" w:customStyle="1">
    <w:name w:val="xl22"/>
    <w:basedOn w:val="857"/>
    <w:next w:val="128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857"/>
    <w:next w:val="856"/>
    <w:uiPriority w:val="0"/>
    <w:qFormat/>
    <w:pPr>
      <w:ind w:left="0"/>
      <w:spacing w:before="0" w:after="0" w:line="360" w:lineRule="auto"/>
    </w:pPr>
    <w:rPr>
      <w:rFonts w:ascii="Times New Roman" w:hAnsi="Times New Roman" w:cs="Times New Roman"/>
    </w:rPr>
  </w:style>
  <w:style w:type="paragraph" w:styleId="1287" w:customStyle="1">
    <w:name w:val="xl78"/>
    <w:basedOn w:val="857"/>
    <w:next w:val="1288"/>
    <w:uiPriority w:val="0"/>
    <w:qFormat/>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uiPriority w:val="0"/>
    <w:qFormat/>
    <w:pPr>
      <w:ind w:firstLine="4608"/>
      <w:jc w:val="center"/>
      <w:spacing w:line="360" w:lineRule="auto"/>
    </w:pPr>
    <w:rPr>
      <w:rFonts w:hint="default" w:ascii="Calibri" w:hAnsi="Calibri" w:eastAsia="宋体" w:cs="宋体"/>
    </w:rPr>
  </w:style>
  <w:style w:type="paragraph" w:styleId="1289" w:customStyle="1">
    <w:name w:val="_Style 169"/>
    <w:next w:val="856"/>
    <w:uiPriority w:val="0"/>
    <w:qFormat/>
    <w:pPr>
      <w:ind w:left="2560"/>
    </w:pPr>
    <w:rPr>
      <w:rFonts w:hint="default" w:ascii="Calibri" w:hAnsi="Calibri" w:eastAsia="宋体" w:cs="宋体"/>
    </w:rPr>
  </w:style>
  <w:style w:type="paragraph" w:styleId="1290" w:customStyle="1">
    <w:name w:val="样式 小四 行距: 1.5 倍行距 首行缩进:  2 字符"/>
    <w:basedOn w:val="857"/>
    <w:next w:val="1235"/>
    <w:uiPriority w:val="0"/>
    <w:qFormat/>
    <w:pPr>
      <w:ind w:left="480" w:firstLine="2784"/>
      <w:spacing w:before="0" w:after="0" w:line="360" w:lineRule="auto"/>
    </w:pPr>
    <w:rPr>
      <w:rFonts w:ascii="Times New Roman" w:hAnsi="Times New Roman" w:cs="Times New Roman"/>
    </w:rPr>
  </w:style>
  <w:style w:type="paragraph" w:styleId="1291" w:customStyle="1">
    <w:name w:val="小节标题"/>
    <w:basedOn w:val="857"/>
    <w:next w:val="856"/>
    <w:uiPriority w:val="0"/>
    <w:qFormat/>
    <w:pPr>
      <w:ind w:left="0" w:firstLine="7168"/>
      <w:spacing w:before="175" w:after="102" w:line="351" w:lineRule="atLeast"/>
    </w:pPr>
    <w:rPr>
      <w:rFonts w:ascii="Times New Roman" w:hAnsi="Times New Roman" w:cs="Times New Roman"/>
    </w:rPr>
  </w:style>
  <w:style w:type="paragraph" w:styleId="1292" w:customStyle="1">
    <w:name w:val="TOC 标题2"/>
    <w:basedOn w:val="857"/>
    <w:next w:val="85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857"/>
    <w:next w:val="1294"/>
    <w:uiPriority w:val="0"/>
    <w:qFormat/>
    <w:pPr>
      <w:ind w:left="0" w:firstLine="3584"/>
      <w:spacing w:before="0" w:after="0" w:line="240" w:lineRule="auto"/>
    </w:pPr>
    <w:rPr>
      <w:rFonts w:ascii="Times New Roman" w:hAnsi="Times New Roman" w:cs="Times New Roman"/>
    </w:rPr>
  </w:style>
  <w:style w:type="paragraph" w:styleId="1294" w:customStyle="1">
    <w:name w:val="Char"/>
    <w:basedOn w:val="857"/>
    <w:next w:val="1273"/>
    <w:uiPriority w:val="0"/>
    <w:qFormat/>
    <w:pPr>
      <w:ind w:left="900" w:firstLine="2608"/>
      <w:spacing w:before="0" w:after="0" w:line="240" w:lineRule="auto"/>
    </w:pPr>
    <w:rPr>
      <w:rFonts w:ascii="Times New Roman" w:hAnsi="Times New Roman" w:cs="Times New Roman"/>
    </w:rPr>
  </w:style>
  <w:style w:type="paragraph" w:styleId="1295" w:customStyle="1">
    <w:name w:val="xl86"/>
    <w:basedOn w:val="857"/>
    <w:next w:val="1296"/>
    <w:uiPriority w:val="0"/>
    <w:qFormat/>
    <w:pPr>
      <w:ind w:left="0" w:firstLine="5120"/>
      <w:spacing w:before="280" w:after="280" w:line="240" w:lineRule="auto"/>
    </w:pPr>
    <w:rPr>
      <w:rFonts w:ascii="Times New Roman" w:hAnsi="Times New Roman" w:cs="Times New Roman"/>
    </w:rPr>
  </w:style>
  <w:style w:type="paragraph" w:styleId="1296" w:customStyle="1">
    <w:name w:val="索引 71"/>
    <w:basedOn w:val="857"/>
    <w:next w:val="856"/>
    <w:uiPriority w:val="0"/>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uiPriority w:val="0"/>
    <w:qFormat/>
    <w:pPr>
      <w:ind w:left="480" w:firstLine="4320"/>
      <w:spacing w:line="440" w:lineRule="exact"/>
    </w:pPr>
    <w:rPr>
      <w:rFonts w:hint="default" w:ascii="Calibri" w:hAnsi="Calibri" w:eastAsia="宋体" w:cs="宋体"/>
    </w:rPr>
  </w:style>
  <w:style w:type="paragraph" w:styleId="1298" w:customStyle="1">
    <w:name w:val="4"/>
    <w:basedOn w:val="857"/>
    <w:next w:val="883"/>
    <w:uiPriority w:val="0"/>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857"/>
    <w:next w:val="1284"/>
    <w:uiPriority w:val="0"/>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857"/>
    <w:next w:val="1301"/>
    <w:uiPriority w:val="0"/>
    <w:qFormat/>
    <w:pPr>
      <w:ind w:left="0" w:firstLine="2560"/>
      <w:spacing w:before="0" w:after="0" w:line="240" w:lineRule="auto"/>
    </w:pPr>
    <w:rPr>
      <w:rFonts w:ascii="Times New Roman" w:hAnsi="Times New Roman" w:cs="Times New Roman"/>
    </w:rPr>
  </w:style>
  <w:style w:type="paragraph" w:styleId="1301" w:customStyle="1">
    <w:name w:val="正文符号1"/>
    <w:basedOn w:val="857"/>
    <w:next w:val="1302"/>
    <w:uiPriority w:val="0"/>
    <w:qFormat/>
    <w:pPr>
      <w:ind w:left="987" w:firstLine="5724"/>
      <w:spacing w:before="0" w:after="0" w:line="240" w:lineRule="auto"/>
    </w:pPr>
    <w:rPr>
      <w:rFonts w:ascii="Times New Roman" w:hAnsi="Times New Roman" w:cs="Times New Roman"/>
    </w:rPr>
  </w:style>
  <w:style w:type="paragraph" w:styleId="1302" w:customStyle="1">
    <w:name w:val="索引 31"/>
    <w:basedOn w:val="857"/>
    <w:next w:val="856"/>
    <w:uiPriority w:val="0"/>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857"/>
    <w:next w:val="856"/>
    <w:uiPriority w:val="0"/>
    <w:qFormat/>
    <w:pPr>
      <w:ind w:left="629" w:firstLine="5237"/>
      <w:spacing w:before="0" w:after="0" w:line="317" w:lineRule="atLeast"/>
    </w:pPr>
    <w:rPr>
      <w:rFonts w:ascii="Times New Roman" w:hAnsi="Times New Roman" w:cs="Times New Roman"/>
    </w:rPr>
  </w:style>
  <w:style w:type="paragraph" w:styleId="1304" w:customStyle="1">
    <w:name w:val="p15"/>
    <w:basedOn w:val="856"/>
    <w:uiPriority w:val="0"/>
    <w:qFormat/>
    <w:pPr>
      <w:ind w:left="0"/>
    </w:pPr>
    <w:rPr>
      <w:rFonts w:ascii="宋体" w:hAnsi="宋体"/>
      <w:sz w:val="28"/>
      <w:szCs w:val="28"/>
    </w:rPr>
  </w:style>
  <w:style w:type="paragraph" w:styleId="1305" w:customStyle="1">
    <w:name w:val="四号 居中"/>
    <w:basedOn w:val="857"/>
    <w:next w:val="1299"/>
    <w:uiPriority w:val="0"/>
    <w:qFormat/>
    <w:pPr>
      <w:ind w:left="0" w:firstLine="6144"/>
      <w:jc w:val="center"/>
      <w:spacing w:before="0" w:after="0" w:line="360" w:lineRule="auto"/>
    </w:pPr>
    <w:rPr>
      <w:rFonts w:ascii="Times New Roman" w:hAnsi="Times New Roman" w:cs="Times New Roman"/>
    </w:rPr>
  </w:style>
  <w:style w:type="paragraph" w:styleId="1306" w:customStyle="1">
    <w:name w:val="p0"/>
    <w:next w:val="856"/>
    <w:uiPriority w:val="0"/>
    <w:qFormat/>
    <w:pPr>
      <w:ind w:firstLine="2048"/>
      <w:spacing w:line="360" w:lineRule="auto"/>
    </w:pPr>
    <w:rPr>
      <w:rFonts w:hint="default" w:ascii="Calibri" w:hAnsi="Calibri" w:eastAsia="宋体" w:cs="宋体"/>
    </w:rPr>
  </w:style>
  <w:style w:type="paragraph" w:styleId="1307" w:customStyle="1">
    <w:name w:val="列表编号 21"/>
    <w:basedOn w:val="857"/>
    <w:next w:val="1308"/>
    <w:uiPriority w:val="0"/>
    <w:qFormat/>
    <w:pPr>
      <w:ind w:left="0" w:firstLine="2560"/>
      <w:spacing w:before="0" w:after="0" w:line="360" w:lineRule="auto"/>
    </w:pPr>
    <w:rPr>
      <w:rFonts w:ascii="Times New Roman" w:hAnsi="Times New Roman" w:cs="Times New Roman"/>
    </w:rPr>
  </w:style>
  <w:style w:type="paragraph" w:styleId="1308" w:customStyle="1">
    <w:name w:val="正文文本 21"/>
    <w:basedOn w:val="857"/>
    <w:next w:val="1189"/>
    <w:uiPriority w:val="0"/>
    <w:qFormat/>
    <w:pPr>
      <w:ind w:left="0" w:firstLine="2560"/>
      <w:jc w:val="center"/>
      <w:spacing w:before="0" w:after="120" w:line="480" w:lineRule="auto"/>
    </w:pPr>
    <w:rPr>
      <w:rFonts w:ascii="Times New Roman" w:hAnsi="Times New Roman" w:cs="Times New Roman"/>
    </w:rPr>
  </w:style>
  <w:style w:type="paragraph" w:styleId="1309" w:customStyle="1">
    <w:name w:val="a2"/>
    <w:basedOn w:val="857"/>
    <w:next w:val="896"/>
    <w:uiPriority w:val="0"/>
    <w:qFormat/>
    <w:pPr>
      <w:ind w:left="0" w:firstLine="1024"/>
      <w:spacing w:before="280" w:after="280" w:line="240" w:lineRule="auto"/>
    </w:pPr>
    <w:rPr>
      <w:rFonts w:ascii="Times New Roman" w:hAnsi="Times New Roman" w:cs="Times New Roman"/>
    </w:rPr>
  </w:style>
  <w:style w:type="paragraph" w:styleId="1310" w:customStyle="1">
    <w:name w:val="font8"/>
    <w:basedOn w:val="857"/>
    <w:next w:val="1234"/>
    <w:uiPriority w:val="0"/>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857"/>
    <w:next w:val="1312"/>
    <w:uiPriority w:val="0"/>
    <w:qFormat/>
    <w:pPr>
      <w:ind w:left="0" w:firstLine="2560"/>
      <w:spacing w:before="0" w:after="0" w:line="240" w:lineRule="auto"/>
    </w:pPr>
    <w:rPr>
      <w:rFonts w:ascii="Times New Roman" w:hAnsi="Times New Roman" w:cs="Times New Roman"/>
    </w:rPr>
  </w:style>
  <w:style w:type="paragraph" w:styleId="1312" w:customStyle="1">
    <w:name w:val="xl87"/>
    <w:basedOn w:val="857"/>
    <w:next w:val="1268"/>
    <w:uiPriority w:val="0"/>
    <w:qFormat/>
    <w:pPr>
      <w:ind w:left="0" w:firstLine="5120"/>
      <w:spacing w:before="280" w:after="280" w:line="240" w:lineRule="auto"/>
    </w:pPr>
    <w:rPr>
      <w:rFonts w:ascii="Times New Roman" w:hAnsi="Times New Roman" w:cs="Times New Roman"/>
    </w:rPr>
  </w:style>
  <w:style w:type="paragraph" w:styleId="1313" w:customStyle="1">
    <w:name w:val="444"/>
    <w:basedOn w:val="857"/>
    <w:next w:val="877"/>
    <w:uiPriority w:val="0"/>
    <w:qFormat/>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857"/>
    <w:next w:val="1315"/>
    <w:uiPriority w:val="0"/>
    <w:qFormat/>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uiPriority w:val="0"/>
    <w:qFormat/>
    <w:pPr>
      <w:ind w:left="960" w:firstLine="5120"/>
      <w:spacing w:line="360" w:lineRule="auto"/>
      <w:widowControl w:val="off"/>
    </w:pPr>
    <w:rPr>
      <w:rFonts w:hint="default" w:ascii="Calibri" w:hAnsi="Calibri" w:eastAsia="宋体" w:cs="宋体"/>
    </w:rPr>
  </w:style>
  <w:style w:type="paragraph" w:styleId="1316" w:customStyle="1">
    <w:name w:val="文档正文"/>
    <w:basedOn w:val="857"/>
    <w:next w:val="1317"/>
    <w:uiPriority w:val="0"/>
    <w:qFormat/>
    <w:pPr>
      <w:ind w:left="567" w:firstLine="3639"/>
      <w:spacing w:before="0" w:after="0" w:line="480" w:lineRule="atLeast"/>
    </w:pPr>
    <w:rPr>
      <w:rFonts w:ascii="Times New Roman" w:hAnsi="Times New Roman" w:cs="Times New Roman"/>
    </w:rPr>
  </w:style>
  <w:style w:type="paragraph" w:styleId="1317" w:customStyle="1">
    <w:name w:val="列表框2"/>
    <w:next w:val="1318"/>
    <w:uiPriority w:val="0"/>
    <w:qFormat/>
    <w:pPr>
      <w:ind w:firstLine="2048"/>
      <w:spacing w:line="460" w:lineRule="exact"/>
    </w:pPr>
    <w:rPr>
      <w:rFonts w:hint="default" w:ascii="Calibri" w:hAnsi="Calibri" w:eastAsia="宋体" w:cs="宋体"/>
    </w:rPr>
  </w:style>
  <w:style w:type="paragraph" w:styleId="1318" w:customStyle="1">
    <w:name w:val="font10"/>
    <w:basedOn w:val="857"/>
    <w:next w:val="888"/>
    <w:uiPriority w:val="0"/>
    <w:qFormat/>
    <w:pPr>
      <w:ind w:left="0" w:firstLine="3584"/>
      <w:spacing w:before="280" w:after="280" w:line="240" w:lineRule="auto"/>
    </w:pPr>
    <w:rPr>
      <w:rFonts w:ascii="Times New Roman" w:hAnsi="Times New Roman" w:cs="Times New Roman"/>
    </w:rPr>
  </w:style>
  <w:style w:type="paragraph" w:styleId="1319" w:customStyle="1">
    <w:name w:val="纯文本1"/>
    <w:basedOn w:val="857"/>
    <w:next w:val="901"/>
    <w:uiPriority w:val="0"/>
    <w:qFormat/>
    <w:pPr>
      <w:ind w:left="0" w:firstLine="3584"/>
      <w:spacing w:before="0" w:after="0" w:line="240" w:lineRule="auto"/>
    </w:pPr>
    <w:rPr>
      <w:rFonts w:ascii="Times New Roman" w:hAnsi="Times New Roman" w:cs="Times New Roman"/>
    </w:rPr>
  </w:style>
  <w:style w:type="paragraph" w:styleId="1320" w:customStyle="1">
    <w:name w:val="索引 91"/>
    <w:basedOn w:val="857"/>
    <w:next w:val="856"/>
    <w:uiPriority w:val="0"/>
    <w:qFormat/>
    <w:pPr>
      <w:ind w:left="1600" w:firstLine="2560"/>
      <w:jc w:val="center"/>
      <w:spacing w:before="0" w:after="0" w:line="360" w:lineRule="auto"/>
    </w:pPr>
    <w:rPr>
      <w:rFonts w:ascii="Times New Roman" w:hAnsi="Times New Roman" w:cs="Times New Roman"/>
    </w:rPr>
  </w:style>
  <w:style w:type="paragraph" w:styleId="1321" w:customStyle="1">
    <w:name w:val="xl79"/>
    <w:basedOn w:val="857"/>
    <w:next w:val="1297"/>
    <w:uiPriority w:val="0"/>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uiPriority w:val="0"/>
    <w:qFormat/>
    <w:pPr>
      <w:ind w:firstLine="2560"/>
      <w:jc w:val="center"/>
    </w:pPr>
    <w:rPr>
      <w:rFonts w:hint="default" w:ascii="Calibri" w:hAnsi="Calibri" w:eastAsia="宋体" w:cs="宋体"/>
    </w:rPr>
  </w:style>
  <w:style w:type="paragraph" w:styleId="1323" w:customStyle="1">
    <w:name w:val="!方块加粗"/>
    <w:basedOn w:val="857"/>
    <w:next w:val="1290"/>
    <w:uiPriority w:val="0"/>
    <w:qFormat/>
    <w:pPr>
      <w:ind w:left="600" w:firstLine="5212"/>
      <w:spacing w:before="0" w:after="0" w:line="360" w:lineRule="auto"/>
    </w:pPr>
    <w:rPr>
      <w:rFonts w:ascii="Times New Roman" w:hAnsi="Times New Roman" w:cs="Times New Roman"/>
    </w:rPr>
  </w:style>
  <w:style w:type="paragraph" w:styleId="1324" w:customStyle="1">
    <w:name w:val="xl75"/>
    <w:basedOn w:val="857"/>
    <w:next w:val="902"/>
    <w:uiPriority w:val="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857"/>
    <w:next w:val="1326"/>
    <w:uiPriority w:val="0"/>
    <w:qFormat/>
    <w:pPr>
      <w:ind w:left="0" w:firstLine="5120"/>
      <w:spacing w:before="280" w:after="280" w:line="240" w:lineRule="auto"/>
    </w:pPr>
    <w:rPr>
      <w:rFonts w:ascii="Times New Roman" w:hAnsi="Times New Roman" w:cs="Times New Roman"/>
    </w:rPr>
  </w:style>
  <w:style w:type="paragraph" w:styleId="1326" w:customStyle="1">
    <w:name w:val="xl25"/>
    <w:basedOn w:val="857"/>
    <w:next w:val="1327"/>
    <w:uiPriority w:val="0"/>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857"/>
    <w:next w:val="1328"/>
    <w:uiPriority w:val="0"/>
    <w:qFormat/>
    <w:pPr>
      <w:ind w:left="200" w:firstLine="1224"/>
      <w:spacing w:before="280" w:after="280" w:line="240" w:lineRule="auto"/>
    </w:pPr>
    <w:rPr>
      <w:rFonts w:ascii="Times New Roman" w:hAnsi="Times New Roman" w:cs="Times New Roman"/>
    </w:rPr>
  </w:style>
  <w:style w:type="paragraph" w:styleId="1328" w:customStyle="1">
    <w:name w:val="xl27"/>
    <w:basedOn w:val="857"/>
    <w:next w:val="1314"/>
    <w:uiPriority w:val="0"/>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861"/>
    <w:next w:val="1330"/>
    <w:uiPriority w:val="0"/>
    <w:qFormat/>
    <w:pPr>
      <w:ind w:left="426" w:firstLine="24"/>
      <w:spacing w:before="0" w:after="0" w:line="360" w:lineRule="auto"/>
      <w:outlineLvl w:val="3"/>
    </w:pPr>
  </w:style>
  <w:style w:type="paragraph" w:styleId="1330" w:customStyle="1">
    <w:name w:val="xl82"/>
    <w:basedOn w:val="857"/>
    <w:next w:val="1325"/>
    <w:uiPriority w:val="0"/>
    <w:qFormat/>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uiPriority w:val="0"/>
    <w:qFormat/>
    <w:pPr>
      <w:ind w:firstLine="14"/>
      <w:jc w:val="both"/>
      <w:shd w:val="clear" w:color="000000" w:fill="000080"/>
      <w:widowControl w:val="off"/>
    </w:pPr>
    <w:rPr>
      <w:rFonts w:hint="default" w:ascii="Calibri" w:hAnsi="Calibri" w:eastAsia="宋体" w:cs="宋体"/>
    </w:rPr>
  </w:style>
  <w:style w:type="paragraph" w:styleId="1332" w:customStyle="1">
    <w:name w:val="Char Char Char Char Char Char1 Char Char Char1 Char Char Char Char Char Char Char Char Char Char Char Char Char Char Char"/>
    <w:basedOn w:val="857"/>
    <w:next w:val="1333"/>
    <w:uiPriority w:val="0"/>
    <w:qFormat/>
    <w:pPr>
      <w:ind w:left="0" w:firstLine="2560"/>
      <w:spacing w:before="0" w:after="0" w:line="240" w:lineRule="auto"/>
    </w:pPr>
    <w:rPr>
      <w:rFonts w:ascii="Times New Roman" w:hAnsi="Times New Roman" w:cs="Times New Roman"/>
    </w:rPr>
  </w:style>
  <w:style w:type="paragraph" w:styleId="1333" w:customStyle="1">
    <w:name w:val="样式1"/>
    <w:basedOn w:val="857"/>
    <w:next w:val="1334"/>
    <w:uiPriority w:val="0"/>
    <w:qFormat/>
    <w:pPr>
      <w:ind w:left="0" w:firstLine="1536"/>
      <w:spacing w:before="120" w:after="120" w:line="300" w:lineRule="auto"/>
    </w:pPr>
    <w:rPr>
      <w:rFonts w:ascii="Times New Roman" w:hAnsi="Times New Roman" w:cs="Times New Roman"/>
    </w:rPr>
  </w:style>
  <w:style w:type="paragraph" w:styleId="1334" w:customStyle="1">
    <w:name w:val="索引 41"/>
    <w:basedOn w:val="857"/>
    <w:next w:val="856"/>
    <w:uiPriority w:val="0"/>
    <w:qFormat/>
    <w:pPr>
      <w:ind w:left="600" w:firstLine="2560"/>
      <w:jc w:val="center"/>
      <w:spacing w:before="0" w:after="0" w:line="360" w:lineRule="auto"/>
    </w:pPr>
    <w:rPr>
      <w:rFonts w:ascii="Times New Roman" w:hAnsi="Times New Roman" w:cs="Times New Roman"/>
    </w:rPr>
  </w:style>
  <w:style w:type="paragraph" w:styleId="1335" w:customStyle="1">
    <w:name w:val="自定义二"/>
    <w:basedOn w:val="857"/>
    <w:next w:val="856"/>
    <w:uiPriority w:val="0"/>
    <w:qFormat/>
    <w:pPr>
      <w:ind w:left="0" w:firstLine="14"/>
      <w:spacing w:before="0" w:after="0" w:line="360" w:lineRule="auto"/>
      <w:outlineLvl w:val="1"/>
    </w:pPr>
    <w:rPr>
      <w:rFonts w:ascii="Times New Roman" w:hAnsi="Times New Roman" w:cs="Times New Roman"/>
    </w:rPr>
  </w:style>
  <w:style w:type="paragraph" w:styleId="1336" w:customStyle="1">
    <w:name w:val="Bullet"/>
    <w:next w:val="1274"/>
    <w:uiPriority w:val="0"/>
    <w:qFormat/>
    <w:pPr>
      <w:ind w:left="567" w:right="2835" w:firstLine="3584"/>
      <w:spacing w:after="60"/>
    </w:pPr>
    <w:rPr>
      <w:rFonts w:hint="default" w:ascii="Calibri" w:hAnsi="Calibri" w:eastAsia="宋体" w:cs="宋体"/>
    </w:rPr>
  </w:style>
  <w:style w:type="paragraph" w:styleId="1337" w:customStyle="1">
    <w:name w:val="Char Char Char Char Char Char1"/>
    <w:basedOn w:val="857"/>
    <w:next w:val="1338"/>
    <w:uiPriority w:val="0"/>
    <w:qFormat/>
    <w:pPr>
      <w:ind w:left="0" w:firstLine="2560"/>
      <w:spacing w:before="0" w:after="0" w:line="240" w:lineRule="auto"/>
    </w:pPr>
    <w:rPr>
      <w:rFonts w:ascii="Times New Roman" w:hAnsi="Times New Roman" w:cs="Times New Roman"/>
    </w:rPr>
  </w:style>
  <w:style w:type="paragraph" w:styleId="1338" w:customStyle="1">
    <w:name w:val="正文缩进2"/>
    <w:basedOn w:val="857"/>
    <w:next w:val="1339"/>
    <w:uiPriority w:val="0"/>
    <w:qFormat/>
    <w:pPr>
      <w:ind w:left="420" w:firstLine="1188"/>
      <w:spacing w:before="0" w:after="0" w:line="240" w:lineRule="auto"/>
    </w:pPr>
    <w:rPr>
      <w:rFonts w:ascii="Times New Roman" w:hAnsi="Times New Roman" w:cs="Times New Roman"/>
    </w:rPr>
  </w:style>
  <w:style w:type="paragraph" w:styleId="1339" w:customStyle="1">
    <w:name w:val="列出段落2"/>
    <w:basedOn w:val="857"/>
    <w:next w:val="1340"/>
    <w:uiPriority w:val="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857"/>
    <w:next w:val="1341"/>
    <w:uiPriority w:val="0"/>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uiPriority w:val="0"/>
    <w:qFormat/>
    <w:pPr>
      <w:ind w:left="200" w:firstLine="3784"/>
      <w:spacing w:line="300" w:lineRule="auto"/>
    </w:pPr>
    <w:rPr>
      <w:rFonts w:hint="default" w:ascii="Calibri" w:hAnsi="Calibri" w:eastAsia="宋体" w:cs="宋体"/>
    </w:rPr>
  </w:style>
  <w:style w:type="paragraph" w:styleId="1342" w:customStyle="1">
    <w:name w:val="Char2"/>
    <w:basedOn w:val="857"/>
    <w:next w:val="1336"/>
    <w:uiPriority w:val="0"/>
    <w:qFormat/>
    <w:pPr>
      <w:ind w:left="0" w:firstLine="3584"/>
      <w:spacing w:before="0" w:after="160" w:line="240" w:lineRule="exact"/>
    </w:pPr>
    <w:rPr>
      <w:rFonts w:ascii="Times New Roman" w:hAnsi="Times New Roman" w:cs="Times New Roman"/>
    </w:rPr>
  </w:style>
  <w:style w:type="paragraph" w:styleId="1343" w:customStyle="1">
    <w:name w:val="WPSOffice手动目录 1"/>
    <w:uiPriority w:val="0"/>
    <w:qFormat/>
    <w:rPr>
      <w:rFonts w:hint="default" w:ascii="宋体" w:hAnsi="宋体" w:eastAsia="宋体" w:cs="宋体"/>
    </w:rPr>
  </w:style>
  <w:style w:type="paragraph" w:styleId="1344" w:customStyle="1">
    <w:name w:val="纯文本4"/>
    <w:basedOn w:val="856"/>
    <w:uiPriority w:val="0"/>
    <w:qFormat/>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857"/>
    <w:next w:val="1346"/>
    <w:uiPriority w:val="0"/>
    <w:qFormat/>
    <w:pPr>
      <w:ind w:left="682" w:firstLine="1224"/>
      <w:spacing w:before="0" w:after="0" w:line="360" w:lineRule="auto"/>
    </w:pPr>
    <w:rPr>
      <w:rFonts w:ascii="Times New Roman" w:hAnsi="Times New Roman" w:cs="Times New Roman"/>
    </w:rPr>
  </w:style>
  <w:style w:type="paragraph" w:styleId="1346" w:customStyle="1">
    <w:name w:val="列表编号 51"/>
    <w:basedOn w:val="857"/>
    <w:next w:val="1347"/>
    <w:uiPriority w:val="0"/>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858"/>
    <w:next w:val="1348"/>
    <w:uiPriority w:val="0"/>
    <w:qFormat/>
    <w:pPr>
      <w:ind w:left="432" w:firstLine="18"/>
      <w:spacing w:before="40" w:after="40" w:line="360" w:lineRule="auto"/>
      <w:outlineLvl w:val="0"/>
    </w:pPr>
  </w:style>
  <w:style w:type="paragraph" w:styleId="1348" w:customStyle="1">
    <w:name w:val="表格用"/>
    <w:basedOn w:val="857"/>
    <w:next w:val="1305"/>
    <w:uiPriority w:val="0"/>
    <w:qFormat/>
    <w:pPr>
      <w:ind w:left="0" w:firstLine="1024"/>
      <w:spacing w:before="0" w:after="0" w:line="360" w:lineRule="auto"/>
    </w:pPr>
    <w:rPr>
      <w:rFonts w:ascii="Times New Roman" w:hAnsi="Times New Roman" w:cs="Times New Roman"/>
    </w:rPr>
  </w:style>
  <w:style w:type="paragraph" w:styleId="1349" w:customStyle="1">
    <w:name w:val="xl71"/>
    <w:basedOn w:val="857"/>
    <w:next w:val="1350"/>
    <w:uiPriority w:val="0"/>
    <w:qFormat/>
    <w:pPr>
      <w:ind w:left="0" w:firstLine="1536"/>
      <w:spacing w:before="280" w:after="280" w:line="240" w:lineRule="auto"/>
    </w:pPr>
    <w:rPr>
      <w:rFonts w:ascii="Times New Roman" w:hAnsi="Times New Roman" w:cs="Times New Roman"/>
    </w:rPr>
  </w:style>
  <w:style w:type="paragraph" w:styleId="1350" w:customStyle="1">
    <w:name w:val="正文文本 31"/>
    <w:basedOn w:val="857"/>
    <w:next w:val="1351"/>
    <w:uiPriority w:val="0"/>
    <w:qFormat/>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857"/>
    <w:next w:val="1287"/>
    <w:uiPriority w:val="0"/>
    <w:qFormat/>
    <w:pPr>
      <w:ind w:left="420" w:firstLine="3748"/>
      <w:spacing w:before="0" w:after="0" w:line="240" w:lineRule="auto"/>
    </w:pPr>
    <w:rPr>
      <w:rFonts w:ascii="Times New Roman" w:hAnsi="Times New Roman" w:cs="Times New Roman"/>
    </w:rPr>
  </w:style>
  <w:style w:type="paragraph" w:styleId="1352" w:customStyle="1">
    <w:name w:val="修订1"/>
    <w:uiPriority w:val="0"/>
    <w:qFormat/>
    <w:rPr>
      <w:rFonts w:hint="default" w:ascii="Calibri" w:hAnsi="Calibri" w:eastAsia="宋体" w:cs="宋体"/>
    </w:rPr>
  </w:style>
  <w:style w:type="paragraph" w:styleId="1353" w:customStyle="1">
    <w:name w:val="正文文本缩进 21"/>
    <w:basedOn w:val="857"/>
    <w:next w:val="1293"/>
    <w:uiPriority w:val="0"/>
    <w:qFormat/>
    <w:pPr>
      <w:ind w:left="480" w:firstLine="4832"/>
      <w:spacing w:before="0" w:after="0" w:line="240" w:lineRule="auto"/>
    </w:pPr>
    <w:rPr>
      <w:rFonts w:ascii="Times New Roman" w:hAnsi="Times New Roman" w:cs="Times New Roman"/>
    </w:rPr>
  </w:style>
  <w:style w:type="paragraph" w:styleId="1354" w:customStyle="1">
    <w:name w:val="Char Char4 Char Char"/>
    <w:basedOn w:val="857"/>
    <w:next w:val="1303"/>
    <w:uiPriority w:val="0"/>
    <w:qFormat/>
    <w:pPr>
      <w:ind w:left="0" w:firstLine="2560"/>
      <w:spacing w:before="0" w:after="0" w:line="240" w:lineRule="auto"/>
    </w:pPr>
    <w:rPr>
      <w:rFonts w:ascii="Times New Roman" w:hAnsi="Times New Roman" w:cs="Times New Roman"/>
    </w:rPr>
  </w:style>
  <w:style w:type="paragraph" w:styleId="1355" w:customStyle="1">
    <w:name w:val="样式"/>
    <w:next w:val="856"/>
    <w:uiPriority w:val="0"/>
    <w:qFormat/>
    <w:pPr>
      <w:ind w:firstLine="3584"/>
      <w:widowControl w:val="off"/>
    </w:pPr>
    <w:rPr>
      <w:rFonts w:hint="default" w:ascii="Calibri" w:hAnsi="Calibri" w:eastAsia="宋体" w:cs="宋体"/>
    </w:rPr>
  </w:style>
  <w:style w:type="paragraph" w:styleId="1356" w:customStyle="1">
    <w:name w:val="TOC 标题1"/>
    <w:basedOn w:val="858"/>
    <w:next w:val="856"/>
    <w:uiPriority w:val="0"/>
    <w:qFormat/>
    <w:pPr>
      <w:ind w:left="0" w:firstLine="6144"/>
      <w:spacing w:before="480" w:after="0" w:line="276" w:lineRule="auto"/>
    </w:pPr>
    <w:rPr>
      <w:b/>
      <w:sz w:val="30"/>
    </w:rPr>
  </w:style>
  <w:style w:type="paragraph" w:styleId="1357" w:customStyle="1">
    <w:name w:val="纯文本3"/>
    <w:basedOn w:val="856"/>
    <w:uiPriority w:val="0"/>
    <w:qFormat/>
    <w:rPr>
      <w:rFonts w:ascii="宋体" w:hAnsi="Courier New" w:cs="Times New Roman"/>
    </w:rPr>
  </w:style>
  <w:style w:type="paragraph" w:styleId="1358" w:customStyle="1">
    <w:name w:val="afont"/>
    <w:basedOn w:val="857"/>
    <w:next w:val="881"/>
    <w:uiPriority w:val="0"/>
    <w:qFormat/>
    <w:pPr>
      <w:ind w:left="0" w:firstLine="2048"/>
      <w:spacing w:before="100" w:after="100" w:line="285" w:lineRule="atLeast"/>
    </w:pPr>
    <w:rPr>
      <w:rFonts w:ascii="Times New Roman" w:hAnsi="Times New Roman" w:cs="Times New Roman"/>
    </w:rPr>
  </w:style>
  <w:style w:type="paragraph" w:styleId="1359" w:customStyle="1">
    <w:name w:val="xl85"/>
    <w:basedOn w:val="857"/>
    <w:next w:val="1360"/>
    <w:uiPriority w:val="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857"/>
    <w:next w:val="1361"/>
    <w:uiPriority w:val="0"/>
    <w:qFormat/>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857"/>
    <w:next w:val="1324"/>
    <w:uiPriority w:val="0"/>
    <w:qFormat/>
    <w:pPr>
      <w:ind w:left="200" w:firstLine="1224"/>
      <w:spacing w:before="0" w:after="0" w:line="400" w:lineRule="exact"/>
    </w:pPr>
    <w:rPr>
      <w:rFonts w:ascii="Times New Roman" w:hAnsi="Times New Roman" w:cs="Times New Roman"/>
    </w:rPr>
  </w:style>
  <w:style w:type="paragraph" w:styleId="1362" w:customStyle="1">
    <w:name w:val="二级条标题"/>
    <w:basedOn w:val="857"/>
    <w:next w:val="856"/>
    <w:uiPriority w:val="0"/>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856"/>
    <w:uiPriority w:val="0"/>
    <w:qFormat/>
    <w:pPr>
      <w:ind w:left="0"/>
      <w:jc w:val="left"/>
    </w:pPr>
    <w:rPr>
      <w:rFonts w:ascii="宋体" w:hAnsi="宋体" w:eastAsia="楷体_GB2312" w:cs="Courier New"/>
      <w:sz w:val="26"/>
      <w:lang w:val="zh-CN"/>
    </w:rPr>
  </w:style>
  <w:style w:type="paragraph" w:styleId="1364" w:customStyle="1">
    <w:name w:val="样式 加粗 居中2"/>
    <w:basedOn w:val="857"/>
    <w:next w:val="1216"/>
    <w:uiPriority w:val="0"/>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857"/>
    <w:next w:val="1319"/>
    <w:uiPriority w:val="0"/>
    <w:qFormat/>
    <w:pPr>
      <w:ind w:left="480" w:firstLine="2784"/>
      <w:spacing w:before="0" w:after="0" w:line="360" w:lineRule="auto"/>
    </w:pPr>
    <w:rPr>
      <w:rFonts w:ascii="Times New Roman" w:hAnsi="Times New Roman" w:cs="Times New Roman"/>
    </w:rPr>
  </w:style>
  <w:style w:type="paragraph" w:styleId="1366" w:customStyle="1">
    <w:name w:val="font5"/>
    <w:basedOn w:val="857"/>
    <w:next w:val="1367"/>
    <w:uiPriority w:val="0"/>
    <w:qFormat/>
    <w:pPr>
      <w:ind w:left="0" w:firstLine="5120"/>
      <w:spacing w:before="280" w:after="280" w:line="240" w:lineRule="auto"/>
    </w:pPr>
    <w:rPr>
      <w:rFonts w:ascii="Times New Roman" w:hAnsi="Times New Roman" w:cs="Times New Roman"/>
    </w:rPr>
  </w:style>
  <w:style w:type="paragraph" w:styleId="1367" w:customStyle="1">
    <w:name w:val="索引标题1"/>
    <w:basedOn w:val="857"/>
    <w:next w:val="1246"/>
    <w:uiPriority w:val="0"/>
    <w:qFormat/>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857"/>
    <w:next w:val="1369"/>
    <w:uiPriority w:val="0"/>
    <w:qFormat/>
    <w:pPr>
      <w:ind w:left="0" w:firstLine="2560"/>
      <w:spacing w:before="0" w:after="0" w:line="240" w:lineRule="auto"/>
    </w:pPr>
    <w:rPr>
      <w:rFonts w:ascii="Times New Roman" w:hAnsi="Times New Roman" w:cs="Times New Roman"/>
    </w:rPr>
  </w:style>
  <w:style w:type="paragraph" w:styleId="1369" w:customStyle="1">
    <w:name w:val="1正文"/>
    <w:basedOn w:val="857"/>
    <w:next w:val="1370"/>
    <w:uiPriority w:val="0"/>
    <w:qFormat/>
    <w:pPr>
      <w:ind w:left="480" w:firstLine="2784"/>
      <w:spacing w:before="0" w:after="0" w:line="300" w:lineRule="auto"/>
    </w:pPr>
    <w:rPr>
      <w:rFonts w:ascii="Times New Roman" w:hAnsi="Times New Roman" w:cs="Times New Roman"/>
    </w:rPr>
  </w:style>
  <w:style w:type="paragraph" w:styleId="1370" w:customStyle="1">
    <w:name w:val="目录2"/>
    <w:basedOn w:val="857"/>
    <w:next w:val="856"/>
    <w:uiPriority w:val="0"/>
    <w:qFormat/>
    <w:pPr>
      <w:ind w:left="209" w:firstLine="5329"/>
      <w:spacing w:before="0" w:after="0" w:line="317" w:lineRule="atLeast"/>
    </w:pPr>
    <w:rPr>
      <w:rFonts w:ascii="Times New Roman" w:hAnsi="Times New Roman" w:cs="Times New Roman"/>
    </w:rPr>
  </w:style>
  <w:style w:type="paragraph" w:styleId="1371" w:customStyle="1">
    <w:name w:val="图表目录1"/>
    <w:basedOn w:val="857"/>
    <w:next w:val="856"/>
    <w:uiPriority w:val="0"/>
    <w:qFormat/>
    <w:pPr>
      <w:ind w:left="200" w:firstLine="2616"/>
      <w:jc w:val="center"/>
      <w:spacing w:before="0" w:after="0" w:line="360" w:lineRule="auto"/>
    </w:pPr>
    <w:rPr>
      <w:rFonts w:ascii="Times New Roman" w:hAnsi="Times New Roman" w:cs="Times New Roman"/>
    </w:rPr>
  </w:style>
  <w:style w:type="paragraph" w:styleId="1372" w:customStyle="1">
    <w:name w:val="xl63"/>
    <w:basedOn w:val="857"/>
    <w:next w:val="1322"/>
    <w:uiPriority w:val="0"/>
    <w:qFormat/>
    <w:pPr>
      <w:ind w:left="0" w:firstLine="5120"/>
      <w:spacing w:before="280" w:after="280" w:line="240" w:lineRule="auto"/>
    </w:pPr>
    <w:rPr>
      <w:rFonts w:ascii="Times New Roman" w:hAnsi="Times New Roman" w:cs="Times New Roman"/>
    </w:rPr>
  </w:style>
  <w:style w:type="paragraph" w:styleId="1373">
    <w:name w:val="List Paragraph"/>
    <w:basedOn w:val="856"/>
    <w:next w:val="1280"/>
    <w:uiPriority w:val="0"/>
    <w:qFormat/>
    <w:pPr>
      <w:ind w:left="420" w:firstLine="3748"/>
    </w:pPr>
    <w:rPr>
      <w:rFonts w:ascii="Times New Roman" w:hAnsi="Times New Roman" w:cs="Times New Roman"/>
    </w:rPr>
  </w:style>
  <w:style w:type="paragraph" w:styleId="1374" w:customStyle="1">
    <w:name w:val="xl73"/>
    <w:basedOn w:val="857"/>
    <w:next w:val="1375"/>
    <w:uiPriority w:val="0"/>
    <w:qFormat/>
    <w:pPr>
      <w:ind w:left="0" w:firstLine="3584"/>
      <w:spacing w:before="280" w:after="280" w:line="240" w:lineRule="auto"/>
    </w:pPr>
    <w:rPr>
      <w:rFonts w:ascii="Times New Roman" w:hAnsi="Times New Roman" w:cs="Times New Roman"/>
    </w:rPr>
  </w:style>
  <w:style w:type="paragraph" w:styleId="1375" w:customStyle="1">
    <w:name w:val="xl80"/>
    <w:basedOn w:val="857"/>
    <w:next w:val="1376"/>
    <w:uiPriority w:val="0"/>
    <w:qFormat/>
    <w:pPr>
      <w:ind w:left="0" w:firstLine="3584"/>
      <w:jc w:val="center"/>
      <w:spacing w:before="280" w:after="280" w:line="240" w:lineRule="auto"/>
    </w:pPr>
    <w:rPr>
      <w:rFonts w:ascii="Times New Roman" w:hAnsi="Times New Roman" w:cs="Times New Roman"/>
    </w:rPr>
  </w:style>
  <w:style w:type="paragraph" w:styleId="1376" w:customStyle="1">
    <w:name w:val="样式2"/>
    <w:basedOn w:val="862"/>
    <w:next w:val="1377"/>
    <w:uiPriority w:val="0"/>
    <w:qFormat/>
    <w:pPr>
      <w:ind w:left="1134" w:firstLine="18"/>
      <w:spacing w:before="0" w:after="0" w:line="360" w:lineRule="auto"/>
      <w:outlineLvl w:val="4"/>
    </w:pPr>
  </w:style>
  <w:style w:type="paragraph" w:styleId="1377" w:customStyle="1">
    <w:name w:val="日期1"/>
    <w:basedOn w:val="857"/>
    <w:next w:val="856"/>
    <w:uiPriority w:val="0"/>
    <w:qFormat/>
    <w:pPr>
      <w:ind w:left="100" w:firstLine="6144"/>
      <w:spacing w:before="0" w:after="0" w:line="240" w:lineRule="auto"/>
    </w:pPr>
    <w:rPr>
      <w:rFonts w:ascii="Times New Roman" w:hAnsi="Times New Roman" w:cs="Times New Roman"/>
    </w:rPr>
  </w:style>
  <w:style w:type="paragraph" w:styleId="1378" w:customStyle="1">
    <w:name w:val="图1"/>
    <w:basedOn w:val="857"/>
    <w:next w:val="856"/>
    <w:uiPriority w:val="0"/>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857"/>
    <w:next w:val="1359"/>
    <w:uiPriority w:val="0"/>
    <w:qFormat/>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857"/>
    <w:next w:val="1265"/>
    <w:uiPriority w:val="0"/>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857"/>
    <w:next w:val="1356"/>
    <w:uiPriority w:val="0"/>
    <w:qFormat/>
    <w:pPr>
      <w:ind w:left="0" w:firstLine="3584"/>
      <w:jc w:val="center"/>
      <w:spacing w:before="0" w:after="0" w:line="400" w:lineRule="exact"/>
    </w:pPr>
    <w:rPr>
      <w:rFonts w:ascii="Times New Roman" w:hAnsi="Times New Roman" w:cs="Times New Roman"/>
    </w:rPr>
  </w:style>
  <w:style w:type="paragraph" w:styleId="1382">
    <w:name w:val="Intense Quote"/>
    <w:next w:val="856"/>
    <w:uiPriority w:val="0"/>
    <w:qFormat/>
    <w:pPr>
      <w:ind w:left="3766" w:right="950"/>
      <w:jc w:val="center"/>
      <w:spacing w:before="360" w:after="360"/>
    </w:pPr>
    <w:rPr>
      <w:rFonts w:hint="default" w:ascii="Calibri" w:hAnsi="Calibri" w:eastAsia="宋体" w:cs="宋体"/>
      <w:i/>
    </w:rPr>
  </w:style>
  <w:style w:type="paragraph" w:styleId="1383" w:customStyle="1">
    <w:name w:val="索引 51"/>
    <w:basedOn w:val="857"/>
    <w:next w:val="856"/>
    <w:uiPriority w:val="0"/>
    <w:qFormat/>
    <w:pPr>
      <w:ind w:left="800" w:firstLine="2560"/>
      <w:jc w:val="center"/>
      <w:spacing w:before="0" w:after="0" w:line="360" w:lineRule="auto"/>
    </w:pPr>
    <w:rPr>
      <w:rFonts w:ascii="Times New Roman" w:hAnsi="Times New Roman" w:cs="Times New Roman"/>
    </w:rPr>
  </w:style>
  <w:style w:type="paragraph" w:styleId="1384" w:customStyle="1">
    <w:name w:val="图表"/>
    <w:basedOn w:val="857"/>
    <w:next w:val="1385"/>
    <w:uiPriority w:val="0"/>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857"/>
    <w:next w:val="1386"/>
    <w:uiPriority w:val="0"/>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uiPriority w:val="0"/>
    <w:qFormat/>
    <w:pPr>
      <w:ind w:firstLine="2560"/>
      <w:jc w:val="center"/>
    </w:pPr>
    <w:rPr>
      <w:rFonts w:hint="default" w:ascii="Calibri" w:hAnsi="Calibri" w:eastAsia="宋体" w:cs="宋体"/>
    </w:rPr>
  </w:style>
  <w:style w:type="paragraph" w:styleId="1387" w:customStyle="1">
    <w:name w:val="修订2"/>
    <w:uiPriority w:val="0"/>
    <w:qFormat/>
    <w:rPr>
      <w:rFonts w:hint="default" w:ascii="Calibri" w:hAnsi="Calibri" w:eastAsia="宋体" w:cs="宋体"/>
    </w:rPr>
  </w:style>
  <w:style w:type="paragraph" w:styleId="1388" w:customStyle="1">
    <w:name w:val="Body"/>
    <w:next w:val="1320"/>
    <w:uiPriority w:val="0"/>
    <w:qFormat/>
    <w:pPr>
      <w:ind w:left="567" w:right="2835" w:firstLine="3584"/>
      <w:spacing w:after="60"/>
    </w:pPr>
    <w:rPr>
      <w:rFonts w:hint="default" w:ascii="Calibri" w:hAnsi="Calibri" w:eastAsia="宋体" w:cs="宋体"/>
    </w:rPr>
  </w:style>
  <w:style w:type="paragraph" w:styleId="1389" w:customStyle="1">
    <w:name w:val="font6"/>
    <w:basedOn w:val="857"/>
    <w:next w:val="1390"/>
    <w:uiPriority w:val="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883"/>
    <w:next w:val="1388"/>
    <w:uiPriority w:val="0"/>
    <w:qFormat/>
    <w:pPr>
      <w:ind w:left="200" w:firstLine="3784"/>
      <w:jc w:val="center"/>
      <w:spacing w:after="120" w:line="360" w:lineRule="auto"/>
    </w:pPr>
    <w:rPr>
      <w:rFonts w:ascii="Calibri" w:hAnsi="Calibri"/>
    </w:rPr>
  </w:style>
  <w:style w:type="paragraph" w:styleId="1391" w:customStyle="1">
    <w:name w:val="Char Char"/>
    <w:next w:val="1384"/>
    <w:uiPriority w:val="0"/>
    <w:qFormat/>
    <w:pPr>
      <w:ind w:firstLine="14"/>
      <w:spacing w:line="360" w:lineRule="auto"/>
      <w:shd w:val="clear" w:color="000000" w:fill="000080"/>
    </w:pPr>
    <w:rPr>
      <w:rFonts w:hint="default" w:ascii="Calibri" w:hAnsi="Calibri" w:eastAsia="宋体" w:cs="宋体"/>
    </w:rPr>
  </w:style>
  <w:style w:type="paragraph" w:styleId="1392" w:customStyle="1">
    <w:name w:val="正文_0_0"/>
    <w:next w:val="1224"/>
    <w:uiPriority w:val="0"/>
    <w:qFormat/>
    <w:pPr>
      <w:ind w:firstLine="3584"/>
      <w:jc w:val="both"/>
      <w:widowControl w:val="off"/>
    </w:pPr>
    <w:rPr>
      <w:rFonts w:hint="default" w:ascii="Calibri" w:hAnsi="Calibri" w:eastAsia="宋体" w:cs="宋体"/>
    </w:rPr>
  </w:style>
  <w:style w:type="paragraph" w:styleId="1393" w:customStyle="1">
    <w:name w:val="font7"/>
    <w:basedOn w:val="857"/>
    <w:next w:val="1394"/>
    <w:uiPriority w:val="0"/>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857"/>
    <w:next w:val="1395"/>
    <w:uiPriority w:val="0"/>
    <w:qFormat/>
    <w:pPr>
      <w:ind w:left="0" w:firstLine="2560"/>
      <w:spacing w:before="0" w:after="0" w:line="240" w:lineRule="auto"/>
    </w:pPr>
    <w:rPr>
      <w:rFonts w:ascii="Times New Roman" w:hAnsi="Times New Roman" w:cs="Times New Roman"/>
    </w:rPr>
  </w:style>
  <w:style w:type="paragraph" w:styleId="1395" w:customStyle="1">
    <w:name w:val="xl64"/>
    <w:basedOn w:val="857"/>
    <w:next w:val="1362"/>
    <w:uiPriority w:val="0"/>
    <w:qFormat/>
    <w:pPr>
      <w:ind w:left="0" w:firstLine="3584"/>
      <w:spacing w:before="280" w:after="280" w:line="240" w:lineRule="auto"/>
    </w:pPr>
    <w:rPr>
      <w:rFonts w:ascii="Times New Roman" w:hAnsi="Times New Roman" w:cs="Times New Roman"/>
    </w:rPr>
  </w:style>
  <w:style w:type="paragraph" w:styleId="1396" w:customStyle="1">
    <w:name w:val="style16"/>
    <w:basedOn w:val="857"/>
    <w:next w:val="1389"/>
    <w:uiPriority w:val="0"/>
    <w:qFormat/>
    <w:pPr>
      <w:ind w:left="0" w:firstLine="2048"/>
      <w:spacing w:before="280" w:after="280" w:line="240" w:lineRule="auto"/>
    </w:pPr>
    <w:rPr>
      <w:rFonts w:ascii="Times New Roman" w:hAnsi="Times New Roman" w:cs="Times New Roman"/>
    </w:rPr>
  </w:style>
  <w:style w:type="paragraph" w:styleId="1397" w:customStyle="1">
    <w:name w:val="索引 11"/>
    <w:basedOn w:val="857"/>
    <w:next w:val="856"/>
    <w:uiPriority w:val="0"/>
    <w:qFormat/>
    <w:pPr>
      <w:ind w:left="0" w:firstLine="3584"/>
      <w:spacing w:before="0" w:after="0" w:line="240" w:lineRule="auto"/>
    </w:pPr>
    <w:rPr>
      <w:rFonts w:ascii="Times New Roman" w:hAnsi="Times New Roman" w:cs="Times New Roman"/>
    </w:rPr>
  </w:style>
  <w:style w:type="paragraph" w:styleId="1398" w:customStyle="1">
    <w:name w:val="H 3"/>
    <w:basedOn w:val="860"/>
    <w:next w:val="1399"/>
    <w:uiPriority w:val="0"/>
    <w:qFormat/>
    <w:pPr>
      <w:ind w:left="1429" w:firstLine="18"/>
      <w:spacing w:before="0" w:after="0" w:line="360" w:lineRule="auto"/>
      <w:outlineLvl w:val="2"/>
    </w:pPr>
  </w:style>
  <w:style w:type="paragraph" w:styleId="1399" w:customStyle="1">
    <w:name w:val="xl83"/>
    <w:basedOn w:val="857"/>
    <w:next w:val="1380"/>
    <w:uiPriority w:val="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857"/>
    <w:next w:val="1396"/>
    <w:uiPriority w:val="0"/>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857"/>
    <w:next w:val="1383"/>
    <w:uiPriority w:val="0"/>
    <w:qFormat/>
    <w:pPr>
      <w:ind w:left="200" w:firstLine="3784"/>
      <w:spacing w:before="0" w:after="0" w:line="360" w:lineRule="auto"/>
    </w:pPr>
    <w:rPr>
      <w:rFonts w:ascii="Times New Roman" w:hAnsi="Times New Roman" w:cs="Times New Roman"/>
    </w:rPr>
  </w:style>
  <w:style w:type="paragraph" w:styleId="1402" w:customStyle="1">
    <w:name w:val="1"/>
    <w:basedOn w:val="857"/>
    <w:next w:val="889"/>
    <w:uiPriority w:val="0"/>
    <w:qFormat/>
    <w:pPr>
      <w:ind w:left="0" w:firstLine="2048"/>
      <w:spacing w:before="0" w:after="0" w:line="240" w:lineRule="auto"/>
    </w:pPr>
    <w:rPr>
      <w:rFonts w:ascii="Times New Roman" w:hAnsi="Times New Roman" w:cs="Times New Roman"/>
    </w:rPr>
  </w:style>
  <w:style w:type="paragraph" w:styleId="1403" w:customStyle="1">
    <w:name w:val="_Style 398"/>
    <w:basedOn w:val="857"/>
    <w:next w:val="856"/>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856"/>
    <w:uiPriority w:val="1"/>
    <w:qFormat/>
    <w:rPr>
      <w:rFonts w:ascii="宋体" w:hAnsi="宋体"/>
      <w:lang w:val="zh-CN" w:bidi="zh-CN"/>
    </w:rPr>
  </w:style>
  <w:style w:type="paragraph" w:styleId="1405" w:customStyle="1">
    <w:name w:val="_Style 400"/>
    <w:uiPriority w:val="0"/>
    <w:qFormat/>
    <w:rPr>
      <w:rFonts w:hint="default" w:ascii="Calibri" w:hAnsi="Calibri" w:eastAsia="宋体" w:cs="宋体"/>
    </w:rPr>
  </w:style>
  <w:style w:type="paragraph" w:styleId="1406" w:customStyle="1">
    <w:name w:val="Style1"/>
    <w:basedOn w:val="856"/>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857"/>
    <w:next w:val="1272"/>
    <w:uiPriority w:val="0"/>
    <w:qFormat/>
    <w:pPr>
      <w:ind w:left="420" w:firstLine="3748"/>
      <w:spacing w:before="0" w:after="0" w:line="240" w:lineRule="auto"/>
    </w:pPr>
    <w:rPr>
      <w:rFonts w:ascii="Times New Roman" w:hAnsi="Times New Roman" w:cs="Times New Roman"/>
    </w:rPr>
  </w:style>
  <w:style w:type="paragraph" w:styleId="1408" w:customStyle="1">
    <w:name w:val="Char1 Char Char Char"/>
    <w:basedOn w:val="857"/>
    <w:next w:val="1409"/>
    <w:uiPriority w:val="0"/>
    <w:qFormat/>
    <w:pPr>
      <w:ind w:left="0" w:firstLine="2560"/>
      <w:spacing w:before="0" w:after="0" w:line="240" w:lineRule="auto"/>
    </w:pPr>
    <w:rPr>
      <w:rFonts w:ascii="Times New Roman" w:hAnsi="Times New Roman" w:cs="Times New Roman"/>
    </w:rPr>
  </w:style>
  <w:style w:type="paragraph" w:styleId="1409" w:customStyle="1">
    <w:name w:val="xl24"/>
    <w:basedOn w:val="857"/>
    <w:next w:val="135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uiPriority w:val="0"/>
    <w:qFormat/>
    <w:pPr>
      <w:ind w:firstLine="3584"/>
    </w:pPr>
    <w:rPr>
      <w:rFonts w:hint="default" w:ascii="Calibri" w:hAnsi="Calibri" w:eastAsia="宋体" w:cs="宋体"/>
    </w:rPr>
  </w:style>
  <w:style w:type="paragraph" w:styleId="1411" w:customStyle="1">
    <w:name w:val="xl72"/>
    <w:basedOn w:val="857"/>
    <w:next w:val="1267"/>
    <w:uiPriority w:val="0"/>
    <w:qFormat/>
    <w:pPr>
      <w:ind w:left="0" w:firstLine="3584"/>
      <w:spacing w:before="280" w:after="280" w:line="240" w:lineRule="auto"/>
    </w:pPr>
    <w:rPr>
      <w:rFonts w:ascii="Times New Roman" w:hAnsi="Times New Roman" w:cs="Times New Roman"/>
    </w:rPr>
  </w:style>
  <w:style w:type="paragraph" w:styleId="1412" w:customStyle="1">
    <w:name w:val="插图"/>
    <w:next w:val="856"/>
    <w:uiPriority w:val="0"/>
    <w:qFormat/>
    <w:pPr>
      <w:ind w:firstLine="4608"/>
      <w:jc w:val="center"/>
    </w:pPr>
    <w:rPr>
      <w:rFonts w:hint="default" w:ascii="Calibri" w:hAnsi="Calibri" w:eastAsia="宋体" w:cs="宋体"/>
    </w:rPr>
  </w:style>
  <w:style w:type="paragraph" w:styleId="1413" w:customStyle="1">
    <w:name w:val="列出段落3"/>
    <w:basedOn w:val="857"/>
    <w:next w:val="1307"/>
    <w:uiPriority w:val="0"/>
    <w:qFormat/>
    <w:pPr>
      <w:ind w:left="420" w:firstLine="3748"/>
      <w:spacing w:before="0" w:after="0" w:line="240" w:lineRule="auto"/>
    </w:pPr>
    <w:rPr>
      <w:rFonts w:ascii="Times New Roman" w:hAnsi="Times New Roman" w:cs="Times New Roman"/>
    </w:rPr>
  </w:style>
  <w:style w:type="paragraph" w:styleId="1414" w:customStyle="1">
    <w:name w:val="目录标题"/>
    <w:basedOn w:val="857"/>
    <w:next w:val="856"/>
    <w:uiPriority w:val="0"/>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857"/>
    <w:next w:val="1310"/>
    <w:uiPriority w:val="0"/>
    <w:qFormat/>
    <w:pPr>
      <w:ind w:left="0" w:firstLine="2560"/>
      <w:spacing w:before="0" w:after="0" w:line="240" w:lineRule="auto"/>
    </w:pPr>
    <w:rPr>
      <w:rFonts w:ascii="Times New Roman" w:hAnsi="Times New Roman" w:cs="Times New Roman"/>
    </w:rPr>
  </w:style>
  <w:style w:type="paragraph" w:styleId="1416" w:customStyle="1">
    <w:name w:val="WPSOffice手动目录 2"/>
    <w:uiPriority w:val="0"/>
    <w:qFormat/>
    <w:pPr>
      <w:ind w:left="200"/>
    </w:pPr>
    <w:rPr>
      <w:rFonts w:hint="default" w:ascii="宋体" w:hAnsi="宋体" w:eastAsia="宋体" w:cs="宋体"/>
    </w:rPr>
  </w:style>
  <w:style w:type="paragraph" w:styleId="1417" w:customStyle="1">
    <w:name w:val="表内文字"/>
    <w:basedOn w:val="857"/>
    <w:next w:val="898"/>
    <w:uiPriority w:val="0"/>
    <w:qFormat/>
    <w:pPr>
      <w:ind w:left="0" w:firstLine="7680"/>
      <w:jc w:val="center"/>
      <w:spacing w:before="50" w:after="50" w:line="240" w:lineRule="auto"/>
    </w:pPr>
    <w:rPr>
      <w:rFonts w:ascii="Times New Roman" w:hAnsi="Times New Roman" w:cs="Times New Roman"/>
    </w:rPr>
  </w:style>
  <w:style w:type="paragraph" w:styleId="1418" w:customStyle="1">
    <w:name w:val="xl66"/>
    <w:basedOn w:val="857"/>
    <w:next w:val="1400"/>
    <w:uiPriority w:val="0"/>
    <w:qFormat/>
    <w:pPr>
      <w:ind w:left="0" w:firstLine="3584"/>
      <w:spacing w:before="280" w:after="280" w:line="240" w:lineRule="auto"/>
    </w:pPr>
    <w:rPr>
      <w:rFonts w:ascii="Times New Roman" w:hAnsi="Times New Roman" w:cs="Times New Roman"/>
    </w:rPr>
  </w:style>
  <w:style w:type="paragraph" w:styleId="1419" w:customStyle="1">
    <w:name w:val="*正文"/>
    <w:basedOn w:val="856"/>
    <w:uiPriority w:val="0"/>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857"/>
    <w:next w:val="1313"/>
    <w:uiPriority w:val="0"/>
    <w:qFormat/>
    <w:pPr>
      <w:ind w:left="0" w:firstLine="2815"/>
      <w:spacing w:before="0" w:after="0" w:line="360" w:lineRule="auto"/>
    </w:pPr>
    <w:rPr>
      <w:rFonts w:ascii="Times New Roman" w:hAnsi="Times New Roman" w:cs="Times New Roman"/>
    </w:rPr>
  </w:style>
  <w:style w:type="table" w:styleId="1421" w:customStyle="1">
    <w:name w:val="网格型1"/>
    <w:basedOn w:val="867"/>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uiPriority w:val="0"/>
    <w:qFormat/>
    <w:rPr>
      <w:rFonts w:hint="default" w:ascii="Times New Roman" w:hAnsi="Times New Roman" w:cs="Times New Roman"/>
      <w:b/>
      <w:bCs/>
      <w:color w:val="000000"/>
      <w:sz w:val="24"/>
      <w:szCs w:val="24"/>
      <w:u w:val="none"/>
    </w:rPr>
  </w:style>
  <w:style w:type="character" w:styleId="1423" w:customStyle="1">
    <w:name w:val="10"/>
    <w:basedOn w:val="866"/>
    <w:uiPriority w:val="0"/>
    <w:qFormat/>
    <w:rPr>
      <w:rFonts w:hint="default" w:ascii="Times New Roman" w:hAnsi="Times New Roman" w:cs="Times New Roman"/>
    </w:rPr>
  </w:style>
  <w:style w:type="character" w:styleId="1424" w:customStyle="1">
    <w:name w:val="15"/>
    <w:basedOn w:val="866"/>
    <w:uiPriority w:val="0"/>
    <w:qFormat/>
    <w:rPr>
      <w:rFonts w:hint="default" w:ascii="Times New Roman" w:hAnsi="Times New Roman" w:cs="Times New Roman"/>
    </w:rPr>
  </w:style>
  <w:style w:type="character" w:styleId="1425" w:customStyle="1">
    <w:name w:val="NormalCharacter"/>
    <w:uiPriority w:val="0"/>
    <w:semiHidden/>
    <w:qFormat/>
    <w:rPr>
      <w:sz w:val="28"/>
      <w:lang w:val="en-US" w:eastAsia="zh-CN" w:bidi="ar-SA"/>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朱琳</cp:lastModifiedBy>
  <cp:revision>3</cp:revision>
  <dcterms:created xsi:type="dcterms:W3CDTF">2023-12-20T13:18:00Z</dcterms:created>
  <dcterms:modified xsi:type="dcterms:W3CDTF">2026-09-16T03:31:33Z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A51CB88967CF4E9381A7013E56564501_13</vt:lpwstr>
  </property>
  <property fmtid="{D5CDD505-2E9C-101B-9397-08002B2CF9AE}" pid="4" name="commondata">
    <vt:lpwstr>eyJoZGlkIjoiMmU4NDdkODk2MjZlOTI5YjA5ZDk0Y2IwMDEyMjA1NGUifQ==</vt:lpwstr>
  </property>
  <property fmtid="{D5CDD505-2E9C-101B-9397-08002B2CF9AE}" pid="5" name="KSOTemplateDocerSaveRecord">
    <vt:lpwstr>eyJoZGlkIjoiZGMyYjQ4Y2EzNmNlYzM2YWIzOWYwNmEzMmVmMDcxYjYiLCJ1c2VySWQiOiI2NTkzODcwMTgifQ==</vt:lpwstr>
  </property>
</Properties>
</file>