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1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rPr>
          <w:rFonts w:ascii="SimSun" w:hAnsi="SimSun" w:eastAsia="SimSun" w:cs="SimSun"/>
          <w:b/>
          <w:color w:val="000000"/>
          <w:spacing w:val="170"/>
          <w:sz w:val="84"/>
        </w:rPr>
        <w:t xml:space="preserve">竞争性磋商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70"/>
          <w:sz w:val="84"/>
        </w:rPr>
        <w:t xml:space="preserve">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SimSun" w:hAnsi="SimSun" w:eastAsia="SimSun" w:cs="SimSun"/>
          <w:b/>
          <w:color w:val="000000"/>
          <w:sz w:val="28"/>
        </w:rPr>
        <w:t xml:space="preserve">服务类</w:t>
      </w:r>
      <w:r>
        <w:rPr>
          <w:rFonts w:ascii="SimSun" w:hAnsi="SimSun" w:eastAsia="SimSun" w:cs="SimSun"/>
          <w:color w:val="000000"/>
          <w:sz w:val="28"/>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 </w:t>
      </w:r>
      <w:r/>
    </w:p>
    <w:p>
      <w:pPr>
        <w:ind w:left="3686" w:right="0" w:hanging="2976"/>
        <w:jc w:val="both"/>
        <w:spacing w:before="0" w:after="0" w:line="8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项目名称：2026年全区治安复杂地区防范提升项目</w:t>
      </w:r>
      <w:r/>
    </w:p>
    <w:p>
      <w:pPr>
        <w:ind w:left="3686" w:right="0" w:hanging="2976"/>
        <w:jc w:val="both"/>
        <w:spacing w:before="0" w:after="0" w:line="8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项目编号：JSZC-320411-CZWC-C2026-0019   </w:t>
      </w:r>
      <w:r/>
    </w:p>
    <w:p>
      <w:pPr>
        <w:ind w:left="3686" w:right="0" w:hanging="2976"/>
        <w:jc w:val="both"/>
        <w:spacing w:before="0" w:after="0" w:line="8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 购 人：常州国家高新技术产业开发区（新北区）住房和城乡建设局</w:t>
      </w:r>
      <w:r/>
    </w:p>
    <w:p>
      <w:pPr>
        <w:ind w:left="3686" w:right="0" w:hanging="2976"/>
        <w:jc w:val="both"/>
        <w:spacing w:before="0" w:after="0" w:line="8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采购代理机构：常州沃成招标有限公司</w:t>
        <w:tab/>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2026年9月</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目</w:t>
      </w:r>
      <w:r>
        <w:rPr>
          <w:rFonts w:ascii="SimSun" w:hAnsi="SimSun" w:eastAsia="SimSun" w:cs="SimSun"/>
          <w:b/>
          <w:color w:val="000000"/>
          <w:sz w:val="36"/>
        </w:rPr>
        <w:t xml:space="preserve">      录</w:t>
      </w:r>
      <w:r/>
    </w:p>
    <w:p>
      <w:pPr>
        <w:ind w:left="0" w:right="0" w:firstLine="0"/>
        <w:jc w:val="both"/>
        <w:spacing w:before="0" w:after="0" w:line="300" w:lineRule="atLeast"/>
        <w:tabs>
          <w:tab w:val="left" w:pos="9072" w:leader="none"/>
        </w:tabs>
        <w:pBdr>
          <w:top w:val="none" w:color="000000" w:sz="4" w:space="0"/>
          <w:left w:val="none" w:color="000000" w:sz="4" w:space="0"/>
          <w:bottom w:val="none" w:color="000000" w:sz="4" w:space="0"/>
          <w:right w:val="none" w:color="000000" w:sz="4" w:space="0"/>
        </w:pBdr>
      </w:pPr>
      <w:r/>
      <w:hyperlink r:id="rId9" w:tooltip="https://jszfcg.jsczt.cn/jszc/onlyoffice/7.2.1-34/web-apps/apps/documenteditor/main/index_loader.html?_dc=7.2.1-34&amp;lang=zh&amp;customer=%20&amp;logo=%20&amp;headerlogo=%2Ffavicon.ico&amp;frameEditorId=iframePage&amp;compact=true&amp;parentOrigin=https://jszfcg.jsczt.cn#_Toc13443" w:history="1">
        <w:r>
          <w:rPr>
            <w:rStyle w:val="812"/>
            <w:rFonts w:ascii="SimSun" w:hAnsi="SimSun" w:eastAsia="SimSun" w:cs="SimSun"/>
            <w:b/>
            <w:color w:val="0000ee"/>
            <w:sz w:val="24"/>
            <w:u w:val="single"/>
          </w:rPr>
          <w:t xml:space="preserve">目      录</w:t>
          <w:tab/>
        </w:r>
      </w:hyperlink>
      <w:r/>
      <w:r/>
    </w:p>
    <w:p>
      <w:pPr>
        <w:ind w:left="0" w:right="0" w:firstLine="0"/>
        <w:jc w:val="both"/>
        <w:spacing w:before="0" w:after="0" w:line="300" w:lineRule="atLeast"/>
        <w:tabs>
          <w:tab w:val="left" w:pos="9072" w:leader="none"/>
        </w:tabs>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19387" w:history="1">
        <w:r>
          <w:rPr>
            <w:rStyle w:val="812"/>
            <w:rFonts w:ascii="SimSun" w:hAnsi="SimSun" w:eastAsia="SimSun" w:cs="SimSun"/>
            <w:b/>
            <w:color w:val="0000ee"/>
            <w:sz w:val="24"/>
            <w:u w:val="single"/>
          </w:rPr>
          <w:t xml:space="preserve">第一章采购邀请</w:t>
          <w:tab/>
        </w:r>
      </w:hyperlink>
      <w:r/>
      <w:r/>
    </w:p>
    <w:p>
      <w:pPr>
        <w:ind w:left="0" w:right="0" w:firstLine="0"/>
        <w:jc w:val="both"/>
        <w:spacing w:before="0" w:after="0" w:line="300" w:lineRule="atLeast"/>
        <w:tabs>
          <w:tab w:val="left" w:pos="9072" w:leader="none"/>
        </w:tabs>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25417" w:history="1">
        <w:r>
          <w:rPr>
            <w:rStyle w:val="812"/>
            <w:rFonts w:ascii="SimSun" w:hAnsi="SimSun" w:eastAsia="SimSun" w:cs="SimSun"/>
            <w:b/>
            <w:color w:val="0000ee"/>
            <w:sz w:val="24"/>
            <w:u w:val="single"/>
          </w:rPr>
          <w:t xml:space="preserve">第二章供应商须知</w:t>
          <w:tab/>
        </w:r>
      </w:hyperlink>
      <w:r/>
      <w:r/>
    </w:p>
    <w:p>
      <w:pPr>
        <w:ind w:left="0" w:right="0" w:firstLine="0"/>
        <w:jc w:val="both"/>
        <w:spacing w:before="0" w:after="0" w:line="300" w:lineRule="atLeast"/>
        <w:tabs>
          <w:tab w:val="left" w:pos="9072"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25134" w:history="1">
        <w:r>
          <w:rPr>
            <w:rStyle w:val="812"/>
            <w:rFonts w:ascii="SimSun" w:hAnsi="SimSun" w:eastAsia="SimSun" w:cs="SimSun"/>
            <w:b/>
            <w:color w:val="0000ee"/>
            <w:sz w:val="24"/>
            <w:u w:val="single"/>
          </w:rPr>
          <w:t xml:space="preserve">第三章评审程序、评审方法和评审标准</w:t>
          <w:tab/>
        </w:r>
      </w:hyperlink>
      <w:r/>
      <w:r/>
    </w:p>
    <w:p>
      <w:pPr>
        <w:ind w:left="0" w:right="0" w:firstLine="0"/>
        <w:jc w:val="both"/>
        <w:spacing w:before="0" w:after="0" w:line="300" w:lineRule="atLeast"/>
        <w:tabs>
          <w:tab w:val="left" w:pos="9072"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15680" w:history="1">
        <w:r>
          <w:rPr>
            <w:rStyle w:val="812"/>
            <w:rFonts w:ascii="SimSun" w:hAnsi="SimSun" w:eastAsia="SimSun" w:cs="SimSun"/>
            <w:b/>
            <w:color w:val="0000ee"/>
            <w:sz w:val="24"/>
            <w:u w:val="single"/>
          </w:rPr>
          <w:t xml:space="preserve">第四章采购需求</w:t>
          <w:tab/>
        </w:r>
      </w:hyperlink>
      <w:r/>
      <w:r/>
    </w:p>
    <w:p>
      <w:pPr>
        <w:ind w:left="0" w:right="0" w:firstLine="0"/>
        <w:jc w:val="both"/>
        <w:spacing w:before="0" w:after="0" w:line="300" w:lineRule="atLeast"/>
        <w:tabs>
          <w:tab w:val="left" w:pos="9072"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27509" w:history="1">
        <w:r>
          <w:rPr>
            <w:rStyle w:val="812"/>
            <w:rFonts w:ascii="SimSun" w:hAnsi="SimSun" w:eastAsia="SimSun" w:cs="SimSun"/>
            <w:b/>
            <w:color w:val="0000ee"/>
            <w:sz w:val="24"/>
            <w:u w:val="single"/>
          </w:rPr>
          <w:t xml:space="preserve">第五章拟签订的合同文本</w:t>
          <w:tab/>
        </w:r>
      </w:hyperlink>
      <w:r/>
      <w:r/>
    </w:p>
    <w:p>
      <w:pPr>
        <w:ind w:left="0" w:right="0" w:firstLine="0"/>
        <w:jc w:val="both"/>
        <w:spacing w:before="0" w:after="0" w:line="300" w:lineRule="atLeast"/>
        <w:tabs>
          <w:tab w:val="left" w:pos="9072" w:leader="none"/>
        </w:tabs>
        <w:pBdr>
          <w:top w:val="none" w:color="000000" w:sz="4" w:space="0"/>
          <w:left w:val="none" w:color="000000" w:sz="4" w:space="0"/>
          <w:bottom w:val="none" w:color="000000" w:sz="4" w:space="0"/>
          <w:right w:val="none" w:color="000000" w:sz="4" w:space="0"/>
        </w:pBdr>
      </w:pPr>
      <w:r/>
      <w:hyperlink r:id="rId15" w:tooltip="https://jszfcg.jsczt.cn/jszc/onlyoffice/7.2.1-34/web-apps/apps/documenteditor/main/index_loader.html?_dc=7.2.1-34&amp;lang=zh&amp;customer=%20&amp;logo=%20&amp;headerlogo=%2Ffavicon.ico&amp;frameEditorId=iframePage&amp;compact=true&amp;parentOrigin=https://jszfcg.jsczt.cn#_Toc3721" w:history="1">
        <w:r>
          <w:rPr>
            <w:rStyle w:val="812"/>
            <w:rFonts w:ascii="SimSun" w:hAnsi="SimSun" w:eastAsia="SimSun" w:cs="SimSun"/>
            <w:b/>
            <w:color w:val="0000ee"/>
            <w:sz w:val="24"/>
            <w:u w:val="single"/>
          </w:rPr>
          <w:t xml:space="preserve">第六章响应文件格式</w:t>
          <w:tab/>
        </w:r>
      </w:hyperlink>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第一章采购邀请</w:t>
      </w:r>
      <w:r/>
    </w:p>
    <w:p>
      <w:pPr>
        <w:pStyle w:val="652"/>
        <w:ind w:left="0" w:right="0" w:firstLine="0"/>
        <w:jc w:val="center"/>
        <w:spacing w:before="0" w:after="0" w:line="85" w:lineRule="atLeast"/>
        <w:tabs>
          <w:tab w:val="left" w:pos="3165" w:leader="none"/>
          <w:tab w:val="left" w:pos="4153" w:leader="none"/>
        </w:tabs>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44"/>
        </w:rPr>
        <w:t xml:space="preserve">2026年全区治安复杂地区防范提升项目竞争性磋商公告</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46"/>
      </w:tblGrid>
      <w:tr>
        <w:trPr>
          <w:trHeight w:val="182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46" w:type="dxa"/>
            <w:vAlign w:val="center"/>
            <w:textDirection w:val="lrTb"/>
            <w:noWrap w:val="false"/>
          </w:tcPr>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项目概况</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2026年全区治安复杂地区防范提升项目JSZC-320411-CZWC-C2026-0019采购项目的潜在供应商应在政府采购一体化平台“苏采云”获取采购文件，并于2026年9月15日13点30分（北京时间）前提交响应文件。</w:t>
            </w:r>
            <w:r/>
          </w:p>
        </w:tc>
      </w:tr>
    </w:tbl>
    <w:p>
      <w:pPr>
        <w:pStyle w:val="654"/>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一、项目基本情况</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项目编号：JSZC-320411-CZWC-C2026-0019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项目名称：2026年全区治安复杂地区防范提升项目</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采购方式：竞争性磋商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预算金额：</w:t>
      </w:r>
      <w:r>
        <w:rPr>
          <w:rFonts w:ascii="FangSong" w:hAnsi="FangSong" w:eastAsia="FangSong" w:cs="FangSong"/>
          <w:color w:val="000000"/>
          <w:sz w:val="28"/>
        </w:rPr>
        <w:t xml:space="preserve">200万元，其中：</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采购包1（丰臣国际、龙湖星图、山外有山等片区）：100万元；</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采购包2（万达广场、新龙江城市广场、薛家北街吴家场等片区）：100万元。</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最高限价：190万元，其中：</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采购包1（丰臣国际、龙湖星图、山外有山等片区）：95万元；</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采购包2（万达广场、新龙江城市广场、薛家北街吴家场等片区）：95万元。</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采购需求：为实现对相关片区公寓人员流动的全时段、全覆盖监管，需在关键区域部署结构化相机，本项目采用租赁模式，租赁期1年，1年内提供不少于三次的摄像机迁移服务。</w:t>
      </w:r>
      <w:r>
        <w:rPr>
          <w:rFonts w:ascii="FangSong" w:hAnsi="FangSong" w:eastAsia="FangSong" w:cs="FangSong"/>
          <w:b/>
          <w:color w:val="000000"/>
          <w:sz w:val="28"/>
        </w:rPr>
        <w:t xml:space="preserve">本项目拟分2个标包，每个供应商可选择相应的采购包投标，可以兼投但最多中一个包。在前序采购包中被推荐为第一中标候选人的单位可参与后序采购包评审，但不得成为后序采购包的推荐中标候选人。采购包具体内容及要求详见采购需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合同履行期限：2026年11月15日前完成部署并投入使用，租赁期1年，租赁期自部署并投入使用后开始计算。</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本项目是否接受联合体：否。</w:t>
      </w:r>
      <w:r/>
    </w:p>
    <w:p>
      <w:pPr>
        <w:pStyle w:val="654"/>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二、申请人的资格要求：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（一）满足《中华人民共和国政府采购法》第二十二条规定及下列情形：</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1.1未被“信用中国”网站或“中国政府采购网”网站列入失信被执行人、重大税收违法案件当事人名单、政府采购严重失信行为记录名单；</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（二）</w:t>
      </w:r>
      <w:r>
        <w:rPr>
          <w:rFonts w:ascii="FangSong" w:hAnsi="FangSong" w:eastAsia="FangSong" w:cs="FangSong"/>
          <w:color w:val="000000"/>
          <w:sz w:val="28"/>
        </w:rPr>
        <w:t xml:space="preserve"> 落实政府采购政策需满足的资格要求：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2.1中小企业政策（说明：中小企业包含中型、小型、微型企业，小微企业包含小型、微型企业）</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本项目不专门面向中小企业预留采购份额。</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 其它落实政府采购政策的资格要求（如有）：无。</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3.1本项目是否接受分支机构参与投标：否；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3.2本项目是否属于政府购买服务：是，公益一类事业单位、使用事业编制且由财政拨款保障的群团组织，不得作为承接主体。</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3.3其他特定资格要求：无。</w:t>
      </w:r>
      <w:r/>
    </w:p>
    <w:p>
      <w:pPr>
        <w:pStyle w:val="654"/>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三、获取采购文件</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时间：自磋商文件公告发布之日起5个工作日。</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地点：政府采购一体化平台“苏采云”。</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方式：在“苏采云”平台自行免费下载磋商文件；</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售价： 0 元。</w:t>
      </w:r>
      <w:r/>
    </w:p>
    <w:p>
      <w:pPr>
        <w:pStyle w:val="654"/>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四、响应文件提交</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截止时间：2026年9月15日13点30分（北京时间）</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地点：“苏采云”政府采购交易系统。</w:t>
      </w:r>
      <w:r/>
    </w:p>
    <w:p>
      <w:pPr>
        <w:pStyle w:val="654"/>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u w:val="none"/>
        </w:rPr>
        <w:t xml:space="preserve">五、开启</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时间：2026年9月15日13点30分（北京时间）</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地点：“苏采云”政府采购交易系统。</w:t>
      </w:r>
      <w:r/>
    </w:p>
    <w:p>
      <w:pPr>
        <w:pStyle w:val="654"/>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u w:val="none"/>
        </w:rPr>
        <w:t xml:space="preserve">六、公告期限</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自本公告发布之日起3个工作日。</w:t>
      </w:r>
      <w:r/>
    </w:p>
    <w:p>
      <w:pPr>
        <w:pStyle w:val="654"/>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u w:val="none"/>
        </w:rPr>
        <w:t xml:space="preserve">七、其他补充事宜</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1.本项目需要落实的政府采购政策：无。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响应文件。</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4.本项目采用远程“不见面”交易方式，无需到现场提交，请采购供应商在提交时间截止前提前登入“苏采云”，通过系统在线提交电子响应文件。</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5.有关本次采购的事项若存在变动或修改，敬请及时关注“江苏政府采购网”、“常州市政府采购网”发布的更正公告。</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6.本项目不收取磋商保证金。</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7.注意事项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响应供应商在开标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供应商自行承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供应商可以在“江苏政府采购网”或者“常州市政府采购网”自行免费下载采购文件，但本项目通过“苏采云”系统采用电子化不见面交易的模式，供应商通过“江苏政府采购网”或“常州市政府采购网”下载采购文件后，还必须登录“苏采云”系统按照获取采购文件方式要求进行登记、参与及下载电子采购文件方可通过系统进行投标文件的编制和提交。</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供应商在“苏采云”系统进行登记、参与及下载电子采购文件，选择“我要参与”点提交的日期视同为依法获取采购文件日期。报名成功后须打印、保留“供应商确认函”，质疑时“供应商确认函”与质疑函一并提交；未依照采购公告要求实行网上报名的供应商，视为未参与该项政府采购活动，不具备对该政府采购项目提出质疑的法定权利，但因供应商资格条件或报名时间设定不符合有关法律法规规定等原因使供应商权益受损的除外。</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10.如潜在供应商未按上述要求操作，将自行承担所产生的风险。</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11.关于常州市中小企业政府采购信用融资：</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12.关于深入开展常州市政府采购线上合同信用融资：</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r/>
    </w:p>
    <w:p>
      <w:pPr>
        <w:ind w:left="-143" w:right="-340" w:firstLine="569"/>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八、凡对本次采购提出询问，请按以下方式联系。</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1.采购人信息</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名称:常州国家高新技术产业开发区（新北区）住房和城乡建设局</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 常州市新北区新桥镇崇信路8号</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联系方式: 孙先生0519-81994043</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2.采购代理机构信息</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名称：常州沃成招标有限公司</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　　址：常州市新北区荣盛锦绣华府15栋三楼（曼哈顿广场北侧商铺）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联系方式：0519-68952791</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项目联系人：郭工</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　　 话：0519-68952791</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电子化招投标技术支持电话：0519-85588210</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注：上述个人信息由于工作需要经机构或本人同意对外公布。</w:t>
      </w:r>
      <w:r/>
    </w:p>
    <w:p>
      <w:pPr>
        <w:ind w:left="0" w:right="0" w:firstLine="50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第二章供应商须知</w:t>
      </w:r>
      <w:r/>
    </w:p>
    <w:p>
      <w:pPr>
        <w:pStyle w:val="654"/>
        <w:ind w:left="0" w:right="0" w:firstLine="0"/>
        <w:jc w:val="center"/>
        <w:spacing w:before="0" w:after="249"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供应商须知资料表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本表是对供应商须知的具体补充和修改，如有矛盾，均以本资料表为准。标记“</w:t>
      </w:r>
      <w:r>
        <w:rPr>
          <w:rFonts w:ascii="Wingdings 2" w:hAnsi="Wingdings 2" w:eastAsia="Wingdings 2" w:cs="Wingdings 2"/>
          <w:color w:val="000000"/>
          <w:sz w:val="21"/>
        </w:rPr>
        <w:t xml:space="preserve">R</w:t>
      </w:r>
      <w:r>
        <w:rPr>
          <w:rFonts w:ascii="SimSun" w:hAnsi="SimSun" w:eastAsia="SimSun" w:cs="SimSun"/>
          <w:color w:val="000000"/>
          <w:sz w:val="24"/>
        </w:rPr>
        <w:t xml:space="preserve">”的选项意为适用于本项目，标记“</w:t>
      </w:r>
      <w:r>
        <w:rPr>
          <w:rFonts w:ascii="SimSun" w:hAnsi="SimSun" w:eastAsia="SimSun" w:cs="SimSun"/>
          <w:color w:val="000000"/>
          <w:sz w:val="21"/>
        </w:rPr>
        <w:t xml:space="preserve">□</w:t>
      </w:r>
      <w:r>
        <w:rPr>
          <w:rFonts w:ascii="SimSun" w:hAnsi="SimSun" w:eastAsia="SimSun" w:cs="SimSun"/>
          <w:color w:val="000000"/>
          <w:sz w:val="24"/>
        </w:rPr>
        <w:t xml:space="preserve">”的选项意为不适用于本项目。</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2"/>
        <w:gridCol w:w="1674"/>
        <w:gridCol w:w="6709"/>
      </w:tblGrid>
      <w:tr>
        <w:trPr>
          <w:trHeight w:val="5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条款号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r>
      <w:tr>
        <w:trPr>
          <w:trHeight w:val="14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 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 货物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 工程</w:t>
            </w:r>
            <w:r/>
          </w:p>
        </w:tc>
      </w:tr>
      <w:tr>
        <w:trPr>
          <w:trHeight w:val="11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科研仪器设备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是否属于科研仪器设备采购项目：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1"/>
              </w:rPr>
              <w:t xml:space="preserve"> </w:t>
            </w:r>
            <w:r>
              <w:rPr>
                <w:rFonts w:ascii="SimSun" w:hAnsi="SimSun" w:eastAsia="SimSun" w:cs="SimSun"/>
                <w:color w:val="000000"/>
                <w:sz w:val="24"/>
              </w:rPr>
              <w:t xml:space="preserve">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否</w:t>
            </w:r>
            <w:r/>
          </w:p>
        </w:tc>
      </w:tr>
      <w:tr>
        <w:trPr>
          <w:trHeight w:val="12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不组织，投标单位如有需要请自行考察。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组织，考察时间：/。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考察地点：/。</w:t>
            </w:r>
            <w:r/>
          </w:p>
        </w:tc>
      </w:tr>
      <w:tr>
        <w:trPr>
          <w:trHeight w:val="125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不召开</w:t>
            </w:r>
            <w:r>
              <w:rPr>
                <w:rFonts w:ascii="SimSun" w:hAnsi="SimSun" w:eastAsia="SimSun" w:cs="SimSun"/>
                <w:color w:val="000000"/>
                <w:spacing w:val="2"/>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召开，召开时间：/。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召开地点：/。</w:t>
            </w:r>
            <w:r/>
          </w:p>
        </w:tc>
      </w:tr>
      <w:tr>
        <w:trPr>
          <w:trHeight w:val="11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w:t>
            </w:r>
            <w:r>
              <w:rPr>
                <w:rFonts w:ascii="SimSun" w:hAnsi="SimSun" w:eastAsia="SimSun" w:cs="SimSun"/>
                <w:color w:val="000000"/>
                <w:sz w:val="24"/>
                <w:u w:val="single"/>
              </w:rPr>
              <w:t xml:space="preserve">采购包1（丰臣国际、龙湖星图、山外有山等片区）：其他未列明行业；采购包2（万达广场、新龙江城市广场、薛家北街吴家场等片区）：其他未列明行业；</w:t>
            </w:r>
            <w:r/>
          </w:p>
        </w:tc>
      </w:tr>
      <w:tr>
        <w:trPr>
          <w:trHeight w:val="12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报价的特殊规定：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有，具体情形：___________。</w:t>
            </w: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免收</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自提交响应文件的截止之日起算</w:t>
            </w:r>
            <w:r>
              <w:rPr>
                <w:rFonts w:ascii="SimSun" w:hAnsi="SimSun" w:eastAsia="SimSun" w:cs="SimSun"/>
                <w:color w:val="000000"/>
                <w:sz w:val="24"/>
                <w:u w:val="single"/>
              </w:rPr>
              <w:t xml:space="preserve">60</w:t>
            </w:r>
            <w:r>
              <w:rPr>
                <w:rFonts w:ascii="SimSun" w:hAnsi="SimSun" w:eastAsia="SimSun" w:cs="SimSun"/>
                <w:color w:val="000000"/>
                <w:sz w:val="24"/>
              </w:rPr>
              <w:t xml:space="preserve">日历天。</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本项目是否允许分包：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不允许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允许，具体要求：</w:t>
            </w:r>
            <w:r>
              <w:rPr>
                <w:rFonts w:ascii="SimSun" w:hAnsi="SimSun" w:eastAsia="SimSun" w:cs="SimSun"/>
                <w:color w:val="000000"/>
                <w:sz w:val="24"/>
                <w:u w:val="single"/>
              </w:rPr>
              <w:t xml:space="preserve">满足采购人及相关法律法规要求</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（1）可以分包履行的具体内容：_______；</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（2）允许分包的金额或者比例：_______；</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（3）其他要求：_______。</w:t>
            </w:r>
            <w:r/>
          </w:p>
        </w:tc>
      </w:tr>
      <w:tr>
        <w:trPr>
          <w:trHeight w:val="13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询问送达形式：</w:t>
            </w:r>
            <w:r>
              <w:rPr>
                <w:rFonts w:ascii="SimSun" w:hAnsi="SimSun" w:eastAsia="SimSun" w:cs="SimSun"/>
                <w:color w:val="000000"/>
                <w:spacing w:val="2"/>
                <w:sz w:val="24"/>
              </w:rPr>
              <w:t xml:space="preserve">供应商如对采购文件有疑问，</w:t>
            </w:r>
            <w:r>
              <w:rPr>
                <w:rFonts w:ascii="SimSun" w:hAnsi="SimSun" w:eastAsia="SimSun" w:cs="SimSun"/>
                <w:color w:val="000000"/>
                <w:sz w:val="24"/>
              </w:rPr>
              <w:t xml:space="preserve">请将疑问于</w:t>
            </w:r>
            <w:r>
              <w:rPr>
                <w:rFonts w:ascii="SimSun" w:hAnsi="SimSun" w:eastAsia="SimSun" w:cs="SimSun"/>
                <w:color w:val="000000"/>
                <w:spacing w:val="2"/>
                <w:sz w:val="24"/>
              </w:rPr>
              <w:t xml:space="preserve">2026年9月10日17:00（北京时间）前</w:t>
            </w:r>
            <w:r>
              <w:rPr>
                <w:rFonts w:ascii="SimSun" w:hAnsi="SimSun" w:eastAsia="SimSun" w:cs="SimSun"/>
                <w:color w:val="000000"/>
                <w:sz w:val="24"/>
              </w:rPr>
              <w:t xml:space="preserve">以书面形式（一式三份）或原件扫描件形式</w:t>
            </w:r>
            <w:r>
              <w:rPr>
                <w:rFonts w:ascii="SimSun" w:hAnsi="SimSun" w:eastAsia="SimSun" w:cs="SimSun"/>
                <w:color w:val="000000"/>
                <w:spacing w:val="2"/>
                <w:sz w:val="24"/>
              </w:rPr>
              <w:t xml:space="preserve">提交采购人和采购代理机构联系人处，文件需按采购文件要求编制并盖章、签字。邮箱：</w:t>
            </w:r>
            <w:hyperlink r:id="rId16" w:tooltip="mailto:804311530@qq.com.%EF%BC%88%EF%BC%89" w:history="1">
              <w:r>
                <w:rPr>
                  <w:rStyle w:val="812"/>
                  <w:rFonts w:ascii="SimSun" w:hAnsi="SimSun" w:eastAsia="SimSun" w:cs="SimSun"/>
                  <w:color w:val="0000ee"/>
                  <w:spacing w:val="2"/>
                  <w:sz w:val="24"/>
                  <w:u w:val="none"/>
                </w:rPr>
                <w:t xml:space="preserve">804311530@qq.com.（采用原件扫描件形式提交的，仍需将原件邮寄至采购人和采购代理机构联系人处）</w:t>
              </w:r>
            </w:hyperlink>
            <w:r/>
          </w:p>
        </w:tc>
      </w:tr>
      <w:tr>
        <w:trPr>
          <w:trHeight w:val="19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联系部门：常州沃成招标有限公司；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联系电话：0519-68952791；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通讯地址：常州市新北区荣盛锦绣华府15栋三楼（曼哈顿广场北侧商铺）采购代理室。</w:t>
            </w:r>
            <w:r/>
          </w:p>
        </w:tc>
      </w:tr>
      <w:tr>
        <w:trPr>
          <w:trHeight w:val="2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1"/>
              </w:rPr>
              <w:t xml:space="preserve"> </w:t>
            </w:r>
            <w:r>
              <w:rPr>
                <w:rFonts w:ascii="SimSun" w:hAnsi="SimSun" w:eastAsia="SimSun" w:cs="SimSun"/>
                <w:color w:val="000000"/>
                <w:sz w:val="24"/>
              </w:rPr>
              <w:t xml:space="preserve">采购人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成交供应商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w:t>
            </w:r>
            <w:r>
              <w:rPr>
                <w:rFonts w:ascii="SimSun" w:hAnsi="SimSun" w:eastAsia="SimSun" w:cs="SimSun"/>
                <w:color w:val="000000"/>
                <w:sz w:val="24"/>
                <w:u w:val="single"/>
              </w:rPr>
              <w:t xml:space="preserve">收费比例按差额定率分档累进法计算，收费差额费率：中标金额在100万元(含)以下的为1.55%，中标金额在100万元（不含）至500万元（含）的为0.8%</w:t>
            </w:r>
            <w:r>
              <w:rPr>
                <w:rFonts w:ascii="SimSun" w:hAnsi="SimSun" w:eastAsia="SimSun" w:cs="SimSun"/>
                <w:color w:val="000000"/>
                <w:spacing w:val="2"/>
                <w:sz w:val="24"/>
                <w:u w:val="single"/>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代理服务费支付相关说明：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采购人在前期预算编制时，已经将采购代理费考虑在预算金额内。供应商在编制响应报价时，应当将代理服务费综合考虑在在总报价中。</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缴纳时间：在领取《中标通知书</w:t>
            </w:r>
            <w:r>
              <w:rPr>
                <w:rFonts w:ascii="SimSun" w:hAnsi="SimSun" w:eastAsia="SimSun" w:cs="SimSun"/>
                <w:color w:val="000000"/>
                <w:spacing w:val="2"/>
                <w:sz w:val="24"/>
              </w:rPr>
              <w:t xml:space="preserve">》时，一次性向采购代理机构交纳采购代理服务费</w:t>
            </w:r>
            <w:r>
              <w:rPr>
                <w:rFonts w:ascii="SimSun" w:hAnsi="SimSun" w:eastAsia="SimSun" w:cs="SimSun"/>
                <w:color w:val="000000"/>
                <w:sz w:val="24"/>
              </w:rPr>
              <w:t xml:space="preserve">。</w:t>
            </w:r>
            <w:r/>
          </w:p>
        </w:tc>
      </w:tr>
      <w:tr>
        <w:trPr>
          <w:trHeight w:val="1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其他补充说明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9" w:type="dxa"/>
            <w:vAlign w:val="center"/>
            <w:textDirection w:val="lrTb"/>
            <w:noWrap w:val="false"/>
          </w:tcPr>
          <w:p>
            <w:pPr>
              <w:numPr>
                <w:ilvl w:val="0"/>
                <w:numId w:val="10"/>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如标书制作工具中格式和内容与“江苏政府采购网、常州市政府采购网”发布的采购文件不一致，请以“江苏政府采购网、常州市政府采购网”发布的采购文件为准。</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CA数字证书和电子签章具体办理指南和操作手册见链接：</w:t>
            </w:r>
            <w:hyperlink r:id="rId17" w:tooltip="http://www.ccgp-jiangsu.gov.cn/jiangsu/zlxz/ee/ee3a4bc5a3454aa2b0d9312230633ce9.html%E3%80%82" w:history="1">
              <w:r>
                <w:rPr>
                  <w:rStyle w:val="812"/>
                  <w:rFonts w:ascii="SimSun" w:hAnsi="SimSun" w:eastAsia="SimSun" w:cs="SimSun"/>
                  <w:color w:val="0000ee"/>
                  <w:spacing w:val="2"/>
                  <w:sz w:val="24"/>
                  <w:u w:val="none"/>
                </w:rPr>
                <w:t xml:space="preserve">http://www.ccgp-jiangsu.gov.cn/jiangsu/zlxz/ee/ee3a4bc5a3454aa2b0d9312230633ce9.html。</w:t>
              </w:r>
            </w:hyperlink>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w:t>
            </w:r>
            <w:r>
              <w:rPr>
                <w:rFonts w:ascii="SimSun" w:hAnsi="SimSun" w:eastAsia="SimSun" w:cs="SimSun"/>
                <w:color w:val="000000"/>
                <w:sz w:val="24"/>
              </w:rPr>
              <w:t xml:space="preserve">“信用中国”网站（www.creditchina.gov.cn）、“中国政府采购网”网站（www.ccgp.gov.cn）。</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4、</w:t>
            </w:r>
            <w:r>
              <w:rPr>
                <w:rFonts w:ascii="SimSun" w:hAnsi="SimSun" w:eastAsia="SimSun" w:cs="SimSun"/>
                <w:color w:val="000000"/>
                <w:sz w:val="24"/>
              </w:rPr>
              <w:t xml:space="preserve">本项目属于服务类项目且不包含产品采购，不执行本国产品扣除相关政策。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供应商须知</w:t>
      </w:r>
      <w:r/>
    </w:p>
    <w:p>
      <w:pPr>
        <w:pStyle w:val="654"/>
        <w:ind w:left="0" w:right="0" w:firstLine="0"/>
        <w:spacing w:before="0" w:after="249"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ab/>
        <w:t xml:space="preserve">一说明</w:t>
      </w:r>
      <w:r>
        <w:rPr>
          <w:rFonts w:ascii="SimSun" w:hAnsi="SimSun" w:eastAsia="SimSun" w:cs="SimSun"/>
          <w:b/>
          <w:color w:val="000000"/>
          <w:sz w:val="28"/>
        </w:rPr>
        <w:tab/>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采购人、采购代理机构、供应商</w:t>
      </w:r>
      <w:r>
        <w:rPr>
          <w:rFonts w:ascii="SimSun" w:hAnsi="SimSun" w:eastAsia="SimSun" w:cs="SimSun"/>
          <w:color w:val="000000"/>
          <w:sz w:val="24"/>
        </w:rPr>
        <w:t xml:space="preserve">、联合体</w:t>
      </w:r>
      <w:r/>
    </w:p>
    <w:p>
      <w:pPr>
        <w:numPr>
          <w:ilvl w:val="1"/>
          <w:numId w:val="11"/>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采购人、采购代理机构：指依法进行政府采购的国家机关、事业单位、团体组织，及其委托的采购代理机构。本项目采购人、采购代理机构见第一章《采购邀请》。</w:t>
      </w:r>
      <w:r/>
    </w:p>
    <w:p>
      <w:pPr>
        <w:numPr>
          <w:ilvl w:val="1"/>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供应商（也称“申请人”）：指向采购人提供货物、工程或者服务的法人、其他组织或者自然人。</w:t>
      </w:r>
      <w:r/>
    </w:p>
    <w:p>
      <w:pPr>
        <w:numPr>
          <w:ilvl w:val="1"/>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联合体：指两个以上的自然人、法人或者其他组织组成一个联合体，以一个供应商的身份共同参加政府采购。</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资金来源</w:t>
      </w:r>
      <w:r>
        <w:rPr>
          <w:rFonts w:ascii="SimSun" w:hAnsi="SimSun" w:eastAsia="SimSun" w:cs="SimSun"/>
          <w:color w:val="000000"/>
          <w:sz w:val="24"/>
        </w:rPr>
        <w:t xml:space="preserve">、项目属性、科研仪器设备采购</w:t>
      </w:r>
      <w:r/>
    </w:p>
    <w:p>
      <w:pPr>
        <w:numPr>
          <w:ilvl w:val="1"/>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   资金来源为财政性资金或本项目采购中无法与财政性资金分割的非财政性资金。</w:t>
      </w:r>
      <w:r/>
    </w:p>
    <w:p>
      <w:pPr>
        <w:numPr>
          <w:ilvl w:val="1"/>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项目属性见《供应商须知资料表》。</w:t>
      </w:r>
      <w:r/>
    </w:p>
    <w:p>
      <w:pPr>
        <w:numPr>
          <w:ilvl w:val="1"/>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是否属于科研仪器设备采购见《供应商须知资料表》。</w:t>
      </w:r>
      <w:r/>
    </w:p>
    <w:p>
      <w:pPr>
        <w:numPr>
          <w:ilvl w:val="0"/>
          <w:numId w:val="11"/>
        </w:numPr>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现场考察、磋商前答疑会</w:t>
      </w:r>
      <w:r/>
    </w:p>
    <w:p>
      <w:pPr>
        <w:numPr>
          <w:ilvl w:val="1"/>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若《供应商须知资料表》中规定了组织现场考察、召开磋商前答疑会，则供应商应按要求在规定的时间和地点参加。</w:t>
      </w:r>
      <w:r/>
    </w:p>
    <w:p>
      <w:pPr>
        <w:numPr>
          <w:ilvl w:val="1"/>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政府采购政策（包括但不限于下列具体政策要求）</w:t>
      </w:r>
      <w:r/>
    </w:p>
    <w:p>
      <w:pPr>
        <w:numPr>
          <w:ilvl w:val="1"/>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p>
      <w:pPr>
        <w:numPr>
          <w:ilvl w:val="2"/>
          <w:numId w:val="11"/>
        </w:numPr>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中小企业、监狱企业及残疾人福利性单位</w:t>
      </w:r>
      <w:r/>
    </w:p>
    <w:p>
      <w:pPr>
        <w:numPr>
          <w:ilvl w:val="2"/>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中小企业定义：</w:t>
      </w:r>
      <w:r/>
    </w:p>
    <w:p>
      <w:pPr>
        <w:ind w:left="-2"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w:t>
      </w:r>
      <w:r>
        <w:rPr>
          <w:rFonts w:ascii="SimSun" w:hAnsi="SimSun" w:eastAsia="SimSun" w:cs="SimSun"/>
          <w:color w:val="000000"/>
          <w:sz w:val="24"/>
        </w:rPr>
        <w:t xml:space="preserve">〔2009〕36 号）。</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4.2.1.2供应商提供的货物、工程或者服务符合下列情形的，享受中小企业扶持政策：</w:t>
      </w:r>
      <w:r/>
    </w:p>
    <w:p>
      <w:pPr>
        <w:ind w:left="-2"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（1）在货物采购项目中，货物由中小企业制造，即货物由中小企业生产且使用该中小企业商号或者注册商标；</w:t>
      </w:r>
      <w:r/>
    </w:p>
    <w:p>
      <w:pPr>
        <w:ind w:left="-2"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（2）在工程采购项目中，工程由中小企业承建，即工程施工单位为中小企业；</w:t>
      </w:r>
      <w:r/>
    </w:p>
    <w:p>
      <w:pPr>
        <w:ind w:left="-2" w:right="0"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（3）在服务采购项目中，服务由中小企业承接，即提供服务的人员为中小企业依照《中华人民共和国劳动合同法》订立劳动合同的从业人员。</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4.2.1.3</w:t>
      </w:r>
      <w:r>
        <w:rPr>
          <w:rFonts w:ascii="SimSun" w:hAnsi="SimSun" w:eastAsia="SimSun" w:cs="SimSun"/>
          <w:b/>
          <w:color w:val="000000"/>
          <w:sz w:val="24"/>
        </w:rPr>
        <w:t xml:space="preserve">在货物采购项目中，供应商提供的货物既有中小企业制造货物，也有大型企业制造货物的，不享受中小企业扶持政策。</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4.2.1.4以联合体形式参加政府采购活动，联合体各方均为中小企业的，联合体视同中小企业。其中，联合体各方均为小微企业的，联合体视同小微企业。</w:t>
      </w:r>
      <w:r/>
    </w:p>
    <w:p>
      <w:pPr>
        <w:numPr>
          <w:ilvl w:val="2"/>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残疾人福利单位定义：享受政府采购支持政策的残疾人福利性单位应当同时满足以下条件：</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4.2.3.1安置的残疾人占本单位在职职工人数的比例不低于25%（含25%），并且安置的残疾人人数不少于10 人（含10 人）；</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4.2.3.2依法与安置的每位残疾人签订了一年以上（含一年）的劳动合同或服务协议；</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4.2.3.3为安置的每位残疾人按月足额缴纳了基本养老保险、基本医疗保险、失业保险、工伤保险和生育保险等社会保险费；</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4.2.3.4通过银行等金融机构向安置的每位残疾人，按月支付了不低于单位所在区县适用的经省级人民政府批准的月最低工资标准的工资；</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4.2.3.5提供本单位制造的货物、承担的工程或者服务（以下简称产品），或者提供其他残疾人福利性单位制造的货物（不包括使用非残疾人福利性单位注册商标的货物）；</w:t>
      </w:r>
      <w:r/>
    </w:p>
    <w:p>
      <w:pPr>
        <w:ind w:left="-2" w:right="0" w:firstLine="566"/>
        <w:jc w:val="both"/>
        <w:spacing w:before="0" w:after="0" w:line="85" w:lineRule="atLeast"/>
        <w:tabs>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本项目是否专门面向中小企业预留采购份额见第一章《采购邀请》。</w:t>
      </w:r>
      <w:r/>
    </w:p>
    <w:p>
      <w:pPr>
        <w:numPr>
          <w:ilvl w:val="2"/>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采购标的对应的中小企业划分标准所属行业见《供应商须知资料表》。</w:t>
      </w:r>
      <w:r/>
    </w:p>
    <w:p>
      <w:pPr>
        <w:numPr>
          <w:ilvl w:val="2"/>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小微企业价格评审优惠的政策调整：见第三章《评审方法和评审标准》。</w:t>
      </w:r>
      <w:r/>
    </w:p>
    <w:p>
      <w:pPr>
        <w:numPr>
          <w:ilvl w:val="1"/>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w:t>
      </w:r>
      <w:r/>
    </w:p>
    <w:p>
      <w:pPr>
        <w:numPr>
          <w:ilvl w:val="2"/>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如本项目采购产品属于实施政府强制采购品目清单范围的节能产品，则供应商所报产品必须获得国家确定的认证机构出具的、处于有效期之内的节能产品认证证书，否则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2"/>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非政府强制采购的节能产品或环境标志产品，依据品目清单和认证证书实施政府优先采购。优先采购的具体规定见第三章《评审方法和评审标准》（如涉及）。</w:t>
      </w:r>
      <w:r/>
    </w:p>
    <w:p>
      <w:pPr>
        <w:numPr>
          <w:ilvl w:val="2"/>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支持乡村产业振兴管理</w:t>
      </w:r>
      <w:r/>
    </w:p>
    <w:p>
      <w:pPr>
        <w:numPr>
          <w:ilvl w:val="2"/>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11"/>
        </w:numPr>
        <w:jc w:val="both"/>
        <w:spacing w:before="0" w:after="0" w:line="85"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正版软件</w:t>
      </w:r>
      <w:r/>
    </w:p>
    <w:p>
      <w:pPr>
        <w:numPr>
          <w:ilvl w:val="2"/>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ascii="SimSun" w:hAnsi="SimSun" w:eastAsia="SimSun" w:cs="SimSun"/>
          <w:b/>
          <w:color w:val="000000"/>
          <w:sz w:val="24"/>
        </w:rPr>
        <w:t xml:space="preserve">响应无效</w:t>
      </w:r>
      <w:r>
        <w:rPr>
          <w:rFonts w:ascii="SimSun" w:hAnsi="SimSun" w:eastAsia="SimSun" w:cs="SimSun"/>
          <w:color w:val="000000"/>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信息安全产品</w:t>
      </w:r>
      <w:r/>
    </w:p>
    <w:p>
      <w:pPr>
        <w:numPr>
          <w:ilvl w:val="2"/>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所投产品属于《关于调整信息安全产品强制性认证实施要求的公告》（2009 年第33 号）范围的，采购经国家认证的信息安全产品，否则</w:t>
      </w:r>
      <w:r>
        <w:rPr>
          <w:rFonts w:ascii="SimSun" w:hAnsi="SimSun" w:eastAsia="SimSun" w:cs="SimSun"/>
          <w:b/>
          <w:color w:val="000000"/>
          <w:sz w:val="24"/>
        </w:rPr>
        <w:t xml:space="preserve">响应无效</w:t>
      </w:r>
      <w:r>
        <w:rPr>
          <w:rFonts w:ascii="SimSun" w:hAnsi="SimSun" w:eastAsia="SimSun" w:cs="SimSun"/>
          <w:color w:val="000000"/>
          <w:sz w:val="24"/>
        </w:rPr>
        <w:t xml:space="preserve">。关于信息安全相关规定依据《关于信息安全产品实施政府采购的通知》（财库〔2010〕48 号）。</w:t>
      </w:r>
      <w:r/>
    </w:p>
    <w:p>
      <w:pPr>
        <w:numPr>
          <w:ilvl w:val="1"/>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政府采购创新产品政策</w:t>
      </w:r>
      <w:r/>
    </w:p>
    <w:p>
      <w:pPr>
        <w:numPr>
          <w:ilvl w:val="2"/>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left="493"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4.8绿色采购政策</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4.8.1 </w:t>
      </w:r>
      <w:r>
        <w:rPr>
          <w:rFonts w:ascii="SimSun" w:hAnsi="SimSun" w:eastAsia="SimSun" w:cs="SimSun"/>
          <w:b/>
          <w:color w:val="000000"/>
          <w:sz w:val="24"/>
        </w:rPr>
        <w:t xml:space="preserve">绿色数据中心政策 </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w:t>
      </w:r>
      <w:r>
        <w:rPr>
          <w:rFonts w:ascii="SimSun" w:hAnsi="SimSun" w:eastAsia="SimSun" w:cs="SimSun"/>
          <w:color w:val="000000"/>
          <w:sz w:val="24"/>
        </w:rPr>
        <w:t xml:space="preserve">，不能在验收过程中开展检测、认证的，可要求供应商在验收阶段提供相关检测报告、认证报告。</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4.8.2 推广应用绿色建材</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4.8.3 优先使用低挥发性有机化合物产品</w:t>
      </w:r>
      <w:r/>
    </w:p>
    <w:p>
      <w:pPr>
        <w:ind w:left="493"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p>
    <w:p>
      <w:pPr>
        <w:numPr>
          <w:ilvl w:val="0"/>
          <w:numId w:val="11"/>
        </w:numPr>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响应费用</w:t>
      </w:r>
      <w:r/>
    </w:p>
    <w:p>
      <w:pPr>
        <w:numPr>
          <w:ilvl w:val="1"/>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供应商应自行承担其编制、提交响应文件以及参加竞争性磋商活动所产生之一切费用。无论竞争性磋商活动中的做法和结果如何(包括采购单位决定取消采购的)，采购人和采购代理机构对上述费用不负任何责任。</w:t>
      </w:r>
      <w:r/>
    </w:p>
    <w:p>
      <w:pPr>
        <w:ind w:left="1080" w:right="0"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pStyle w:val="65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二竞争性磋商文件</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竞争性磋商文件构</w:t>
      </w:r>
      <w:r>
        <w:rPr>
          <w:rFonts w:ascii="SimSun" w:hAnsi="SimSun" w:eastAsia="SimSun" w:cs="SimSun"/>
          <w:color w:val="000000"/>
          <w:sz w:val="24"/>
        </w:rPr>
        <w:t xml:space="preserve">成</w:t>
      </w:r>
      <w:r/>
    </w:p>
    <w:p>
      <w:pPr>
        <w:numPr>
          <w:ilvl w:val="1"/>
          <w:numId w:val="11"/>
        </w:numPr>
        <w:jc w:val="both"/>
        <w:spacing w:before="0" w:after="0" w:line="85" w:lineRule="atLeast"/>
        <w:tabs>
          <w:tab w:val="left" w:pos="426"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竞争性磋商文件包括以下部分：</w:t>
      </w:r>
      <w:r/>
    </w:p>
    <w:p>
      <w:pPr>
        <w:numPr>
          <w:ilvl w:val="0"/>
          <w:numId w:val="1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采购邀请</w:t>
      </w:r>
      <w:r/>
    </w:p>
    <w:p>
      <w:pPr>
        <w:numPr>
          <w:ilvl w:val="0"/>
          <w:numId w:val="1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供应商须知</w:t>
      </w:r>
      <w:r/>
    </w:p>
    <w:p>
      <w:pPr>
        <w:numPr>
          <w:ilvl w:val="0"/>
          <w:numId w:val="1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评审程序、评审方法和评审标准</w:t>
      </w:r>
      <w:r/>
    </w:p>
    <w:p>
      <w:pPr>
        <w:numPr>
          <w:ilvl w:val="0"/>
          <w:numId w:val="1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numPr>
          <w:ilvl w:val="0"/>
          <w:numId w:val="1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合同草案条款</w:t>
      </w:r>
      <w:r/>
    </w:p>
    <w:p>
      <w:pPr>
        <w:numPr>
          <w:ilvl w:val="0"/>
          <w:numId w:val="1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响应文件格式</w:t>
      </w:r>
      <w:r/>
    </w:p>
    <w:p>
      <w:pPr>
        <w:numPr>
          <w:ilvl w:val="1"/>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0"/>
          <w:numId w:val="11"/>
        </w:numPr>
        <w:jc w:val="both"/>
        <w:spacing w:before="0" w:after="0" w:line="85"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对竞争性磋商文件的澄清或修改</w:t>
      </w:r>
      <w:r/>
    </w:p>
    <w:p>
      <w:pPr>
        <w:numPr>
          <w:ilvl w:val="1"/>
          <w:numId w:val="11"/>
        </w:numPr>
        <w:jc w:val="both"/>
        <w:spacing w:before="0" w:after="0" w:line="85" w:lineRule="atLeast"/>
        <w:tabs>
          <w:tab w:val="left" w:pos="426" w:leader="none"/>
          <w:tab w:val="left" w:pos="851"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已发出的竞争性磋商文件进行必要澄清或者修改的，将在原发布媒介上以发布更正公告的形式通知所有获取磋商文件的供应商。更正（或补充、澄清）公告将作为竞争性磋商文件的组成部分，并对供应商具有约束力，由供应商自行关注并获取。供应商敬请及时关注发布的更正（或补充、澄清）公告，如供应商未按上述要求操作，将自行承担所产生的风险。</w:t>
      </w:r>
      <w:r/>
    </w:p>
    <w:p>
      <w:pPr>
        <w:numPr>
          <w:ilvl w:val="1"/>
          <w:numId w:val="11"/>
        </w:numPr>
        <w:jc w:val="both"/>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424" w:right="-454"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磋商文件各项条款最终解释权归常州沃成招标有限公司，供应商对采购代理机构提供的磋商文件所做出的推论、解释和结论，采购代理机构概不负责。供应商由于对磋商文件的任何推论和误解以及采购代理机构对有关问题的口头解释所造成的后果，均由供应商自负。</w:t>
      </w:r>
      <w:r/>
    </w:p>
    <w:p>
      <w:pPr>
        <w:pStyle w:val="65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三响应文件的编制</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响应范围、竞争性磋商文件中计量单位的使用</w:t>
      </w:r>
      <w:r>
        <w:rPr>
          <w:rFonts w:ascii="SimSun" w:hAnsi="SimSun" w:eastAsia="SimSun" w:cs="SimSun"/>
          <w:color w:val="000000"/>
          <w:sz w:val="24"/>
        </w:rPr>
        <w:t xml:space="preserve">及磋商语言</w:t>
      </w:r>
      <w:r/>
    </w:p>
    <w:p>
      <w:pPr>
        <w:numPr>
          <w:ilvl w:val="1"/>
          <w:numId w:val="11"/>
        </w:numPr>
        <w:jc w:val="both"/>
        <w:spacing w:before="0" w:after="0" w:line="85" w:lineRule="atLeast"/>
        <w:tabs>
          <w:tab w:val="left" w:pos="426" w:leader="none"/>
          <w:tab w:val="left" w:pos="993"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1"/>
          <w:numId w:val="11"/>
        </w:numPr>
        <w:jc w:val="both"/>
        <w:spacing w:before="0" w:after="0" w:line="85" w:lineRule="atLeast"/>
        <w:tabs>
          <w:tab w:val="left" w:pos="142" w:leader="none"/>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除竞争性磋商文件有特殊要求外，本项目磋商所使用的计量单位，应采用中华人民共和国法定计量单位。</w:t>
      </w:r>
      <w:r/>
    </w:p>
    <w:p>
      <w:pPr>
        <w:numPr>
          <w:ilvl w:val="1"/>
          <w:numId w:val="11"/>
        </w:numPr>
        <w:jc w:val="both"/>
        <w:spacing w:before="0" w:after="0" w:line="85" w:lineRule="atLeast"/>
        <w:tabs>
          <w:tab w:val="left" w:pos="142" w:leader="none"/>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w:t>
      </w:r>
      <w:r>
        <w:rPr>
          <w:rFonts w:ascii="SimSun" w:hAnsi="SimSun" w:eastAsia="SimSun" w:cs="SimSun"/>
          <w:color w:val="000000"/>
          <w:sz w:val="24"/>
        </w:rPr>
        <w:t xml:space="preserve">构成</w:t>
      </w:r>
      <w:r/>
    </w:p>
    <w:p>
      <w:pPr>
        <w:numPr>
          <w:ilvl w:val="1"/>
          <w:numId w:val="11"/>
        </w:numPr>
        <w:jc w:val="both"/>
        <w:spacing w:before="0" w:after="0" w:line="85" w:lineRule="atLeast"/>
        <w:tabs>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供应商应当按照竞争性磋商文件的要求编制响应文件，并对其提交的响应文件的真实性、合法性承担法律责任。响应文件的部分格式要求，见第六章《响应文件格式》。</w:t>
      </w:r>
      <w:r/>
    </w:p>
    <w:p>
      <w:pPr>
        <w:numPr>
          <w:ilvl w:val="1"/>
          <w:numId w:val="11"/>
        </w:numPr>
        <w:jc w:val="both"/>
        <w:spacing w:before="0" w:after="0" w:line="85" w:lineRule="atLeast"/>
        <w:tabs>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SimSun" w:hAnsi="SimSun" w:eastAsia="SimSun" w:cs="SimSun"/>
          <w:b/>
          <w:color w:val="000000"/>
          <w:sz w:val="24"/>
        </w:rPr>
        <w:t xml:space="preserve">否则响应无效</w:t>
      </w:r>
      <w:r>
        <w:rPr>
          <w:rFonts w:ascii="SimSun" w:hAnsi="SimSun" w:eastAsia="SimSun" w:cs="SimSun"/>
          <w:color w:val="000000"/>
          <w:sz w:val="24"/>
        </w:rPr>
        <w:t xml:space="preserve">。未标记“实质性格式”的文件和竞争性磋商文件未提供格式的内容，可由供应商自行编写。</w:t>
      </w:r>
      <w:r/>
    </w:p>
    <w:p>
      <w:pPr>
        <w:numPr>
          <w:ilvl w:val="1"/>
          <w:numId w:val="11"/>
        </w:numPr>
        <w:jc w:val="both"/>
        <w:spacing w:before="0" w:after="0" w:line="85" w:lineRule="atLeast"/>
        <w:tabs>
          <w:tab w:val="left" w:pos="142" w:leader="none"/>
          <w:tab w:val="left" w:pos="426"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第三章《评审方法和评审标准》中涉及的证明文件。</w:t>
      </w:r>
      <w:r/>
    </w:p>
    <w:p>
      <w:pPr>
        <w:numPr>
          <w:ilvl w:val="1"/>
          <w:numId w:val="11"/>
        </w:numPr>
        <w:jc w:val="both"/>
        <w:spacing w:before="0" w:after="0" w:line="85" w:lineRule="atLeast"/>
        <w:tabs>
          <w:tab w:val="left" w:pos="142" w:leader="none"/>
          <w:tab w:val="left" w:pos="709"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11"/>
        </w:numPr>
        <w:jc w:val="both"/>
        <w:spacing w:before="0" w:after="0" w:line="85" w:lineRule="atLeast"/>
        <w:tabs>
          <w:tab w:val="left" w:pos="142" w:leader="none"/>
          <w:tab w:val="left" w:pos="709"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供应商认为应附的其他材料。</w:t>
      </w:r>
      <w:r/>
    </w:p>
    <w:p>
      <w:pPr>
        <w:numPr>
          <w:ilvl w:val="1"/>
          <w:numId w:val="11"/>
        </w:numPr>
        <w:jc w:val="both"/>
        <w:spacing w:before="0" w:after="0" w:line="85" w:lineRule="atLeast"/>
        <w:tabs>
          <w:tab w:val="left" w:pos="142" w:leader="none"/>
          <w:tab w:val="left" w:pos="709"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如标书制作工具中格式和内容与“江苏政府采购网、常州市政府采购网”发布的磋商文件不一致，请以“江苏政府采购网、常州市政府采购网”发布的磋商文件为准。</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报价</w:t>
      </w:r>
      <w:r/>
    </w:p>
    <w:p>
      <w:pPr>
        <w:numPr>
          <w:ilvl w:val="1"/>
          <w:numId w:val="11"/>
        </w:numPr>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所有响应均以人民币报价。</w:t>
      </w:r>
      <w:r/>
    </w:p>
    <w:p>
      <w:pPr>
        <w:numPr>
          <w:ilvl w:val="1"/>
          <w:numId w:val="11"/>
        </w:numPr>
        <w:jc w:val="both"/>
        <w:spacing w:before="0" w:after="0" w:line="85" w:lineRule="atLeast"/>
        <w:tabs>
          <w:tab w:val="left" w:pos="142"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11"/>
        </w:numPr>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总价应包括磋商文件所确定的采购范围内所有服务内容以及相应的管理、检查、劳务、培训、必须的备件和工具、运送工具及耗材、人工利润、餐饮、交通、风险、保险、人身伤亡、残险、税金、提供的报告及政策性文件规定等所有费用，以及为完成该项目所涉及到的一切其他相关费用。 </w:t>
      </w:r>
      <w:r/>
    </w:p>
    <w:p>
      <w:pPr>
        <w:numPr>
          <w:ilvl w:val="2"/>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按照竞争性磋商文件要求完成本项目的全部相关工程或服务费用。</w:t>
      </w:r>
      <w:r/>
    </w:p>
    <w:p>
      <w:pPr>
        <w:numPr>
          <w:ilvl w:val="1"/>
          <w:numId w:val="11"/>
        </w:numPr>
        <w:jc w:val="both"/>
        <w:spacing w:before="0" w:after="0" w:line="85" w:lineRule="atLeast"/>
        <w:tabs>
          <w:tab w:val="left" w:pos="284" w:leader="none"/>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采购人不得向供应商索要或者接受其给予的赠品、回扣或者与采购无关的其他商品、服务。</w:t>
      </w:r>
      <w:r/>
    </w:p>
    <w:p>
      <w:pPr>
        <w:numPr>
          <w:ilvl w:val="1"/>
          <w:numId w:val="11"/>
        </w:numPr>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供应商不能提供任何有选择性或可调整的最终报价（竞争性磋商文件另有规定的除外），否则其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0"/>
          <w:numId w:val="11"/>
        </w:numPr>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磋商保证金</w:t>
      </w:r>
      <w:r/>
    </w:p>
    <w:p>
      <w:pPr>
        <w:ind w:left="0" w:right="0" w:firstLine="566"/>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根据江苏省和常州市的相关文件规定，免收保证金。</w:t>
      </w:r>
      <w:r/>
    </w:p>
    <w:p>
      <w:pPr>
        <w:numPr>
          <w:ilvl w:val="0"/>
          <w:numId w:val="11"/>
        </w:numPr>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响应有效期</w:t>
      </w:r>
      <w:r/>
    </w:p>
    <w:p>
      <w:pPr>
        <w:numPr>
          <w:ilvl w:val="1"/>
          <w:numId w:val="11"/>
        </w:numPr>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响应文件应在本竞争性磋商文件《供应商须知资料表》中规定的响应有效期内保持有效，响应有效期少于竞争性磋商文件规定期限的，其</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0"/>
          <w:numId w:val="11"/>
        </w:numPr>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响应文件的签署</w:t>
      </w:r>
      <w:r>
        <w:rPr>
          <w:rFonts w:ascii="SimSun" w:hAnsi="SimSun" w:eastAsia="SimSun" w:cs="SimSun"/>
          <w:color w:val="000000"/>
          <w:sz w:val="24"/>
        </w:rPr>
        <w:t xml:space="preserve">、盖章</w:t>
      </w:r>
      <w:r/>
    </w:p>
    <w:p>
      <w:pPr>
        <w:numPr>
          <w:ilvl w:val="1"/>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竞争性磋商文件要求签字的内容（如授权委托书等），</w:t>
      </w:r>
      <w:r>
        <w:rPr>
          <w:rFonts w:ascii="SimSun" w:hAnsi="SimSun" w:eastAsia="SimSun" w:cs="SimSun"/>
          <w:color w:val="000000"/>
          <w:sz w:val="24"/>
        </w:rPr>
        <w:t xml:space="preserve">应当使用原件；要求第三方出具的盖章件原件（如联合协议、分包意向协议、制造商授权书原件等），响应文件中应使用原件的复印件加盖公章。</w:t>
      </w:r>
      <w:r/>
    </w:p>
    <w:p>
      <w:pPr>
        <w:numPr>
          <w:ilvl w:val="1"/>
          <w:numId w:val="11"/>
        </w:numPr>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竞争性磋商文件要求盖章的内容应当盖章。</w:t>
      </w:r>
      <w:r/>
    </w:p>
    <w:p>
      <w:pPr>
        <w:ind w:left="357" w:right="0" w:firstLine="0"/>
        <w:jc w:val="both"/>
        <w:spacing w:before="0" w:after="0" w:line="85"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四响应文件的提交</w:t>
      </w:r>
      <w:r/>
    </w:p>
    <w:p>
      <w:pPr>
        <w:numPr>
          <w:ilvl w:val="0"/>
          <w:numId w:val="1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w:t>
      </w:r>
      <w:r>
        <w:rPr>
          <w:rFonts w:ascii="SimSun" w:hAnsi="SimSun" w:eastAsia="SimSun" w:cs="SimSun"/>
          <w:color w:val="000000"/>
          <w:sz w:val="24"/>
        </w:rPr>
        <w:t xml:space="preserve">提交</w:t>
      </w:r>
      <w:r/>
    </w:p>
    <w:p>
      <w:pPr>
        <w:numPr>
          <w:ilvl w:val="1"/>
          <w:numId w:val="11"/>
        </w:numPr>
        <w:jc w:val="both"/>
        <w:spacing w:before="0" w:after="0" w:line="85" w:lineRule="atLeast"/>
        <w:tabs>
          <w:tab w:val="left" w:pos="360" w:leader="none"/>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供应商应当按照《操作手册》规定，在提交响应文件截止时间前制作并上传电子响应文件。</w:t>
      </w:r>
      <w:r/>
    </w:p>
    <w:p>
      <w:pPr>
        <w:numPr>
          <w:ilvl w:val="1"/>
          <w:numId w:val="11"/>
        </w:numPr>
        <w:jc w:val="both"/>
        <w:spacing w:before="0" w:after="0" w:line="85" w:lineRule="atLeast"/>
        <w:tabs>
          <w:tab w:val="left" w:pos="360" w:leader="none"/>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采购人及采购代理机构拒绝接受通过电子交易平台以外任何形式提交的响应文件。</w:t>
      </w:r>
      <w:r/>
    </w:p>
    <w:p>
      <w:pPr>
        <w:numPr>
          <w:ilvl w:val="1"/>
          <w:numId w:val="11"/>
        </w:numPr>
        <w:jc w:val="both"/>
        <w:spacing w:before="0" w:after="0" w:line="85" w:lineRule="atLeast"/>
        <w:tabs>
          <w:tab w:val="left" w:pos="360" w:leader="none"/>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供应商应充分考虑到网络环境、网络带宽等风险因素，如因供应商自身原因造成的电子响应文件上传不成功的按照无效响应处理。</w:t>
      </w:r>
      <w:r/>
    </w:p>
    <w:p>
      <w:pPr>
        <w:numPr>
          <w:ilvl w:val="0"/>
          <w:numId w:val="1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w:t>
      </w:r>
      <w:r>
        <w:rPr>
          <w:rFonts w:ascii="SimSun" w:hAnsi="SimSun" w:eastAsia="SimSun" w:cs="SimSun"/>
          <w:color w:val="000000"/>
          <w:sz w:val="24"/>
        </w:rPr>
        <w:t xml:space="preserve">应文件提交，截止时间和地点</w:t>
      </w:r>
      <w:r/>
    </w:p>
    <w:p>
      <w:pPr>
        <w:ind w:left="0" w:right="-454" w:firstLine="567"/>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15.1供应商应在竞争性磋商文件要求提交响应文件截止时间前，将电子响应文件提交。</w:t>
      </w:r>
      <w:r/>
    </w:p>
    <w:p>
      <w:pPr>
        <w:numPr>
          <w:ilvl w:val="0"/>
          <w:numId w:val="1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响应文件的修改与撤回</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供应商可在</w:t>
      </w:r>
      <w:r>
        <w:rPr>
          <w:rFonts w:ascii="SimSun" w:hAnsi="SimSun" w:eastAsia="SimSun" w:cs="SimSun"/>
          <w:color w:val="000000"/>
          <w:sz w:val="24"/>
        </w:rPr>
        <w:t xml:space="preserve">提交响应文件截止时间前，撤回其电子响应文件，具体操作方法见《操作手册》。</w:t>
      </w:r>
      <w:r/>
    </w:p>
    <w:p>
      <w:pPr>
        <w:numPr>
          <w:ilvl w:val="1"/>
          <w:numId w:val="11"/>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供应商撤回电子响应文件，则认为其不再参与本项目采购活动。</w:t>
      </w:r>
      <w:r/>
    </w:p>
    <w:p>
      <w:pPr>
        <w:ind w:left="357"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5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五评审</w:t>
      </w:r>
      <w:r/>
    </w:p>
    <w:p>
      <w:pPr>
        <w:numPr>
          <w:ilvl w:val="0"/>
          <w:numId w:val="1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响应文件的解密与开启</w:t>
      </w:r>
      <w:r/>
    </w:p>
    <w:p>
      <w:pPr>
        <w:numPr>
          <w:ilvl w:val="1"/>
          <w:numId w:val="11"/>
        </w:numPr>
        <w:jc w:val="both"/>
        <w:spacing w:before="0" w:after="0" w:line="85" w:lineRule="atLeast"/>
        <w:tabs>
          <w:tab w:val="left" w:pos="284"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采购人或采购代理机构将按竞争性磋商文件的规定，在响应文件提交截止时间的同一时间和竞争性磋商文件预先确定的地点开启响应文件。</w:t>
      </w:r>
      <w:r/>
    </w:p>
    <w:p>
      <w:pPr>
        <w:numPr>
          <w:ilvl w:val="1"/>
          <w:numId w:val="11"/>
        </w:numPr>
        <w:jc w:val="both"/>
        <w:spacing w:before="0" w:after="0" w:line="85" w:lineRule="atLeast"/>
        <w:tabs>
          <w:tab w:val="left" w:pos="284"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供应商应当按照《操作手册》规定，在苏采云系统规定的时间内对响应文件进行解密，因非系统原因导致的解密失败，视为</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numPr>
          <w:ilvl w:val="1"/>
          <w:numId w:val="11"/>
        </w:numPr>
        <w:jc w:val="both"/>
        <w:spacing w:before="0" w:after="0" w:line="85" w:lineRule="atLeast"/>
        <w:tabs>
          <w:tab w:val="left" w:pos="284"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供应商不足3家的，不予解密。</w:t>
      </w:r>
      <w:r/>
    </w:p>
    <w:p>
      <w:pPr>
        <w:numPr>
          <w:ilvl w:val="1"/>
          <w:numId w:val="11"/>
        </w:numPr>
        <w:jc w:val="both"/>
        <w:spacing w:before="0" w:after="0" w:line="85" w:lineRule="atLeast"/>
        <w:tabs>
          <w:tab w:val="left" w:pos="284"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本项目不公开报价。</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评审小组</w:t>
      </w:r>
      <w:r/>
    </w:p>
    <w:p>
      <w:pPr>
        <w:numPr>
          <w:ilvl w:val="1"/>
          <w:numId w:val="11"/>
        </w:numPr>
        <w:jc w:val="both"/>
        <w:spacing w:before="0" w:after="0" w:line="85" w:lineRule="atLeast"/>
        <w:tabs>
          <w:tab w:val="left" w:pos="426" w:leader="none"/>
          <w:tab w:val="left" w:pos="567"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评审小组根据政府采购有关规定和本次采购项目的特点进行组建，并负责具体评审事务，独立履行职责。</w:t>
      </w:r>
      <w:r/>
    </w:p>
    <w:p>
      <w:pPr>
        <w:numPr>
          <w:ilvl w:val="1"/>
          <w:numId w:val="11"/>
        </w:numPr>
        <w:jc w:val="both"/>
        <w:spacing w:before="0" w:after="0" w:line="85" w:lineRule="atLeast"/>
        <w:tabs>
          <w:tab w:val="left" w:pos="426" w:leader="none"/>
          <w:tab w:val="left" w:pos="567"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评审专家须符合相关规定。依法自行选定评审专家的，采购人和采购代理机构将查询有关信用记录，对具有行贿、受贿、欺诈等不良信用记录的人员，拒绝其参与政府采购活动。</w:t>
      </w:r>
      <w:r/>
    </w:p>
    <w:p>
      <w:pPr>
        <w:numPr>
          <w:ilvl w:val="1"/>
          <w:numId w:val="11"/>
        </w:numPr>
        <w:jc w:val="both"/>
        <w:spacing w:before="0" w:after="0" w:line="85" w:lineRule="atLeast"/>
        <w:tabs>
          <w:tab w:val="left" w:pos="567"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评审方法和评审标准：见第三章《评审方法和评审标准》。</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评审过程中的澄清及对响应文件的审查</w:t>
      </w:r>
      <w:r/>
    </w:p>
    <w:p>
      <w:pPr>
        <w:numPr>
          <w:ilvl w:val="1"/>
          <w:numId w:val="11"/>
        </w:numPr>
        <w:jc w:val="both"/>
        <w:spacing w:before="0" w:after="0" w:line="85" w:lineRule="atLeast"/>
        <w:tabs>
          <w:tab w:val="left" w:pos="567"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评审期间，评审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评审小组并非对每个供应商都作澄清要求。</w:t>
      </w:r>
      <w:r/>
    </w:p>
    <w:p>
      <w:pPr>
        <w:numPr>
          <w:ilvl w:val="1"/>
          <w:numId w:val="11"/>
        </w:numPr>
        <w:jc w:val="both"/>
        <w:spacing w:before="0" w:after="0" w:line="85" w:lineRule="atLeast"/>
        <w:tabs>
          <w:tab w:val="left" w:pos="567"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供应商进行澄清、说明和更正的，评审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numPr>
          <w:ilvl w:val="1"/>
          <w:numId w:val="11"/>
        </w:numPr>
        <w:jc w:val="both"/>
        <w:spacing w:before="0" w:after="0" w:line="85" w:lineRule="atLeast"/>
        <w:tabs>
          <w:tab w:val="left" w:pos="567"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接到评审小组澄清、说明和更正要求的供应商如未按规定做出澄清、说明和 更正，其风险由供应商自行承担。</w:t>
      </w:r>
      <w:r/>
    </w:p>
    <w:p>
      <w:pPr>
        <w:numPr>
          <w:ilvl w:val="1"/>
          <w:numId w:val="11"/>
        </w:numPr>
        <w:jc w:val="both"/>
        <w:spacing w:before="0" w:after="0" w:line="85" w:lineRule="atLeast"/>
        <w:tabs>
          <w:tab w:val="left" w:pos="567"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响应文件审查分为资格审查和符合性审查。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资格审查：由采购小组依据法律法规和采购文件的规定，对响应文件中的资格证明文件进行审查，以确定供应商是否具备参加采购的资格。</w:t>
      </w:r>
      <w:r/>
    </w:p>
    <w:p>
      <w:pPr>
        <w:numPr>
          <w:ilvl w:val="1"/>
          <w:numId w:val="11"/>
        </w:numPr>
        <w:jc w:val="both"/>
        <w:spacing w:before="0" w:after="0" w:line="85" w:lineRule="atLeast"/>
        <w:tabs>
          <w:tab w:val="left" w:pos="567"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符合性审查：依据采购文件的规定，由采购小组从响应文件的有效性、完整性和对采购文件的响应程度进行审查，以确定是否对采购文件的实质性要求作出响应。</w:t>
      </w:r>
      <w:r/>
    </w:p>
    <w:p>
      <w:pPr>
        <w:numPr>
          <w:ilvl w:val="1"/>
          <w:numId w:val="11"/>
        </w:numPr>
        <w:jc w:val="both"/>
        <w:spacing w:before="0" w:after="0" w:line="85" w:lineRule="atLeast"/>
        <w:tabs>
          <w:tab w:val="left" w:pos="567"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未通过资格审查或符合性审查的供应商，采购小组将在苏采云系统中告知未通过资格审查或符合性审查的原因，评审结束后，采购小组将不再告知未通过资格审查或符合性审查的原因。</w:t>
      </w:r>
      <w:r/>
    </w:p>
    <w:p>
      <w:pPr>
        <w:numPr>
          <w:ilvl w:val="1"/>
          <w:numId w:val="11"/>
        </w:numPr>
        <w:jc w:val="both"/>
        <w:spacing w:before="0" w:after="0" w:line="85" w:lineRule="atLeast"/>
        <w:tabs>
          <w:tab w:val="left" w:pos="567"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详细评审之前，采购小组将首先审查每份响应文件是否实质性响应了采购文件的要求。实质性响应的响应文件应该是与采购文件要求的条款、条件和规格相符，没有重大偏离或保留。所谓重大偏离或保留是指与采购文件规定的实质性要求存在负偏离，或者在实质上与采购文件不一致，而且限制了合同中买方的权利或供应商的义务，纠正这些偏离或保留将会对其他实质性响应要求的供应商的竞争地位产生不公正的影响。重大偏离由采购小组按照少数服从多数的原则认定。采购小组决定响应文件的响应性只根据响应文件本身的内容，而不寻求外部的证据。</w:t>
      </w:r>
      <w:r/>
    </w:p>
    <w:p>
      <w:pPr>
        <w:numPr>
          <w:ilvl w:val="1"/>
          <w:numId w:val="11"/>
        </w:numPr>
        <w:jc w:val="both"/>
        <w:spacing w:before="0" w:after="0" w:line="85" w:lineRule="atLeast"/>
        <w:tabs>
          <w:tab w:val="left" w:pos="567"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异常低价审查</w:t>
      </w:r>
      <w:r/>
    </w:p>
    <w:p>
      <w:pPr>
        <w:ind w:left="0" w:right="0" w:firstLine="645"/>
        <w:jc w:val="both"/>
        <w:spacing w:before="0" w:after="0" w:line="5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4"/>
        </w:rPr>
        <w:t xml:space="preserve">、</w:t>
      </w:r>
      <w:r>
        <w:rPr>
          <w:rFonts w:ascii="SimSun" w:hAnsi="SimSun" w:eastAsia="SimSun" w:cs="SimSun"/>
          <w:color w:val="000000"/>
          <w:sz w:val="24"/>
          <w:highlight w:val="white"/>
        </w:rPr>
        <w:t xml:space="preserve">投标（响应）报价低于全部通过符合性审查供应商投标（响应）报价平均值50%的，即投标（响应）报价&lt;全部通过符合性审查供应商投标（响应）报价平均值×50%；</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2.投标（响应）报价低于通过符合性审查的次低报价供应商投标（响应）报价50%的，即投标（响应）报价&lt;通过符合性审查的次低报价供应商投标（响应）报价×50%；</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3.投标（响应）报价低于采购项目最高限价45%的，即投标（响应）报价&lt;采购项目最高限价×45%；</w:t>
      </w:r>
      <w:r/>
    </w:p>
    <w:p>
      <w:pPr>
        <w:ind w:left="0" w:right="0" w:firstLine="645"/>
        <w:jc w:val="both"/>
        <w:spacing w:before="0" w:after="0" w:line="5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4.评审委员会基于专业判断，认为供应商报价过低，有可能影响产品质量或者不能诚信履约的其他情形</w:t>
      </w:r>
      <w:r>
        <w:rPr>
          <w:rFonts w:ascii="SimSun" w:hAnsi="SimSun" w:eastAsia="SimSun" w:cs="SimSun"/>
          <w:color w:val="000000"/>
          <w:sz w:val="24"/>
        </w:rPr>
        <w:t xml:space="preserve">。</w:t>
      </w:r>
      <w:r/>
    </w:p>
    <w:p>
      <w:pPr>
        <w:ind w:left="0" w:right="0" w:firstLine="645"/>
        <w:jc w:val="both"/>
        <w:spacing w:before="0" w:after="0" w:line="5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rPr>
          <w:rFonts w:ascii="SimSun" w:hAnsi="SimSun" w:eastAsia="SimSun" w:cs="SimSun"/>
          <w:color w:val="000000"/>
          <w:sz w:val="24"/>
          <w:highlight w:val="whit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SimSun" w:hAnsi="SimSun" w:eastAsia="SimSun" w:cs="SimSun"/>
          <w:color w:val="000000"/>
          <w:sz w:val="24"/>
        </w:rPr>
        <w:t xml:space="preserve">。</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rPr>
          <w:rFonts w:ascii="SimSun" w:hAnsi="SimSun" w:eastAsia="SimSun" w:cs="SimSun"/>
          <w:color w:val="000000"/>
          <w:sz w:val="21"/>
        </w:rPr>
        <w:t xml:space="preserve">。</w:t>
      </w:r>
      <w:r/>
    </w:p>
    <w:p>
      <w:pPr>
        <w:ind w:left="1080" w:right="0" w:firstLine="0"/>
        <w:jc w:val="both"/>
        <w:spacing w:before="0" w:after="0" w:line="85" w:lineRule="atLeast"/>
        <w:tabs>
          <w:tab w:val="left" w:pos="36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5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六</w:t>
      </w:r>
      <w:r>
        <w:rPr>
          <w:rFonts w:ascii="SimSun" w:hAnsi="SimSun" w:eastAsia="SimSun" w:cs="SimSun"/>
          <w:b/>
          <w:color w:val="000000"/>
          <w:sz w:val="28"/>
        </w:rPr>
        <w:t xml:space="preserve">确定成交</w:t>
      </w:r>
      <w:r/>
    </w:p>
    <w:p>
      <w:pPr>
        <w:numPr>
          <w:ilvl w:val="0"/>
          <w:numId w:val="1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确定成交供应商</w:t>
      </w:r>
      <w:r/>
    </w:p>
    <w:p>
      <w:pPr>
        <w:numPr>
          <w:ilvl w:val="1"/>
          <w:numId w:val="11"/>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采购人将在收到评审报告后，从评审报告提出的成交候选供应商中，按照排序由高到低的原则确定成交供应商。成交候选人并列的，由采购人依法确定。</w:t>
      </w:r>
      <w:r/>
    </w:p>
    <w:p>
      <w:pPr>
        <w:numPr>
          <w:ilvl w:val="0"/>
          <w:numId w:val="11"/>
        </w:numPr>
        <w:jc w:val="both"/>
        <w:spacing w:before="0" w:after="0" w:line="85" w:lineRule="atLeast"/>
        <w:tabs>
          <w:tab w:val="left" w:pos="360" w:leader="none"/>
          <w:tab w:val="left" w:pos="567"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成交公告与成交通知书</w:t>
      </w:r>
      <w:r/>
    </w:p>
    <w:p>
      <w:pPr>
        <w:numPr>
          <w:ilvl w:val="1"/>
          <w:numId w:val="11"/>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采购人或采购代理机构将在成交供应商确定后2个工作日内，公告成交结果，同时向成交供应商发出成交通知书，成交公告期限为1个工作日。</w:t>
      </w:r>
      <w:r/>
    </w:p>
    <w:p>
      <w:pPr>
        <w:numPr>
          <w:ilvl w:val="1"/>
          <w:numId w:val="11"/>
        </w:numPr>
        <w:jc w:val="both"/>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1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终止</w:t>
      </w:r>
      <w:r/>
    </w:p>
    <w:p>
      <w:pPr>
        <w:numPr>
          <w:ilvl w:val="1"/>
          <w:numId w:val="11"/>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在采购中，出现下列情形之一的，采购人或采购代理机构将终止竞争性磋商采购活动，发布项目终止公告并说明原因，重新开展采购活动：</w:t>
      </w:r>
      <w:r/>
    </w:p>
    <w:p>
      <w:pPr>
        <w:numPr>
          <w:ilvl w:val="2"/>
          <w:numId w:val="11"/>
        </w:numPr>
        <w:jc w:val="both"/>
        <w:spacing w:before="0" w:after="0" w:line="85" w:lineRule="atLeast"/>
        <w:tabs>
          <w:tab w:val="left" w:pos="142" w:leader="none"/>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因情况变化，不再符合规定的竞争性磋商采购方式适用情形的；</w:t>
      </w:r>
      <w:r/>
    </w:p>
    <w:p>
      <w:pPr>
        <w:numPr>
          <w:ilvl w:val="2"/>
          <w:numId w:val="11"/>
        </w:numPr>
        <w:jc w:val="both"/>
        <w:spacing w:before="0" w:after="0" w:line="85" w:lineRule="atLeast"/>
        <w:tabs>
          <w:tab w:val="left" w:pos="142" w:leader="none"/>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出现影响采购公正的违法、违规行为的；</w:t>
      </w:r>
      <w:r/>
    </w:p>
    <w:p>
      <w:pPr>
        <w:numPr>
          <w:ilvl w:val="2"/>
          <w:numId w:val="11"/>
        </w:numPr>
        <w:jc w:val="both"/>
        <w:spacing w:before="0" w:after="0" w:line="85" w:lineRule="atLeast"/>
        <w:tabs>
          <w:tab w:val="left" w:pos="142" w:leader="none"/>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ascii="SimSun" w:hAnsi="SimSun" w:eastAsia="SimSun" w:cs="SimSun"/>
          <w:color w:val="000000"/>
          <w:spacing w:val="-4"/>
          <w:sz w:val="24"/>
        </w:rPr>
        <w:t xml:space="preserve">的情形外，在采购过程中符合要求的供应商或者报价未超过采购预算的供应商不足3家的。</w:t>
      </w:r>
      <w:r/>
    </w:p>
    <w:p>
      <w:pPr>
        <w:numPr>
          <w:ilvl w:val="2"/>
          <w:numId w:val="11"/>
        </w:numPr>
        <w:jc w:val="both"/>
        <w:spacing w:before="0" w:after="0" w:line="85" w:lineRule="atLeast"/>
        <w:tabs>
          <w:tab w:val="left" w:pos="142" w:leader="none"/>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平台系统</w:t>
      </w:r>
      <w:r>
        <w:rPr>
          <w:rFonts w:ascii="SimSun" w:hAnsi="SimSun" w:eastAsia="SimSun" w:cs="SimSun"/>
          <w:color w:val="000000"/>
          <w:sz w:val="24"/>
        </w:rPr>
        <w:t xml:space="preserve">出现序号17.7的所述情形，情况严重且影响采购活动公平、公正性的。</w:t>
      </w:r>
      <w:r/>
    </w:p>
    <w:p>
      <w:pPr>
        <w:numPr>
          <w:ilvl w:val="0"/>
          <w:numId w:val="1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签订合同</w:t>
      </w:r>
      <w:r/>
    </w:p>
    <w:p>
      <w:pPr>
        <w:numPr>
          <w:ilvl w:val="1"/>
          <w:numId w:val="11"/>
        </w:numPr>
        <w:jc w:val="both"/>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11"/>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11"/>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联合体获得成交资格的，联合体各方应当共同与采购人签订合同，就成交项目向采购人承担连带责任。</w:t>
      </w:r>
      <w:r/>
    </w:p>
    <w:p>
      <w:pPr>
        <w:numPr>
          <w:ilvl w:val="1"/>
          <w:numId w:val="11"/>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政府采购合同不能转包。</w:t>
      </w:r>
      <w:r/>
    </w:p>
    <w:p>
      <w:pPr>
        <w:numPr>
          <w:ilvl w:val="1"/>
          <w:numId w:val="11"/>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ascii="SimSun" w:hAnsi="SimSun" w:eastAsia="SimSun" w:cs="SimSun"/>
          <w:b/>
          <w:color w:val="000000"/>
          <w:sz w:val="24"/>
        </w:rPr>
        <w:t xml:space="preserve">否则响应无效</w:t>
      </w:r>
      <w:r>
        <w:rPr>
          <w:rFonts w:ascii="SimSun" w:hAnsi="SimSun" w:eastAsia="SimSun" w:cs="SimSun"/>
          <w:color w:val="000000"/>
          <w:sz w:val="24"/>
        </w:rPr>
        <w:t xml:space="preserve">。成交供应商就采购项目和分包项目向采购人负责，分包供应商就分包项目承担责任。</w:t>
      </w:r>
      <w:r/>
    </w:p>
    <w:p>
      <w:pPr>
        <w:numPr>
          <w:ilvl w:val="0"/>
          <w:numId w:val="1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询问与质疑</w:t>
      </w:r>
      <w:r/>
    </w:p>
    <w:p>
      <w:pPr>
        <w:numPr>
          <w:ilvl w:val="1"/>
          <w:numId w:val="11"/>
        </w:numPr>
        <w:jc w:val="both"/>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p>
      <w:pPr>
        <w:numPr>
          <w:ilvl w:val="2"/>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供应商对政府采购活动事项有疑问的，可依法提出询问，并按《供应商须知资料表》载明的形式送达采购人或采购代理机构。</w:t>
      </w:r>
      <w:r/>
    </w:p>
    <w:p>
      <w:pPr>
        <w:numPr>
          <w:ilvl w:val="2"/>
          <w:numId w:val="11"/>
        </w:numPr>
        <w:jc w:val="both"/>
        <w:spacing w:before="0" w:after="0" w:line="85"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采购人或采购代理机构对供应商依法提出的询问，在3个工作日内作出答复，但答复的内容不得涉及商业秘密。</w:t>
      </w:r>
      <w:r/>
    </w:p>
    <w:p>
      <w:pPr>
        <w:numPr>
          <w:ilvl w:val="1"/>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w:t>
      </w:r>
      <w:r/>
    </w:p>
    <w:p>
      <w:pPr>
        <w:numPr>
          <w:ilvl w:val="2"/>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11"/>
        </w:numPr>
        <w:jc w:val="both"/>
        <w:spacing w:before="0" w:after="0" w:line="85" w:lineRule="atLeast"/>
        <w:tabs>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质疑函须使用财政部制定的范本文件。（下载网址：</w:t>
      </w:r>
      <w:hyperlink r:id="rId18" w:tooltip="http://gks.mof.gov.cn/ztztz/zhengfucaigouguanli/201802/t20180201_2804589.htm" w:history="1">
        <w:r>
          <w:rPr>
            <w:rStyle w:val="812"/>
            <w:rFonts w:ascii="SimSun" w:hAnsi="SimSun" w:eastAsia="SimSun" w:cs="SimSun"/>
            <w:color w:val="0000ee"/>
            <w:sz w:val="21"/>
            <w:u w:val="single"/>
          </w:rPr>
          <w:t xml:space="preserve">http://gks.mof.gov.cn/ztztz/zhengfucaigouguanli/201802/t20180201_2804589.htm</w:t>
        </w:r>
      </w:hyperlink>
      <w:r>
        <w:rPr>
          <w:rFonts w:ascii="SimSun" w:hAnsi="SimSun" w:eastAsia="SimSun" w:cs="SimSun"/>
          <w:color w:val="000000"/>
          <w:sz w:val="21"/>
        </w:rPr>
        <w:t xml:space="preserve">）</w:t>
      </w:r>
      <w:r/>
    </w:p>
    <w:p>
      <w:pPr>
        <w:numPr>
          <w:ilvl w:val="2"/>
          <w:numId w:val="11"/>
        </w:numPr>
        <w:jc w:val="both"/>
        <w:spacing w:before="0" w:after="0" w:line="85" w:lineRule="atLeast"/>
        <w:tabs>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w:t>
      </w:r>
      <w:r/>
    </w:p>
    <w:p>
      <w:pPr>
        <w:numPr>
          <w:ilvl w:val="2"/>
          <w:numId w:val="11"/>
        </w:numPr>
        <w:jc w:val="both"/>
        <w:spacing w:before="0" w:after="0" w:line="85" w:lineRule="atLeast"/>
        <w:tabs>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接收询问和质疑的联系部门、联系电话和通讯地址见《供应商须知资料表》。</w:t>
      </w:r>
      <w:r/>
    </w:p>
    <w:p>
      <w:pPr>
        <w:numPr>
          <w:ilvl w:val="0"/>
          <w:numId w:val="11"/>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p>
      <w:pPr>
        <w:numPr>
          <w:ilvl w:val="1"/>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收费对象、收费标准及缴纳时间见《供应商须知资料表》。由成交供应商支付的，成交供应商须一次性向采购代理机构缴纳代理费，该费用供应商自行考虑在磋商总价中。</w:t>
      </w:r>
      <w:r/>
    </w:p>
    <w:p>
      <w:pPr>
        <w:pStyle w:val="65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 其他说明</w:t>
      </w:r>
      <w:r/>
    </w:p>
    <w:p>
      <w:pPr>
        <w:ind w:left="0" w:right="-454" w:firstLine="56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26供应商的义务</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26.1供应商应当认真阅读磋商文件，完全明了采购项目之名称、用途、数量、质量和交货日期，完全明了供应商所应具备的资格条件。</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26.2供应商应当按照磋商文件的要求编制响应文件。响应文件应对磋商文件提出的实质性要求和条件作出完全响应</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26.3供应商不得相互串通磋商报价，不得排挤其他供应商的公平竞争，损害采购人或者其他供应商合法权益。供应商不得与采购人串通，损害国家利益，公众利益或者他人的合法权益。</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27、磋商程序及评审方法和评审标准</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27.1磋商程序</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具体规定为：①市场竞争不充分的科研项目，以及需要扶持的科技成果转化项目②采用竞争性磋商采购方式采购的政府购买服务项目（含政府和社会资本合作项目），在采购过程中符合要求的供应商（社会资本）只有2家的，竞争性磋商采购活动可以继续进行。采购过程中符合要求的供应商（社会资本）只有</w:t>
      </w:r>
      <w:r>
        <w:rPr>
          <w:rFonts w:ascii="SimSun" w:hAnsi="SimSun" w:eastAsia="SimSun" w:cs="SimSun"/>
          <w:color w:val="000000"/>
          <w:sz w:val="24"/>
        </w:rPr>
        <w:t xml:space="preserve">1家的，采购人（项目实施机构）或者采购代理机构应当终止竞争性磋商采购活动，发布项目终止公告并说明原因，重新开展采购活动。</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评审方法和评审标准</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27.2.1评审方法。经磋商确定最终采购需求和提交最后报价的供应商后，由磋商小组采用综合评分法对提交最后报价的供应商的响应文件和最后报价进行综合评分。</w:t>
      </w:r>
      <w:r/>
    </w:p>
    <w:p>
      <w:pPr>
        <w:ind w:left="0" w:right="0" w:firstLine="477"/>
        <w:jc w:val="both"/>
        <w:spacing w:before="0" w:after="12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7"/>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27.2.2评审标准</w:t>
      </w:r>
      <w:r/>
    </w:p>
    <w:p>
      <w:pPr>
        <w:ind w:left="0" w:right="0" w:firstLine="477"/>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见本磋商文件第五章规定。</w:t>
      </w:r>
      <w:r/>
    </w:p>
    <w:p>
      <w:pPr>
        <w:ind w:left="0" w:right="0" w:firstLine="477"/>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27.3采购活动终止的情况</w:t>
      </w:r>
      <w:r/>
    </w:p>
    <w:p>
      <w:pPr>
        <w:ind w:left="0" w:right="0" w:firstLine="360"/>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出现下列情形之一的，本次竞争性磋商采购活动将被终止：</w:t>
      </w:r>
      <w:r/>
    </w:p>
    <w:p>
      <w:pPr>
        <w:ind w:left="0" w:right="0" w:firstLine="360"/>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27.3.1因情况变化，不再符合规定的竞争性磋商采购方式适用情形的。</w:t>
      </w:r>
      <w:r/>
    </w:p>
    <w:p>
      <w:pPr>
        <w:ind w:left="0" w:right="0" w:firstLine="360"/>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27.3.2出现影响采购公正的违法、违规行为的。</w:t>
      </w:r>
      <w:r/>
    </w:p>
    <w:p>
      <w:pPr>
        <w:ind w:left="0" w:right="0" w:firstLine="360"/>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27.3.3除本磋商文件第二章第27.1.2条第三款规定的情形外，在采购过程中符合要求的供应商或者最后报价未超过采购预算的供应商不足3家的。</w:t>
      </w:r>
      <w:r/>
    </w:p>
    <w:p>
      <w:pPr>
        <w:ind w:left="0" w:right="0" w:firstLine="360"/>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27.3.4在苏采云系统规定时间内成功解密电子响应文件的供应商不足3家的。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28、</w:t>
      </w:r>
      <w:r>
        <w:rPr>
          <w:rFonts w:ascii="SimSun" w:hAnsi="SimSun" w:eastAsia="SimSun" w:cs="SimSun"/>
          <w:color w:val="000000"/>
          <w:sz w:val="24"/>
        </w:rPr>
        <w:t xml:space="preserve">确定成交单位</w:t>
      </w:r>
      <w:r/>
    </w:p>
    <w:p>
      <w:pPr>
        <w:ind w:left="0" w:right="0" w:firstLine="477"/>
        <w:jc w:val="both"/>
        <w:spacing w:before="0" w:after="120" w:line="3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评审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28.2采购人从评审报告提出的成交候选供应商中，按照排序由高到低的原则确定成交供应商。采购人确定成交供应商后，将在“江苏政府采购网、常州市政府采购网”发布成交结果公告，公告期限为1个工作日。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28.3若有充分证据证明，成交供应商出现下列情况之一的，一经查实，将被取消成交资格：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28.3.1提供虚假材料谋取成交的。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28.3.2与评审专家、采购人、其他供应商或者采购工作人员恶意串通的。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28.3.3向评审专家、采购人或采购人员行贿或者提供其他不正当利益的。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28.3.4恶意竞争，最后报价明显低于其自身合理成本且又无法提供证明的。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28.3.5不满足本磋商文件规定的实质性要求，但在评审过程中又未被磋商小组发现的。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28.3.6成交后无正当理由拒不与采购人签订政府采购合同或者未按照磋商文件确定的事项签订政府采购合同的。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28.3.7将政府采购合同转包的。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29、质疑处理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br/>
        <w:t xml:space="preserve">29.2.2对采购过程提出质疑的，为各采购程序环节结束之日。</w:t>
        <w:br/>
        <w:t xml:space="preserve">29.2.3对成交结果提出质疑的，为成交结果公告期限届满之日。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未参加磋商活动的供应商或在磋商活动中自身权益未受到损害的供应商所提出的质疑。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29.5.5供应商组成联合体参加磋商，联合体中任何一方或多方未按要求签字、盖章、加盖公章的质疑。</w:t>
      </w:r>
      <w:r/>
    </w:p>
    <w:p>
      <w:pPr>
        <w:ind w:left="0" w:right="0" w:firstLine="46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569"/>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30、成交通知书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569"/>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31、中标服务费缴纳账户:</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户名：常州沃成招标有限公司 </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开户银行：江苏银行股份有限公司常州通江路支行</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账号：80500188000081338</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开户行联行行号：313304008052</w:t>
      </w:r>
      <w:r/>
    </w:p>
    <w:p>
      <w:pPr>
        <w:ind w:left="0" w:right="0" w:firstLine="569"/>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32、诚实信用</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32.1、供应商之间不得相互串通报价，不得妨碍其他供应商的公平竞争，不得损害采购人和其他供应商的合法权益。</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供应商不得以向代理机构工作人员、磋商小组成员行贿或者采取其他不正当手段谋取中标。经查实供应商有此行为的，政府采购管理部门将供应商列入不良行为记录名单，按照《中华人民共和国政府采购法》有关规定处理。</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供应商不得虚假质疑和恶意质疑，并对质疑内容的真实性承担责任。供应商或者其他利害关系人通过捏造事实、伪造证明材料等方式提出异议或投诉，阻碍采购活动正常进行的，属于严重不良行为，代理机构将提请财政部门将其列入不良行为记录名单，并依法予以处罚。</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32.4、供应商不得虚假承诺，否则，按照提供虚假材料谋取中标成交处理。</w:t>
      </w:r>
      <w:r/>
    </w:p>
    <w:p>
      <w:pPr>
        <w:ind w:left="0" w:right="0" w:firstLine="569"/>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33、未尽事宜</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按《中华人民共和国政府采购法》、《中华人民共和国政府采购法实施条例》及其他有关的法律法规的规定执行。</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6"/>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9"/>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 </w:t>
      </w:r>
      <w:r>
        <w:rPr>
          <w:rFonts w:ascii="SimSun" w:hAnsi="SimSun" w:eastAsia="SimSun" w:cs="SimSun"/>
          <w:b/>
          <w:color w:val="000000"/>
          <w:sz w:val="28"/>
        </w:rPr>
        <w:t xml:space="preserve">政府采购告知书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尊敬的投标参与人：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为营造公开、公正的市场环境，确保政府采购工作规范有序开展，特将有关事项告知如下：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一、欢迎供应商及项目参与人对本公司工作人员进行监督。凡发现本公司采购工作人员有以下情形的，均可以书面具名方式举报，请投送至本公司投诉监督箱，亦可以邮件发送至邮箱：64514231@.qq.com。</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（一）接受采购人或者供应商组织的宴请、旅游、娱乐等活动；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（二）与供应商或采购人恶意串通的；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（三）在采购过程中接受贿赂或者获取不正当利益的；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（四）违规向关联参与人或供应商透露招投标或评审信息的；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（五）其他违纪违规行为。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根据《常州市政府采购供应商信用管理暂行办法》规定，供应商及项目参与人有下列情形之一的，属于失信行为，由采购代理机构报告财政部门，财政部门调查核实后依法给予行政处罚或者予以失信记录，情节严重的一至三年内不得参与政府采购活动，并在相关媒体网站予以公布：</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（一）响应文件中故意不按采购文件要求提供有关技术、财务状况、信誉、业绩、服务、资质及其他证明材料，或未携带上述原件或者公证件的；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（二）响应文件中提供虚假材料或虚假承诺的;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（三）采取不正当手段诋毁、排挤其他供应商的;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（四）已响应参加政府采购活动而无故不参加的；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（五）与采购人、其他供应商或者采购代理机构恶意串通的;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（六）向采购人、采购代理机构及评审小组成员行贿或提供其他不正当利益的;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（七）在采购过程中与采购人进行协商磋商的;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（八）不遵守开标现场纪律,扰乱评审现场的;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（九）在有效期内擅自撤销投标（响应文件），影响采购活动继续进行的;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（十）被确定为中标或成交候选供应商后无正当理由放弃中标或成交资格;中标、成交后无正当理由不签订政府采购合同的;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（十一）不按照采购文件规定签订合同，或者与采购人另行签订背离合同实质性内容协议的;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（十二）将中标、成交项目转让给他人，或者违反采购文件规定，将中标、成交项目分包给他人的;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（十三）拒绝履行合同义务的;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（十四）未按合同规定履行合同义务，造成不良后果的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（十五）擅自变更、解除合同的;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（十六）实物配发和定点采购供应商所提供产品或服务价格高于成交价格或承诺的;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（十七）拒绝有关部门监督检查或者提供虚假情况的。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（十八）各级政府采购监管部门认定的其他失信行为。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（十九）在常州市域内一年内两次以上质疑、投诉和信访举报均查无实据的;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（二十）捏造事实或提供虚假质疑、投诉和信访举报材料的。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（二十一）不配合相关部门调查取证的。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监督科办公室：常州沃成招标有限公司</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投诉监督电话：0519-68952792</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第三章评审程序、评审方法和评审标准</w:t>
      </w:r>
      <w:r/>
    </w:p>
    <w:p>
      <w:pPr>
        <w:pStyle w:val="65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一、评审程序</w:t>
      </w:r>
      <w:r/>
    </w:p>
    <w:p>
      <w:pPr>
        <w:ind w:left="0" w:right="0" w:firstLine="0"/>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ab/>
      </w:r>
      <w:r/>
    </w:p>
    <w:p>
      <w:pPr>
        <w:numPr>
          <w:ilvl w:val="0"/>
          <w:numId w:val="13"/>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响应文件的</w:t>
      </w:r>
      <w:r>
        <w:rPr>
          <w:rFonts w:ascii="SimSun" w:hAnsi="SimSun" w:eastAsia="SimSun" w:cs="SimSun"/>
          <w:color w:val="000000"/>
          <w:sz w:val="24"/>
        </w:rPr>
        <w:t xml:space="preserve">资格性检查和符合性审查</w:t>
      </w:r>
      <w:r/>
    </w:p>
    <w:p>
      <w:pPr>
        <w:numPr>
          <w:ilvl w:val="1"/>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SimSun" w:hAnsi="SimSun" w:eastAsia="SimSun" w:cs="SimSun"/>
          <w:b/>
          <w:color w:val="000000"/>
          <w:sz w:val="24"/>
        </w:rPr>
        <w:t xml:space="preserve">无效响应</w:t>
      </w:r>
      <w:r>
        <w:rPr>
          <w:rFonts w:ascii="SimSun" w:hAnsi="SimSun" w:eastAsia="SimSun" w:cs="SimSun"/>
          <w:color w:val="000000"/>
          <w:sz w:val="24"/>
        </w:rPr>
        <w:t xml:space="preserve">处理，磋商小组应当告知提交响应文件的供应商。</w:t>
      </w:r>
      <w:r/>
    </w:p>
    <w:p>
      <w:pPr>
        <w:numPr>
          <w:ilvl w:val="1"/>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《资格性检查要求》中对格式有要求的，除竞争性磋商文件另有规定外，均为“实质性格式”文件。</w:t>
      </w:r>
      <w:r/>
    </w:p>
    <w:p>
      <w:pPr>
        <w:numPr>
          <w:ilvl w:val="1"/>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《资格性检查要求》见下表：</w:t>
      </w:r>
      <w:r/>
    </w:p>
    <w:p>
      <w:pPr>
        <w:ind w:left="1077" w:right="0" w:firstLine="2650"/>
        <w:jc w:val="both"/>
        <w:spacing w:before="0" w:after="0" w:line="85"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资格性检查要求</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8"/>
        <w:gridCol w:w="1884"/>
        <w:gridCol w:w="4899"/>
        <w:gridCol w:w="1807"/>
      </w:tblGrid>
      <w:tr>
        <w:trPr>
          <w:trHeight w:val="54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格式要求</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满足《中华人民共和国政府采购法》第二十二条规定及法律法规的其他规定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具体规定见第一章《采购邀请》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提供了符合采购文件要求的《供应商资格声明函》。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格式见《响应文件格式》</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查询渠道：信用中国网站和中国政府采购网（www.creditchina.gov.cn、www.ccgp.gov.cn）；</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截止时点：提交响应文件截止时间以后、资格审查阶段采购人或采购代理机构的实际查询时间；</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信用信息查询记录和证据留存具体方式：查询结果网页打印页作为查询记录和证据，与其他采购文件一并保存；</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信用信息的使用原则：经认定的被列入失信被执行人、重大税收违法案件当事人名单、政府采购严重违法失信行为记录名单的供应商，其</w:t>
            </w:r>
            <w:r>
              <w:rPr>
                <w:rFonts w:ascii="SimSun" w:hAnsi="SimSun" w:eastAsia="SimSun" w:cs="SimSun"/>
                <w:b/>
                <w:color w:val="000000"/>
                <w:sz w:val="24"/>
              </w:rPr>
              <w:t xml:space="preserve">响应无效</w:t>
            </w:r>
            <w:r>
              <w:rPr>
                <w:rFonts w:ascii="SimSun" w:hAnsi="SimSun" w:eastAsia="SimSun" w:cs="SimSun"/>
                <w:color w:val="000000"/>
                <w:sz w:val="24"/>
              </w:rPr>
              <w:t xml:space="preserve">。联合体形式响应的，联合体成员存在不良信用记录，视同联合体存在不良信用记录。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无须供应商提供，由采购人查询。</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具体要求见第一章《采购邀请》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详见采购文件</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1、供应商单独参与磋商的，应提供中小企业声明函；如为监狱企业或残疾人福利性单位，不必提供中小企业声明函，但须按注1或注2要求提供证明材料。</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注1：监狱企业须提供由省级以上监狱管理局（常州市含教育矫治局）、戒毒管理局（含新疆生产建设兵团）出具的属于监狱企业的证明文件。</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注2：残疾人福利性单位须按磋商文件要求提供《残疾人福利性单位声明函》。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格式见《响应文件格式》</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其它落实政府采购政策的资格要求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复印件加盖公章（详见采购文件，提供有效证明材料加盖公章）</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详见采购文件</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是否接受联合体响应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9"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如有，见第一章《采购邀请》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复印件加盖公章（详见采购文件，提供有效证明材料加盖公章）</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1"/>
          <w:numId w:val="13"/>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《符合性审查要求》见下表：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符合性审查要求</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8"/>
        <w:gridCol w:w="3118"/>
        <w:gridCol w:w="3118"/>
      </w:tblGrid>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响应函、法定代表人资格证明书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按磋商文件要求</w:t>
            </w:r>
            <w:r>
              <w:rPr>
                <w:rFonts w:ascii="SimSun" w:hAnsi="SimSun" w:eastAsia="SimSun" w:cs="SimSun"/>
                <w:b/>
                <w:color w:val="000000"/>
                <w:sz w:val="24"/>
              </w:rPr>
              <w:t xml:space="preserve">提供响应函、法定代表人资格证明书</w:t>
            </w:r>
            <w:r>
              <w:rPr>
                <w:rFonts w:ascii="SimSun" w:hAnsi="SimSun" w:eastAsia="SimSun" w:cs="SimSun"/>
                <w:color w:val="000000"/>
                <w:sz w:val="24"/>
              </w:rPr>
              <w:t xml:space="preserve">；格式见《响应文件格式》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响应完整性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未将一个采购包中的内容拆开响应；（由磋商小组审查，无需供应商提供材料）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响应报价未超过磋商文件中规定的项目/采购包预算金额或者项目/采购包最高限价；（由磋商小组审查，无需供应商提供材料）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报价唯一性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响应文件未出现可选择性或可调整的报价（磋商文件另有规定的除外）；</w:t>
            </w:r>
            <w:r>
              <w:rPr>
                <w:rFonts w:ascii="SimSun" w:hAnsi="SimSun" w:eastAsia="SimSun" w:cs="SimSun"/>
                <w:b/>
                <w:color w:val="000000"/>
                <w:sz w:val="24"/>
              </w:rPr>
              <w:t xml:space="preserve">提供《分项报价表》</w:t>
            </w:r>
            <w:r>
              <w:rPr>
                <w:rFonts w:ascii="SimSun" w:hAnsi="SimSun" w:eastAsia="SimSun" w:cs="SimSun"/>
                <w:color w:val="000000"/>
                <w:sz w:val="24"/>
              </w:rPr>
              <w:t xml:space="preserve">，格式见《响应文件格式》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响应文件中承诺的响应有效期满足磋商文件中载明的响应有效期的；</w:t>
            </w:r>
            <w:r>
              <w:rPr>
                <w:rFonts w:ascii="SimSun" w:hAnsi="SimSun" w:eastAsia="SimSun" w:cs="SimSun"/>
                <w:b/>
                <w:color w:val="000000"/>
                <w:sz w:val="24"/>
              </w:rPr>
              <w:t xml:space="preserve">提供承诺书</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签署、加盖公章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按照磋商文件要求签署、加盖公章的；（由磋商小组审查，无需供应商提供材料）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标记为“实质性格式”的文件均按磋商文件要求提供；除前面已提供的实质性格式文件以外，</w:t>
            </w:r>
            <w:r>
              <w:rPr>
                <w:rFonts w:ascii="SimSun" w:hAnsi="SimSun" w:eastAsia="SimSun" w:cs="SimSun"/>
                <w:b/>
                <w:color w:val="000000"/>
                <w:sz w:val="24"/>
              </w:rPr>
              <w:t xml:space="preserve">还需提供：合同条款偏离表，采购需求偏离表</w:t>
            </w:r>
            <w:r>
              <w:rPr>
                <w:rFonts w:ascii="SimSun" w:hAnsi="SimSun" w:eastAsia="SimSun" w:cs="SimSun"/>
                <w:color w:val="000000"/>
                <w:sz w:val="24"/>
              </w:rPr>
              <w:t xml:space="preserve">，格式见《响应文件格式》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分包承担主体资质（如有）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分包承担主体具备《供应商须知资料表》载明的资质条件且</w:t>
            </w:r>
            <w:r>
              <w:rPr>
                <w:rFonts w:ascii="SimSun" w:hAnsi="SimSun" w:eastAsia="SimSun" w:cs="SimSun"/>
                <w:b/>
                <w:color w:val="000000"/>
                <w:sz w:val="24"/>
              </w:rPr>
              <w:t xml:space="preserve">提供了资质证书电子件</w:t>
            </w:r>
            <w:r>
              <w:rPr>
                <w:rFonts w:ascii="SimSun" w:hAnsi="SimSun" w:eastAsia="SimSun" w:cs="SimSun"/>
                <w:color w:val="000000"/>
                <w:sz w:val="24"/>
              </w:rPr>
              <w:t xml:space="preserve">（如有）；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分包意向协议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按磋商文件规定签订并</w:t>
            </w:r>
            <w:r>
              <w:rPr>
                <w:rFonts w:ascii="SimSun" w:hAnsi="SimSun" w:eastAsia="SimSun" w:cs="SimSun"/>
                <w:b/>
                <w:color w:val="000000"/>
                <w:sz w:val="24"/>
              </w:rPr>
              <w:t xml:space="preserve">提供分包意向协议原件的电子件</w:t>
            </w:r>
            <w:r>
              <w:rPr>
                <w:rFonts w:ascii="SimSun" w:hAnsi="SimSun" w:eastAsia="SimSun" w:cs="SimSun"/>
                <w:color w:val="000000"/>
                <w:sz w:val="24"/>
              </w:rPr>
              <w:t xml:space="preserve">的；（如有）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报价的修正（如有）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不涉及报价修正，或响应文件报价出现前后不一致时，供应商对修正后的报价予以确认；（如有）（由磋商小组审查，无需供应商提供材料）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磋商文件不接受进口产品响应的内容时，供应商所投产品非进口产品的；（由磋商小组审查，无需供应商提供材料）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国家有关部门对供应商的响应产品有强制性规定或要求的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国家有关部门对供应商的响应产品有强制性规定或要求的（如相应技术、安全、节能和环保等），</w:t>
            </w:r>
            <w:r>
              <w:rPr>
                <w:rFonts w:ascii="SimSun" w:hAnsi="SimSun" w:eastAsia="SimSun" w:cs="SimSun"/>
                <w:b/>
                <w:color w:val="000000"/>
                <w:sz w:val="24"/>
              </w:rPr>
              <w:t xml:space="preserve">如有下列情形的，供应商的响应产品应符合相应规定或要求，并提供证明文件电子件</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1）采购的产品若属于《节能产品政府采购品目清单》范围中政府强制采购产品，则供应商所报产品必须获得国家确定的认证机构出具的、处于有效期之内的节能产品认证证书；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2）响应产品如涉及计算机信息系统安全专用产品的，须提供公安部颁发的计算机信息系统安全专用产品销售许可证；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3）响应产品如有属于开展国家信息安全产品认证产品范围的，须提供由中国网络安全审查技术与认证中心（原中国信息安全认证中心）按国家标准认证颁发的有效认证证书等）；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公平竞争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供应商遵循公平竞争的原则，不存在恶意串通，妨碍其他供应商的竞争行为，不存在损害采购人或者其他供应商的合法权益情形的；（由磋商小组审查，无需供应商提供材料）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串通响应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存在《政府采购货物和服务招标响应管理办法》视为供应商串通响应的情形：（一）不同供应商的响应文件由同一单位或者个人编制（包含系统判定使用同一机器注册码的计算机制作电子响应文件的情形）；（二）不同供应商委托同一单位或者个人办理响应事宜（包含系统判定使用同一机器注册码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w:t>
            </w:r>
            <w:r>
              <w:rPr>
                <w:rFonts w:ascii="SimSun" w:hAnsi="SimSun" w:eastAsia="SimSun" w:cs="SimSun"/>
                <w:color w:val="000000"/>
                <w:sz w:val="24"/>
              </w:rPr>
              <w:t xml:space="preserve">个人的账户转出；</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响应文件未含有采购人不能接受的附加条件的；（由磋商小组审查，无需供应商提供材料）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供应商、响应文件不存在不符合法律法规和磋商文件规定的其他无效情形。（由磋商小组审查，无需供应商提供材料）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实质性条款（★号条款）响应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投标文件满足采购文件第五章《采购需求》中实质性条款（★号条款）要求的；</w:t>
            </w:r>
            <w:r>
              <w:rPr>
                <w:rFonts w:ascii="SimSun" w:hAnsi="SimSun" w:eastAsia="SimSun" w:cs="SimSun"/>
                <w:b/>
                <w:color w:val="000000"/>
                <w:sz w:val="24"/>
              </w:rPr>
              <w:t xml:space="preserve">如有的，根据下面列出的实质性条款，按照序号逐项提供相关证明材料；</w:t>
            </w:r>
            <w:r>
              <w:rPr>
                <w:rFonts w:ascii="SimSun" w:hAnsi="SimSun" w:eastAsia="SimSun" w:cs="SimSun"/>
                <w:color w:val="000000"/>
                <w:sz w:val="24"/>
              </w:rPr>
              <w:t xml:space="preserve">如没有的，则无需供应商提供材料。</w:t>
            </w:r>
            <w:r/>
          </w:p>
        </w:tc>
      </w:tr>
    </w:tbl>
    <w:p>
      <w:pPr>
        <w:ind w:left="0" w:right="0" w:firstLine="0"/>
        <w:jc w:val="both"/>
        <w:spacing w:before="12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1"/>
          <w:numId w:val="13"/>
        </w:numPr>
        <w:jc w:val="both"/>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落实政府采购政策的价格调整：只有符合第二章《供应商须知》4.2条规定情形的，可以享受中小企业扶持政策，用扣除后的价格参加评审；</w:t>
      </w:r>
      <w:r>
        <w:rPr>
          <w:rFonts w:ascii="SimSun" w:hAnsi="SimSun" w:eastAsia="SimSun" w:cs="SimSun"/>
          <w:b/>
          <w:color w:val="000000"/>
          <w:sz w:val="24"/>
        </w:rPr>
        <w:t xml:space="preserve">如是专门面向中小企业采购的项目，不再执行价格评审优惠的扶持政策</w:t>
      </w:r>
      <w:r>
        <w:rPr>
          <w:rFonts w:ascii="SimSun" w:hAnsi="SimSun" w:eastAsia="SimSun" w:cs="SimSun"/>
          <w:color w:val="000000"/>
          <w:sz w:val="24"/>
        </w:rPr>
        <w:t xml:space="preserve">，</w:t>
      </w:r>
      <w:r>
        <w:rPr>
          <w:rFonts w:ascii="SimSun" w:hAnsi="SimSun" w:eastAsia="SimSun" w:cs="SimSun"/>
          <w:b/>
          <w:color w:val="000000"/>
          <w:sz w:val="24"/>
        </w:rPr>
        <w:t xml:space="preserve">评标时价格不予扣除</w:t>
      </w:r>
      <w:r>
        <w:rPr>
          <w:rFonts w:ascii="SimSun" w:hAnsi="SimSun" w:eastAsia="SimSun" w:cs="SimSun"/>
          <w:color w:val="000000"/>
          <w:sz w:val="24"/>
        </w:rPr>
        <w:t xml:space="preserve">。</w:t>
      </w:r>
      <w:r/>
    </w:p>
    <w:p>
      <w:pPr>
        <w:numPr>
          <w:ilvl w:val="2"/>
          <w:numId w:val="13"/>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对于未预留份额专门面向中小企业采购的采购项目，以及预留份额项目中的非预留部分采购包，对</w:t>
      </w:r>
      <w:r>
        <w:rPr>
          <w:rFonts w:ascii="SimSun" w:hAnsi="SimSun" w:eastAsia="SimSun" w:cs="SimSun"/>
          <w:b/>
          <w:color w:val="000000"/>
          <w:sz w:val="24"/>
        </w:rPr>
        <w:t xml:space="preserve">小微企业</w:t>
      </w:r>
      <w:r>
        <w:rPr>
          <w:rFonts w:ascii="SimSun" w:hAnsi="SimSun" w:eastAsia="SimSun" w:cs="SimSun"/>
          <w:color w:val="000000"/>
          <w:sz w:val="24"/>
        </w:rPr>
        <w:t xml:space="preserve">报价给予10%的扣除，用扣除后的价格参加评审。</w:t>
      </w:r>
      <w:r/>
    </w:p>
    <w:p>
      <w:pPr>
        <w:numPr>
          <w:ilvl w:val="2"/>
          <w:numId w:val="13"/>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对于未预留份额专门面向中小企业采购的采购项目，以及预留份额项目中的非预留部分采购包，且接受大中型企业与</w:t>
      </w:r>
      <w:r>
        <w:rPr>
          <w:rFonts w:ascii="SimSun" w:hAnsi="SimSun" w:eastAsia="SimSun" w:cs="SimSun"/>
          <w:b/>
          <w:color w:val="000000"/>
          <w:sz w:val="24"/>
        </w:rPr>
        <w:t xml:space="preserve">小微企业</w:t>
      </w:r>
      <w:r>
        <w:rPr>
          <w:rFonts w:ascii="SimSun" w:hAnsi="SimSun" w:eastAsia="SimSun" w:cs="SimSun"/>
          <w:color w:val="000000"/>
          <w:sz w:val="24"/>
        </w:rPr>
        <w:t xml:space="preserve">组成联合体或者允许大中型企业向一家或者多家</w:t>
      </w:r>
      <w:r>
        <w:rPr>
          <w:rFonts w:ascii="SimSun" w:hAnsi="SimSun" w:eastAsia="SimSun" w:cs="SimSun"/>
          <w:b/>
          <w:color w:val="000000"/>
          <w:sz w:val="24"/>
        </w:rPr>
        <w:t xml:space="preserve">小微企业</w:t>
      </w:r>
      <w:r>
        <w:rPr>
          <w:rFonts w:ascii="SimSun" w:hAnsi="SimSun" w:eastAsia="SimSun" w:cs="SimSun"/>
          <w:color w:val="000000"/>
          <w:sz w:val="24"/>
        </w:rPr>
        <w:t xml:space="preserve">分包的采购项目，对于联合协议或者分包意向协议约定</w:t>
      </w:r>
      <w:r>
        <w:rPr>
          <w:rFonts w:ascii="SimSun" w:hAnsi="SimSun" w:eastAsia="SimSun" w:cs="SimSun"/>
          <w:b/>
          <w:color w:val="000000"/>
          <w:sz w:val="24"/>
        </w:rPr>
        <w:t xml:space="preserve">小微企业</w:t>
      </w:r>
      <w:r>
        <w:rPr>
          <w:rFonts w:ascii="SimSun" w:hAnsi="SimSun" w:eastAsia="SimSun" w:cs="SimSun"/>
          <w:color w:val="000000"/>
          <w:sz w:val="24"/>
        </w:rPr>
        <w:t xml:space="preserve">的合同份额占到合同总金额 30%以上的联合体或者大中型企业的报价给予6%的扣除，用扣除后的价格参加评审。</w:t>
      </w:r>
      <w:r/>
    </w:p>
    <w:p>
      <w:pPr>
        <w:numPr>
          <w:ilvl w:val="2"/>
          <w:numId w:val="13"/>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组成联合体或者接受分包的小微企业与联合体内其他企业、分包企业之间存在直接控股、管理关系的，不享受价格扣除优惠政策。</w:t>
      </w:r>
      <w:r/>
    </w:p>
    <w:p>
      <w:pPr>
        <w:numPr>
          <w:ilvl w:val="2"/>
          <w:numId w:val="13"/>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价格扣除比例对小型企业和微型企业同等对待，不作区分。</w:t>
      </w:r>
      <w:r/>
    </w:p>
    <w:p>
      <w:pPr>
        <w:numPr>
          <w:ilvl w:val="2"/>
          <w:numId w:val="13"/>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中小企业参加政府采购活动，应当按照竞争性磋商文件给定的格式出具《中小企业声明函》，否则不得享受相关中小企业扶持政策。</w:t>
      </w:r>
      <w:r/>
    </w:p>
    <w:p>
      <w:pPr>
        <w:numPr>
          <w:ilvl w:val="2"/>
          <w:numId w:val="13"/>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监狱企业提供了由省级以上监狱管理局（常州市含教育矫治局）、戒毒管理局（含新疆生产建设兵团）出具的属于监狱企业的证明文件的，视同小微企业。</w:t>
      </w:r>
      <w:r/>
    </w:p>
    <w:p>
      <w:pPr>
        <w:numPr>
          <w:ilvl w:val="2"/>
          <w:numId w:val="13"/>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残疾人福利性单位按竞争性磋商文件要求提供了《残疾人福利性单位声明函》（见附件）的，视同小微企业。</w:t>
      </w:r>
      <w:r/>
    </w:p>
    <w:p>
      <w:pPr>
        <w:numPr>
          <w:ilvl w:val="2"/>
          <w:numId w:val="13"/>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若供应商同时属于小型或微型企业、监狱企业、残疾人福利性单位中的两种及以上，将不重复享受小微企业价格扣减的优惠政策。</w:t>
      </w:r>
      <w:r/>
    </w:p>
    <w:p>
      <w:pPr>
        <w:numPr>
          <w:ilvl w:val="2"/>
          <w:numId w:val="13"/>
        </w:numPr>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其他为落实政府采购政策实施的优先采购：/。</w:t>
      </w:r>
      <w:r/>
    </w:p>
    <w:p>
      <w:pPr>
        <w:numPr>
          <w:ilvl w:val="0"/>
          <w:numId w:val="13"/>
        </w:numPr>
        <w:jc w:val="both"/>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磋商环节及提交最终报价后如出现以下情况的，供应商的</w:t>
      </w:r>
      <w:r>
        <w:rPr>
          <w:rFonts w:ascii="SimSun" w:hAnsi="SimSun" w:eastAsia="SimSun" w:cs="SimSun"/>
          <w:b/>
          <w:color w:val="000000"/>
          <w:sz w:val="24"/>
        </w:rPr>
        <w:t xml:space="preserve">响应文件无效</w:t>
      </w:r>
      <w:r>
        <w:rPr>
          <w:rFonts w:ascii="SimSun" w:hAnsi="SimSun" w:eastAsia="SimSun" w:cs="SimSun"/>
          <w:color w:val="000000"/>
          <w:sz w:val="24"/>
        </w:rPr>
        <w:t xml:space="preserve">：</w:t>
      </w:r>
      <w:r/>
    </w:p>
    <w:p>
      <w:pPr>
        <w:numPr>
          <w:ilvl w:val="1"/>
          <w:numId w:val="13"/>
        </w:numPr>
        <w:jc w:val="both"/>
        <w:spacing w:before="0" w:after="0" w:line="85" w:lineRule="atLeast"/>
        <w:tabs>
          <w:tab w:val="left" w:pos="426"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供应商对实质性变动不予确认的；</w:t>
      </w:r>
      <w:r/>
    </w:p>
    <w:p>
      <w:pPr>
        <w:numPr>
          <w:ilvl w:val="1"/>
          <w:numId w:val="13"/>
        </w:numPr>
        <w:jc w:val="both"/>
        <w:spacing w:before="0" w:after="0" w:line="85" w:lineRule="atLeast"/>
        <w:tabs>
          <w:tab w:val="left" w:pos="426"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不满足磋商文件★号条款或磋商文件技术指标超出磋商文件《采购需求》中主要技术参数允许偏差的最大范围的（如有）；</w:t>
      </w:r>
      <w:r/>
    </w:p>
    <w:p>
      <w:pPr>
        <w:numPr>
          <w:ilvl w:val="1"/>
          <w:numId w:val="13"/>
        </w:numPr>
        <w:jc w:val="both"/>
        <w:spacing w:before="0" w:after="0" w:line="85" w:lineRule="atLeast"/>
        <w:tabs>
          <w:tab w:val="left" w:pos="426"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未按照磋商小组规定的时间、逾期提交最终报价的；</w:t>
      </w:r>
      <w:r/>
    </w:p>
    <w:p>
      <w:pPr>
        <w:numPr>
          <w:ilvl w:val="1"/>
          <w:numId w:val="13"/>
        </w:numPr>
        <w:jc w:val="both"/>
        <w:spacing w:before="0" w:after="0" w:line="85" w:lineRule="atLeast"/>
        <w:tabs>
          <w:tab w:val="left" w:pos="426"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如供应商的最终报价超过竞争性磋商文件中规定的项目/采购包预算金额或者项目/采购包最高限价的；</w:t>
      </w:r>
      <w:r/>
    </w:p>
    <w:p>
      <w:pPr>
        <w:numPr>
          <w:ilvl w:val="1"/>
          <w:numId w:val="13"/>
        </w:numPr>
        <w:jc w:val="both"/>
        <w:spacing w:before="0" w:after="0" w:line="85" w:lineRule="atLeast"/>
        <w:tabs>
          <w:tab w:val="left" w:pos="426"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响应文件中出现可选择性或可调整的报价的（竞争性磋商文件另有规定的除外）；</w:t>
      </w:r>
      <w:r/>
    </w:p>
    <w:p>
      <w:pPr>
        <w:numPr>
          <w:ilvl w:val="1"/>
          <w:numId w:val="13"/>
        </w:numPr>
        <w:jc w:val="both"/>
        <w:spacing w:before="0" w:after="0" w:line="85" w:lineRule="atLeast"/>
        <w:tabs>
          <w:tab w:val="left" w:pos="426"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最终报价出现前后不一致，供应商对修正后的报价不予确认的；</w:t>
      </w:r>
      <w:r/>
    </w:p>
    <w:p>
      <w:pPr>
        <w:numPr>
          <w:ilvl w:val="1"/>
          <w:numId w:val="13"/>
        </w:numPr>
        <w:jc w:val="both"/>
        <w:spacing w:before="0" w:after="0" w:line="85" w:lineRule="atLeast"/>
        <w:tabs>
          <w:tab w:val="left" w:pos="426"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其他：______。</w:t>
      </w:r>
      <w:r/>
    </w:p>
    <w:p>
      <w:pPr>
        <w:numPr>
          <w:ilvl w:val="0"/>
          <w:numId w:val="13"/>
        </w:numPr>
        <w:jc w:val="both"/>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评审方法和评审标准</w:t>
      </w:r>
      <w:r/>
    </w:p>
    <w:p>
      <w:pPr>
        <w:numPr>
          <w:ilvl w:val="1"/>
          <w:numId w:val="13"/>
        </w:numPr>
        <w:jc w:val="both"/>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p>
    <w:p>
      <w:pPr>
        <w:numPr>
          <w:ilvl w:val="1"/>
          <w:numId w:val="13"/>
        </w:numPr>
        <w:jc w:val="both"/>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竞争性磋商文件中没有规定的评审标准不得作为评审依据。</w:t>
      </w:r>
      <w:r/>
    </w:p>
    <w:p>
      <w:pPr>
        <w:numPr>
          <w:ilvl w:val="1"/>
          <w:numId w:val="13"/>
        </w:numPr>
        <w:jc w:val="both"/>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非政府强制采购的节能产品或环境标志产品，依据品目清单和认证证书实施政府优先采购。优先采购的具体规定（如涉及）</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numPr>
          <w:ilvl w:val="1"/>
          <w:numId w:val="13"/>
        </w:numPr>
        <w:jc w:val="both"/>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关于无线局域网认证产品政府采购清单中的产品，优先采购的具体规定（如涉及）</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numPr>
          <w:ilvl w:val="0"/>
          <w:numId w:val="13"/>
        </w:numPr>
        <w:jc w:val="both"/>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w:t>
      </w:r>
      <w:r>
        <w:rPr>
          <w:rFonts w:ascii="SimSun" w:hAnsi="SimSun" w:eastAsia="SimSun" w:cs="SimSun"/>
          <w:color w:val="000000"/>
          <w:sz w:val="24"/>
          <w:u w:val="none"/>
        </w:rPr>
        <w:t xml:space="preserve">成交候选人名单</w:t>
      </w:r>
      <w:r/>
    </w:p>
    <w:p>
      <w:pPr>
        <w:numPr>
          <w:ilvl w:val="1"/>
          <w:numId w:val="13"/>
        </w:numPr>
        <w:jc w:val="both"/>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3"/>
        </w:numPr>
        <w:jc w:val="both"/>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磋商小组根据上述供应商排序，依次推荐排序前3名的供应商为成交候选供应商（若在磋商文件允许的情形下提交最终报价的供应商为二家，则依次推荐二名供应商为成交候选供应商），并编写评审报告。</w:t>
      </w:r>
      <w:r/>
    </w:p>
    <w:p>
      <w:pPr>
        <w:numPr>
          <w:ilvl w:val="1"/>
          <w:numId w:val="13"/>
        </w:numPr>
        <w:jc w:val="both"/>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磋商小组要对评分汇总情况进行复核，特别是对排名第一的、报价最低的、响应文件被认定为无效的情形进行重点复核。</w:t>
      </w:r>
      <w:r/>
    </w:p>
    <w:p>
      <w:pPr>
        <w:numPr>
          <w:ilvl w:val="0"/>
          <w:numId w:val="13"/>
        </w:numPr>
        <w:jc w:val="both"/>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报告违法行为</w:t>
      </w:r>
      <w:r/>
    </w:p>
    <w:p>
      <w:pPr>
        <w:numPr>
          <w:ilvl w:val="1"/>
          <w:numId w:val="13"/>
        </w:numPr>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磋商小组在评审过程中发现供应商有行贿、提供虚假材料或者串通等违法行为时，有向采购人、采购代理机构或者有关部门报告的职责。</w:t>
      </w:r>
      <w:r/>
    </w:p>
    <w:p>
      <w:pPr>
        <w:ind w:left="0" w:right="0" w:firstLine="0"/>
        <w:spacing w:before="0" w:after="0" w:line="85" w:lineRule="atLeast"/>
        <w:tabs>
          <w:tab w:val="left" w:pos="426" w:leader="none"/>
          <w:tab w:val="left" w:pos="1080"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tabs>
          <w:tab w:val="left" w:pos="426" w:leader="none"/>
          <w:tab w:val="left" w:pos="1080" w:leader="none"/>
          <w:tab w:val="left" w:pos="1589" w:leader="none"/>
          <w:tab w:val="left" w:pos="187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54"/>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pStyle w:val="654"/>
        <w:ind w:left="0" w:right="0" w:firstLine="0"/>
        <w:jc w:val="both"/>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5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br w:type="page" w:clear="all"/>
      </w:r>
      <w:r/>
    </w:p>
    <w:p>
      <w:pPr>
        <w:pStyle w:val="654"/>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二、评审标准</w:t>
      </w:r>
      <w:r/>
    </w:p>
    <w:p>
      <w:pPr>
        <w:ind w:left="0" w:right="0" w:firstLine="439"/>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采购文件全部实质性要求，且按照评审因素的量化指标评审得分最高的投标人为中标候选人。</w:t>
      </w:r>
      <w:r/>
    </w:p>
    <w:p>
      <w:pPr>
        <w:ind w:left="0" w:right="0" w:firstLine="441"/>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本项目属于不专门面向中小企业预留份额采购项目，按规定执行小微型企业价格扣除政策。</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本项目属于服务类项目且不包含产品采购，不享受本国产品扣除。</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评标方法与评标标准</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每个供应商可选择相应的采购包投标，可以兼投但最多中一个包。在前序采购包中被推荐为第一中标候选人的单位可参与后序采购包评审，但不得成为后序采购包的推荐中标候选人。</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1"/>
        <w:gridCol w:w="1124"/>
        <w:gridCol w:w="634"/>
        <w:gridCol w:w="7085"/>
      </w:tblGrid>
      <w:tr>
        <w:trPr>
          <w:trHeight w:val="2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5"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评分标准</w:t>
            </w:r>
            <w:r/>
          </w:p>
        </w:tc>
      </w:tr>
      <w:tr>
        <w:trPr>
          <w:trHeight w:val="456"/>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一、报价（30分）</w:t>
            </w:r>
            <w:r/>
          </w:p>
        </w:tc>
      </w:tr>
      <w:tr>
        <w:trPr>
          <w:trHeight w:val="9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满足磋商文件要求且最终报价最低的报价为评标基准价，其价格分为满分。其他供应商的价格分统一按照下列公式计算：</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价格分得分＝（评标基准价/最终报价）×分值。</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异常低价审查：见采购文件19.8异常低价审查。</w:t>
            </w:r>
            <w:r/>
          </w:p>
        </w:tc>
      </w:tr>
      <w:tr>
        <w:trPr>
          <w:trHeight w:val="562"/>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二、客观分（40分）</w:t>
            </w:r>
            <w:r/>
          </w:p>
        </w:tc>
      </w:tr>
      <w:tr>
        <w:trPr>
          <w:trHeight w:val="12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平台功能演示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5"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页面展示房间人员进出，包括但不限于下列内容：①结构化事件识别：展示详细事件列表，包含房间号、匿名人员标识、入户/离户类型、时间、截图、视频证据。②人员唯一匿名标识：同一人员多次进出分配唯一匿名ID，避免重复计数③房间级人员统计：展示该房间单日进出记录、疑似不同人员数量、当前在室人数等。</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2、房间进出告警：①展示房间名称、告警时间、告警描述等。支持时间筛选和导出功能</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3、房间维护、信息维护：①能够维护房间房号、位置等信息。</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上述功能每展示一项得2分，本项最高得10分。</w:t>
            </w:r>
            <w:r/>
          </w:p>
        </w:tc>
      </w:tr>
      <w:tr>
        <w:trPr>
          <w:trHeight w:val="12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公司体系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5"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供应商具有信息技术服务管理体系认证证书、信息安全管理体系认证证书的，每有一个得3分，本项最高得6分。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备注：提供相应证书原件扫描件并加盖供应商公章，否则不得分。</w:t>
            </w:r>
            <w:r/>
          </w:p>
        </w:tc>
      </w:tr>
      <w:tr>
        <w:trPr>
          <w:trHeight w:val="12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本地化服务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5"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供应商具有本地化服务能力，在常州设立有售后服务机构；或承诺成交后在本地设置售后服务点的，得3分。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备注：提供本地化服务机构营业执照复印件等证明材料或承诺函原件（承诺函格式自拟）加盖供应商公章，否则不得分。</w:t>
            </w:r>
            <w:r/>
          </w:p>
        </w:tc>
      </w:tr>
      <w:tr>
        <w:trPr>
          <w:trHeight w:val="12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5"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供应商为本项目配备1名项目负责人：具有一级建造师（机电或通信与广电）证书得3分，具有二级建造师（机电或通信与广电）证书得1分。本项最高得3分。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备注：提供相应证书原件扫描件以及供应商为其缴纳的近三个月中任意一个月的社保证明扫描件加盖供应商公章，否则不得分。</w:t>
            </w:r>
            <w:r/>
          </w:p>
        </w:tc>
      </w:tr>
      <w:tr>
        <w:trPr>
          <w:trHeight w:val="12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项目技术负责人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5"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供应商为本项目配备1名项目技术负责人：具有高级信息系统项目管理师的得3分，具有CISP证书得3分，本项最高得6分。</w:t>
            </w:r>
            <w:r/>
          </w:p>
        </w:tc>
      </w:tr>
      <w:tr>
        <w:trPr>
          <w:trHeight w:val="12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项目组成员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5"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成员（除项目负责人、项目技术负责人）具有①高级系统分析师②CCSC网络安全管理、③高级网络规划设计师证书、④网络工程师证书的，具备其中的四项证书得12分，不满足四项的每少一项扣3分，扣完为止。</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同一人员具有多个证书不累计得分，每人限评一项证书。提供相应证书扫描件加盖公章以及供应商为其缴纳的近三个月中任意一个月的社保证明扫描件加盖供应商公章，否则不得分。</w:t>
            </w:r>
            <w:r/>
          </w:p>
        </w:tc>
      </w:tr>
      <w:tr>
        <w:trPr>
          <w:trHeight w:val="494"/>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三、主观分（30分）</w:t>
            </w:r>
            <w:r/>
          </w:p>
        </w:tc>
      </w:tr>
      <w:tr>
        <w:trPr>
          <w:trHeight w:val="9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供应商根据本次招标内容编制实施方案，方案科学合理、组织有序，能最大限度高效推进项目实施。技术方案必须充分考虑采购人的应用现状。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方案详细完善，实施过程规范，人员配备合理，有严格的质量监控程序，得10分；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方案较详细完善，实施过程较规范，人员配备较合理，有较严格的质量监控程序，得8分；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方案详细完善性一般，实施过程规范性一般，人员配备合理性一般，有基本的质量监控程序，得6分；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方案基本完善，实施过程内容描述基本规范，人员配备简单，有简单的质量监控程序，得4分；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方案内容有缺漏，未能涵盖上述全部内容，实施过程内容只做简单描述，人员配备不能结合项目实际，没有质量监控程序，得2分；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提供材料不齐或不提供不得分。</w:t>
            </w:r>
            <w:r/>
          </w:p>
        </w:tc>
      </w:tr>
      <w:tr>
        <w:trPr>
          <w:trHeight w:val="9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售后服务方案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根据供应商针对本项目提供售后服务方案（服务方式、服务内容、专业咨询等其他伴随服务等）的响应程度、服务的合理性、全面性、可行性等方面进行综合评审：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方案完整详细，售后服务方案科学合理、有效、可靠，对本项目针对性强、具有实际可操作性得10分；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方案较完整详细，售后服务方案较科学合理、有效、可靠，对本项目针对性较强、实际可操作性较强得8分；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方案完整详细性一般，售后服务方案科学合理性一般，基本能满足本项目需求的得6分；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方案基本完整详细，售后服务方案基本科学合理，能简略满足本项目需求的得4分；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方案不够完整详细，售后服务方案一科学合理性较差，不能很好地满足本项目需求的得2分；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不提供不得分。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根据供应商针对本项目提供培训方案（包括培训承诺、培训内容、培训对象、课程安排等）的响应程度、合理性、全面性、可行性等方面进行综合评审：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方案完整详细，培训方案科学合理、有效、可靠，对本项目针对性强、具有实际可操作性得10分；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方案较完整详细，培训方案较科学合理、有效、可靠，对本项目针对性较强、实际可操作性较强得8分；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方案完整详细性一般，培训方案科学合理性一般，基本能满足本项目需求的得6分；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方案基本完整详细，培训方案基本科学合理，能简略满足本项目需求的得4分；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方案不够完整详细，培训方案科学合理性较差，不能很好地满足本项目需求的得2分；</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不提供不得分。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第四章采购需求</w:t>
      </w:r>
      <w:r/>
    </w:p>
    <w:p>
      <w:pPr>
        <w:pStyle w:val="654"/>
        <w:ind w:left="0" w:right="0" w:firstLine="562"/>
        <w:jc w:val="center"/>
        <w:spacing w:before="12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一、背景与现状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北区公寓作为集居住、商业、办公于一体的复合型场所，当前业态呈现高度复杂性，主要涵盖网约房、长租公寓、小型企业办公点、台球厅等多元场景。该场所日均人员流动量较大，且存在显著的人员结构失衡问题:一方面，未成年人因台球厅娱乐、网约房短期住宿等需求在此高频聚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另一方面，网约房、出租房的短期租赁属性导致人员流动性极强，租客平均居住周期不足</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天，人员身份备案率较低，给治安管理带来极大挑战，亟需通过技术手段强化治安防控能力。</w:t>
      </w:r>
      <w:r/>
    </w:p>
    <w:p>
      <w:pPr>
        <w:pStyle w:val="654"/>
        <w:ind w:left="0" w:right="0" w:firstLine="562"/>
        <w:jc w:val="center"/>
        <w:spacing w:before="12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二、服务需求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（一）项目服务需求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为实现对相关区域人员流动的全时段、全覆盖监管，需在关键区域部署结构化相机，具体安装位置及数量如下</w:t>
      </w:r>
      <w:r>
        <w:rPr>
          <w:rFonts w:ascii="Times New Roman" w:hAnsi="Times New Roman" w:eastAsia="Times New Roman" w:cs="Times New Roma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标包一：</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、河海</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丰臣国际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丰臣国际现有结构化监控</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个，需新增</w:t>
      </w:r>
      <w:r>
        <w:rPr>
          <w:rFonts w:ascii="Times New Roman" w:hAnsi="Times New Roman" w:eastAsia="Times New Roman" w:cs="Times New Roman"/>
          <w:color w:val="000000"/>
          <w:sz w:val="24"/>
        </w:rPr>
        <w:t xml:space="preserve">35</w:t>
      </w:r>
      <w:r>
        <w:rPr>
          <w:rFonts w:ascii="SimSun" w:hAnsi="SimSun" w:eastAsia="SimSun" w:cs="SimSun"/>
          <w:color w:val="000000"/>
          <w:sz w:val="24"/>
        </w:rPr>
        <w:t xml:space="preserve">个监控</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号楼</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层各</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个智能化</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号楼南门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个、电梯</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个、东门电梯</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个结构化</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号楼</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个楼层各</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个智能化，小酒馆台球室等重点场所</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个结构化</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、河海</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龙湖星图、山外有山、现代城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完善监控覆盖，龙湖星图现需安装结构化探头</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个，智能化监控探头</w:t>
      </w:r>
      <w:r>
        <w:rPr>
          <w:rFonts w:ascii="Times New Roman" w:hAnsi="Times New Roman" w:eastAsia="Times New Roman" w:cs="Times New Roman"/>
          <w:color w:val="000000"/>
          <w:sz w:val="24"/>
        </w:rPr>
        <w:t xml:space="preserve">108</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幢</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层</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幢</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层</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幢</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层</w:t>
      </w: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幢</w:t>
      </w:r>
      <w:r>
        <w:rPr>
          <w:rFonts w:ascii="Times New Roman" w:hAnsi="Times New Roman" w:eastAsia="Times New Roman" w:cs="Times New Roman"/>
          <w:color w:val="000000"/>
          <w:sz w:val="24"/>
        </w:rPr>
        <w:t xml:space="preserve">27</w:t>
      </w:r>
      <w:r>
        <w:rPr>
          <w:rFonts w:ascii="SimSun" w:hAnsi="SimSun" w:eastAsia="SimSun" w:cs="SimSun"/>
          <w:color w:val="000000"/>
          <w:sz w:val="24"/>
        </w:rPr>
        <w:t xml:space="preserve">层</w:t>
      </w:r>
      <w:r>
        <w:rPr>
          <w:rFonts w:ascii="Times New Roman" w:hAnsi="Times New Roman" w:eastAsia="Times New Roman" w:cs="Times New Roman"/>
          <w:color w:val="000000"/>
          <w:sz w:val="24"/>
        </w:rPr>
        <w:t xml:space="preserve">54</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山外有山需安装智能化监控探头</w:t>
      </w:r>
      <w:r>
        <w:rPr>
          <w:rFonts w:ascii="Times New Roman" w:hAnsi="Times New Roman" w:eastAsia="Times New Roman" w:cs="Times New Roman"/>
          <w:color w:val="000000"/>
          <w:sz w:val="24"/>
        </w:rPr>
        <w:t xml:space="preserve">119</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现代城需安装智能化监控探头</w:t>
      </w:r>
      <w:r>
        <w:rPr>
          <w:rFonts w:ascii="Times New Roman" w:hAnsi="Times New Roman" w:eastAsia="Times New Roman" w:cs="Times New Roman"/>
          <w:color w:val="000000"/>
          <w:sz w:val="24"/>
        </w:rPr>
        <w:t xml:space="preserve">72</w:t>
      </w:r>
      <w:r>
        <w:rPr>
          <w:rFonts w:ascii="SimSun" w:hAnsi="SimSun" w:eastAsia="SimSun" w:cs="SimSun"/>
          <w:color w:val="000000"/>
          <w:sz w:val="24"/>
        </w:rPr>
        <w:t xml:space="preserve">个。</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、龙虎塘</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环球港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环球港</w:t>
      </w:r>
      <w:r>
        <w:rPr>
          <w:rFonts w:ascii="Times New Roman" w:hAnsi="Times New Roman" w:eastAsia="Times New Roman" w:cs="Times New Roman"/>
          <w:color w:val="000000"/>
          <w:sz w:val="24"/>
        </w:rPr>
        <w:t xml:space="preserve">1-9</w:t>
      </w:r>
      <w:r>
        <w:rPr>
          <w:rFonts w:ascii="SimSun" w:hAnsi="SimSun" w:eastAsia="SimSun" w:cs="SimSun"/>
          <w:color w:val="000000"/>
          <w:sz w:val="24"/>
        </w:rPr>
        <w:t xml:space="preserve">号门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出入口各安装</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台结构化相机，共计</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台。表演大厅和花园中庭</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楼，</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楼的扶梯处分别加装上下</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台结构化相机，共计</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台。</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、龙虎塘</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龙虎塘塑化市场木瓜公寓、芝时商业广场、新客公寓、壹号天禧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芝时商业广场</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个结构化</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号电梯出入口</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号电梯出入口</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号电梯出入口</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号货梯出入口</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芝时商业广场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号楼</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楼东西向各</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个智能化相机，</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楼东西向各</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个智能化相机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塑化市场</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个结构化</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通江中路</w:t>
      </w:r>
      <w:r>
        <w:rPr>
          <w:rFonts w:ascii="Times New Roman" w:hAnsi="Times New Roman" w:eastAsia="Times New Roman" w:cs="Times New Roman"/>
          <w:color w:val="000000"/>
          <w:sz w:val="24"/>
        </w:rPr>
        <w:t xml:space="preserve">600</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幢电梯口</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个，花季酒店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木瓜公寓</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楼走廊南北向各</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个智能化相机，</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楼走廊南北向各</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个智能化相机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壹号天禧花园</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幢</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个结构化</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幢甲单元电梯</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幢甲单元货梯</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幢乙单元电梯</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个，北门商铺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楼出入口</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个，北门商铺</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楼出入口</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壹号天禧花园</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幢</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楼走廊东西向各</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个智能化相机，</w:t>
      </w: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楼走廊东西向各</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个智能化相机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新客公寓出入口新增</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个结构化相机。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、百丈</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百馨西苑一、二、三期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新增安装监控</w:t>
      </w:r>
      <w:r>
        <w:rPr>
          <w:rFonts w:ascii="Times New Roman" w:hAnsi="Times New Roman" w:eastAsia="Times New Roman" w:cs="Times New Roman"/>
          <w:color w:val="000000"/>
          <w:sz w:val="24"/>
        </w:rPr>
        <w:t xml:space="preserve">109</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小区出入口</w:t>
      </w: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个结构化监控、单元门口</w:t>
      </w:r>
      <w:r>
        <w:rPr>
          <w:rFonts w:ascii="Times New Roman" w:hAnsi="Times New Roman" w:eastAsia="Times New Roman" w:cs="Times New Roman"/>
          <w:color w:val="000000"/>
          <w:sz w:val="24"/>
        </w:rPr>
        <w:t xml:space="preserve">36</w:t>
      </w:r>
      <w:r>
        <w:rPr>
          <w:rFonts w:ascii="SimSun" w:hAnsi="SimSun" w:eastAsia="SimSun" w:cs="SimSun"/>
          <w:color w:val="000000"/>
          <w:sz w:val="24"/>
        </w:rPr>
        <w:t xml:space="preserve">个普通监控、车库</w:t>
      </w: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个普通监控</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w:t>
      </w:r>
      <w:r>
        <w:rPr>
          <w:rFonts w:ascii="SimSun" w:hAnsi="SimSun" w:eastAsia="SimSun" w:cs="SimSun"/>
          <w:b/>
          <w:color w:val="000000"/>
          <w:sz w:val="24"/>
        </w:rPr>
        <w:t xml:space="preserve">、安家</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安家苑小区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新增安装结构化监控</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小区内部出入口和周边路口</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，普通监控</w:t>
      </w:r>
      <w:r>
        <w:rPr>
          <w:rFonts w:ascii="Times New Roman" w:hAnsi="Times New Roman" w:eastAsia="Times New Roman" w:cs="Times New Roman"/>
          <w:color w:val="000000"/>
          <w:sz w:val="24"/>
        </w:rPr>
        <w:t xml:space="preserve">250</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单元门、林间小道、车库</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标包二：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、三井</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万达广场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新增安装智能化监控</w:t>
      </w:r>
      <w:r>
        <w:rPr>
          <w:rFonts w:ascii="Times New Roman" w:hAnsi="Times New Roman" w:eastAsia="Times New Roman" w:cs="Times New Roman"/>
          <w:color w:val="000000"/>
          <w:sz w:val="24"/>
        </w:rPr>
        <w:t xml:space="preserve">384</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C</w:t>
      </w:r>
      <w:r>
        <w:rPr>
          <w:rFonts w:ascii="SimSun" w:hAnsi="SimSun" w:eastAsia="SimSun" w:cs="SimSun"/>
          <w:color w:val="000000"/>
          <w:sz w:val="24"/>
        </w:rPr>
        <w:t xml:space="preserve">座公寓增加智能化监控探头，共</w:t>
      </w:r>
      <w:r>
        <w:rPr>
          <w:rFonts w:ascii="Times New Roman" w:hAnsi="Times New Roman" w:eastAsia="Times New Roman" w:cs="Times New Roman"/>
          <w:color w:val="000000"/>
          <w:sz w:val="24"/>
        </w:rPr>
        <w:t xml:space="preserve">64</w:t>
      </w:r>
      <w:r>
        <w:rPr>
          <w:rFonts w:ascii="SimSun" w:hAnsi="SimSun" w:eastAsia="SimSun" w:cs="SimSun"/>
          <w:color w:val="000000"/>
          <w:sz w:val="24"/>
        </w:rPr>
        <w:t xml:space="preserve">层，每层</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个）。</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、新桥</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新龙江城市广场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新增安装结构化监控</w:t>
      </w:r>
      <w:r>
        <w:rPr>
          <w:rFonts w:ascii="Times New Roman" w:hAnsi="Times New Roman" w:eastAsia="Times New Roman" w:cs="Times New Roman"/>
          <w:color w:val="000000"/>
          <w:sz w:val="24"/>
        </w:rPr>
        <w:t xml:space="preserve">26</w:t>
      </w:r>
      <w:r>
        <w:rPr>
          <w:rFonts w:ascii="SimSun" w:hAnsi="SimSun" w:eastAsia="SimSun" w:cs="SimSun"/>
          <w:color w:val="000000"/>
          <w:sz w:val="24"/>
        </w:rPr>
        <w:t xml:space="preserve">个（地下出入口</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个、路面停车场</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个、电梯出入口</w:t>
      </w:r>
      <w:r>
        <w:rPr>
          <w:rFonts w:ascii="Times New Roman" w:hAnsi="Times New Roman" w:eastAsia="Times New Roman" w:cs="Times New Roman"/>
          <w:color w:val="000000"/>
          <w:sz w:val="24"/>
        </w:rPr>
        <w:t xml:space="preserve">16</w:t>
      </w:r>
      <w:r>
        <w:rPr>
          <w:rFonts w:ascii="SimSun" w:hAnsi="SimSun" w:eastAsia="SimSun" w:cs="SimSun"/>
          <w:color w:val="000000"/>
          <w:sz w:val="24"/>
        </w:rPr>
        <w:t xml:space="preserve">个）。</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、薛家</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薛家北街吴家场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新增安装结构化监控</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个，物防设施改造服务（场地改造及安装相关设备服务）。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、孟河</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景孟苑小区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新增安装结构化监控</w:t>
      </w: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个（小区出入口、主干道以及围墙周界增设结构化相机），普通监控</w:t>
      </w:r>
      <w:r>
        <w:rPr>
          <w:rFonts w:ascii="Times New Roman" w:hAnsi="Times New Roman" w:eastAsia="Times New Roman" w:cs="Times New Roman"/>
          <w:color w:val="000000"/>
          <w:sz w:val="24"/>
        </w:rPr>
        <w:t xml:space="preserve">58</w:t>
      </w:r>
      <w:r>
        <w:rPr>
          <w:rFonts w:ascii="SimSun" w:hAnsi="SimSun" w:eastAsia="SimSun" w:cs="SimSun"/>
          <w:color w:val="000000"/>
          <w:sz w:val="24"/>
        </w:rPr>
        <w:t xml:space="preserve">个（单元门、停车场）。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、奔牛</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九号公司及周边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新增安装结构化监控</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个（东门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个、西南门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个、西北门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个、南小门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个、北小门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C2</w:t>
      </w:r>
      <w:r>
        <w:rPr>
          <w:rFonts w:ascii="SimSun" w:hAnsi="SimSun" w:eastAsia="SimSun" w:cs="SimSun"/>
          <w:color w:val="000000"/>
          <w:sz w:val="24"/>
        </w:rPr>
        <w:t xml:space="preserve">厂区两东门</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个）。</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w:t>
      </w:r>
      <w:r>
        <w:rPr>
          <w:rFonts w:ascii="SimSun" w:hAnsi="SimSun" w:eastAsia="SimSun" w:cs="SimSun"/>
          <w:b/>
          <w:color w:val="000000"/>
          <w:sz w:val="24"/>
        </w:rPr>
        <w:t xml:space="preserve">、罗溪</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同心苑、同仁苑、同德苑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新增安装结构化监控</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个，普通监控</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个。</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w:t>
      </w:r>
      <w:r>
        <w:rPr>
          <w:rFonts w:ascii="SimSun" w:hAnsi="SimSun" w:eastAsia="SimSun" w:cs="SimSun"/>
          <w:b/>
          <w:color w:val="000000"/>
          <w:sz w:val="24"/>
        </w:rPr>
        <w:t xml:space="preserve">、西夏墅</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浦河后宣庄村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新增安装结构化监控</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个（村庄出入口）。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（二）项目服务具体要求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标包一：</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结构化相机需满足如下服务要求：</w:t>
      </w:r>
      <w:r/>
    </w:p>
    <w:p>
      <w:pPr>
        <w:numPr>
          <w:ilvl w:val="0"/>
          <w:numId w:val="1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分辨率：</w:t>
      </w:r>
      <w:r>
        <w:rPr>
          <w:rFonts w:ascii="Times New Roman" w:hAnsi="Times New Roman" w:eastAsia="Times New Roman" w:cs="Times New Roman"/>
          <w:color w:val="000000"/>
          <w:sz w:val="24"/>
        </w:rPr>
        <w:t xml:space="preserve">≥2560*1440</w:t>
      </w:r>
      <w:r/>
    </w:p>
    <w:p>
      <w:pPr>
        <w:numPr>
          <w:ilvl w:val="0"/>
          <w:numId w:val="1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镜头焦距</w:t>
      </w:r>
      <w:r>
        <w:rPr>
          <w:rFonts w:ascii="Times New Roman" w:hAnsi="Times New Roman" w:eastAsia="Times New Roman" w:cs="Times New Roman"/>
          <w:color w:val="000000"/>
          <w:sz w:val="24"/>
        </w:rPr>
        <w:t xml:space="preserve">≥6mm</w:t>
      </w:r>
      <w:r/>
    </w:p>
    <w:p>
      <w:pPr>
        <w:numPr>
          <w:ilvl w:val="0"/>
          <w:numId w:val="1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供电方式：支持</w:t>
      </w:r>
      <w:r>
        <w:rPr>
          <w:rFonts w:ascii="Times New Roman" w:hAnsi="Times New Roman" w:eastAsia="Times New Roman" w:cs="Times New Roman"/>
          <w:color w:val="000000"/>
          <w:sz w:val="24"/>
        </w:rPr>
        <w:t xml:space="preserve">POE</w:t>
      </w:r>
      <w:r>
        <w:rPr>
          <w:rFonts w:ascii="SimSun" w:hAnsi="SimSun" w:eastAsia="SimSun" w:cs="SimSun"/>
          <w:color w:val="000000"/>
          <w:sz w:val="24"/>
        </w:rPr>
        <w:t xml:space="preserve">供电</w:t>
      </w:r>
      <w:r/>
    </w:p>
    <w:p>
      <w:pPr>
        <w:numPr>
          <w:ilvl w:val="0"/>
          <w:numId w:val="1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补光光源：</w:t>
      </w:r>
      <w:r>
        <w:rPr>
          <w:rFonts w:ascii="Times New Roman" w:hAnsi="Times New Roman" w:eastAsia="Times New Roman" w:cs="Times New Roman"/>
          <w:color w:val="000000"/>
          <w:sz w:val="24"/>
        </w:rPr>
        <w:tab/>
      </w:r>
      <w:r>
        <w:rPr>
          <w:rFonts w:ascii="SimSun" w:hAnsi="SimSun" w:eastAsia="SimSun" w:cs="SimSun"/>
          <w:color w:val="000000"/>
          <w:sz w:val="24"/>
        </w:rPr>
        <w:t xml:space="preserve">红外</w:t>
      </w:r>
      <w:r>
        <w:rPr>
          <w:rFonts w:ascii="Times New Roman" w:hAnsi="Times New Roman" w:eastAsia="Times New Roman" w:cs="Times New Roman"/>
          <w:color w:val="000000"/>
          <w:sz w:val="24"/>
        </w:rPr>
        <w:t xml:space="preserve">&amp;</w:t>
      </w:r>
      <w:r>
        <w:rPr>
          <w:rFonts w:ascii="SimSun" w:hAnsi="SimSun" w:eastAsia="SimSun" w:cs="SimSun"/>
          <w:color w:val="000000"/>
          <w:sz w:val="24"/>
        </w:rPr>
        <w:t xml:space="preserve">暖光补光</w:t>
      </w:r>
      <w:r/>
    </w:p>
    <w:p>
      <w:pPr>
        <w:numPr>
          <w:ilvl w:val="0"/>
          <w:numId w:val="1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夜视距离：</w:t>
      </w:r>
      <w:r>
        <w:rPr>
          <w:rFonts w:ascii="Times New Roman" w:hAnsi="Times New Roman" w:eastAsia="Times New Roman" w:cs="Times New Roman"/>
          <w:color w:val="000000"/>
          <w:sz w:val="24"/>
        </w:rPr>
        <w:tab/>
      </w:r>
      <w:r>
        <w:rPr>
          <w:rFonts w:ascii="SimSun" w:hAnsi="SimSun" w:eastAsia="SimSun" w:cs="SimSun"/>
          <w:color w:val="000000"/>
          <w:sz w:val="24"/>
        </w:rPr>
        <w:t xml:space="preserve">红外≥</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米，暖光≥</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米</w:t>
      </w:r>
      <w:r/>
    </w:p>
    <w:p>
      <w:pPr>
        <w:numPr>
          <w:ilvl w:val="0"/>
          <w:numId w:val="1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视频编码：支持</w:t>
      </w:r>
      <w:r>
        <w:rPr>
          <w:rFonts w:ascii="Times New Roman" w:hAnsi="Times New Roman" w:eastAsia="Times New Roman" w:cs="Times New Roman"/>
          <w:color w:val="000000"/>
          <w:sz w:val="24"/>
        </w:rPr>
        <w:t xml:space="preserve">H.265 / H.264</w:t>
      </w:r>
      <w:r/>
    </w:p>
    <w:p>
      <w:pPr>
        <w:numPr>
          <w:ilvl w:val="0"/>
          <w:numId w:val="1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日夜切换方式</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自动红外滤片切换</w:t>
      </w:r>
      <w:r/>
    </w:p>
    <w:p>
      <w:pPr>
        <w:numPr>
          <w:ilvl w:val="0"/>
          <w:numId w:val="1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麦克风：内置麦克风</w:t>
      </w:r>
      <w:r/>
    </w:p>
    <w:p>
      <w:pPr>
        <w:numPr>
          <w:ilvl w:val="0"/>
          <w:numId w:val="1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拾音距离：</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米</w:t>
      </w:r>
      <w:r/>
    </w:p>
    <w:p>
      <w:pPr>
        <w:numPr>
          <w:ilvl w:val="0"/>
          <w:numId w:val="1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扬声器：内置扬声器</w:t>
      </w:r>
      <w:r/>
    </w:p>
    <w:p>
      <w:pPr>
        <w:numPr>
          <w:ilvl w:val="0"/>
          <w:numId w:val="1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扬声器功率：</w:t>
      </w:r>
      <w:r>
        <w:rPr>
          <w:rFonts w:ascii="Times New Roman" w:hAnsi="Times New Roman" w:eastAsia="Times New Roman" w:cs="Times New Roman"/>
          <w:color w:val="000000"/>
          <w:sz w:val="24"/>
        </w:rPr>
        <w:t xml:space="preserve">≥2W</w:t>
      </w:r>
      <w:r/>
    </w:p>
    <w:p>
      <w:pPr>
        <w:numPr>
          <w:ilvl w:val="0"/>
          <w:numId w:val="1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语音对讲：支持全双工语音对讲</w:t>
      </w:r>
      <w:r/>
    </w:p>
    <w:p>
      <w:pPr>
        <w:numPr>
          <w:ilvl w:val="0"/>
          <w:numId w:val="1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支持动作和声音侦测报警、人形侦测、人脸抓拍</w:t>
      </w:r>
      <w:r/>
    </w:p>
    <w:p>
      <w:pPr>
        <w:numPr>
          <w:ilvl w:val="0"/>
          <w:numId w:val="1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w:t>
      </w:r>
      <w:r>
        <w:rPr>
          <w:rFonts w:ascii="Times New Roman" w:hAnsi="Times New Roman" w:eastAsia="Times New Roman" w:cs="Times New Roman"/>
          <w:color w:val="000000"/>
          <w:sz w:val="24"/>
        </w:rPr>
        <w:t xml:space="preserve"> SD/TF</w:t>
      </w:r>
      <w:r>
        <w:rPr>
          <w:rFonts w:ascii="SimSun" w:hAnsi="SimSun" w:eastAsia="SimSun" w:cs="SimSun"/>
          <w:color w:val="000000"/>
          <w:sz w:val="24"/>
        </w:rPr>
        <w:t xml:space="preserve">卡：支持，云存储：支持</w:t>
      </w:r>
      <w:r/>
    </w:p>
    <w:p>
      <w:pPr>
        <w:numPr>
          <w:ilvl w:val="0"/>
          <w:numId w:val="1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工作温度</w:t>
      </w:r>
      <w:r>
        <w:rPr>
          <w:rFonts w:ascii="Times New Roman" w:hAnsi="Times New Roman" w:eastAsia="Times New Roman" w:cs="Times New Roman"/>
          <w:color w:val="000000"/>
          <w:sz w:val="24"/>
        </w:rPr>
        <w:t xml:space="preserve"> -40℃~+50℃</w:t>
      </w:r>
      <w:r/>
    </w:p>
    <w:p>
      <w:pPr>
        <w:numPr>
          <w:ilvl w:val="0"/>
          <w:numId w:val="1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防护等级</w:t>
      </w:r>
      <w:r>
        <w:rPr>
          <w:rFonts w:ascii="Times New Roman" w:hAnsi="Times New Roman" w:eastAsia="Times New Roman" w:cs="Times New Roman"/>
          <w:color w:val="000000"/>
          <w:sz w:val="24"/>
        </w:rPr>
        <w:t xml:space="preserve"> IP67</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智能化摄像机需满足如下服务要求：</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传感器：</w:t>
      </w:r>
      <w:r>
        <w:rPr>
          <w:rFonts w:ascii="Times New Roman" w:hAnsi="Times New Roman" w:eastAsia="Times New Roman" w:cs="Times New Roman"/>
          <w:color w:val="000000"/>
          <w:sz w:val="24"/>
        </w:rPr>
        <w:t xml:space="preserve">≥1/3' CMOS </w:t>
      </w:r>
      <w:r>
        <w:rPr>
          <w:rFonts w:ascii="SimSun" w:hAnsi="SimSun" w:eastAsia="SimSun" w:cs="SimSun"/>
          <w:color w:val="000000"/>
          <w:sz w:val="24"/>
        </w:rPr>
        <w:t xml:space="preserve">传感器</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分辨率：</w:t>
      </w:r>
      <w:r>
        <w:rPr>
          <w:rFonts w:ascii="Times New Roman" w:hAnsi="Times New Roman" w:eastAsia="Times New Roman" w:cs="Times New Roman"/>
          <w:color w:val="000000"/>
          <w:sz w:val="24"/>
        </w:rPr>
        <w:t xml:space="preserve">≥2560*1440</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镜头焦距</w:t>
      </w:r>
      <w:r>
        <w:rPr>
          <w:rFonts w:ascii="Times New Roman" w:hAnsi="Times New Roman" w:eastAsia="Times New Roman" w:cs="Times New Roman"/>
          <w:color w:val="000000"/>
          <w:sz w:val="24"/>
        </w:rPr>
        <w:t xml:space="preserve">≥4.0mm</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日夜切换方式</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自动红外滤片切换</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补光光源：红外</w:t>
      </w:r>
      <w:r>
        <w:rPr>
          <w:rFonts w:ascii="Times New Roman" w:hAnsi="Times New Roman" w:eastAsia="Times New Roman" w:cs="Times New Roman"/>
          <w:color w:val="000000"/>
          <w:sz w:val="24"/>
        </w:rPr>
        <w:t xml:space="preserve"> / </w:t>
      </w:r>
      <w:r>
        <w:rPr>
          <w:rFonts w:ascii="SimSun" w:hAnsi="SimSun" w:eastAsia="SimSun" w:cs="SimSun"/>
          <w:color w:val="000000"/>
          <w:sz w:val="24"/>
        </w:rPr>
        <w:t xml:space="preserve">白光双模式</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补光距离：</w:t>
      </w:r>
      <w:r>
        <w:rPr>
          <w:rFonts w:ascii="Times New Roman" w:hAnsi="Times New Roman" w:eastAsia="Times New Roman" w:cs="Times New Roman"/>
          <w:color w:val="000000"/>
          <w:sz w:val="24"/>
        </w:rPr>
        <w:t xml:space="preserve">30m</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视频编码：</w:t>
      </w:r>
      <w:r>
        <w:rPr>
          <w:rFonts w:ascii="Times New Roman" w:hAnsi="Times New Roman" w:eastAsia="Times New Roman" w:cs="Times New Roman"/>
          <w:color w:val="000000"/>
          <w:sz w:val="24"/>
        </w:rPr>
        <w:t xml:space="preserve">H.265 / H.264</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麦克风：内置麦克风，拾音距离</w:t>
      </w: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米</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扬声器：内置扬声器</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语音功能：支持双向语音对讲</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前端本地存储：最大支持</w:t>
      </w:r>
      <w:r>
        <w:rPr>
          <w:rFonts w:ascii="Times New Roman" w:hAnsi="Times New Roman" w:eastAsia="Times New Roman" w:cs="Times New Roman"/>
          <w:color w:val="000000"/>
          <w:sz w:val="24"/>
        </w:rPr>
        <w:t xml:space="preserve"> 128G SD/Micro</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SD </w:t>
      </w:r>
      <w:r>
        <w:rPr>
          <w:rFonts w:ascii="SimSun" w:hAnsi="SimSun" w:eastAsia="SimSun" w:cs="SimSun"/>
          <w:color w:val="000000"/>
          <w:sz w:val="24"/>
        </w:rPr>
        <w:t xml:space="preserve">卡</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云端存储：支持云存储</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供电方式：支持</w:t>
      </w:r>
      <w:r>
        <w:rPr>
          <w:rFonts w:ascii="Times New Roman" w:hAnsi="Times New Roman" w:eastAsia="Times New Roman" w:cs="Times New Roman"/>
          <w:color w:val="000000"/>
          <w:sz w:val="24"/>
        </w:rPr>
        <w:t xml:space="preserve">POE </w:t>
      </w:r>
      <w:r>
        <w:rPr>
          <w:rFonts w:ascii="SimSun" w:hAnsi="SimSun" w:eastAsia="SimSun" w:cs="SimSun"/>
          <w:color w:val="000000"/>
          <w:sz w:val="24"/>
        </w:rPr>
        <w:t xml:space="preserve">供电</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网络连接：支持有线网络连接</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工作温度：</w:t>
      </w:r>
      <w:r>
        <w:rPr>
          <w:rFonts w:ascii="Times New Roman" w:hAnsi="Times New Roman" w:eastAsia="Times New Roman" w:cs="Times New Roman"/>
          <w:color w:val="000000"/>
          <w:sz w:val="24"/>
        </w:rPr>
        <w:t xml:space="preserve">-30℃ ~ 60℃</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防护等级：≥</w:t>
      </w:r>
      <w:r>
        <w:rPr>
          <w:rFonts w:ascii="Times New Roman" w:hAnsi="Times New Roman" w:eastAsia="Times New Roman" w:cs="Times New Roman"/>
          <w:color w:val="000000"/>
          <w:sz w:val="24"/>
        </w:rPr>
        <w:t xml:space="preserve">IP54 </w:t>
      </w:r>
      <w:r>
        <w:rPr>
          <w:rFonts w:ascii="SimSun" w:hAnsi="SimSun" w:eastAsia="SimSun" w:cs="SimSun"/>
          <w:color w:val="000000"/>
          <w:sz w:val="24"/>
        </w:rPr>
        <w:t xml:space="preserve">防水防尘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普通摄像机需满足如下服务要求：</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传感器：</w:t>
      </w:r>
      <w:r>
        <w:rPr>
          <w:rFonts w:ascii="Times New Roman" w:hAnsi="Times New Roman" w:eastAsia="Times New Roman" w:cs="Times New Roman"/>
          <w:color w:val="000000"/>
          <w:sz w:val="24"/>
        </w:rPr>
        <w:t xml:space="preserve">≥1/3' CMOS </w:t>
      </w:r>
      <w:r>
        <w:rPr>
          <w:rFonts w:ascii="SimSun" w:hAnsi="SimSun" w:eastAsia="SimSun" w:cs="SimSun"/>
          <w:color w:val="000000"/>
          <w:sz w:val="24"/>
        </w:rPr>
        <w:t xml:space="preserve">传感器</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分辨率：</w:t>
      </w:r>
      <w:r>
        <w:rPr>
          <w:rFonts w:ascii="Times New Roman" w:hAnsi="Times New Roman" w:eastAsia="Times New Roman" w:cs="Times New Roman"/>
          <w:color w:val="000000"/>
          <w:sz w:val="24"/>
        </w:rPr>
        <w:t xml:space="preserve">≥2560*1440</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镜头焦距</w:t>
      </w:r>
      <w:r>
        <w:rPr>
          <w:rFonts w:ascii="Times New Roman" w:hAnsi="Times New Roman" w:eastAsia="Times New Roman" w:cs="Times New Roman"/>
          <w:color w:val="000000"/>
          <w:sz w:val="24"/>
        </w:rPr>
        <w:t xml:space="preserve">≥4.0mm</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日夜切换方式</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自动红外滤片切换</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补光光源：红外</w:t>
      </w:r>
      <w:r>
        <w:rPr>
          <w:rFonts w:ascii="Times New Roman" w:hAnsi="Times New Roman" w:eastAsia="Times New Roman" w:cs="Times New Roman"/>
          <w:color w:val="000000"/>
          <w:sz w:val="24"/>
        </w:rPr>
        <w:t xml:space="preserve"> / </w:t>
      </w:r>
      <w:r>
        <w:rPr>
          <w:rFonts w:ascii="SimSun" w:hAnsi="SimSun" w:eastAsia="SimSun" w:cs="SimSun"/>
          <w:color w:val="000000"/>
          <w:sz w:val="24"/>
        </w:rPr>
        <w:t xml:space="preserve">白光双模式</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补光距离：</w:t>
      </w:r>
      <w:r>
        <w:rPr>
          <w:rFonts w:ascii="Times New Roman" w:hAnsi="Times New Roman" w:eastAsia="Times New Roman" w:cs="Times New Roman"/>
          <w:color w:val="000000"/>
          <w:sz w:val="24"/>
        </w:rPr>
        <w:t xml:space="preserve">30m</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视频编码：</w:t>
      </w:r>
      <w:r>
        <w:rPr>
          <w:rFonts w:ascii="Times New Roman" w:hAnsi="Times New Roman" w:eastAsia="Times New Roman" w:cs="Times New Roman"/>
          <w:color w:val="000000"/>
          <w:sz w:val="24"/>
        </w:rPr>
        <w:t xml:space="preserve">H.265 / H.264</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麦克风：内置麦克风，拾音距离</w:t>
      </w: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米</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扬声器：内置扬声器</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语音功能：支持双向语音对讲</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前端本地存储：最大支持</w:t>
      </w:r>
      <w:r>
        <w:rPr>
          <w:rFonts w:ascii="Times New Roman" w:hAnsi="Times New Roman" w:eastAsia="Times New Roman" w:cs="Times New Roman"/>
          <w:color w:val="000000"/>
          <w:sz w:val="24"/>
        </w:rPr>
        <w:t xml:space="preserve"> 128G SD/Micro</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SD </w:t>
      </w:r>
      <w:r>
        <w:rPr>
          <w:rFonts w:ascii="SimSun" w:hAnsi="SimSun" w:eastAsia="SimSun" w:cs="SimSun"/>
          <w:color w:val="000000"/>
          <w:sz w:val="24"/>
        </w:rPr>
        <w:t xml:space="preserve">卡</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云端存储：支持云存储</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供电方式：支持</w:t>
      </w:r>
      <w:r>
        <w:rPr>
          <w:rFonts w:ascii="Times New Roman" w:hAnsi="Times New Roman" w:eastAsia="Times New Roman" w:cs="Times New Roman"/>
          <w:color w:val="000000"/>
          <w:sz w:val="24"/>
        </w:rPr>
        <w:t xml:space="preserve">POE </w:t>
      </w:r>
      <w:r>
        <w:rPr>
          <w:rFonts w:ascii="SimSun" w:hAnsi="SimSun" w:eastAsia="SimSun" w:cs="SimSun"/>
          <w:color w:val="000000"/>
          <w:sz w:val="24"/>
        </w:rPr>
        <w:t xml:space="preserve">供电</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网络连接：支持有线网络连接</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工作温度：</w:t>
      </w:r>
      <w:r>
        <w:rPr>
          <w:rFonts w:ascii="Times New Roman" w:hAnsi="Times New Roman" w:eastAsia="Times New Roman" w:cs="Times New Roman"/>
          <w:color w:val="000000"/>
          <w:sz w:val="24"/>
        </w:rPr>
        <w:t xml:space="preserve">-30℃ ~ 60℃</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防护等级：≥</w:t>
      </w:r>
      <w:r>
        <w:rPr>
          <w:rFonts w:ascii="Times New Roman" w:hAnsi="Times New Roman" w:eastAsia="Times New Roman" w:cs="Times New Roman"/>
          <w:color w:val="000000"/>
          <w:sz w:val="24"/>
        </w:rPr>
        <w:t xml:space="preserve">IP54 </w:t>
      </w:r>
      <w:r>
        <w:rPr>
          <w:rFonts w:ascii="SimSun" w:hAnsi="SimSun" w:eastAsia="SimSun" w:cs="SimSun"/>
          <w:color w:val="000000"/>
          <w:sz w:val="24"/>
        </w:rPr>
        <w:t xml:space="preserve">防水防尘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标包二：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结构化相机需满足如下服务要求：</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分辨率：</w:t>
      </w:r>
      <w:r>
        <w:rPr>
          <w:rFonts w:ascii="Times New Roman" w:hAnsi="Times New Roman" w:eastAsia="Times New Roman" w:cs="Times New Roman"/>
          <w:color w:val="000000"/>
          <w:sz w:val="24"/>
        </w:rPr>
        <w:t xml:space="preserve">≥2560*1440</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镜头焦距</w:t>
      </w:r>
      <w:r>
        <w:rPr>
          <w:rFonts w:ascii="Times New Roman" w:hAnsi="Times New Roman" w:eastAsia="Times New Roman" w:cs="Times New Roman"/>
          <w:color w:val="000000"/>
          <w:sz w:val="24"/>
        </w:rPr>
        <w:t xml:space="preserve">≥6mm</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供电方式：支持</w:t>
      </w:r>
      <w:r>
        <w:rPr>
          <w:rFonts w:ascii="Times New Roman" w:hAnsi="Times New Roman" w:eastAsia="Times New Roman" w:cs="Times New Roman"/>
          <w:color w:val="000000"/>
          <w:sz w:val="24"/>
        </w:rPr>
        <w:t xml:space="preserve">POE</w:t>
      </w:r>
      <w:r>
        <w:rPr>
          <w:rFonts w:ascii="SimSun" w:hAnsi="SimSun" w:eastAsia="SimSun" w:cs="SimSun"/>
          <w:color w:val="000000"/>
          <w:sz w:val="24"/>
        </w:rPr>
        <w:t xml:space="preserve">供电</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补光光源：</w:t>
      </w:r>
      <w:r>
        <w:rPr>
          <w:rFonts w:ascii="Times New Roman" w:hAnsi="Times New Roman" w:eastAsia="Times New Roman" w:cs="Times New Roman"/>
          <w:color w:val="000000"/>
          <w:sz w:val="24"/>
        </w:rPr>
        <w:tab/>
      </w:r>
      <w:r>
        <w:rPr>
          <w:rFonts w:ascii="SimSun" w:hAnsi="SimSun" w:eastAsia="SimSun" w:cs="SimSun"/>
          <w:color w:val="000000"/>
          <w:sz w:val="24"/>
        </w:rPr>
        <w:t xml:space="preserve">红外</w:t>
      </w:r>
      <w:r>
        <w:rPr>
          <w:rFonts w:ascii="Times New Roman" w:hAnsi="Times New Roman" w:eastAsia="Times New Roman" w:cs="Times New Roman"/>
          <w:color w:val="000000"/>
          <w:sz w:val="24"/>
        </w:rPr>
        <w:t xml:space="preserve">&amp;</w:t>
      </w:r>
      <w:r>
        <w:rPr>
          <w:rFonts w:ascii="SimSun" w:hAnsi="SimSun" w:eastAsia="SimSun" w:cs="SimSun"/>
          <w:color w:val="000000"/>
          <w:sz w:val="24"/>
        </w:rPr>
        <w:t xml:space="preserve">暖光补光</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夜视距离：</w:t>
      </w:r>
      <w:r>
        <w:rPr>
          <w:rFonts w:ascii="Times New Roman" w:hAnsi="Times New Roman" w:eastAsia="Times New Roman" w:cs="Times New Roman"/>
          <w:color w:val="000000"/>
          <w:sz w:val="24"/>
        </w:rPr>
        <w:tab/>
      </w:r>
      <w:r>
        <w:rPr>
          <w:rFonts w:ascii="SimSun" w:hAnsi="SimSun" w:eastAsia="SimSun" w:cs="SimSun"/>
          <w:color w:val="000000"/>
          <w:sz w:val="24"/>
        </w:rPr>
        <w:t xml:space="preserve">红外≥</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米，暖光≥</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米</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视频编码：支持</w:t>
      </w:r>
      <w:r>
        <w:rPr>
          <w:rFonts w:ascii="Times New Roman" w:hAnsi="Times New Roman" w:eastAsia="Times New Roman" w:cs="Times New Roman"/>
          <w:color w:val="000000"/>
          <w:sz w:val="24"/>
        </w:rPr>
        <w:t xml:space="preserve">H.265 / H.264</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日夜切换方式</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自动红外滤片切换</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麦克风：内置麦克风</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拾音距离：</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米</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扬声器：内置扬声器</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扬声器功率：</w:t>
      </w:r>
      <w:r>
        <w:rPr>
          <w:rFonts w:ascii="Times New Roman" w:hAnsi="Times New Roman" w:eastAsia="Times New Roman" w:cs="Times New Roman"/>
          <w:color w:val="000000"/>
          <w:sz w:val="24"/>
        </w:rPr>
        <w:t xml:space="preserve">≥2W</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语音对讲：支持全双工语音对讲</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支持动作和声音侦测报警、人形侦测、人脸抓拍</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w:t>
      </w:r>
      <w:r>
        <w:rPr>
          <w:rFonts w:ascii="Times New Roman" w:hAnsi="Times New Roman" w:eastAsia="Times New Roman" w:cs="Times New Roman"/>
          <w:color w:val="000000"/>
          <w:sz w:val="24"/>
        </w:rPr>
        <w:t xml:space="preserve"> SD/TF</w:t>
      </w:r>
      <w:r>
        <w:rPr>
          <w:rFonts w:ascii="SimSun" w:hAnsi="SimSun" w:eastAsia="SimSun" w:cs="SimSun"/>
          <w:color w:val="000000"/>
          <w:sz w:val="24"/>
        </w:rPr>
        <w:t xml:space="preserve">卡：支持，云存储：支持</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工作温度</w:t>
      </w:r>
      <w:r>
        <w:rPr>
          <w:rFonts w:ascii="Times New Roman" w:hAnsi="Times New Roman" w:eastAsia="Times New Roman" w:cs="Times New Roman"/>
          <w:color w:val="000000"/>
          <w:sz w:val="24"/>
        </w:rPr>
        <w:t xml:space="preserve"> -40℃~+50℃</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防护等级</w:t>
      </w:r>
      <w:r>
        <w:rPr>
          <w:rFonts w:ascii="Times New Roman" w:hAnsi="Times New Roman" w:eastAsia="Times New Roman" w:cs="Times New Roman"/>
          <w:color w:val="000000"/>
          <w:sz w:val="24"/>
        </w:rPr>
        <w:t xml:space="preserve"> IP67</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智能化化相机需满足如下服务要求：</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传感器：</w:t>
      </w:r>
      <w:r>
        <w:rPr>
          <w:rFonts w:ascii="Times New Roman" w:hAnsi="Times New Roman" w:eastAsia="Times New Roman" w:cs="Times New Roman"/>
          <w:color w:val="000000"/>
          <w:sz w:val="24"/>
        </w:rPr>
        <w:t xml:space="preserve">≥1/3' CMOS </w:t>
      </w:r>
      <w:r>
        <w:rPr>
          <w:rFonts w:ascii="SimSun" w:hAnsi="SimSun" w:eastAsia="SimSun" w:cs="SimSun"/>
          <w:color w:val="000000"/>
          <w:sz w:val="24"/>
        </w:rPr>
        <w:t xml:space="preserve">传感器</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分辨率：</w:t>
      </w:r>
      <w:r>
        <w:rPr>
          <w:rFonts w:ascii="Times New Roman" w:hAnsi="Times New Roman" w:eastAsia="Times New Roman" w:cs="Times New Roman"/>
          <w:color w:val="000000"/>
          <w:sz w:val="24"/>
        </w:rPr>
        <w:t xml:space="preserve">≥2560*1440</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镜头焦距</w:t>
      </w:r>
      <w:r>
        <w:rPr>
          <w:rFonts w:ascii="Times New Roman" w:hAnsi="Times New Roman" w:eastAsia="Times New Roman" w:cs="Times New Roman"/>
          <w:color w:val="000000"/>
          <w:sz w:val="24"/>
        </w:rPr>
        <w:t xml:space="preserve">≥4.0mm</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日夜切换方式</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自动红外滤片切换</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补光光源：红外</w:t>
      </w:r>
      <w:r>
        <w:rPr>
          <w:rFonts w:ascii="Times New Roman" w:hAnsi="Times New Roman" w:eastAsia="Times New Roman" w:cs="Times New Roman"/>
          <w:color w:val="000000"/>
          <w:sz w:val="24"/>
        </w:rPr>
        <w:t xml:space="preserve"> / </w:t>
      </w:r>
      <w:r>
        <w:rPr>
          <w:rFonts w:ascii="SimSun" w:hAnsi="SimSun" w:eastAsia="SimSun" w:cs="SimSun"/>
          <w:color w:val="000000"/>
          <w:sz w:val="24"/>
        </w:rPr>
        <w:t xml:space="preserve">白光双模式</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补光距离：</w:t>
      </w:r>
      <w:r>
        <w:rPr>
          <w:rFonts w:ascii="Times New Roman" w:hAnsi="Times New Roman" w:eastAsia="Times New Roman" w:cs="Times New Roman"/>
          <w:color w:val="000000"/>
          <w:sz w:val="24"/>
        </w:rPr>
        <w:t xml:space="preserve">30m</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视频编码：</w:t>
      </w:r>
      <w:r>
        <w:rPr>
          <w:rFonts w:ascii="Times New Roman" w:hAnsi="Times New Roman" w:eastAsia="Times New Roman" w:cs="Times New Roman"/>
          <w:color w:val="000000"/>
          <w:sz w:val="24"/>
        </w:rPr>
        <w:t xml:space="preserve">H.265 / H.264</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麦克风：内置麦克风，拾音距离</w:t>
      </w: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米</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扬声器：内置扬声器</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语音功能：支持双向语音对讲</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前端本地存储：最大支持</w:t>
      </w:r>
      <w:r>
        <w:rPr>
          <w:rFonts w:ascii="Times New Roman" w:hAnsi="Times New Roman" w:eastAsia="Times New Roman" w:cs="Times New Roman"/>
          <w:color w:val="000000"/>
          <w:sz w:val="24"/>
        </w:rPr>
        <w:t xml:space="preserve"> 128G SD/Micro</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SD </w:t>
      </w:r>
      <w:r>
        <w:rPr>
          <w:rFonts w:ascii="SimSun" w:hAnsi="SimSun" w:eastAsia="SimSun" w:cs="SimSun"/>
          <w:color w:val="000000"/>
          <w:sz w:val="24"/>
        </w:rPr>
        <w:t xml:space="preserve">卡</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云端存储：支持云存储</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供电方式：支持</w:t>
      </w:r>
      <w:r>
        <w:rPr>
          <w:rFonts w:ascii="Times New Roman" w:hAnsi="Times New Roman" w:eastAsia="Times New Roman" w:cs="Times New Roman"/>
          <w:color w:val="000000"/>
          <w:sz w:val="24"/>
        </w:rPr>
        <w:t xml:space="preserve">POE </w:t>
      </w:r>
      <w:r>
        <w:rPr>
          <w:rFonts w:ascii="SimSun" w:hAnsi="SimSun" w:eastAsia="SimSun" w:cs="SimSun"/>
          <w:color w:val="000000"/>
          <w:sz w:val="24"/>
        </w:rPr>
        <w:t xml:space="preserve">供电</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网络连接：支持有线网络连接</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工作温度：</w:t>
      </w:r>
      <w:r>
        <w:rPr>
          <w:rFonts w:ascii="Times New Roman" w:hAnsi="Times New Roman" w:eastAsia="Times New Roman" w:cs="Times New Roman"/>
          <w:color w:val="000000"/>
          <w:sz w:val="24"/>
        </w:rPr>
        <w:t xml:space="preserve">-30℃ ~ 60℃</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防护等级：≥</w:t>
      </w:r>
      <w:r>
        <w:rPr>
          <w:rFonts w:ascii="Times New Roman" w:hAnsi="Times New Roman" w:eastAsia="Times New Roman" w:cs="Times New Roman"/>
          <w:color w:val="000000"/>
          <w:sz w:val="24"/>
        </w:rPr>
        <w:t xml:space="preserve">IP54 </w:t>
      </w:r>
      <w:r>
        <w:rPr>
          <w:rFonts w:ascii="SimSun" w:hAnsi="SimSun" w:eastAsia="SimSun" w:cs="SimSun"/>
          <w:color w:val="000000"/>
          <w:sz w:val="24"/>
        </w:rPr>
        <w:t xml:space="preserve">防水防尘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普通相机需满足如下服务要求：</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传感器：</w:t>
      </w:r>
      <w:r>
        <w:rPr>
          <w:rFonts w:ascii="Times New Roman" w:hAnsi="Times New Roman" w:eastAsia="Times New Roman" w:cs="Times New Roman"/>
          <w:color w:val="000000"/>
          <w:sz w:val="24"/>
        </w:rPr>
        <w:t xml:space="preserve">≥1/3' CMOS </w:t>
      </w:r>
      <w:r>
        <w:rPr>
          <w:rFonts w:ascii="SimSun" w:hAnsi="SimSun" w:eastAsia="SimSun" w:cs="SimSun"/>
          <w:color w:val="000000"/>
          <w:sz w:val="24"/>
        </w:rPr>
        <w:t xml:space="preserve">传感器</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分辨率：</w:t>
      </w:r>
      <w:r>
        <w:rPr>
          <w:rFonts w:ascii="Times New Roman" w:hAnsi="Times New Roman" w:eastAsia="Times New Roman" w:cs="Times New Roman"/>
          <w:color w:val="000000"/>
          <w:sz w:val="24"/>
        </w:rPr>
        <w:t xml:space="preserve">≥2560*1440</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镜头焦距</w:t>
      </w:r>
      <w:r>
        <w:rPr>
          <w:rFonts w:ascii="Times New Roman" w:hAnsi="Times New Roman" w:eastAsia="Times New Roman" w:cs="Times New Roman"/>
          <w:color w:val="000000"/>
          <w:sz w:val="24"/>
        </w:rPr>
        <w:t xml:space="preserve">≥4.0mm</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日夜切换方式</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自动红外滤片切换</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补光光源：红外</w:t>
      </w:r>
      <w:r>
        <w:rPr>
          <w:rFonts w:ascii="Times New Roman" w:hAnsi="Times New Roman" w:eastAsia="Times New Roman" w:cs="Times New Roman"/>
          <w:color w:val="000000"/>
          <w:sz w:val="24"/>
        </w:rPr>
        <w:t xml:space="preserve"> / </w:t>
      </w:r>
      <w:r>
        <w:rPr>
          <w:rFonts w:ascii="SimSun" w:hAnsi="SimSun" w:eastAsia="SimSun" w:cs="SimSun"/>
          <w:color w:val="000000"/>
          <w:sz w:val="24"/>
        </w:rPr>
        <w:t xml:space="preserve">白光双模式</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补光距离：</w:t>
      </w:r>
      <w:r>
        <w:rPr>
          <w:rFonts w:ascii="Times New Roman" w:hAnsi="Times New Roman" w:eastAsia="Times New Roman" w:cs="Times New Roman"/>
          <w:color w:val="000000"/>
          <w:sz w:val="24"/>
        </w:rPr>
        <w:t xml:space="preserve">30m</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视频编码：</w:t>
      </w:r>
      <w:r>
        <w:rPr>
          <w:rFonts w:ascii="Times New Roman" w:hAnsi="Times New Roman" w:eastAsia="Times New Roman" w:cs="Times New Roman"/>
          <w:color w:val="000000"/>
          <w:sz w:val="24"/>
        </w:rPr>
        <w:t xml:space="preserve">H.265 / H.264</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麦克风：内置麦克风，拾音距离</w:t>
      </w:r>
      <w:r>
        <w:rPr>
          <w:rFonts w:ascii="Times New Roman" w:hAnsi="Times New Roman" w:eastAsia="Times New Roman" w:cs="Times New Roman"/>
          <w:color w:val="000000"/>
          <w:sz w:val="24"/>
        </w:rPr>
        <w:t xml:space="preserve">≥5 </w:t>
      </w:r>
      <w:r>
        <w:rPr>
          <w:rFonts w:ascii="SimSun" w:hAnsi="SimSun" w:eastAsia="SimSun" w:cs="SimSun"/>
          <w:color w:val="000000"/>
          <w:sz w:val="24"/>
        </w:rPr>
        <w:t xml:space="preserve">米</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扬声器：内置扬声器</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语音功能：支持双向语音对讲</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前端本地存储：最大支持</w:t>
      </w:r>
      <w:r>
        <w:rPr>
          <w:rFonts w:ascii="Times New Roman" w:hAnsi="Times New Roman" w:eastAsia="Times New Roman" w:cs="Times New Roman"/>
          <w:color w:val="000000"/>
          <w:sz w:val="24"/>
        </w:rPr>
        <w:t xml:space="preserve"> 128G SD/Micro</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SD </w:t>
      </w:r>
      <w:r>
        <w:rPr>
          <w:rFonts w:ascii="SimSun" w:hAnsi="SimSun" w:eastAsia="SimSun" w:cs="SimSun"/>
          <w:color w:val="000000"/>
          <w:sz w:val="24"/>
        </w:rPr>
        <w:t xml:space="preserve">卡</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云端存储：支持云存储</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供电方式：支持</w:t>
      </w:r>
      <w:r>
        <w:rPr>
          <w:rFonts w:ascii="Times New Roman" w:hAnsi="Times New Roman" w:eastAsia="Times New Roman" w:cs="Times New Roman"/>
          <w:color w:val="000000"/>
          <w:sz w:val="24"/>
        </w:rPr>
        <w:t xml:space="preserve">POE </w:t>
      </w:r>
      <w:r>
        <w:rPr>
          <w:rFonts w:ascii="SimSun" w:hAnsi="SimSun" w:eastAsia="SimSun" w:cs="SimSun"/>
          <w:color w:val="000000"/>
          <w:sz w:val="24"/>
        </w:rPr>
        <w:t xml:space="preserve">供电</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网络连接：支持有线网络连接</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工作温度：</w:t>
      </w:r>
      <w:r>
        <w:rPr>
          <w:rFonts w:ascii="Times New Roman" w:hAnsi="Times New Roman" w:eastAsia="Times New Roman" w:cs="Times New Roman"/>
          <w:color w:val="000000"/>
          <w:sz w:val="24"/>
        </w:rPr>
        <w:t xml:space="preserve">-30℃ ~ 60℃</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防护等级：≥</w:t>
      </w:r>
      <w:r>
        <w:rPr>
          <w:rFonts w:ascii="Times New Roman" w:hAnsi="Times New Roman" w:eastAsia="Times New Roman" w:cs="Times New Roman"/>
          <w:color w:val="000000"/>
          <w:sz w:val="24"/>
        </w:rPr>
        <w:t xml:space="preserve">IP54 </w:t>
      </w:r>
      <w:r>
        <w:rPr>
          <w:rFonts w:ascii="SimSun" w:hAnsi="SimSun" w:eastAsia="SimSun" w:cs="SimSun"/>
          <w:color w:val="000000"/>
          <w:sz w:val="24"/>
        </w:rPr>
        <w:t xml:space="preserve">防水防尘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（三）数据标签与预警功能需求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、房间进出人数超限预警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基于公寓治安问题特点，当房间</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内进出人数（非人次）超过指定阈值时，触发预警。当有女性同行时，预警信息应附带同行情况描述。当有未成年人进出时，预警信息应附带未成年人进出描述。针对房间密集，易出现误报的，可将多个房间合并处理，降低误报率。情况预警信息同步推送至民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、短期预警静默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预警信息，在民警研判并上门核实后，确定房间短期内无异常时，对房间进行预警静默标记。被标记的房间，在静默期内不再进行预警；静默期结束后，自动退出静默状态，继续对房间进出人数超限进行预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、准确率要求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无外部特殊因素干扰情况下，预警发现率应在</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以上，预警正确率应在</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以上。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、摄像头偏移预警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为防止因摄像头被人为调整导致预警陡升或无预警，需要对摄像头画面偏移做预警。对摄像头被人为偏移时，应在</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小时内组织施工人员修正摄像头位置，保证预警可靠性。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、人员进出自动感知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应能够自动识别走廊内人员进出活动，记录人员出现时间、活动区域、关联房间、进出方向和对应视频证据。对同一人员在一定时间范围内的多次活动，应能够进行归并和留痕，避免将正常重复进出简单视为多名不同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、匿名人员标识管理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系统应以匿名化方式对人员进行标识，不要求预先录入实名底库。系统生成的人员标识仅用于业务统计、事件关联和告警研判，不直接等同于实名身份。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、多摄像机人员关联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同一楼层或同一走廊内存在多个摄像机的场景，系统应能够关联同一人员在不同摄像机画面中的活动，支持连续跟踪和跨摄像机事件归并。该能力不依赖固定机位形式，投标人可根据现场布局灵活设计实现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、房间进出事件识别</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系统应根据房门区域、走廊活动轨迹和人员运动方向，自动判断人员进入或离开指定房间，并形成入户、离户等结构化事件。事件应包含房间号、人员匿名标识、时间、事件类型、图片和视频证据等信息。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、房间级人员统计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系统应支持按房间、楼层、楼栋和日期统计人员进出情况，包括单日进出人次、疑似不同人员数量、当前在室人数、重复进出次数、陌生人员高频进出等。统计结果应作为风险预警和日常监管的重要依据。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、异常风险识别</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系统应围绕网约房治安管理重点场景，支持对以下异常情况进行识别和预警：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单房间单日多人频繁进出。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疑似陌生人员高频进出同一房间。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疑似一女多男等涉黄风险场景。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疑似多人聚集、异常停留等涉赌风险场景。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疑似未成年人聚集或进入高风险房间。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其他由管理部门配置的重点关注场景。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、分级预警管理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系统应支持对告警进行分级管理，可根据风险程度分为红警、黄警、蓝警等等级。不同等级告警应支持不同的处置建议、展示样式、通知方式和流转流程。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、告警证据自动关联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每条告警应自动关联相关证据，包括人员截图、房间进出记录、事件时间线、告警前后视频片段等。复核人员和公安侧用户可基于告警快速查看证据，减少人工查找录像的工作量。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、楼栋及楼层监管分析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系统应具备房间健康积分管理能力，按房间建立 </w:t>
      </w:r>
      <w:r>
        <w:rPr>
          <w:rFonts w:ascii="Times New Roman" w:hAnsi="Times New Roman" w:eastAsia="Times New Roman" w:cs="Times New Roman"/>
          <w:color w:val="000000"/>
          <w:sz w:val="24"/>
        </w:rPr>
        <w:t xml:space="preserve">0~100 </w:t>
      </w:r>
      <w:r>
        <w:rPr>
          <w:rFonts w:ascii="SimSun" w:hAnsi="SimSun" w:eastAsia="SimSun" w:cs="SimSun"/>
          <w:color w:val="000000"/>
          <w:sz w:val="24"/>
        </w:rPr>
        <w:t xml:space="preserve">分的长期状态画像，综合人员进出、告警记录、异常聚集、人数不守恒、人工确认、视频复核及模型审计结果等信息进行每日更新。健康积分应支持正常、关注、风险、严重等分级展示，用于反映房间近期运行状态、风险趋势和复核优先级；同时应具备可解释的加扣分规则、历史变化记录和自然恢复机制。健康积分仅作为风险提示、候选排序和人工复核辅助依据，不得单独作为异常事实判定或自动处置依据，避免模型推断结果形成自我强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、公安平台数据对接及预警推送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满足公安局大数据实战支队相关要求。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（四）图片云存储租赁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、采购包</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与采购包</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共同提供图片云存储租赁，租赁期一年，提供符合如下要求的硬件存储放置在市公安局云中心机房内。硬件要求如下：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系统盘</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块</w:t>
      </w:r>
      <w:r>
        <w:rPr>
          <w:rFonts w:ascii="Times New Roman" w:hAnsi="Times New Roman" w:eastAsia="Times New Roman" w:cs="Times New Roman"/>
          <w:color w:val="000000"/>
          <w:sz w:val="24"/>
        </w:rPr>
        <w:t xml:space="preserve">600G 10K RPM SAS</w:t>
      </w:r>
      <w:r>
        <w:rPr>
          <w:rFonts w:ascii="SimSun" w:hAnsi="SimSun" w:eastAsia="SimSun" w:cs="SimSun"/>
          <w:color w:val="000000"/>
          <w:sz w:val="24"/>
        </w:rPr>
        <w:t xml:space="preserve">硬盘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数据盘</w:t>
      </w:r>
      <w:r>
        <w:rPr>
          <w:rFonts w:ascii="Times New Roman" w:hAnsi="Times New Roman" w:eastAsia="Times New Roman" w:cs="Times New Roman"/>
          <w:color w:val="000000"/>
          <w:sz w:val="24"/>
        </w:rPr>
        <w:t xml:space="preserve">≥36</w:t>
      </w:r>
      <w:r>
        <w:rPr>
          <w:rFonts w:ascii="SimSun" w:hAnsi="SimSun" w:eastAsia="SimSun" w:cs="SimSun"/>
          <w:color w:val="000000"/>
          <w:sz w:val="24"/>
        </w:rPr>
        <w:t xml:space="preserve">块 </w:t>
      </w:r>
      <w:r>
        <w:rPr>
          <w:rFonts w:ascii="Times New Roman" w:hAnsi="Times New Roman" w:eastAsia="Times New Roman" w:cs="Times New Roman"/>
          <w:color w:val="000000"/>
          <w:sz w:val="24"/>
        </w:rPr>
        <w:t xml:space="preserve">20TB 3.5</w:t>
      </w:r>
      <w:r>
        <w:rPr>
          <w:rFonts w:ascii="SimSun" w:hAnsi="SimSun" w:eastAsia="SimSun" w:cs="SimSun"/>
          <w:color w:val="000000"/>
          <w:sz w:val="24"/>
        </w:rPr>
        <w:t xml:space="preserve">吋</w:t>
      </w:r>
      <w:r>
        <w:rPr>
          <w:rFonts w:ascii="Times New Roman" w:hAnsi="Times New Roman" w:eastAsia="Times New Roman" w:cs="Times New Roman"/>
          <w:color w:val="000000"/>
          <w:sz w:val="24"/>
        </w:rPr>
        <w:t xml:space="preserve">7.2K 6Gb SATA</w:t>
      </w:r>
      <w:r>
        <w:rPr>
          <w:rFonts w:ascii="SimSun" w:hAnsi="SimSun" w:eastAsia="SimSun" w:cs="SimSun"/>
          <w:color w:val="000000"/>
          <w:sz w:val="24"/>
        </w:rPr>
        <w:t xml:space="preserve">硬盘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缓存加速盘</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块 </w:t>
      </w:r>
      <w:r>
        <w:rPr>
          <w:rFonts w:ascii="Times New Roman" w:hAnsi="Times New Roman" w:eastAsia="Times New Roman" w:cs="Times New Roman"/>
          <w:color w:val="000000"/>
          <w:sz w:val="24"/>
        </w:rPr>
        <w:t xml:space="preserve">1.6TB SSD</w:t>
      </w:r>
      <w:r>
        <w:rPr>
          <w:rFonts w:ascii="SimSun" w:hAnsi="SimSun" w:eastAsia="SimSun" w:cs="SimSun"/>
          <w:color w:val="000000"/>
          <w:sz w:val="24"/>
        </w:rPr>
        <w:t xml:space="preserve">硬盘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每节点配置</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颗处理器，每颗处理器核数</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核，主频</w:t>
      </w:r>
      <w:r>
        <w:rPr>
          <w:rFonts w:ascii="Times New Roman" w:hAnsi="Times New Roman" w:eastAsia="Times New Roman" w:cs="Times New Roman"/>
          <w:color w:val="000000"/>
          <w:sz w:val="24"/>
        </w:rPr>
        <w:t xml:space="preserve">≥2.0GHz</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每个节点配置内存</w:t>
      </w:r>
      <w:r>
        <w:rPr>
          <w:rFonts w:ascii="Times New Roman" w:hAnsi="Times New Roman" w:eastAsia="Times New Roman" w:cs="Times New Roman"/>
          <w:color w:val="000000"/>
          <w:sz w:val="24"/>
        </w:rPr>
        <w:t xml:space="preserve">≥256GB</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系统支持</w:t>
      </w:r>
      <w:r>
        <w:rPr>
          <w:rFonts w:ascii="Times New Roman" w:hAnsi="Times New Roman" w:eastAsia="Times New Roman" w:cs="Times New Roman"/>
          <w:color w:val="000000"/>
          <w:sz w:val="24"/>
        </w:rPr>
        <w:t xml:space="preserve">≥288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252</w:t>
      </w:r>
      <w:r>
        <w:rPr>
          <w:rFonts w:ascii="SimSun" w:hAnsi="SimSun" w:eastAsia="SimSun" w:cs="SimSun"/>
          <w:color w:val="000000"/>
          <w:sz w:val="24"/>
        </w:rPr>
        <w:t xml:space="preserve">）节点线性扩展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单节点满足</w:t>
      </w:r>
      <w:r>
        <w:rPr>
          <w:rFonts w:ascii="Times New Roman" w:hAnsi="Times New Roman" w:eastAsia="Times New Roman" w:cs="Times New Roman"/>
          <w:color w:val="000000"/>
          <w:sz w:val="24"/>
        </w:rPr>
        <w:t xml:space="preserve">1500</w:t>
      </w:r>
      <w:r>
        <w:rPr>
          <w:rFonts w:ascii="SimSun" w:hAnsi="SimSun" w:eastAsia="SimSun" w:cs="SimSun"/>
          <w:color w:val="000000"/>
          <w:sz w:val="24"/>
        </w:rPr>
        <w:t xml:space="preserve">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秒图片同时读、写、删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单节点（单客户端多流）纯读速率可达</w:t>
      </w:r>
      <w:r>
        <w:rPr>
          <w:rFonts w:ascii="Times New Roman" w:hAnsi="Times New Roman" w:eastAsia="Times New Roman" w:cs="Times New Roman"/>
          <w:color w:val="000000"/>
          <w:sz w:val="24"/>
        </w:rPr>
        <w:t xml:space="preserve">1.52GB/s</w:t>
      </w:r>
      <w:r>
        <w:rPr>
          <w:rFonts w:ascii="SimSun" w:hAnsi="SimSun" w:eastAsia="SimSun" w:cs="SimSun"/>
          <w:color w:val="000000"/>
          <w:sz w:val="24"/>
        </w:rPr>
        <w:t xml:space="preserve">，纯写速率可达</w:t>
      </w:r>
      <w:r>
        <w:rPr>
          <w:rFonts w:ascii="Times New Roman" w:hAnsi="Times New Roman" w:eastAsia="Times New Roman" w:cs="Times New Roman"/>
          <w:color w:val="000000"/>
          <w:sz w:val="24"/>
        </w:rPr>
        <w:t xml:space="preserve">1.2GB/s</w:t>
      </w:r>
      <w:r>
        <w:rPr>
          <w:rFonts w:ascii="SimSun" w:hAnsi="SimSun" w:eastAsia="SimSun" w:cs="SimSun"/>
          <w:color w:val="000000"/>
          <w:sz w:val="24"/>
        </w:rPr>
        <w:t xml:space="preserve">，混合读写速率可达</w:t>
      </w:r>
      <w:r>
        <w:rPr>
          <w:rFonts w:ascii="Times New Roman" w:hAnsi="Times New Roman" w:eastAsia="Times New Roman" w:cs="Times New Roman"/>
          <w:color w:val="000000"/>
          <w:sz w:val="24"/>
        </w:rPr>
        <w:t xml:space="preserve">1.25GB/s</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每节点配置</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10GE</w:t>
      </w:r>
      <w:r>
        <w:rPr>
          <w:rFonts w:ascii="SimSun" w:hAnsi="SimSun" w:eastAsia="SimSun" w:cs="SimSun"/>
          <w:color w:val="000000"/>
          <w:sz w:val="24"/>
        </w:rPr>
        <w:t xml:space="preserve">接口（含</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个万兆光模块），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IPMI</w:t>
      </w:r>
      <w:r>
        <w:rPr>
          <w:rFonts w:ascii="SimSun" w:hAnsi="SimSun" w:eastAsia="SimSun" w:cs="SimSun"/>
          <w:color w:val="000000"/>
          <w:sz w:val="24"/>
        </w:rPr>
        <w:t xml:space="preserve">管理网口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配置</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w:t>
      </w:r>
      <w:r>
        <w:rPr>
          <w:rFonts w:ascii="Times New Roman" w:hAnsi="Times New Roman" w:eastAsia="Times New Roman" w:cs="Times New Roman"/>
          <w:color w:val="000000"/>
          <w:sz w:val="24"/>
        </w:rPr>
        <w:t xml:space="preserve">1200W</w:t>
      </w:r>
      <w:r>
        <w:rPr>
          <w:rFonts w:ascii="SimSun" w:hAnsi="SimSun" w:eastAsia="SimSun" w:cs="SimSun"/>
          <w:color w:val="000000"/>
          <w:sz w:val="24"/>
        </w:rPr>
        <w:t xml:space="preserve">热插拔交流电源模块，支持</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冗余电源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全对称分布式架构部署，单集群内不需要独立的集群管理服务器，集群文件系统支持线性扩展，容量、性能随节点增加而线性增长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存储节点采用分布式集群存储架构，支持全局单一文件系统和统一命名空间；不接受</w:t>
      </w:r>
      <w:r>
        <w:rPr>
          <w:rFonts w:ascii="Times New Roman" w:hAnsi="Times New Roman" w:eastAsia="Times New Roman" w:cs="Times New Roman"/>
          <w:color w:val="000000"/>
          <w:sz w:val="24"/>
        </w:rPr>
        <w:t xml:space="preserve">IO</w:t>
      </w:r>
      <w:r>
        <w:rPr>
          <w:rFonts w:ascii="SimSun" w:hAnsi="SimSun" w:eastAsia="SimSun" w:cs="SimSun"/>
          <w:color w:val="000000"/>
          <w:sz w:val="24"/>
        </w:rPr>
        <w:t xml:space="preserve">节点</w:t>
      </w:r>
      <w:r>
        <w:rPr>
          <w:rFonts w:ascii="Times New Roman" w:hAnsi="Times New Roman" w:eastAsia="Times New Roman" w:cs="Times New Roman"/>
          <w:color w:val="000000"/>
          <w:sz w:val="24"/>
        </w:rPr>
        <w:t xml:space="preserve">+SAN</w:t>
      </w:r>
      <w:r>
        <w:rPr>
          <w:rFonts w:ascii="SimSun" w:hAnsi="SimSun" w:eastAsia="SimSun" w:cs="SimSun"/>
          <w:color w:val="000000"/>
          <w:sz w:val="24"/>
        </w:rPr>
        <w:t xml:space="preserve">盘阵或</w:t>
      </w:r>
      <w:r>
        <w:rPr>
          <w:rFonts w:ascii="Times New Roman" w:hAnsi="Times New Roman" w:eastAsia="Times New Roman" w:cs="Times New Roman"/>
          <w:color w:val="000000"/>
          <w:sz w:val="24"/>
        </w:rPr>
        <w:t xml:space="preserve">JBOD</w:t>
      </w:r>
      <w:r>
        <w:rPr>
          <w:rFonts w:ascii="SimSun" w:hAnsi="SimSun" w:eastAsia="SimSun" w:cs="SimSun"/>
          <w:color w:val="000000"/>
          <w:sz w:val="24"/>
        </w:rPr>
        <w:t xml:space="preserve">的存储架构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支持对用户、用户组、目录设置配额；配额类型支持统计配额、限制配额；统计配额仅监控存储的使用情况，不限制使用；限制配额监控存储使用情况的同时并限制使用，超出阈值告警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支持在线扩容，扩容过程中业务不中断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支持异常掉电数据不丢失功能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支持</w:t>
      </w:r>
      <w:r>
        <w:rPr>
          <w:rFonts w:ascii="Times New Roman" w:hAnsi="Times New Roman" w:eastAsia="Times New Roman" w:cs="Times New Roman"/>
          <w:color w:val="000000"/>
          <w:sz w:val="24"/>
        </w:rPr>
        <w:t xml:space="preserve">EC</w:t>
      </w:r>
      <w:r>
        <w:rPr>
          <w:rFonts w:ascii="SimSun" w:hAnsi="SimSun" w:eastAsia="SimSun" w:cs="SimSun"/>
          <w:color w:val="000000"/>
          <w:sz w:val="24"/>
        </w:rPr>
        <w:t xml:space="preserve">纠删码数据保护方式，不依赖于硬件</w:t>
      </w:r>
      <w:r>
        <w:rPr>
          <w:rFonts w:ascii="Times New Roman" w:hAnsi="Times New Roman" w:eastAsia="Times New Roman" w:cs="Times New Roman"/>
          <w:color w:val="000000"/>
          <w:sz w:val="24"/>
        </w:rPr>
        <w:t xml:space="preserve">RAID</w:t>
      </w:r>
      <w:r>
        <w:rPr>
          <w:rFonts w:ascii="SimSun" w:hAnsi="SimSun" w:eastAsia="SimSun" w:cs="SimSun"/>
          <w:color w:val="000000"/>
          <w:sz w:val="24"/>
        </w:rPr>
        <w:t xml:space="preserve">保护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支持</w:t>
      </w:r>
      <w:r>
        <w:rPr>
          <w:rFonts w:ascii="Times New Roman" w:hAnsi="Times New Roman" w:eastAsia="Times New Roman" w:cs="Times New Roman"/>
          <w:color w:val="000000"/>
          <w:sz w:val="24"/>
        </w:rPr>
        <w:t xml:space="preserve">NFS</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V3/V4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CIFS</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SMB 1.0/SMB 2.0/SMB 3.0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FTP/FTPs</w:t>
      </w:r>
      <w:r>
        <w:rPr>
          <w:rFonts w:ascii="SimSun" w:hAnsi="SimSun" w:eastAsia="SimSun" w:cs="SimSun"/>
          <w:color w:val="000000"/>
          <w:sz w:val="24"/>
        </w:rPr>
        <w:t xml:space="preserve">协议</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支持多种网络类型，包括</w:t>
      </w:r>
      <w:r>
        <w:rPr>
          <w:rFonts w:ascii="Times New Roman" w:hAnsi="Times New Roman" w:eastAsia="Times New Roman" w:cs="Times New Roman"/>
          <w:color w:val="000000"/>
          <w:sz w:val="24"/>
        </w:rPr>
        <w:t xml:space="preserve">10GbE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25GbE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Infiniband</w:t>
      </w:r>
      <w:r>
        <w:rPr>
          <w:rFonts w:ascii="SimSun" w:hAnsi="SimSun" w:eastAsia="SimSun" w:cs="SimSun"/>
          <w:color w:val="000000"/>
          <w:sz w:val="24"/>
        </w:rPr>
        <w:t xml:space="preserve">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支持业务负载均衡，单集群内不需要独立的集群管理服务器，当任意一个节点故障时，可在</w:t>
      </w:r>
      <w:r>
        <w:rPr>
          <w:rFonts w:ascii="Times New Roman" w:hAnsi="Times New Roman" w:eastAsia="Times New Roman" w:cs="Times New Roman"/>
          <w:color w:val="000000"/>
          <w:sz w:val="24"/>
        </w:rPr>
        <w:t xml:space="preserve">30s</w:t>
      </w:r>
      <w:r>
        <w:rPr>
          <w:rFonts w:ascii="SimSun" w:hAnsi="SimSun" w:eastAsia="SimSun" w:cs="SimSun"/>
          <w:color w:val="000000"/>
          <w:sz w:val="24"/>
        </w:rPr>
        <w:t xml:space="preserve">之内完成将故障节点上的业务负载分担到其他节点，保证数据也业务连续性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支持以节点池为单位设定数据保护策略，不同节点池可以设置不同的</w:t>
      </w:r>
      <w:r>
        <w:rPr>
          <w:rFonts w:ascii="Times New Roman" w:hAnsi="Times New Roman" w:eastAsia="Times New Roman" w:cs="Times New Roman"/>
          <w:color w:val="000000"/>
          <w:sz w:val="24"/>
        </w:rPr>
        <w:t xml:space="preserve">N+M</w:t>
      </w:r>
      <w:r>
        <w:rPr>
          <w:rFonts w:ascii="SimSun" w:hAnsi="SimSun" w:eastAsia="SimSun" w:cs="SimSun"/>
          <w:color w:val="000000"/>
          <w:sz w:val="24"/>
        </w:rPr>
        <w:t xml:space="preserve">配比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支持将多个小文件（＜</w:t>
      </w:r>
      <w:r>
        <w:rPr>
          <w:rFonts w:ascii="Times New Roman" w:hAnsi="Times New Roman" w:eastAsia="Times New Roman" w:cs="Times New Roman"/>
          <w:color w:val="000000"/>
          <w:sz w:val="24"/>
        </w:rPr>
        <w:t xml:space="preserve">1M</w:t>
      </w:r>
      <w:r>
        <w:rPr>
          <w:rFonts w:ascii="SimSun" w:hAnsi="SimSun" w:eastAsia="SimSun" w:cs="SimSun"/>
          <w:color w:val="000000"/>
          <w:sz w:val="24"/>
        </w:rPr>
        <w:t xml:space="preserve">）写入后聚合成一个文件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支持</w:t>
      </w:r>
      <w:r>
        <w:rPr>
          <w:rFonts w:ascii="Times New Roman" w:hAnsi="Times New Roman" w:eastAsia="Times New Roman" w:cs="Times New Roman"/>
          <w:color w:val="000000"/>
          <w:sz w:val="24"/>
        </w:rPr>
        <w:t xml:space="preserve">NFS</w:t>
      </w:r>
      <w:r>
        <w:rPr>
          <w:rFonts w:ascii="SimSun" w:hAnsi="SimSun" w:eastAsia="SimSun" w:cs="SimSun"/>
          <w:color w:val="000000"/>
          <w:sz w:val="24"/>
        </w:rPr>
        <w:t xml:space="preserve">和</w:t>
      </w:r>
      <w:r>
        <w:rPr>
          <w:rFonts w:ascii="Times New Roman" w:hAnsi="Times New Roman" w:eastAsia="Times New Roman" w:cs="Times New Roman"/>
          <w:color w:val="000000"/>
          <w:sz w:val="24"/>
        </w:rPr>
        <w:t xml:space="preserve">CIFS</w:t>
      </w:r>
      <w:r>
        <w:rPr>
          <w:rFonts w:ascii="SimSun" w:hAnsi="SimSun" w:eastAsia="SimSun" w:cs="SimSun"/>
          <w:color w:val="000000"/>
          <w:sz w:val="24"/>
        </w:rPr>
        <w:t xml:space="preserve">统一用户管理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支持硬盘故障检测，提前感知硬盘故障风险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²-1TB</w:t>
      </w:r>
      <w:r>
        <w:rPr>
          <w:rFonts w:ascii="SimSun" w:hAnsi="SimSun" w:eastAsia="SimSun" w:cs="SimSun"/>
          <w:color w:val="000000"/>
          <w:sz w:val="24"/>
        </w:rPr>
        <w:t xml:space="preserve">数据修复时间小于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分钟 或者</w:t>
      </w:r>
      <w:r>
        <w:rPr>
          <w:rFonts w:ascii="Times New Roman" w:hAnsi="Times New Roman" w:eastAsia="Times New Roman" w:cs="Times New Roman"/>
          <w:color w:val="000000"/>
          <w:sz w:val="24"/>
        </w:rPr>
        <w:t xml:space="preserve">2TB</w:t>
      </w:r>
      <w:r>
        <w:rPr>
          <w:rFonts w:ascii="SimSun" w:hAnsi="SimSun" w:eastAsia="SimSun" w:cs="SimSun"/>
          <w:color w:val="000000"/>
          <w:sz w:val="24"/>
        </w:rPr>
        <w:t xml:space="preserve">数据修复时间小于</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分钟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单节点可支持文件数不小于</w:t>
      </w:r>
      <w:r>
        <w:rPr>
          <w:rFonts w:ascii="Times New Roman" w:hAnsi="Times New Roman" w:eastAsia="Times New Roman" w:cs="Times New Roman"/>
          <w:color w:val="000000"/>
          <w:sz w:val="24"/>
        </w:rPr>
        <w:t xml:space="preserve">40</w:t>
      </w:r>
      <w:r>
        <w:rPr>
          <w:rFonts w:ascii="SimSun" w:hAnsi="SimSun" w:eastAsia="SimSun" w:cs="SimSun"/>
          <w:color w:val="000000"/>
          <w:sz w:val="24"/>
        </w:rPr>
        <w:t xml:space="preserve">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提供</w:t>
      </w:r>
      <w:r>
        <w:rPr>
          <w:rFonts w:ascii="Times New Roman" w:hAnsi="Times New Roman" w:eastAsia="Times New Roman" w:cs="Times New Roman"/>
          <w:color w:val="000000"/>
          <w:sz w:val="24"/>
        </w:rPr>
        <w:t xml:space="preserve">GUI</w:t>
      </w:r>
      <w:r>
        <w:rPr>
          <w:rFonts w:ascii="SimSun" w:hAnsi="SimSun" w:eastAsia="SimSun" w:cs="SimSun"/>
          <w:color w:val="000000"/>
          <w:sz w:val="24"/>
        </w:rPr>
        <w:t xml:space="preserve">管理界面，支持运维可视化，无需第三方软件或插件，即可支持同一</w:t>
      </w:r>
      <w:r>
        <w:rPr>
          <w:rFonts w:ascii="Times New Roman" w:hAnsi="Times New Roman" w:eastAsia="Times New Roman" w:cs="Times New Roman"/>
          <w:color w:val="000000"/>
          <w:sz w:val="24"/>
        </w:rPr>
        <w:t xml:space="preserve">Web</w:t>
      </w:r>
      <w:r>
        <w:rPr>
          <w:rFonts w:ascii="SimSun" w:hAnsi="SimSun" w:eastAsia="SimSun" w:cs="SimSun"/>
          <w:color w:val="000000"/>
          <w:sz w:val="24"/>
        </w:rPr>
        <w:t xml:space="preserve">界面管理多套存储集群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支持集群以及节点状态监控，支持以图形形式给出集群整系统和各个节点存储容量、负载的统计信息；支持节点的</w:t>
      </w:r>
      <w:r>
        <w:rPr>
          <w:rFonts w:ascii="Times New Roman" w:hAnsi="Times New Roman" w:eastAsia="Times New Roman" w:cs="Times New Roman"/>
          <w:color w:val="000000"/>
          <w:sz w:val="24"/>
        </w:rPr>
        <w:t xml:space="preserve">CPU</w:t>
      </w:r>
      <w:r>
        <w:rPr>
          <w:rFonts w:ascii="SimSun" w:hAnsi="SimSun" w:eastAsia="SimSun" w:cs="SimSun"/>
          <w:color w:val="000000"/>
          <w:sz w:val="24"/>
        </w:rPr>
        <w:t xml:space="preserve">使用率、内存使用率状态监控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实时监控存储系统的资源利用、运行状态、性能等，可对历史数据进行分析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实时告警，支持</w:t>
      </w:r>
      <w:r>
        <w:rPr>
          <w:rFonts w:ascii="Times New Roman" w:hAnsi="Times New Roman" w:eastAsia="Times New Roman" w:cs="Times New Roman"/>
          <w:color w:val="000000"/>
          <w:sz w:val="24"/>
        </w:rPr>
        <w:t xml:space="preserve">SNMP v2/v3</w:t>
      </w:r>
      <w:r>
        <w:rPr>
          <w:rFonts w:ascii="SimSun" w:hAnsi="SimSun" w:eastAsia="SimSun" w:cs="SimSun"/>
          <w:color w:val="000000"/>
          <w:sz w:val="24"/>
        </w:rPr>
        <w:t xml:space="preserve">、邮件、短信等告警方式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原厂</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年质保服务，介质保留服务，提供每月上门巡检服务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²-</w:t>
      </w:r>
      <w:r>
        <w:rPr>
          <w:rFonts w:ascii="SimSun" w:hAnsi="SimSun" w:eastAsia="SimSun" w:cs="SimSun"/>
          <w:color w:val="000000"/>
          <w:sz w:val="24"/>
        </w:rPr>
        <w:t xml:space="preserve">原厂承诺与市局相关平台做全面适配，保证性能及稳定性</w:t>
      </w:r>
      <w:r/>
    </w:p>
    <w:p>
      <w:pPr>
        <w:pStyle w:val="654"/>
        <w:ind w:left="0" w:right="0" w:firstLine="562"/>
        <w:jc w:val="center"/>
        <w:spacing w:before="12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三、实施要求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、部门协同机制建设</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成立由公安机关牵头，街道办、社区居委会、公寓物业、网约房平台共同参与的专项工作小组，明确各方职责</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公安机关负责系统建设方案制定、数据安全管理及预警信息处置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物业负责相机安装施工的场地协调、设备日常维护</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网约房平台负责提供房间预订数据，配合核查入住人员信息</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社区居委会负责未成年人保护宣传及可疑人员信息上报，形成</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齐抓共管</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的治安防控格局。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、数据安全保障</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严格遵守《中华人民共和国个人信息保护法》《数据安全法》等法律法规，对结构化相机采集的人员信息进行加密存储，仅授权辖区派出所民警、社区未成年人保护专员等特定人员访问。建立数据访问日志制度，记录每一次数据查询、使用情况，确保数据不被泄露、篡改或滥用。同时，定期对系统进行安全漏洞检测，防范网络攻击风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、人员培训与宣传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组织公安机关民警、物业工作人员开展系统操作培训，确保民警能熟练接收、处置预警信息，物业人员能协助核查异常情况。在公寓出入口、楼道、台球厅等区域张贴宣传海报，告知居民及经营者系统建设目的，引导其配合治安管理工作</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同时，针对未成年人及其监护人开展安全宣传教育，提高未成年人自我保护意识。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54"/>
        <w:ind w:left="0" w:right="0" w:firstLine="0"/>
        <w:jc w:val="center"/>
        <w:spacing w:before="120" w:after="249"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和对讲：标包一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调度平台集</w:t>
      </w:r>
      <w:r>
        <w:rPr>
          <w:rFonts w:ascii="Times New Roman" w:hAnsi="Times New Roman" w:eastAsia="Times New Roman" w:cs="Times New Roman"/>
          <w:color w:val="000000"/>
          <w:sz w:val="24"/>
        </w:rPr>
        <w:t xml:space="preserve">“APN</w:t>
      </w:r>
      <w:r>
        <w:rPr>
          <w:rFonts w:ascii="SimSun" w:hAnsi="SimSun" w:eastAsia="SimSun" w:cs="SimSun"/>
          <w:color w:val="000000"/>
          <w:sz w:val="24"/>
        </w:rPr>
        <w:t xml:space="preserve">专网对讲</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可视化调度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应急指挥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于一体，通过单独部署或云方式建设一个创新、便捷、扩容性强的可视化调度平台，协助织密基层社会平安网，有效提升社会治安力量的信息化管理水平。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428875" cy="11144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372201" name=""/>
                        <pic:cNvPicPr>
                          <a:picLocks noChangeAspect="1"/>
                        </pic:cNvPicPr>
                        <pic:nvPr/>
                      </pic:nvPicPr>
                      <pic:blipFill>
                        <a:blip/>
                        <a:stretch/>
                      </pic:blipFill>
                      <pic:spPr bwMode="auto">
                        <a:xfrm>
                          <a:off x="0" y="0"/>
                          <a:ext cx="2428875" cy="11144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91.2pt;height:87.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90600" cy="5334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672337" name=""/>
                        <pic:cNvPicPr>
                          <a:picLocks noChangeAspect="1"/>
                        </pic:cNvPicPr>
                        <pic:nvPr/>
                      </pic:nvPicPr>
                      <pic:blipFill>
                        <a:blip/>
                        <a:stretch/>
                      </pic:blipFill>
                      <pic:spPr bwMode="auto">
                        <a:xfrm>
                          <a:off x="0" y="0"/>
                          <a:ext cx="990599" cy="533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8.0pt;height:4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95300" cy="4953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981236" name=""/>
                        <pic:cNvPicPr>
                          <a:picLocks noChangeAspect="1"/>
                        </pic:cNvPicPr>
                        <pic:nvPr/>
                      </pic:nvPicPr>
                      <pic:blipFill>
                        <a:blip/>
                        <a:stretch/>
                      </pic:blipFill>
                      <pic:spPr bwMode="auto">
                        <a:xfrm>
                          <a:off x="0" y="0"/>
                          <a:ext cx="495299"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9.0pt;height:3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4953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669622" name=""/>
                        <pic:cNvPicPr>
                          <a:picLocks noChangeAspect="1"/>
                        </pic:cNvPicPr>
                        <pic:nvPr/>
                      </pic:nvPicPr>
                      <pic:blipFill>
                        <a:blip/>
                        <a:stretch/>
                      </pic:blipFill>
                      <pic:spPr bwMode="auto">
                        <a:xfrm>
                          <a:off x="0" y="0"/>
                          <a:ext cx="828675"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5.2pt;height:3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62025" cy="41910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806717" name=""/>
                        <pic:cNvPicPr>
                          <a:picLocks noChangeAspect="1"/>
                        </pic:cNvPicPr>
                        <pic:nvPr/>
                      </pic:nvPicPr>
                      <pic:blipFill>
                        <a:blip/>
                        <a:stretch/>
                      </pic:blipFill>
                      <pic:spPr bwMode="auto">
                        <a:xfrm>
                          <a:off x="0" y="0"/>
                          <a:ext cx="962024" cy="4190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5.8pt;height:33.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62025" cy="438150"/>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470676" name=""/>
                        <pic:cNvPicPr>
                          <a:picLocks noChangeAspect="1"/>
                        </pic:cNvPicPr>
                        <pic:nvPr/>
                      </pic:nvPicPr>
                      <pic:blipFill>
                        <a:blip/>
                        <a:stretch/>
                      </pic:blipFill>
                      <pic:spPr bwMode="auto">
                        <a:xfrm>
                          <a:off x="0" y="0"/>
                          <a:ext cx="962024" cy="4381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5.8pt;height:34.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1628775" cy="533400"/>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546525" name=""/>
                        <pic:cNvPicPr>
                          <a:picLocks noChangeAspect="1"/>
                        </pic:cNvPicPr>
                        <pic:nvPr/>
                      </pic:nvPicPr>
                      <pic:blipFill>
                        <a:blip/>
                        <a:stretch/>
                      </pic:blipFill>
                      <pic:spPr bwMode="auto">
                        <a:xfrm>
                          <a:off x="0" y="0"/>
                          <a:ext cx="1628775" cy="533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28.2pt;height:4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400675" cy="1457325"/>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085902" name=""/>
                        <pic:cNvPicPr>
                          <a:picLocks noChangeAspect="1"/>
                        </pic:cNvPicPr>
                        <pic:nvPr/>
                      </pic:nvPicPr>
                      <pic:blipFill>
                        <a:blip/>
                        <a:stretch/>
                      </pic:blipFill>
                      <pic:spPr bwMode="auto">
                        <a:xfrm>
                          <a:off x="0" y="0"/>
                          <a:ext cx="5400675" cy="14573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25.2pt;height:114.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1952625" cy="2276475"/>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306172" name=""/>
                        <pic:cNvPicPr>
                          <a:picLocks noChangeAspect="1"/>
                        </pic:cNvPicPr>
                        <pic:nvPr/>
                      </pic:nvPicPr>
                      <pic:blipFill>
                        <a:blip/>
                        <a:stretch/>
                      </pic:blipFill>
                      <pic:spPr bwMode="auto">
                        <a:xfrm>
                          <a:off x="0" y="0"/>
                          <a:ext cx="1952624" cy="22764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53.8pt;height:179.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95300" cy="495300"/>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26638" name=""/>
                        <pic:cNvPicPr>
                          <a:picLocks noChangeAspect="1"/>
                        </pic:cNvPicPr>
                        <pic:nvPr/>
                      </pic:nvPicPr>
                      <pic:blipFill>
                        <a:blip/>
                        <a:stretch/>
                      </pic:blipFill>
                      <pic:spPr bwMode="auto">
                        <a:xfrm>
                          <a:off x="0" y="0"/>
                          <a:ext cx="495299"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9.0pt;height:3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495300"/>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509012" name=""/>
                        <pic:cNvPicPr>
                          <a:picLocks noChangeAspect="1"/>
                        </pic:cNvPicPr>
                        <pic:nvPr/>
                      </pic:nvPicPr>
                      <pic:blipFill>
                        <a:blip/>
                        <a:stretch/>
                      </pic:blipFill>
                      <pic:spPr bwMode="auto">
                        <a:xfrm>
                          <a:off x="0" y="0"/>
                          <a:ext cx="828675"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65.2pt;height:39.0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28625" cy="428625"/>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143538" name=""/>
                        <pic:cNvPicPr>
                          <a:picLocks noChangeAspect="1"/>
                        </pic:cNvPicPr>
                        <pic:nvPr/>
                      </pic:nvPicPr>
                      <pic:blipFill>
                        <a:blip/>
                        <a:stretch/>
                      </pic:blipFill>
                      <pic:spPr bwMode="auto">
                        <a:xfrm>
                          <a:off x="0" y="0"/>
                          <a:ext cx="428625" cy="4286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3.8pt;height:33.8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038350" cy="533400"/>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375697" name=""/>
                        <pic:cNvPicPr>
                          <a:picLocks noChangeAspect="1"/>
                        </pic:cNvPicPr>
                        <pic:nvPr/>
                      </pic:nvPicPr>
                      <pic:blipFill>
                        <a:blip/>
                        <a:stretch/>
                      </pic:blipFill>
                      <pic:spPr bwMode="auto">
                        <a:xfrm>
                          <a:off x="0" y="0"/>
                          <a:ext cx="2038349" cy="533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60.5pt;height:42.0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524000" cy="438150"/>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418989" name=""/>
                        <pic:cNvPicPr>
                          <a:picLocks noChangeAspect="1"/>
                        </pic:cNvPicPr>
                        <pic:nvPr/>
                      </pic:nvPicPr>
                      <pic:blipFill>
                        <a:blip/>
                        <a:stretch/>
                      </pic:blipFill>
                      <pic:spPr bwMode="auto">
                        <a:xfrm>
                          <a:off x="0" y="0"/>
                          <a:ext cx="1523999" cy="4381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20.0pt;height:34.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419350" cy="2286000"/>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113287" name=""/>
                        <pic:cNvPicPr>
                          <a:picLocks noChangeAspect="1"/>
                        </pic:cNvPicPr>
                        <pic:nvPr/>
                      </pic:nvPicPr>
                      <pic:blipFill>
                        <a:blip/>
                        <a:stretch/>
                      </pic:blipFill>
                      <pic:spPr bwMode="auto">
                        <a:xfrm>
                          <a:off x="0" y="0"/>
                          <a:ext cx="2419349" cy="22860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90.5pt;height:180.0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90600" cy="533400"/>
                <wp:effectExtent l="0" t="0" r="0" b="0"/>
                <wp:docPr id="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507486" name=""/>
                        <pic:cNvPicPr>
                          <a:picLocks noChangeAspect="1"/>
                        </pic:cNvPicPr>
                        <pic:nvPr/>
                      </pic:nvPicPr>
                      <pic:blipFill>
                        <a:blip/>
                        <a:stretch/>
                      </pic:blipFill>
                      <pic:spPr bwMode="auto">
                        <a:xfrm>
                          <a:off x="0" y="0"/>
                          <a:ext cx="990599" cy="533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78.0pt;height:42.0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504950" cy="438150"/>
                <wp:effectExtent l="0" t="0" r="0" b="0"/>
                <wp:docPr id="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417006" name=""/>
                        <pic:cNvPicPr>
                          <a:picLocks noChangeAspect="1"/>
                        </pic:cNvPicPr>
                        <pic:nvPr/>
                      </pic:nvPicPr>
                      <pic:blipFill>
                        <a:blip/>
                        <a:stretch/>
                      </pic:blipFill>
                      <pic:spPr bwMode="auto">
                        <a:xfrm>
                          <a:off x="0" y="0"/>
                          <a:ext cx="1504949" cy="4381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18.5pt;height:34.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42950" cy="361950"/>
                <wp:effectExtent l="0" t="0" r="0" b="0"/>
                <wp:docPr id="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995403" name=""/>
                        <pic:cNvPicPr>
                          <a:picLocks noChangeAspect="1"/>
                        </pic:cNvPicPr>
                        <pic:nvPr/>
                      </pic:nvPicPr>
                      <pic:blipFill>
                        <a:blip/>
                        <a:stretch/>
                      </pic:blipFill>
                      <pic:spPr bwMode="auto">
                        <a:xfrm>
                          <a:off x="0" y="0"/>
                          <a:ext cx="742950" cy="3619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58.5pt;height:28.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62025" cy="457200"/>
                <wp:effectExtent l="0" t="0" r="0" b="0"/>
                <wp:docPr id="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770156" name=""/>
                        <pic:cNvPicPr>
                          <a:picLocks noChangeAspect="1"/>
                        </pic:cNvPicPr>
                        <pic:nvPr/>
                      </pic:nvPicPr>
                      <pic:blipFill>
                        <a:blip/>
                        <a:stretch/>
                      </pic:blipFill>
                      <pic:spPr bwMode="auto">
                        <a:xfrm>
                          <a:off x="0" y="0"/>
                          <a:ext cx="962024" cy="4572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75.8pt;height:36.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62025" cy="457200"/>
                <wp:effectExtent l="0" t="0" r="0" b="0"/>
                <wp:docPr id="2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05068" name=""/>
                        <pic:cNvPicPr>
                          <a:picLocks noChangeAspect="1"/>
                        </pic:cNvPicPr>
                        <pic:nvPr/>
                      </pic:nvPicPr>
                      <pic:blipFill>
                        <a:blip/>
                        <a:stretch/>
                      </pic:blipFill>
                      <pic:spPr bwMode="auto">
                        <a:xfrm>
                          <a:off x="0" y="0"/>
                          <a:ext cx="962024" cy="4572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75.8pt;height:36.0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485900" cy="409575"/>
                <wp:effectExtent l="0" t="0" r="0" b="0"/>
                <wp:docPr id="2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085683" name=""/>
                        <pic:cNvPicPr>
                          <a:picLocks noChangeAspect="1"/>
                        </pic:cNvPicPr>
                        <pic:nvPr/>
                      </pic:nvPicPr>
                      <pic:blipFill>
                        <a:blip/>
                        <a:stretch/>
                      </pic:blipFill>
                      <pic:spPr bwMode="auto">
                        <a:xfrm>
                          <a:off x="0" y="0"/>
                          <a:ext cx="1485900" cy="4095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17.0pt;height:32.2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rHeight w:val="90"/>
        </w:trPr>
        <w:tc>
          <w:tcPr>
            <w:shd w:val="clear" w:color="0070c0" w:fill="0070c0"/>
            <w:tcBorders>
              <w:top w:val="single" w:color="808080" w:sz="8" w:space="0"/>
              <w:left w:val="single" w:color="808080" w:sz="8" w:space="0"/>
              <w:bottom w:val="single" w:color="808080" w:sz="8" w:space="0"/>
              <w:right w:val="single" w:color="808080" w:sz="8" w:space="0"/>
            </w:tcBorders>
            <w:tcMar>
              <w:left w:w="144" w:type="dxa"/>
              <w:top w:w="72" w:type="dxa"/>
              <w:right w:w="144" w:type="dxa"/>
              <w:bottom w:w="72" w:type="dxa"/>
            </w:tcMar>
            <w:tcW w:w="2339"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2"/>
              </w:rPr>
              <w:t xml:space="preserve">类别</w:t>
            </w:r>
            <w:r/>
          </w:p>
        </w:tc>
        <w:tc>
          <w:tcPr>
            <w:shd w:val="clear" w:color="0070c0" w:fill="0070c0"/>
            <w:tcBorders>
              <w:top w:val="single" w:color="808080" w:sz="8" w:space="0"/>
              <w:left w:val="none" w:color="000000" w:sz="4" w:space="0"/>
              <w:bottom w:val="single" w:color="808080" w:sz="8" w:space="0"/>
              <w:right w:val="single" w:color="808080" w:sz="8" w:space="0"/>
            </w:tcBorders>
            <w:tcMar>
              <w:left w:w="144" w:type="dxa"/>
              <w:top w:w="72" w:type="dxa"/>
              <w:right w:w="144" w:type="dxa"/>
              <w:bottom w:w="72" w:type="dxa"/>
            </w:tcMar>
            <w:tcW w:w="2339"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2"/>
              </w:rPr>
              <w:t xml:space="preserve">参数</w:t>
            </w:r>
            <w:r/>
          </w:p>
        </w:tc>
        <w:tc>
          <w:tcPr>
            <w:shd w:val="clear" w:color="0070c0" w:fill="0070c0"/>
            <w:tcBorders>
              <w:top w:val="single" w:color="808080" w:sz="8" w:space="0"/>
              <w:left w:val="none" w:color="000000" w:sz="4" w:space="0"/>
              <w:bottom w:val="single" w:color="808080" w:sz="8" w:space="0"/>
              <w:right w:val="single" w:color="808080" w:sz="8" w:space="0"/>
            </w:tcBorders>
            <w:tcMar>
              <w:left w:w="144" w:type="dxa"/>
              <w:top w:w="72" w:type="dxa"/>
              <w:right w:w="144" w:type="dxa"/>
              <w:bottom w:w="72" w:type="dxa"/>
            </w:tcMar>
            <w:tcW w:w="2339"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2"/>
              </w:rPr>
              <w:t xml:space="preserve">类别</w:t>
            </w:r>
            <w:r/>
          </w:p>
        </w:tc>
        <w:tc>
          <w:tcPr>
            <w:shd w:val="clear" w:color="0070c0" w:fill="0070c0"/>
            <w:tcBorders>
              <w:top w:val="single" w:color="808080" w:sz="8" w:space="0"/>
              <w:left w:val="none" w:color="000000" w:sz="4" w:space="0"/>
              <w:bottom w:val="single" w:color="808080" w:sz="8" w:space="0"/>
              <w:right w:val="single" w:color="808080" w:sz="8" w:space="0"/>
            </w:tcBorders>
            <w:tcMar>
              <w:left w:w="144" w:type="dxa"/>
              <w:top w:w="72" w:type="dxa"/>
              <w:right w:w="144" w:type="dxa"/>
              <w:bottom w:w="72" w:type="dxa"/>
            </w:tcMar>
            <w:tcW w:w="2339"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2"/>
              </w:rPr>
              <w:t xml:space="preserve">参数</w:t>
            </w:r>
            <w:r/>
          </w:p>
        </w:tc>
      </w:tr>
      <w:tr>
        <w:trPr>
          <w:trHeight w:val="90"/>
        </w:trPr>
        <w:tc>
          <w:tcPr>
            <w:shd w:val="clear" w:color="ffffff" w:fill="ffffff"/>
            <w:tcBorders>
              <w:top w:val="none" w:color="000000" w:sz="4" w:space="0"/>
              <w:left w:val="single" w:color="808080" w:sz="8" w:space="0"/>
              <w:bottom w:val="single" w:color="808080" w:sz="8" w:space="0"/>
              <w:right w:val="single" w:color="808080" w:sz="8" w:space="0"/>
            </w:tcBorders>
            <w:tcMar>
              <w:left w:w="144" w:type="dxa"/>
              <w:top w:w="72" w:type="dxa"/>
              <w:right w:w="144" w:type="dxa"/>
              <w:bottom w:w="72" w:type="dxa"/>
            </w:tcMar>
            <w:tcW w:w="2339"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系统配置</w:t>
            </w:r>
            <w:r/>
          </w:p>
        </w:tc>
        <w:tc>
          <w:tcPr>
            <w:shd w:val="clear" w:color="ffffff" w:fill="ffffff"/>
            <w:tcBorders>
              <w:top w:val="none" w:color="000000" w:sz="4" w:space="0"/>
              <w:left w:val="none" w:color="000000" w:sz="4" w:space="0"/>
              <w:bottom w:val="single" w:color="808080" w:sz="8" w:space="0"/>
              <w:right w:val="single" w:color="808080" w:sz="8" w:space="0"/>
            </w:tcBorders>
            <w:tcMar>
              <w:left w:w="144" w:type="dxa"/>
              <w:top w:w="72" w:type="dxa"/>
              <w:right w:w="144" w:type="dxa"/>
              <w:bottom w:w="72" w:type="dxa"/>
            </w:tcMar>
            <w:tcW w:w="233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操作系统：</w:t>
            </w:r>
            <w:r>
              <w:rPr>
                <w:rFonts w:ascii="Times New Roman" w:hAnsi="Times New Roman" w:eastAsia="Times New Roman" w:cs="Times New Roman"/>
                <w:color w:val="000000"/>
                <w:sz w:val="22"/>
              </w:rPr>
              <w:t xml:space="preserve">Android</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处理器：四核</w:t>
            </w:r>
            <w:r>
              <w:rPr>
                <w:rFonts w:ascii="Times New Roman" w:hAnsi="Times New Roman" w:eastAsia="Times New Roman" w:cs="Times New Roman"/>
                <w:color w:val="000000"/>
                <w:sz w:val="22"/>
              </w:rPr>
              <w:t xml:space="preserve"> 1.4GHz</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内存：</w:t>
            </w:r>
            <w:r>
              <w:rPr>
                <w:rFonts w:ascii="Times New Roman" w:hAnsi="Times New Roman" w:eastAsia="Times New Roman" w:cs="Times New Roman"/>
                <w:color w:val="000000"/>
                <w:sz w:val="22"/>
              </w:rPr>
              <w:t xml:space="preserve">RAM≥1GB</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ROM≥8GB </w:t>
            </w:r>
            <w:r/>
          </w:p>
        </w:tc>
        <w:tc>
          <w:tcPr>
            <w:shd w:val="clear" w:color="ffffff" w:fill="ffffff"/>
            <w:tcBorders>
              <w:top w:val="none" w:color="000000" w:sz="4" w:space="0"/>
              <w:left w:val="none" w:color="000000" w:sz="4" w:space="0"/>
              <w:bottom w:val="single" w:color="808080" w:sz="8" w:space="0"/>
              <w:right w:val="single" w:color="808080" w:sz="8" w:space="0"/>
            </w:tcBorders>
            <w:tcMar>
              <w:left w:w="144" w:type="dxa"/>
              <w:top w:w="72" w:type="dxa"/>
              <w:right w:w="144" w:type="dxa"/>
              <w:bottom w:w="72" w:type="dxa"/>
            </w:tcMar>
            <w:tcW w:w="2339"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接口</w:t>
            </w:r>
            <w:r/>
          </w:p>
        </w:tc>
        <w:tc>
          <w:tcPr>
            <w:shd w:val="clear" w:color="ffffff" w:fill="ffffff"/>
            <w:tcBorders>
              <w:top w:val="none" w:color="000000" w:sz="4" w:space="0"/>
              <w:left w:val="none" w:color="000000" w:sz="4" w:space="0"/>
              <w:bottom w:val="single" w:color="808080" w:sz="8" w:space="0"/>
              <w:right w:val="single" w:color="808080" w:sz="8" w:space="0"/>
            </w:tcBorders>
            <w:tcMar>
              <w:left w:w="144" w:type="dxa"/>
              <w:top w:w="72" w:type="dxa"/>
              <w:right w:w="144" w:type="dxa"/>
              <w:bottom w:w="72" w:type="dxa"/>
            </w:tcMar>
            <w:tcW w:w="233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数据接口：</w:t>
            </w:r>
            <w:r>
              <w:rPr>
                <w:rFonts w:ascii="Times New Roman" w:hAnsi="Times New Roman" w:eastAsia="Times New Roman" w:cs="Times New Roman"/>
                <w:color w:val="000000"/>
                <w:sz w:val="22"/>
              </w:rPr>
              <w:t xml:space="preserve">Type-C</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充电接口：</w:t>
            </w:r>
            <w:r>
              <w:rPr>
                <w:rFonts w:ascii="Times New Roman" w:hAnsi="Times New Roman" w:eastAsia="Times New Roman" w:cs="Times New Roman"/>
                <w:color w:val="000000"/>
                <w:sz w:val="22"/>
              </w:rPr>
              <w:t xml:space="preserve">Type-C</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耳机接口：</w:t>
            </w:r>
            <w:r>
              <w:rPr>
                <w:rFonts w:ascii="Times New Roman" w:hAnsi="Times New Roman" w:eastAsia="Times New Roman" w:cs="Times New Roman"/>
                <w:color w:val="000000"/>
                <w:sz w:val="22"/>
              </w:rPr>
              <w:t xml:space="preserve">3.5mm</w:t>
            </w:r>
            <w:r>
              <w:rPr>
                <w:rFonts w:ascii="SimSun" w:hAnsi="SimSun" w:eastAsia="SimSun" w:cs="SimSun"/>
                <w:color w:val="000000"/>
                <w:sz w:val="22"/>
              </w:rPr>
              <w:t xml:space="preserve">接口</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SIM</w:t>
            </w:r>
            <w:r>
              <w:rPr>
                <w:rFonts w:ascii="SimSun" w:hAnsi="SimSun" w:eastAsia="SimSun" w:cs="SimSun"/>
                <w:color w:val="000000"/>
                <w:sz w:val="22"/>
              </w:rPr>
              <w:t xml:space="preserve">支持：</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个</w:t>
            </w:r>
            <w:r>
              <w:rPr>
                <w:rFonts w:ascii="Times New Roman" w:hAnsi="Times New Roman" w:eastAsia="Times New Roman" w:cs="Times New Roman"/>
                <w:color w:val="000000"/>
                <w:sz w:val="22"/>
              </w:rPr>
              <w:t xml:space="preserve">Nano-SIM </w:t>
            </w:r>
            <w:r/>
          </w:p>
        </w:tc>
      </w:tr>
      <w:tr>
        <w:trPr>
          <w:trHeight w:val="90"/>
        </w:trPr>
        <w:tc>
          <w:tcPr>
            <w:shd w:val="clear" w:color="ffffff" w:fill="ffffff"/>
            <w:tcBorders>
              <w:top w:val="none" w:color="000000" w:sz="4" w:space="0"/>
              <w:left w:val="single" w:color="808080" w:sz="8" w:space="0"/>
              <w:bottom w:val="single" w:color="808080" w:sz="8" w:space="0"/>
              <w:right w:val="single" w:color="808080" w:sz="8" w:space="0"/>
            </w:tcBorders>
            <w:tcMar>
              <w:left w:w="144" w:type="dxa"/>
              <w:top w:w="72" w:type="dxa"/>
              <w:right w:w="144" w:type="dxa"/>
              <w:bottom w:w="72" w:type="dxa"/>
            </w:tcMar>
            <w:tcW w:w="2339"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网络频段</w:t>
            </w:r>
            <w:r/>
          </w:p>
        </w:tc>
        <w:tc>
          <w:tcPr>
            <w:shd w:val="clear" w:color="ffffff" w:fill="ffffff"/>
            <w:tcBorders>
              <w:top w:val="none" w:color="000000" w:sz="4" w:space="0"/>
              <w:left w:val="none" w:color="000000" w:sz="4" w:space="0"/>
              <w:bottom w:val="single" w:color="808080" w:sz="8" w:space="0"/>
              <w:right w:val="single" w:color="808080" w:sz="8" w:space="0"/>
            </w:tcBorders>
            <w:tcMar>
              <w:left w:w="144" w:type="dxa"/>
              <w:top w:w="72" w:type="dxa"/>
              <w:right w:w="144" w:type="dxa"/>
              <w:bottom w:w="72" w:type="dxa"/>
            </w:tcMar>
            <w:tcW w:w="233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GSM:B3/B8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WCDMA:B1/B5/B8</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FDD-LTE:B1/B3/B5/B7/B8/B20</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TDD-LTE:B34/B38/B39/B40/B41</w:t>
            </w:r>
            <w:r/>
          </w:p>
        </w:tc>
        <w:tc>
          <w:tcPr>
            <w:shd w:val="clear" w:color="ffffff" w:fill="ffffff"/>
            <w:tcBorders>
              <w:top w:val="none" w:color="000000" w:sz="4" w:space="0"/>
              <w:left w:val="none" w:color="000000" w:sz="4" w:space="0"/>
              <w:bottom w:val="single" w:color="808080" w:sz="8" w:space="0"/>
              <w:right w:val="single" w:color="808080" w:sz="8" w:space="0"/>
            </w:tcBorders>
            <w:tcMar>
              <w:left w:w="144" w:type="dxa"/>
              <w:top w:w="72" w:type="dxa"/>
              <w:right w:w="144" w:type="dxa"/>
              <w:bottom w:w="72" w:type="dxa"/>
            </w:tcMar>
            <w:tcW w:w="2339"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电池</w:t>
            </w:r>
            <w:r/>
          </w:p>
        </w:tc>
        <w:tc>
          <w:tcPr>
            <w:shd w:val="clear" w:color="ffffff" w:fill="ffffff"/>
            <w:tcBorders>
              <w:top w:val="none" w:color="000000" w:sz="4" w:space="0"/>
              <w:left w:val="none" w:color="000000" w:sz="4" w:space="0"/>
              <w:bottom w:val="single" w:color="808080" w:sz="8" w:space="0"/>
              <w:right w:val="single" w:color="808080" w:sz="8" w:space="0"/>
            </w:tcBorders>
            <w:tcMar>
              <w:left w:w="144" w:type="dxa"/>
              <w:top w:w="72" w:type="dxa"/>
              <w:right w:w="144" w:type="dxa"/>
              <w:bottom w:w="72" w:type="dxa"/>
            </w:tcMar>
            <w:tcW w:w="233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电池容量：</w:t>
            </w:r>
            <w:r>
              <w:rPr>
                <w:rFonts w:ascii="Times New Roman" w:hAnsi="Times New Roman" w:eastAsia="Times New Roman" w:cs="Times New Roman"/>
                <w:color w:val="000000"/>
                <w:sz w:val="22"/>
              </w:rPr>
              <w:t xml:space="preserve">3800 mAh </w:t>
            </w:r>
            <w:r>
              <w:rPr>
                <w:rFonts w:ascii="SimSun" w:hAnsi="SimSun" w:eastAsia="SimSun" w:cs="SimSun"/>
                <w:color w:val="000000"/>
                <w:sz w:val="22"/>
              </w:rPr>
              <w:t xml:space="preserve">锂电池</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充电器：</w:t>
            </w:r>
            <w:r>
              <w:rPr>
                <w:rFonts w:ascii="Times New Roman" w:hAnsi="Times New Roman" w:eastAsia="Times New Roman" w:cs="Times New Roman"/>
                <w:color w:val="000000"/>
                <w:sz w:val="22"/>
              </w:rPr>
              <w:t xml:space="preserve">5V/2A</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充电方式：整机线充</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座充（选配）</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对讲时间：</w:t>
            </w:r>
            <w:r>
              <w:rPr>
                <w:rFonts w:ascii="Times New Roman" w:hAnsi="Times New Roman" w:eastAsia="Times New Roman" w:cs="Times New Roman"/>
                <w:color w:val="000000"/>
                <w:sz w:val="22"/>
              </w:rPr>
              <w:t xml:space="preserve">10</w:t>
            </w:r>
            <w:r>
              <w:rPr>
                <w:rFonts w:ascii="SimSun" w:hAnsi="SimSun" w:eastAsia="SimSun" w:cs="SimSun"/>
                <w:color w:val="000000"/>
                <w:sz w:val="22"/>
              </w:rPr>
              <w:t xml:space="preserve">小时以上</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待机时间：</w:t>
            </w:r>
            <w:r>
              <w:rPr>
                <w:rFonts w:ascii="Times New Roman" w:hAnsi="Times New Roman" w:eastAsia="Times New Roman" w:cs="Times New Roman"/>
                <w:color w:val="000000"/>
                <w:sz w:val="22"/>
              </w:rPr>
              <w:t xml:space="preserve">100</w:t>
            </w:r>
            <w:r>
              <w:rPr>
                <w:rFonts w:ascii="SimSun" w:hAnsi="SimSun" w:eastAsia="SimSun" w:cs="SimSun"/>
                <w:color w:val="000000"/>
                <w:sz w:val="22"/>
              </w:rPr>
              <w:t xml:space="preserve">小时</w:t>
            </w:r>
            <w:r/>
          </w:p>
        </w:tc>
      </w:tr>
      <w:tr>
        <w:trPr>
          <w:trHeight w:val="90"/>
        </w:trPr>
        <w:tc>
          <w:tcPr>
            <w:shd w:val="clear" w:color="ffffff" w:fill="ffffff"/>
            <w:tcBorders>
              <w:top w:val="none" w:color="000000" w:sz="4" w:space="0"/>
              <w:left w:val="single" w:color="808080" w:sz="8" w:space="0"/>
              <w:bottom w:val="single" w:color="808080" w:sz="8" w:space="0"/>
              <w:right w:val="single" w:color="808080" w:sz="8" w:space="0"/>
            </w:tcBorders>
            <w:tcMar>
              <w:left w:w="144" w:type="dxa"/>
              <w:top w:w="72" w:type="dxa"/>
              <w:right w:w="144" w:type="dxa"/>
              <w:bottom w:w="72" w:type="dxa"/>
            </w:tcMar>
            <w:tcW w:w="2339"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屏幕显示</w:t>
            </w:r>
            <w:r/>
          </w:p>
        </w:tc>
        <w:tc>
          <w:tcPr>
            <w:shd w:val="clear" w:color="ffffff" w:fill="ffffff"/>
            <w:tcBorders>
              <w:top w:val="none" w:color="000000" w:sz="4" w:space="0"/>
              <w:left w:val="none" w:color="000000" w:sz="4" w:space="0"/>
              <w:bottom w:val="single" w:color="808080" w:sz="8" w:space="0"/>
              <w:right w:val="single" w:color="808080" w:sz="8" w:space="0"/>
            </w:tcBorders>
            <w:tcMar>
              <w:left w:w="144" w:type="dxa"/>
              <w:top w:w="72" w:type="dxa"/>
              <w:right w:w="144" w:type="dxa"/>
              <w:bottom w:w="72" w:type="dxa"/>
            </w:tcMar>
            <w:tcW w:w="233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2.4</w:t>
            </w:r>
            <w:r>
              <w:rPr>
                <w:rFonts w:ascii="SimSun" w:hAnsi="SimSun" w:eastAsia="SimSun" w:cs="SimSun"/>
                <w:color w:val="000000"/>
                <w:sz w:val="22"/>
              </w:rPr>
              <w:t xml:space="preserve">英寸触摸高清彩屏</w:t>
            </w:r>
            <w:r/>
          </w:p>
        </w:tc>
        <w:tc>
          <w:tcPr>
            <w:shd w:val="clear" w:color="ffffff" w:fill="ffffff"/>
            <w:tcBorders>
              <w:top w:val="none" w:color="000000" w:sz="4" w:space="0"/>
              <w:left w:val="none" w:color="000000" w:sz="4" w:space="0"/>
              <w:bottom w:val="single" w:color="808080" w:sz="8" w:space="0"/>
              <w:right w:val="single" w:color="808080" w:sz="8" w:space="0"/>
            </w:tcBorders>
            <w:tcMar>
              <w:left w:w="144" w:type="dxa"/>
              <w:top w:w="72" w:type="dxa"/>
              <w:right w:w="144" w:type="dxa"/>
              <w:bottom w:w="72" w:type="dxa"/>
            </w:tcMar>
            <w:tcW w:w="2339"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定位</w:t>
            </w:r>
            <w:r/>
          </w:p>
        </w:tc>
        <w:tc>
          <w:tcPr>
            <w:shd w:val="clear" w:color="ffffff" w:fill="ffffff"/>
            <w:tcBorders>
              <w:top w:val="none" w:color="000000" w:sz="4" w:space="0"/>
              <w:left w:val="none" w:color="000000" w:sz="4" w:space="0"/>
              <w:bottom w:val="single" w:color="808080" w:sz="8" w:space="0"/>
              <w:right w:val="single" w:color="808080" w:sz="8" w:space="0"/>
            </w:tcBorders>
            <w:tcMar>
              <w:left w:w="144" w:type="dxa"/>
              <w:top w:w="72" w:type="dxa"/>
              <w:right w:w="144" w:type="dxa"/>
              <w:bottom w:w="72" w:type="dxa"/>
            </w:tcMar>
            <w:tcW w:w="233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GPS/AGPS/</w:t>
            </w:r>
            <w:r>
              <w:rPr>
                <w:rFonts w:ascii="SimSun" w:hAnsi="SimSun" w:eastAsia="SimSun" w:cs="SimSun"/>
                <w:color w:val="000000"/>
                <w:sz w:val="22"/>
              </w:rPr>
              <w:t xml:space="preserve">北斗</w:t>
            </w:r>
            <w:r/>
          </w:p>
        </w:tc>
      </w:tr>
      <w:tr>
        <w:trPr>
          <w:trHeight w:val="90"/>
        </w:trPr>
        <w:tc>
          <w:tcPr>
            <w:shd w:val="clear" w:color="ffffff" w:fill="ffffff"/>
            <w:tcBorders>
              <w:top w:val="none" w:color="000000" w:sz="4" w:space="0"/>
              <w:left w:val="single" w:color="808080" w:sz="8" w:space="0"/>
              <w:bottom w:val="single" w:color="808080" w:sz="8" w:space="0"/>
              <w:right w:val="single" w:color="808080" w:sz="8" w:space="0"/>
            </w:tcBorders>
            <w:tcMar>
              <w:left w:w="144" w:type="dxa"/>
              <w:top w:w="72" w:type="dxa"/>
              <w:right w:w="144" w:type="dxa"/>
              <w:bottom w:w="72" w:type="dxa"/>
            </w:tcMar>
            <w:tcW w:w="2339"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重量尺寸</w:t>
            </w:r>
            <w:r/>
          </w:p>
        </w:tc>
        <w:tc>
          <w:tcPr>
            <w:shd w:val="clear" w:color="ffffff" w:fill="ffffff"/>
            <w:tcBorders>
              <w:top w:val="none" w:color="000000" w:sz="4" w:space="0"/>
              <w:left w:val="none" w:color="000000" w:sz="4" w:space="0"/>
              <w:bottom w:val="single" w:color="808080" w:sz="8" w:space="0"/>
              <w:right w:val="single" w:color="808080" w:sz="8" w:space="0"/>
            </w:tcBorders>
            <w:tcMar>
              <w:left w:w="144" w:type="dxa"/>
              <w:top w:w="72" w:type="dxa"/>
              <w:right w:w="144" w:type="dxa"/>
              <w:bottom w:w="72" w:type="dxa"/>
            </w:tcMar>
            <w:tcW w:w="233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重量：</w:t>
            </w:r>
            <w:r>
              <w:rPr>
                <w:rFonts w:ascii="Times New Roman" w:hAnsi="Times New Roman" w:eastAsia="Times New Roman" w:cs="Times New Roman"/>
                <w:color w:val="000000"/>
                <w:sz w:val="22"/>
              </w:rPr>
              <w:t xml:space="preserve">≥238g(</w:t>
            </w:r>
            <w:r>
              <w:rPr>
                <w:rFonts w:ascii="SimSun" w:hAnsi="SimSun" w:eastAsia="SimSun" w:cs="SimSun"/>
                <w:color w:val="000000"/>
                <w:sz w:val="22"/>
              </w:rPr>
              <w:t xml:space="preserve">不含背夹）</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尺寸</w:t>
            </w:r>
            <w:r>
              <w:rPr>
                <w:rFonts w:ascii="Times New Roman" w:hAnsi="Times New Roman" w:eastAsia="Times New Roman" w:cs="Times New Roman"/>
                <w:color w:val="000000"/>
                <w:sz w:val="22"/>
              </w:rPr>
              <w:t xml:space="preserve">:≥127*60*26mm</w:t>
            </w:r>
            <w:r>
              <w:rPr>
                <w:rFonts w:ascii="SimSun" w:hAnsi="SimSun" w:eastAsia="SimSun" w:cs="SimSun"/>
                <w:color w:val="000000"/>
                <w:sz w:val="22"/>
              </w:rPr>
              <w:t xml:space="preserve">（高度不含天线）</w:t>
            </w:r>
            <w:r/>
          </w:p>
        </w:tc>
        <w:tc>
          <w:tcPr>
            <w:shd w:val="clear" w:color="ffffff" w:fill="ffffff"/>
            <w:tcBorders>
              <w:top w:val="none" w:color="000000" w:sz="4" w:space="0"/>
              <w:left w:val="none" w:color="000000" w:sz="4" w:space="0"/>
              <w:bottom w:val="single" w:color="808080" w:sz="8" w:space="0"/>
              <w:right w:val="single" w:color="808080" w:sz="8" w:space="0"/>
            </w:tcBorders>
            <w:tcMar>
              <w:left w:w="144" w:type="dxa"/>
              <w:top w:w="72" w:type="dxa"/>
              <w:right w:w="144" w:type="dxa"/>
              <w:bottom w:w="72" w:type="dxa"/>
            </w:tcMar>
            <w:tcW w:w="2339"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摄像头</w:t>
            </w:r>
            <w:r/>
          </w:p>
        </w:tc>
        <w:tc>
          <w:tcPr>
            <w:shd w:val="clear" w:color="ffffff" w:fill="ffffff"/>
            <w:tcBorders>
              <w:top w:val="none" w:color="000000" w:sz="4" w:space="0"/>
              <w:left w:val="none" w:color="000000" w:sz="4" w:space="0"/>
              <w:bottom w:val="single" w:color="808080" w:sz="8" w:space="0"/>
              <w:right w:val="single" w:color="808080" w:sz="8" w:space="0"/>
            </w:tcBorders>
            <w:tcMar>
              <w:left w:w="144" w:type="dxa"/>
              <w:top w:w="72" w:type="dxa"/>
              <w:right w:w="144" w:type="dxa"/>
              <w:bottom w:w="72" w:type="dxa"/>
            </w:tcMar>
            <w:tcW w:w="233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前摄：</w:t>
            </w:r>
            <w:r>
              <w:rPr>
                <w:rFonts w:ascii="Times New Roman" w:hAnsi="Times New Roman" w:eastAsia="Times New Roman" w:cs="Times New Roman"/>
                <w:color w:val="000000"/>
                <w:sz w:val="22"/>
              </w:rPr>
              <w:t xml:space="preserve">≥500</w:t>
            </w:r>
            <w:r>
              <w:rPr>
                <w:rFonts w:ascii="SimSun" w:hAnsi="SimSun" w:eastAsia="SimSun" w:cs="SimSun"/>
                <w:color w:val="000000"/>
                <w:sz w:val="22"/>
              </w:rPr>
              <w:t xml:space="preserve">万，后摄：</w:t>
            </w:r>
            <w:r>
              <w:rPr>
                <w:rFonts w:ascii="Times New Roman" w:hAnsi="Times New Roman" w:eastAsia="Times New Roman" w:cs="Times New Roman"/>
                <w:color w:val="000000"/>
                <w:sz w:val="22"/>
              </w:rPr>
              <w:t xml:space="preserve">≥500</w:t>
            </w:r>
            <w:r>
              <w:rPr>
                <w:rFonts w:ascii="SimSun" w:hAnsi="SimSun" w:eastAsia="SimSun" w:cs="SimSun"/>
                <w:color w:val="000000"/>
                <w:sz w:val="22"/>
              </w:rPr>
              <w:t xml:space="preserve">万</w:t>
            </w:r>
            <w:r/>
          </w:p>
        </w:tc>
      </w:tr>
      <w:tr>
        <w:trPr>
          <w:trHeight w:val="90"/>
        </w:trPr>
        <w:tc>
          <w:tcPr>
            <w:shd w:val="clear" w:color="ffffff" w:fill="ffffff"/>
            <w:tcBorders>
              <w:top w:val="none" w:color="000000" w:sz="4" w:space="0"/>
              <w:left w:val="single" w:color="808080" w:sz="8" w:space="0"/>
              <w:bottom w:val="single" w:color="808080" w:sz="8" w:space="0"/>
              <w:right w:val="single" w:color="808080" w:sz="8" w:space="0"/>
            </w:tcBorders>
            <w:tcMar>
              <w:left w:w="144" w:type="dxa"/>
              <w:top w:w="72" w:type="dxa"/>
              <w:right w:w="144" w:type="dxa"/>
              <w:bottom w:w="72" w:type="dxa"/>
            </w:tcMar>
            <w:tcW w:w="2339"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数据功能</w:t>
            </w:r>
            <w:r/>
          </w:p>
        </w:tc>
        <w:tc>
          <w:tcPr>
            <w:shd w:val="clear" w:color="ffffff" w:fill="ffffff"/>
            <w:tcBorders>
              <w:top w:val="none" w:color="000000" w:sz="4" w:space="0"/>
              <w:left w:val="none" w:color="000000" w:sz="4" w:space="0"/>
              <w:bottom w:val="single" w:color="808080" w:sz="8" w:space="0"/>
              <w:right w:val="single" w:color="808080" w:sz="8" w:space="0"/>
            </w:tcBorders>
            <w:tcMar>
              <w:left w:w="144" w:type="dxa"/>
              <w:top w:w="72" w:type="dxa"/>
              <w:right w:w="144" w:type="dxa"/>
              <w:bottom w:w="72" w:type="dxa"/>
            </w:tcMar>
            <w:tcW w:w="233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WLAN</w:t>
            </w:r>
            <w:r>
              <w:rPr>
                <w:rFonts w:ascii="SimSun" w:hAnsi="SimSun" w:eastAsia="SimSun" w:cs="SimSun"/>
                <w:color w:val="000000"/>
                <w:sz w:val="22"/>
              </w:rPr>
              <w:t xml:space="preserve">：支持</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蓝牙：支持</w:t>
            </w:r>
            <w:r>
              <w:rPr>
                <w:rFonts w:ascii="Times New Roman" w:hAnsi="Times New Roman" w:eastAsia="Times New Roman" w:cs="Times New Roman"/>
                <w:color w:val="000000"/>
                <w:sz w:val="22"/>
              </w:rPr>
              <w:t xml:space="preserve">4.0</w:t>
            </w:r>
            <w:r/>
          </w:p>
        </w:tc>
        <w:tc>
          <w:tcPr>
            <w:shd w:val="clear" w:color="ffffff" w:fill="ffffff"/>
            <w:tcBorders>
              <w:top w:val="none" w:color="000000" w:sz="4" w:space="0"/>
              <w:left w:val="none" w:color="000000" w:sz="4" w:space="0"/>
              <w:bottom w:val="single" w:color="808080" w:sz="8" w:space="0"/>
              <w:right w:val="single" w:color="808080" w:sz="8" w:space="0"/>
            </w:tcBorders>
            <w:tcMar>
              <w:left w:w="144" w:type="dxa"/>
              <w:top w:w="72" w:type="dxa"/>
              <w:right w:w="144" w:type="dxa"/>
              <w:bottom w:w="72" w:type="dxa"/>
            </w:tcMar>
            <w:tcW w:w="2339"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防护等级</w:t>
            </w:r>
            <w:r/>
          </w:p>
        </w:tc>
        <w:tc>
          <w:tcPr>
            <w:shd w:val="clear" w:color="ffffff" w:fill="ffffff"/>
            <w:tcBorders>
              <w:top w:val="none" w:color="000000" w:sz="4" w:space="0"/>
              <w:left w:val="none" w:color="000000" w:sz="4" w:space="0"/>
              <w:bottom w:val="single" w:color="808080" w:sz="8" w:space="0"/>
              <w:right w:val="single" w:color="808080" w:sz="8" w:space="0"/>
            </w:tcBorders>
            <w:tcMar>
              <w:left w:w="144" w:type="dxa"/>
              <w:top w:w="72" w:type="dxa"/>
              <w:right w:w="144" w:type="dxa"/>
              <w:bottom w:w="72" w:type="dxa"/>
            </w:tcMar>
            <w:tcW w:w="233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IP54</w:t>
            </w:r>
            <w:r>
              <w:rPr>
                <w:rFonts w:ascii="SimSun" w:hAnsi="SimSun" w:eastAsia="SimSun" w:cs="SimSun"/>
                <w:color w:val="000000"/>
                <w:sz w:val="22"/>
              </w:rPr>
              <w:t xml:space="preserve">级防水，防尘</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54"/>
        <w:ind w:left="0" w:right="0" w:firstLine="0"/>
        <w:jc w:val="center"/>
        <w:spacing w:before="12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四、项目服务清单</w:t>
      </w:r>
      <w:r/>
    </w:p>
    <w:p>
      <w:pPr>
        <w:pStyle w:val="656"/>
        <w:ind w:left="0" w:right="0" w:firstLine="0"/>
        <w:spacing w:before="36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标包一：</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5"/>
        <w:gridCol w:w="1275"/>
        <w:gridCol w:w="4595"/>
        <w:gridCol w:w="1025"/>
        <w:gridCol w:w="1438"/>
      </w:tblGrid>
      <w:tr>
        <w:trPr>
          <w:trHeight w:val="4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服务名称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参数简介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结构化监控服务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提供的服务设备参数需满足采购需求，含安装、维保及线路，视频存储30天，图片存储180天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处</w:t>
            </w:r>
            <w:r/>
          </w:p>
        </w:tc>
      </w:tr>
      <w:tr>
        <w:trPr>
          <w:trHeight w:val="12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智能化监控服务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提供的服务设备参数需满足采购需求，含安装、维保及线路，并满足采购需求AI算法识别，视频存储30天，图片存储180天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处</w:t>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普通摄像机服务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提供的服务设备参数需满足采购需求，含安装、维保及线路，视频存储30天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处</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对讲机服务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参数见采购需求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AI视图识别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331台智能化相机，供应商自主提供算力及存储，需满足AI识别，预警发现率≥60%，预警准确率≥60%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w:t>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图片云存储租赁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租赁期一年，具体要求参数见采购需求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项目预留金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50000元（本费用按甲方要求使用，不得更改，否则视为无效响应）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6"/>
        <w:ind w:left="0" w:right="0" w:firstLine="0"/>
        <w:spacing w:before="36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标包二：</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4"/>
        <w:gridCol w:w="1280"/>
        <w:gridCol w:w="4591"/>
        <w:gridCol w:w="1050"/>
        <w:gridCol w:w="1400"/>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服务名称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参数简介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结构化监控服务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提供的服务设备参数需满足采购需求，含安装、维保及线路，视频存储30天，图片存储180天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处</w:t>
            </w:r>
            <w:r/>
          </w:p>
        </w:tc>
      </w:tr>
      <w:tr>
        <w:trPr>
          <w:trHeight w:val="12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智能化监控服务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提供的服务设备参数需满足采购需求，含安装、维保及线路，并满足采购需求AI算法识别，视频存储30天，图片存储180天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处</w:t>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普通摄像机服务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提供的服务设备参数需满足采购需求，含安装、维保及线路，视频存储30天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处</w:t>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AI视图识别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384台智能化相机，供应商自主提供算力及存储，需满足AI识别，预警发现率≥60%，预警准确率≥60%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w:t>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图片云存储租赁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租赁期一年，具体要求参数见采购需求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项目预留金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50000元（本费用按甲方要求使用，不得更改，否则视为无效响应）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r>
    </w:tbl>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w:t>
      </w:r>
      <w:r>
        <w:rPr>
          <w:rFonts w:ascii="SimSun" w:hAnsi="SimSun" w:eastAsia="SimSun" w:cs="SimSun"/>
          <w:b/>
          <w:color w:val="000000"/>
          <w:sz w:val="36"/>
        </w:rPr>
        <w:t xml:space="preserve">五章拟签订的合同文本</w:t>
      </w:r>
      <w:r/>
    </w:p>
    <w:p>
      <w:pPr>
        <w:ind w:left="0" w:right="0" w:firstLine="0"/>
        <w:jc w:val="both"/>
        <w:spacing w:before="0" w:after="0" w:line="85"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常州市政府采购合同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960" w:right="0" w:firstLine="172"/>
        <w:jc w:val="both"/>
        <w:spacing w:before="12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p>
      <w:pPr>
        <w:ind w:left="960" w:right="0" w:firstLine="172"/>
        <w:jc w:val="both"/>
        <w:spacing w:before="12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w:t>
      </w:r>
      <w:r/>
    </w:p>
    <w:p>
      <w:pPr>
        <w:ind w:left="960" w:right="0" w:firstLine="172"/>
        <w:jc w:val="both"/>
        <w:spacing w:before="12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 </w:t>
      </w:r>
      <w:r/>
    </w:p>
    <w:p>
      <w:pPr>
        <w:ind w:left="0" w:right="0" w:firstLine="1089"/>
        <w:jc w:val="both"/>
        <w:spacing w:before="12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签订地： </w:t>
      </w:r>
      <w:r/>
    </w:p>
    <w:p>
      <w:pPr>
        <w:ind w:left="0" w:right="0" w:firstLine="1089"/>
        <w:jc w:val="both"/>
        <w:spacing w:before="12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签订日期：年月日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56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 </w:t>
      </w:r>
      <w:r/>
    </w:p>
    <w:p>
      <w:pPr>
        <w:ind w:left="0" w:right="0" w:firstLine="734"/>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36"/>
        </w:rPr>
        <w:t xml:space="preserve">合同主要条款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采购人（以下称甲方）: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成交供应商（以下称乙方）: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合同时间:   年  月  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根据《中华人民共和国政府采购法》等法律法规的规定，甲乙双方按照采购结果签订本合同。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 合同内容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1、为实现对相关片区公寓人员流动的全时段、全覆盖监管，在关键区域部署结构化相机，本项目采用租赁模式，租赁期1年，1年内提供不少于三次的摄像机迁移服务。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2、合同履行期限：2026年11月15日前完成部署并投入使用，租赁期1年，租赁期自部署并投入使用后开始计算。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3、严禁转包、转让、挂靠，一旦发现中标单位存在非法转包、转让、挂靠等行为的，将依法进行处理，给采购人造成损失的依法承担赔偿责任。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4、下列文件为本合同不可分割部分：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①成交通知书；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②乙方的响应文件；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③采购文件。</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 合同价款及履约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该项目为固定总价合同，包括但不限于相应货物和服务的供货、包装、运输、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人应无条件、无偿补齐，所发生的一切费用，视为已包含在供应商的报价之中，且并不因此而影响交付实际使用人的时间，采购人不再支</w:t>
      </w:r>
      <w:r>
        <w:rPr>
          <w:rFonts w:ascii="SimSun" w:hAnsi="SimSun" w:eastAsia="SimSun" w:cs="SimSun"/>
          <w:color w:val="000000"/>
          <w:sz w:val="24"/>
        </w:rPr>
        <w:t xml:space="preserve">付其他任何费用。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 服务要求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、实现对公寓人员流动的全时段、全覆盖监管，在关键区域部署结构化相机。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2、实现房间进出人数超限预警功能：基于公寓治安问题特点，当房间</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内进出人数（非人次）超过指定阈值时，触发预警。当有女性同行时，预警信息应附带同行情况描述。当有未成年人进出时，预警信息应附带未成年人进出描述。针对房间密集，易出现误报的，可将多个房间合并处理，降低误报率。情况预警信息同步推送至民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实现短期预警静默功能：根据预警信息，在民警研判并上门核实后，确定房间短期内无异常时，对房间进行预警静默标记。被标记的房间，在静默期内不再进行预警；静默期结束后，自动退出静默状态，继续对房间进出人数超限进行预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、准确率要求：无外部特殊因素干扰情况下，预警发现率应在</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以上，预警正确率应在</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以上。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、甲方提出的其他合理要求。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 付款方式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1、合同签订后预付合同金额的50%，项目完成并通过采购人验收后，支付至合同金额的90%；余款在项目服务期满后付清。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2、乙方应在甲方支付每笔款项前向甲方开具合法、真实、有效的发票，否则甲方有权暂不付款且不承担任何违约责任</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 甲方的义务和职责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1、甲方应为乙方提供必要的服务条件；并指定专人作为甲方联系人予以协调工作。加强与乙方沟通，交流情况，互通信息。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2、甲方应教育所属人员尊重乙方工作人员的劳动成果，积极配合乙方工作人员履行好合同所规定的职责和义务。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3、甲方应按合同约定按时支付合同款项。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4、监督检查乙方依本合同和采购文件要求提供的服务质量、服务人员数量，对于不满足规定的，提出整改要求。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5、组织对乙方提供服务的考核和验收工作。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6、准确提供项目信息，对乙方的工作提供必要的协助。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7、在乙方交付全部成果后及时支付合同款。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8、服务期满且参数指标达到甲方要求，甲方可以要求续租2年，续租相关事项另行协商。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 乙方的义务和职责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1、乙方须按采购文件要求和其响应承诺提供优质服务，并无条件配合甲方的考核工作。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2、乙方在合同履行期间应严格遵守国家相关法律法规和项目所在地的相关规定，所有产生的一切纠纷由乙方承担，采购人不承担任何责任。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3、乙方在合同履行期间应严格遵守甲方的廉政、保密等相关制度，如有违反，甲方有权无条件终止合同，情节严重的，移交纪委、司法部门处理。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4、乙方应及时调整不适应工作需求的服务人员及其员工。如甲方认为该员工不能胜任本职工作的，必须调整。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5、乙方在合同期内如因未诚信履约或其他原因导致合同提前终止的，则须无条件配合甲方做好交接工作并承担甲方因此带来的一切损失。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6、依照规定要求，确保项目质量、安全、进度。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7、接受甲方的检查、监督，按甲方要求的时间完成工作任务。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8、乙方对出具的报告真实性、准确性负责。</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 保密条款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1、乙方负责对甲方所提供的所有资料保密，乙方及其工作人员需遵守甲方的保密规定，不以任何形式将收集的所有资料、数据等进行泄漏、传播。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2、乙方项目服务人员需签署相关保密协议，承担工作中接触相关内容的保密义务。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3、以上保密规定如有违反，甲方有权追究乙方相关法律责任。</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 风险责任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1、乙方在合同履行过程中应对本项目的安全生产负全责，项目实施过程中发生的任何安全生产事故均由乙方负责，甲方不承担任何法律和经济上的责任。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2、因乙方原因，给甲方及第三人造成的一切后果及损失，由乙方承担，后果严重的甲方有权解除合同。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 不可抗力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1、因不可抗力不能履行合同的，根据不可抗力的影响，部分或者全部免除责任。但合同一方迟延履行后发生不可抗力的，不能免除责任。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2、合同一方因不可抗力不能履行合同的，应当及时通知对方，以减轻可能给对方造成的损失，并应当在合理期限内提供证明。</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 双方约定的补充内容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1、本合同一式</w:t>
      </w:r>
      <w:r>
        <w:rPr>
          <w:rFonts w:ascii="SimSun" w:hAnsi="SimSun" w:eastAsia="SimSun" w:cs="SimSun"/>
          <w:color w:val="000000"/>
          <w:sz w:val="24"/>
          <w:u w:val="single"/>
        </w:rPr>
        <w:t xml:space="preserve"> 肆 </w:t>
      </w:r>
      <w:r>
        <w:rPr>
          <w:rFonts w:ascii="SimSun" w:hAnsi="SimSun" w:eastAsia="SimSun" w:cs="SimSun"/>
          <w:color w:val="000000"/>
          <w:sz w:val="24"/>
        </w:rPr>
        <w:t xml:space="preserve">份，具有同等法律效力，甲方执</w:t>
      </w:r>
      <w:r>
        <w:rPr>
          <w:rFonts w:ascii="SimSun" w:hAnsi="SimSun" w:eastAsia="SimSun" w:cs="SimSun"/>
          <w:color w:val="000000"/>
          <w:sz w:val="24"/>
          <w:u w:val="single"/>
        </w:rPr>
        <w:t xml:space="preserve"> 贰  </w:t>
      </w:r>
      <w:r>
        <w:rPr>
          <w:rFonts w:ascii="SimSun" w:hAnsi="SimSun" w:eastAsia="SimSun" w:cs="SimSun"/>
          <w:color w:val="000000"/>
          <w:sz w:val="24"/>
        </w:rPr>
        <w:t xml:space="preserve">份、乙方执</w:t>
      </w:r>
      <w:r>
        <w:rPr>
          <w:rFonts w:ascii="SimSun" w:hAnsi="SimSun" w:eastAsia="SimSun" w:cs="SimSun"/>
          <w:color w:val="000000"/>
          <w:sz w:val="24"/>
          <w:u w:val="single"/>
        </w:rPr>
        <w:t xml:space="preserve"> 贰  </w:t>
      </w:r>
      <w:r>
        <w:rPr>
          <w:rFonts w:ascii="SimSun" w:hAnsi="SimSun" w:eastAsia="SimSun" w:cs="SimSun"/>
          <w:color w:val="000000"/>
          <w:sz w:val="24"/>
        </w:rPr>
        <w:t xml:space="preserve">份。自双方代表签字、盖章之日起生效。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2、本合同未尽事宜由双方协商解决。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3、本合同在履行过程中如发生争议，由双方协商解决，协商不成后，应提交至项目所在地仲裁委员会仲裁。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1e0f"/>
          <w:sz w:val="24"/>
        </w:rPr>
        <w:t xml:space="preserve"> </w:t>
      </w:r>
      <w:r/>
    </w:p>
    <w:p>
      <w:pPr>
        <w:ind w:left="0" w:right="0" w:firstLine="0"/>
        <w:jc w:val="both"/>
        <w:spacing w:before="12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1e0f"/>
          <w:sz w:val="24"/>
        </w:rPr>
        <w:t xml:space="preserve">甲方：乙方：</w:t>
      </w:r>
      <w:r/>
    </w:p>
    <w:p>
      <w:pPr>
        <w:ind w:left="0" w:right="0" w:firstLine="0"/>
        <w:jc w:val="both"/>
        <w:spacing w:before="12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1e0f"/>
          <w:sz w:val="24"/>
        </w:rPr>
        <w:t xml:space="preserve">地址：地址：</w:t>
      </w:r>
      <w:r/>
    </w:p>
    <w:p>
      <w:pPr>
        <w:ind w:left="0" w:right="0" w:firstLine="0"/>
        <w:jc w:val="both"/>
        <w:spacing w:before="12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1e0f"/>
          <w:sz w:val="24"/>
        </w:rPr>
        <w:t xml:space="preserve">法定代表人或授权代表：法定代表人或授权代表：</w:t>
      </w:r>
      <w:r/>
    </w:p>
    <w:p>
      <w:pPr>
        <w:ind w:left="0" w:right="0" w:firstLine="0"/>
        <w:jc w:val="both"/>
        <w:spacing w:before="12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1e0f"/>
          <w:sz w:val="24"/>
        </w:rPr>
        <w:t xml:space="preserve">联系电话：联系电话：</w:t>
      </w:r>
      <w:r/>
    </w:p>
    <w:p>
      <w:pPr>
        <w:ind w:left="0" w:right="0" w:firstLine="0"/>
        <w:jc w:val="both"/>
        <w:spacing w:before="12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d1e0f"/>
          <w:sz w:val="24"/>
        </w:rPr>
        <w:t xml:space="preserve">签订日期：年月日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第六章响应文件格式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供应商编制文件须知</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1、供应商按照本部分的顺序编制响应文件，编制中涉及格式资料的，应按照本部分提供的内容和格式（所有表格的格式可扩展）填写提交。</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SimSun" w:hAnsi="SimSun" w:eastAsia="SimSun" w:cs="SimSun"/>
          <w:b/>
          <w:color w:val="000000"/>
          <w:sz w:val="24"/>
        </w:rPr>
        <w:t xml:space="preserve">否则响应无效</w:t>
      </w:r>
      <w:r>
        <w:rPr>
          <w:rFonts w:ascii="SimSun" w:hAnsi="SimSun" w:eastAsia="SimSun" w:cs="SimSun"/>
          <w:color w:val="000000"/>
          <w:sz w:val="24"/>
        </w:rPr>
        <w:t xml:space="preserve">。未标记“实质性格式”的文件和竞争性磋商文件未提供格式的内容，可由供应商自行编写。</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3、全部声明和问题的回答及所附材料必须是真实的、准确的和完整的。</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4、实行电子化不见面交易方式的，加盖公章、签名等均通过响应文件编制工具加盖电子公章、签字、签章或印鉴。</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响应文件</w:t>
      </w:r>
      <w:r>
        <w:rPr>
          <w:rFonts w:ascii="SimSun" w:hAnsi="SimSun" w:eastAsia="SimSun" w:cs="SimSun"/>
          <w:b/>
          <w:color w:val="000000"/>
          <w:sz w:val="24"/>
        </w:rPr>
        <w:t xml:space="preserve">封面（非实质性格式）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84"/>
        </w:rPr>
        <w:t xml:space="preserve">响 应 文 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5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pStyle w:val="654"/>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54"/>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54"/>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54"/>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54"/>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54"/>
        <w:ind w:left="0" w:right="0" w:firstLine="0"/>
        <w:jc w:val="center"/>
        <w:spacing w:before="120" w:after="249" w:line="37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满足《中华人民共和国政府采购法》第二十二条规定及法律法规的其他规定</w:t>
      </w:r>
      <w:r/>
    </w:p>
    <w:p>
      <w:pPr>
        <w:pStyle w:val="656"/>
        <w:ind w:left="0" w:right="0" w:firstLine="0"/>
        <w:spacing w:before="36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供应商资格声明函（实质性格式）</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供应商资格声明函</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常州沃成招标有限公司</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常州国家高新技术产业开发区（新北区）住房和城乡建设局</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按照《中华人民共和国政府采购法》第二十二条和磋商文件的规定，我单位郑重声明如下：</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一、我单位是按照中华人民共和国法律规定登记注册的，注册地点为</w:t>
      </w:r>
      <w:r>
        <w:rPr>
          <w:rFonts w:ascii="SimSun" w:hAnsi="SimSun" w:eastAsia="SimSun" w:cs="SimSun"/>
          <w:color w:val="000000"/>
          <w:sz w:val="24"/>
          <w:u w:val="single"/>
        </w:rPr>
        <w:t xml:space="preserve">         </w:t>
      </w:r>
      <w:r>
        <w:rPr>
          <w:rFonts w:ascii="SimSun" w:hAnsi="SimSun" w:eastAsia="SimSun" w:cs="SimSun"/>
          <w:color w:val="000000"/>
          <w:sz w:val="24"/>
        </w:rPr>
        <w:t xml:space="preserve">，全称为</w:t>
      </w:r>
      <w:r>
        <w:rPr>
          <w:rFonts w:ascii="SimSun" w:hAnsi="SimSun" w:eastAsia="SimSun" w:cs="SimSun"/>
          <w:color w:val="000000"/>
          <w:sz w:val="24"/>
          <w:u w:val="single"/>
        </w:rPr>
        <w:t xml:space="preserve">        </w:t>
      </w:r>
      <w:r>
        <w:rPr>
          <w:rFonts w:ascii="SimSun" w:hAnsi="SimSun" w:eastAsia="SimSun" w:cs="SimSun"/>
          <w:color w:val="000000"/>
          <w:sz w:val="24"/>
        </w:rPr>
        <w:t xml:space="preserve">，统一社会信用代码为</w:t>
      </w:r>
      <w:r>
        <w:rPr>
          <w:rFonts w:ascii="SimSun" w:hAnsi="SimSun" w:eastAsia="SimSun" w:cs="SimSun"/>
          <w:color w:val="000000"/>
          <w:sz w:val="24"/>
          <w:u w:val="single"/>
        </w:rPr>
        <w:t xml:space="preserve">           </w:t>
      </w:r>
      <w:r>
        <w:rPr>
          <w:rFonts w:ascii="SimSun" w:hAnsi="SimSun" w:eastAsia="SimSun" w:cs="SimSun"/>
          <w:color w:val="000000"/>
          <w:sz w:val="24"/>
        </w:rPr>
        <w:t xml:space="preserve"> ，法定代表人（单位负责人）为</w:t>
      </w:r>
      <w:r>
        <w:rPr>
          <w:rFonts w:ascii="SimSun" w:hAnsi="SimSun" w:eastAsia="SimSun" w:cs="SimSun"/>
          <w:color w:val="000000"/>
          <w:sz w:val="24"/>
          <w:u w:val="single"/>
        </w:rPr>
        <w:t xml:space="preserve">         </w:t>
      </w:r>
      <w:r>
        <w:rPr>
          <w:rFonts w:ascii="SimSun" w:hAnsi="SimSun" w:eastAsia="SimSun" w:cs="SimSun"/>
          <w:color w:val="000000"/>
          <w:sz w:val="24"/>
        </w:rPr>
        <w:t xml:space="preserve">，具有独立承担民事责任的能力</w:t>
      </w:r>
      <w:r>
        <w:rPr>
          <w:rFonts w:ascii="SimSun" w:hAnsi="SimSun" w:eastAsia="SimSun" w:cs="SimSun"/>
          <w:b/>
          <w:color w:val="000000"/>
          <w:sz w:val="24"/>
        </w:rPr>
        <w:t xml:space="preserve">（如属于分公司经总公司授权参与项目，由总公司承担民事责任的，需提供总公司项目授权书）</w:t>
      </w:r>
      <w:r>
        <w:rPr>
          <w:rFonts w:ascii="SimSun" w:hAnsi="SimSun" w:eastAsia="SimSun" w:cs="SimSun"/>
          <w:color w:val="000000"/>
          <w:sz w:val="24"/>
        </w:rPr>
        <w:t xml:space="preserve">。</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二、我单位未被“国家企业信用信息公示系统”列入经营异常名录或者严重违法企业名单。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三、我单位具有良好的商业信誉（指供应商经营状况良好，无本资格声明第十条情形）和健全的财务会计制度。</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四、我单位依法进行纳税和社会保险申报并实际履行了义务。</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五、我单位具有履行本项目采购合同所必需的设备和专业技术能力，并具有履行合同的良好记录。为履行本项采购合同我单位具备如下主要设备和主要专业技术能力:</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七、我单位具备法律、行政法规规定的其他条件。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八、与我单位存在“单位负责人为同一人或者存在直接控股、管理关系”的其他单位信息如下（如无此情形的，填写“无”）：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1、与我单位的法定代表人（单位负责人）为同一人的其他单位如下：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2、我单位直接控股的其他单位如下：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3、与我单位存在管理关系的其他单位如下：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九、我单位不属于为本项目提供整体设计、规范编制或者项目管理、监理、检测等服务的供应商。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十、我单位无以下不良信用记录情形：</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1、在“信用中国”网站被列入失信被执行人和重大税收违法案件当事人名单；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2、在“中国政府采购网”网站被列入政府采购严重违法失信行为记录名单；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3、不符合《中华人民共和国政府采购法》第二十二条规定的条件。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我单位保证上述声明的事项都是真实的，如有虚假，我单位愿意承担相应的法律责任，并承担因此所造成的一切损失。</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供应商：（加盖公章）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法定代表人（或单位负责人）签字或盖章：</w:t>
      </w:r>
      <w:r/>
    </w:p>
    <w:p>
      <w:pPr>
        <w:ind w:left="0" w:right="0" w:firstLine="474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说明：供应商承诺不实的，依据《中华人民共和国政府采购法》第七十七条“提供虚假材料谋取中标、成交的”有关规定予以处理。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落实政府采购政策需满足的资格要求：如有，见第一章《采购邀请》，无则不需要提供。</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本项目的特定资格要求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（1）未被“信用中国”网站（www.creditchina.gov.cn）或“中国政府采购网”网站（www.ccgp.gov.cn）列入失信被执行人、重大税收违法案件当事人名单、政府采购严重失信行为记录名单；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50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供应商：（加盖公章）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法定代表人（或单位负责人）签字或盖章：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w:t>
      </w:r>
      <w:r>
        <w:rPr>
          <w:rFonts w:ascii="SimSun" w:hAnsi="SimSun" w:eastAsia="SimSun" w:cs="SimSun"/>
          <w:color w:val="000000"/>
          <w:sz w:val="24"/>
        </w:rPr>
        <w:t xml:space="preserve">  响应函（实质性格式）</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响应函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（采购人或采购代理机构）</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我方参加你方就___________（项目名称，项目编号/包号）组织的政府采购活动，并对此项目进行响应。</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我方已详细审查全部磋商文件，自愿参与响应并承诺如下：</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（1）本响应有效期为自提交响应文件的截止之日起60个日历日。</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（2）除合同条款及采购需求偏离表列出的偏离外，我方响应磋商文件的全部要求。</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（3）我方已提供的全部文件资料是真实、准确的，并对此承担一切法律后果。</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（4）如我方中标，我方将在法律规定的期限内与你方签订合同，按照磋商文件要求提交履约保证金，并在合同约定的期限内完成合同规定的全部义务。</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其他补充条款（如有）：___________。</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与本响应有关的一切正式往来信函请寄：</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地址_________________________     传真____________________________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电话_________________________     电子函件________________________</w:t>
      </w:r>
      <w:r/>
    </w:p>
    <w:p>
      <w:pPr>
        <w:ind w:left="0" w:right="0" w:firstLine="424"/>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供应商法定代表人或代理人（签字或盖章）：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 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法定代表人资格证明书及授权委托书（实质性格式）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法定代表人资格证明书</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     性别:       年龄:      职务: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的法定代表人。为参与</w:t>
      </w:r>
      <w:r>
        <w:rPr>
          <w:rFonts w:ascii="SimSun" w:hAnsi="SimSun" w:eastAsia="SimSun" w:cs="SimSun"/>
          <w:color w:val="000000"/>
          <w:sz w:val="24"/>
          <w:u w:val="single"/>
        </w:rPr>
        <w:t xml:space="preserve">（项目名称）（标包1/标包2）的</w:t>
      </w:r>
      <w:r>
        <w:rPr>
          <w:rFonts w:ascii="SimSun" w:hAnsi="SimSun" w:eastAsia="SimSun" w:cs="SimSun"/>
          <w:color w:val="000000"/>
          <w:sz w:val="24"/>
        </w:rPr>
        <w:t xml:space="preserve">政府采购活动，签署、澄清确认、递交、撤回、修改上述项目的响应文件、进行合同磋商、签署合同和处理与之有关的一切事务。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jc w:val="both"/>
        <w:spacing w:before="120" w:after="24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pacing w:val="-3"/>
          <w:sz w:val="24"/>
        </w:rPr>
        <w:t xml:space="preserve">法</w:t>
      </w:r>
      <w:r>
        <w:rPr>
          <w:rFonts w:ascii="SimSun" w:hAnsi="SimSun" w:eastAsia="SimSun" w:cs="SimSun"/>
          <w:color w:val="000000"/>
          <w:sz w:val="24"/>
        </w:rPr>
        <w:t xml:space="preserve">定</w:t>
      </w:r>
      <w:r>
        <w:rPr>
          <w:rFonts w:ascii="SimSun" w:hAnsi="SimSun" w:eastAsia="SimSun" w:cs="SimSun"/>
          <w:color w:val="000000"/>
          <w:spacing w:val="-3"/>
          <w:sz w:val="24"/>
        </w:rPr>
        <w:t xml:space="preserve">代</w:t>
      </w:r>
      <w:r>
        <w:rPr>
          <w:rFonts w:ascii="SimSun" w:hAnsi="SimSun" w:eastAsia="SimSun" w:cs="SimSun"/>
          <w:color w:val="000000"/>
          <w:sz w:val="24"/>
        </w:rPr>
        <w:t xml:space="preserve">表</w:t>
      </w:r>
      <w:r>
        <w:rPr>
          <w:rFonts w:ascii="SimSun" w:hAnsi="SimSun" w:eastAsia="SimSun" w:cs="SimSun"/>
          <w:color w:val="000000"/>
          <w:spacing w:val="-3"/>
          <w:sz w:val="24"/>
        </w:rPr>
        <w:t xml:space="preserve">人</w:t>
      </w:r>
      <w:r>
        <w:rPr>
          <w:rFonts w:ascii="SimSun" w:hAnsi="SimSun" w:eastAsia="SimSun" w:cs="SimSun"/>
          <w:color w:val="000000"/>
          <w:sz w:val="24"/>
        </w:rPr>
        <w:t xml:space="preserve">（</w:t>
      </w:r>
      <w:r>
        <w:rPr>
          <w:rFonts w:ascii="SimSun" w:hAnsi="SimSun" w:eastAsia="SimSun" w:cs="SimSun"/>
          <w:color w:val="000000"/>
          <w:spacing w:val="-3"/>
          <w:sz w:val="24"/>
        </w:rPr>
        <w:t xml:space="preserve">单</w:t>
      </w:r>
      <w:r>
        <w:rPr>
          <w:rFonts w:ascii="SimSun" w:hAnsi="SimSun" w:eastAsia="SimSun" w:cs="SimSun"/>
          <w:color w:val="000000"/>
          <w:sz w:val="24"/>
        </w:rPr>
        <w:t xml:space="preserve">位</w:t>
      </w:r>
      <w:r>
        <w:rPr>
          <w:rFonts w:ascii="SimSun" w:hAnsi="SimSun" w:eastAsia="SimSun" w:cs="SimSun"/>
          <w:color w:val="000000"/>
          <w:spacing w:val="-3"/>
          <w:sz w:val="24"/>
        </w:rPr>
        <w:t xml:space="preserve">负</w:t>
      </w:r>
      <w:r>
        <w:rPr>
          <w:rFonts w:ascii="SimSun" w:hAnsi="SimSun" w:eastAsia="SimSun" w:cs="SimSun"/>
          <w:color w:val="000000"/>
          <w:sz w:val="24"/>
        </w:rPr>
        <w:t xml:space="preserve">责人</w:t>
      </w:r>
      <w:r>
        <w:rPr>
          <w:rFonts w:ascii="SimSun" w:hAnsi="SimSun" w:eastAsia="SimSun" w:cs="SimSun"/>
          <w:color w:val="000000"/>
          <w:spacing w:val="-3"/>
          <w:sz w:val="24"/>
        </w:rPr>
        <w:t xml:space="preserve">）有效期内的身份证正反面复印件。</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供应商：（加盖公章）</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法定代表人签字、签章或印鉴：</w:t>
      </w:r>
      <w:r/>
    </w:p>
    <w:p>
      <w:pPr>
        <w:ind w:left="0" w:right="0" w:firstLine="43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1.若供应商为事业单位或其他组织或分支机构（仅当磋商文件注明允许分支机构响应的），则法定代表人（单位负责人）的签署人可为单位负责人。</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3.供应商为自然人的情形，可不提供本《授权委托书》。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授权委托书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本授权委托书声明：_______________（供应商名称）的__________________（法定代表人姓名、职务）代表供应商授权_______________________（被授权人的姓名、职务）为</w:t>
      </w:r>
      <w:r>
        <w:rPr>
          <w:rFonts w:ascii="SimSun" w:hAnsi="SimSun" w:eastAsia="SimSun" w:cs="SimSun"/>
          <w:color w:val="000000"/>
          <w:sz w:val="24"/>
          <w:u w:val="single"/>
        </w:rPr>
        <w:t xml:space="preserve">                 </w:t>
      </w:r>
      <w:r>
        <w:rPr>
          <w:rFonts w:ascii="SimSun" w:hAnsi="SimSun" w:eastAsia="SimSun" w:cs="SimSun"/>
          <w:color w:val="000000"/>
          <w:sz w:val="24"/>
        </w:rPr>
        <w:t xml:space="preserve">项目</w:t>
      </w:r>
      <w:r>
        <w:rPr>
          <w:rFonts w:ascii="SimSun" w:hAnsi="SimSun" w:eastAsia="SimSun" w:cs="SimSun"/>
          <w:color w:val="000000"/>
          <w:sz w:val="24"/>
          <w:u w:val="single"/>
        </w:rPr>
        <w:t xml:space="preserve">（标包1/标包2）</w:t>
      </w:r>
      <w:r>
        <w:rPr>
          <w:rFonts w:ascii="SimSun" w:hAnsi="SimSun" w:eastAsia="SimSun" w:cs="SimSun"/>
          <w:color w:val="000000"/>
          <w:sz w:val="24"/>
        </w:rPr>
        <w:t xml:space="preserve">投标的合法代理人，全权负责参加本次政府采购项目的投标、签订合约以及与之相关的各项工作。本供应商对代理人的签名负全部责任。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本授权书于__________年_______月________日签字生效，特此声明。</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代理人：（签字或盖章）</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通讯电话：</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邮箱：</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代理人有效期内的身份证正反面复印件</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1、法定代表人参加投标会时，提供法人资格证明和本人身份证原件。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2、委托代理人参加投标时，提供授权委托书和本</w:t>
      </w:r>
      <w:r>
        <w:rPr>
          <w:rFonts w:ascii="SimSun" w:hAnsi="SimSun" w:eastAsia="SimSun" w:cs="SimSun"/>
          <w:color w:val="000000"/>
          <w:sz w:val="28"/>
        </w:rPr>
        <w:t xml:space="preserve">人身份证原件。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报价一览表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报价一览表（</w:t>
      </w:r>
      <w:r>
        <w:rPr>
          <w:rFonts w:ascii="SimSun" w:hAnsi="SimSun" w:eastAsia="SimSun" w:cs="SimSun"/>
          <w:b/>
          <w:color w:val="000000"/>
          <w:sz w:val="36"/>
        </w:rPr>
        <w:t xml:space="preserve">标包1）</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02"/>
        <w:gridCol w:w="5811"/>
      </w:tblGrid>
      <w:tr>
        <w:trPr>
          <w:trHeight w:val="8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01</w:t>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标包范围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丰臣国际、龙湖星图、山外有山等片区</w:t>
            </w:r>
            <w:r/>
          </w:p>
        </w:tc>
      </w:tr>
      <w:tr>
        <w:trPr>
          <w:trHeight w:val="7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2026年11月15日前完成部署并投入使用，租赁期1年，租赁期自部署并投入使用后开始计算</w:t>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6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元</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       元</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注：如供应商的最终报价明显低于成本价,涉嫌恶意竞争,扰乱市场秩序的，供应商将自行承担由此而产生的任何法律责任。采购代理机构对此不承担任何责任。</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报价一览表（标包2）</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02"/>
        <w:gridCol w:w="5811"/>
      </w:tblGrid>
      <w:tr>
        <w:trPr>
          <w:trHeight w:val="8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02</w:t>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标包范围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万达广场、新龙江城市广场、薛家北街吴家场等片区</w:t>
            </w:r>
            <w:r/>
          </w:p>
        </w:tc>
      </w:tr>
      <w:tr>
        <w:trPr>
          <w:trHeight w:val="7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2026年11月15日前完成部署并投入使用，租赁期1年，租赁期自部署并投入使用后开始计算</w:t>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元</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       元</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 </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注：如供应商的最终报价明显低于成本价,涉嫌恶意竞争,扰乱市场秩序的，供应商将自行承担由此而产生的任何法律责任。采购代理机构对此不承担任何责任。</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分项报价表（非实质性格式）</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分项报价表（标包1）</w:t>
      </w:r>
      <w:r/>
    </w:p>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项目编号：</w:t>
      </w:r>
      <w:r>
        <w:rPr>
          <w:rFonts w:ascii="SimSun" w:hAnsi="SimSun" w:eastAsia="SimSun" w:cs="SimSun"/>
          <w:color w:val="000000"/>
          <w:sz w:val="24"/>
        </w:rPr>
        <w:t xml:space="preserve">___________ </w:t>
      </w:r>
      <w:r/>
    </w:p>
    <w:p>
      <w:pPr>
        <w:ind w:left="0" w:right="0" w:firstLine="0"/>
        <w:jc w:val="both"/>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项目名称：2026年全区治安复杂地区防范提升项目</w:t>
      </w:r>
      <w:r/>
    </w:p>
    <w:p>
      <w:pPr>
        <w:ind w:left="0" w:right="0" w:firstLine="0"/>
        <w:jc w:val="both"/>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5"/>
        <w:gridCol w:w="1275"/>
        <w:gridCol w:w="3938"/>
        <w:gridCol w:w="775"/>
        <w:gridCol w:w="717"/>
        <w:gridCol w:w="717"/>
        <w:gridCol w:w="717"/>
      </w:tblGrid>
      <w:tr>
        <w:trPr>
          <w:trHeight w:val="4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服务名称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参数简介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小计</w:t>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结构化监控服务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提供的服务设备参数需满足采购需求，含安装、维保及线路，视频存储30天，图片存储180天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2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智能化监控服务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提供的服务设备参数需满足采购需求，含安装、维保及线路，并满足采购需求AI算法识别，视频存储30天，图片存储180天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普通摄像机服务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提供的服务设备参数需满足采购需求，含安装、维保及线路，视频存储30天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对讲机服务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参数见采购需求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AI视图识别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331台智能化相机，供应商自主提供算力及存储，需满足AI识别，预警发现率≥60%，预警准确率≥60%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图片云存储租赁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租赁期一年，具体要求参数见采购需求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项目预留金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50000元（本费用按甲方要求使用，不得更改，否则视为无效响应）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50000</w:t>
            </w:r>
            <w:r/>
          </w:p>
        </w:tc>
      </w:tr>
      <w:tr>
        <w:trPr>
          <w:trHeight w:val="920"/>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合计：小写：</w:t>
            </w:r>
            <w:r>
              <w:rPr>
                <w:rFonts w:ascii="SimSun" w:hAnsi="SimSun" w:eastAsia="SimSun" w:cs="SimSun"/>
                <w:color w:val="000000"/>
                <w:sz w:val="20"/>
                <w:u w:val="single"/>
              </w:rPr>
              <w:t xml:space="preserve">          元</w:t>
            </w:r>
            <w:r>
              <w:rPr>
                <w:rFonts w:ascii="SimSun" w:hAnsi="SimSun" w:eastAsia="SimSun" w:cs="SimSun"/>
                <w:color w:val="000000"/>
                <w:sz w:val="20"/>
              </w:rPr>
              <w:t xml:space="preserve">       </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大写：</w:t>
            </w:r>
            <w:r>
              <w:rPr>
                <w:rFonts w:ascii="SimSun" w:hAnsi="SimSun" w:eastAsia="SimSun" w:cs="SimSun"/>
                <w:color w:val="000000"/>
                <w:sz w:val="20"/>
                <w:u w:val="single"/>
              </w:rPr>
              <w:t xml:space="preserve">          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bl>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包括但不限于相应货物和服务的供货、包装、运输、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人应无条件、无偿补齐，所发生的一切费用，视为已包含在供应商的报价之中，且并不因此而影响交付实际使用人的时间。</w:t>
      </w:r>
      <w:r/>
    </w:p>
    <w:p>
      <w:pPr>
        <w:ind w:left="-1" w:right="0" w:hanging="14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hanging="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供应商名称（公章）：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分项报价表（标包2）</w:t>
      </w:r>
      <w:r/>
    </w:p>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项目编号：___________ </w:t>
      </w:r>
      <w:r/>
    </w:p>
    <w:p>
      <w:pPr>
        <w:ind w:left="0" w:right="0" w:firstLine="0"/>
        <w:jc w:val="both"/>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项目名称：2026年全区治安复杂地区防范提升项目</w:t>
      </w:r>
      <w:r/>
    </w:p>
    <w:p>
      <w:pPr>
        <w:ind w:left="0" w:right="0" w:firstLine="0"/>
        <w:jc w:val="both"/>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5"/>
        <w:gridCol w:w="1275"/>
        <w:gridCol w:w="3938"/>
        <w:gridCol w:w="775"/>
        <w:gridCol w:w="717"/>
        <w:gridCol w:w="717"/>
        <w:gridCol w:w="717"/>
      </w:tblGrid>
      <w:tr>
        <w:trPr>
          <w:trHeight w:val="4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服务名称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参数简介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小计</w:t>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结构化监控服务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提供的服务设备参数需满足采购需求，含安装、维保及线路，视频存储30天，图片存储180天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12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智能化监控服务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提供的服务设备参数需满足采购需求，含安装、维保及线路，并满足采购需求AI算法识别，视频存储30天，图片存储180天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普通摄像机服务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提供的服务设备参数需满足采购需求，含安装、维保及线路，视频存储30天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AI视图识别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384台智能化相机，供应商自主提供算力及存储，需满足AI识别，预警发现率≥60%，预警准确率≥60%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图片云存储租赁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租赁期一年，具体要求参数见采购需求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项目预留金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50000元（本费用按甲方要求使用，不得更改，否则视为无效响应）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50000</w:t>
            </w:r>
            <w:r/>
          </w:p>
        </w:tc>
      </w:tr>
      <w:tr>
        <w:trPr>
          <w:trHeight w:val="1276"/>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合计：小写：</w:t>
            </w:r>
            <w:r>
              <w:rPr>
                <w:rFonts w:ascii="SimSun" w:hAnsi="SimSun" w:eastAsia="SimSun" w:cs="SimSun"/>
                <w:color w:val="000000"/>
                <w:sz w:val="20"/>
                <w:u w:val="single"/>
              </w:rPr>
              <w:t xml:space="preserve">          元</w:t>
            </w:r>
            <w:r>
              <w:rPr>
                <w:rFonts w:ascii="SimSun" w:hAnsi="SimSun" w:eastAsia="SimSun" w:cs="SimSun"/>
                <w:color w:val="000000"/>
                <w:sz w:val="20"/>
              </w:rPr>
              <w:t xml:space="preserve">       </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大写：</w:t>
            </w:r>
            <w:r>
              <w:rPr>
                <w:rFonts w:ascii="SimSun" w:hAnsi="SimSun" w:eastAsia="SimSun" w:cs="SimSun"/>
                <w:color w:val="000000"/>
                <w:sz w:val="20"/>
                <w:u w:val="single"/>
              </w:rPr>
              <w:t xml:space="preserve">          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bl>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cyan"/>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包括但不限于相应货物和服务的供货、包装、运输、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人应无条件、无偿补齐，所发生的一切费用，视为已包含在供应商的报价之中，且并不因此而影响交付实际使用人的时间。</w:t>
      </w:r>
      <w:r/>
    </w:p>
    <w:p>
      <w:pPr>
        <w:ind w:left="0" w:right="0" w:hanging="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供应商名称（公章）：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合同条款偏离表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合同条款偏离表</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项目编号：_______________</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项目名称：2026年全区治安复杂地区防范提升项目</w:t>
      </w:r>
      <w:r>
        <w:rPr>
          <w:rFonts w:ascii="SimSun" w:hAnsi="SimSun" w:eastAsia="SimSun" w:cs="SimSun"/>
          <w:color w:val="000000"/>
          <w:sz w:val="24"/>
          <w:u w:val="single"/>
        </w:rPr>
        <w:t xml:space="preserve">（标包1/标包2）</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0"/>
        <w:gridCol w:w="1295"/>
        <w:gridCol w:w="1998"/>
        <w:gridCol w:w="1999"/>
        <w:gridCol w:w="2447"/>
        <w:gridCol w:w="785"/>
      </w:tblGrid>
      <w:tr>
        <w:trPr>
          <w:trHeight w:val="93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对本项目合同条款的偏离情况（请进行勾选）：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□有偏离</w:t>
            </w:r>
            <w:r>
              <w:rPr>
                <w:rFonts w:ascii="SimSun" w:hAnsi="SimSun" w:eastAsia="SimSun" w:cs="SimSun"/>
                <w:color w:val="000000"/>
                <w:sz w:val="24"/>
              </w:rPr>
              <w:t xml:space="preserve">（如有负偏离，则须在本表中对负偏离项逐一列明）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对合同条款中的所有要求，除本表所列明的所有偏离外，均视作供应商已对之理解和响应。</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“偏离情况”列应据实填写“正偏离”或“负偏离”。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采购需求偏离表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项目编号：_____________________</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项目名称：2026年全区治安复杂地区防范提升项目</w:t>
      </w:r>
      <w:r>
        <w:rPr>
          <w:rFonts w:ascii="SimSun" w:hAnsi="SimSun" w:eastAsia="SimSun" w:cs="SimSun"/>
          <w:color w:val="000000"/>
          <w:sz w:val="24"/>
          <w:u w:val="single"/>
        </w:rPr>
        <w:t xml:space="preserve">（标包1/标包2）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对本项目采购需求的偏离情况（请进行勾选）：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□有偏离</w:t>
      </w:r>
      <w:r>
        <w:rPr>
          <w:rFonts w:ascii="SimSun" w:hAnsi="SimSun" w:eastAsia="SimSun" w:cs="SimSun"/>
          <w:color w:val="000000"/>
          <w:sz w:val="24"/>
        </w:rPr>
        <w:t xml:space="preserve">（如有负偏离，则须在本表中对负偏离项逐一列明）</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1"/>
        <w:gridCol w:w="1436"/>
        <w:gridCol w:w="2311"/>
        <w:gridCol w:w="2061"/>
        <w:gridCol w:w="1817"/>
        <w:gridCol w:w="978"/>
      </w:tblGrid>
      <w:tr>
        <w:trPr>
          <w:trHeight w:val="10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（据实填写）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①请各位供应商按照以上表格形式逐项应答配置要求内容，在偏离值一栏内如实填写“正偏离或负偏离”。此表中若无任何文字说明，内容为空白，则</w:t>
      </w:r>
      <w:r>
        <w:rPr>
          <w:rFonts w:ascii="SimSun" w:hAnsi="SimSun" w:eastAsia="SimSun" w:cs="SimSun"/>
          <w:b/>
          <w:color w:val="000000"/>
          <w:sz w:val="24"/>
        </w:rPr>
        <w:t xml:space="preserve">响应无效</w:t>
      </w:r>
      <w:r>
        <w:rPr>
          <w:rFonts w:ascii="SimSun" w:hAnsi="SimSun" w:eastAsia="SimSun" w:cs="SimSun"/>
          <w:color w:val="000000"/>
          <w:sz w:val="24"/>
        </w:rPr>
        <w:t xml:space="preserve">。</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②如整体无偏离，可以仅勾选无偏离。</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  中小企业声明函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2）中小企业认定标准以《关于印发中小企业划型标准规定的通知》（工信部联企业〔2011〕300号）文件规定为准。</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hyperlink r:id="rId19" w:tooltip="http://202.106.120.146/baosong/appweb/orgScale.html" w:history="1">
        <w:r>
          <w:rPr>
            <w:rStyle w:val="812"/>
            <w:rFonts w:ascii="SimSun" w:hAnsi="SimSun" w:eastAsia="SimSun" w:cs="SimSun"/>
            <w:color w:val="0000ee"/>
            <w:sz w:val="24"/>
            <w:u w:val="single"/>
          </w:rPr>
          <w:t xml:space="preserve">http://202.106.120.146/baosong/appweb/orgScale.html</w:t>
        </w:r>
      </w:hyperlink>
      <w:r>
        <w:rPr>
          <w:rFonts w:ascii="SimSun" w:hAnsi="SimSun" w:eastAsia="SimSun" w:cs="SimSun"/>
          <w:color w:val="000000"/>
          <w:sz w:val="24"/>
        </w:rPr>
        <w:t xml:space="preserve">）</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b/>
          <w:color w:val="000000"/>
          <w:sz w:val="24"/>
        </w:rPr>
        <w:t xml:space="preserve">在货物采购项目中，供应商提供的货物既有中型企业制造货物，也有小微企业制造货物的，不享受小微企业扶持政策，不予价格扣除。</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5）小微企业未提供声明函的，价格分评审将不予价格扣除。</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中小微企业声明函（服务类项目）（采购包号：**）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项目（项目名称）（采购包号：**）的采购活动，服务全部由符合政策的中小微企业承接。相关企业（含联合体中的中小微企业、签订采购包意向协议的中小微企业）的具体情况如下：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（供应商填写采购文件中明确的所属行业）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（供应商填写采购文件中明确的所属行业）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日期：___年____月____日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残疾人福利性单位声明函（服务类项目）（采购包号：**）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项目（项目名称）（采购包号：**）采购活动由本单位提供服务。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2.非专门面向中小微型企业采购的项目，供应商如不提供此声明函，价格将不做相应扣除。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3.中标/成交供应商为残疾人福利性单位的，此声明函将随中标/成交结果同时公告，接受社会监督</w:t>
      </w:r>
      <w:r/>
    </w:p>
    <w:p>
      <w:pPr>
        <w:ind w:left="0" w:right="0"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59" w:firstLine="624"/>
        <w:jc w:val="center"/>
        <w:spacing w:before="0" w:after="0" w:line="85" w:lineRule="atLeast"/>
        <w:tabs>
          <w:tab w:val="left" w:pos="486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color w:val="000000"/>
          <w:sz w:val="24"/>
        </w:rPr>
        <w:t xml:space="preserve">  供应商全称（加盖CA电子公章）：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highlight w:val="white"/>
        </w:rPr>
        <w:t xml:space="preserve">日期：___年____月____日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项目实施方案等，包括但不限于如下主题：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1）根据评分办法编写；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2）其他。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相关业绩案例一览表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相关业绩案例一览表（标包1/标包2）</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项目甲方单位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1"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供应商名称（加盖公章）：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日期：_____年______月______日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磋商文件要求提供或供应商认为应附的其他材料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13.1法人或者其他组织的营业执照等证明文件（复印件加盖公章；供应商是自然人的，提供自然人身份证明复印件加盖公章）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13.2其他材料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Wingdings 2">
    <w:panose1 w:val="05020102010507070707"/>
  </w:font>
  <w:font w:name="SimHei">
    <w:panose1 w:val="02010609060101010101"/>
  </w:font>
  <w:font w:name="FangSong">
    <w:panose1 w:val="02010609060101010101"/>
  </w:font>
  <w:font w:name="SimSun">
    <w:panose1 w:val="02010600030101010101"/>
  </w:font>
  <w:font w:name="Symbol">
    <w:panose1 w:val="05050102010706020507"/>
  </w:font>
  <w:font w:name="Wingdings">
    <w:panose1 w:val="05000000000000000000"/>
  </w:font>
  <w:font w:name="Courier New">
    <w:panose1 w:val="02070309020205020404"/>
  </w:font>
  <w:font w:name="STZhongsong">
    <w:panose1 w:val="0201060004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2">
    <w:multiLevelType w:val="hybridMultilevel"/>
    <w:lvl w:ilvl="0">
      <w:start w:val="1"/>
      <w:numFmt w:val="decimal"/>
      <w:isLgl w:val="false"/>
      <w:suff w:val="tab"/>
      <w:lvlText w:val="第%1章"/>
      <w:lvlJc w:val="left"/>
      <w:pPr>
        <w:ind w:left="4941" w:hanging="1140"/>
      </w:pPr>
      <w:rPr>
        <w:rFonts w:ascii="SimSun" w:hAnsi="SimSun" w:eastAsia="SimSun" w:cs="SimSun"/>
      </w:rPr>
    </w:lvl>
    <w:lvl w:ilvl="1">
      <w:start w:val="1"/>
      <w:numFmt w:val="lowerLetter"/>
      <w:isLgl w:val="false"/>
      <w:suff w:val="tab"/>
      <w:lvlText w:val="%2)"/>
      <w:lvlJc w:val="left"/>
      <w:pPr>
        <w:ind w:left="4641" w:hanging="420"/>
      </w:pPr>
    </w:lvl>
    <w:lvl w:ilvl="2">
      <w:start w:val="1"/>
      <w:numFmt w:val="decimal"/>
      <w:isLgl w:val="false"/>
      <w:suff w:val="tab"/>
      <w:lvlText w:val="%3."/>
      <w:lvlJc w:val="right"/>
      <w:pPr>
        <w:ind w:left="5061" w:hanging="420"/>
      </w:pPr>
    </w:lvl>
    <w:lvl w:ilvl="3">
      <w:start w:val="1"/>
      <w:numFmt w:val="decimal"/>
      <w:isLgl w:val="false"/>
      <w:suff w:val="tab"/>
      <w:lvlText w:val="%4."/>
      <w:lvlJc w:val="left"/>
      <w:pPr>
        <w:ind w:left="5481" w:hanging="420"/>
      </w:pPr>
    </w:lvl>
    <w:lvl w:ilvl="4">
      <w:start w:val="1"/>
      <w:numFmt w:val="lowerLetter"/>
      <w:isLgl w:val="false"/>
      <w:suff w:val="tab"/>
      <w:lvlText w:val="%5)"/>
      <w:lvlJc w:val="left"/>
      <w:pPr>
        <w:ind w:left="5901" w:hanging="420"/>
      </w:pPr>
    </w:lvl>
    <w:lvl w:ilvl="5">
      <w:start w:val="1"/>
      <w:numFmt w:val="decimal"/>
      <w:isLgl w:val="false"/>
      <w:suff w:val="tab"/>
      <w:lvlText w:val="%6."/>
      <w:lvlJc w:val="right"/>
      <w:pPr>
        <w:ind w:left="6321" w:hanging="420"/>
      </w:pPr>
    </w:lvl>
    <w:lvl w:ilvl="6">
      <w:start w:val="1"/>
      <w:numFmt w:val="decimal"/>
      <w:isLgl w:val="false"/>
      <w:suff w:val="tab"/>
      <w:lvlText w:val="%7."/>
      <w:lvlJc w:val="left"/>
      <w:pPr>
        <w:ind w:left="6741" w:hanging="420"/>
      </w:pPr>
    </w:lvl>
    <w:lvl w:ilvl="7">
      <w:start w:val="1"/>
      <w:numFmt w:val="lowerLetter"/>
      <w:isLgl w:val="false"/>
      <w:suff w:val="tab"/>
      <w:lvlText w:val="%8)"/>
      <w:lvlJc w:val="left"/>
      <w:pPr>
        <w:ind w:left="7161" w:hanging="420"/>
      </w:pPr>
    </w:lvl>
    <w:lvl w:ilvl="8">
      <w:start w:val="1"/>
      <w:numFmt w:val="decimal"/>
      <w:isLgl w:val="false"/>
      <w:suff w:val="tab"/>
      <w:lvlText w:val="%9."/>
      <w:lvlJc w:val="right"/>
      <w:pPr>
        <w:ind w:left="7581" w:hanging="420"/>
      </w:pPr>
    </w:lvl>
  </w:abstractNum>
  <w:abstractNum w:abstractNumId="3">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4">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1">
    <w:multiLevelType w:val="hybridMultilevel"/>
    <w:lvl w:ilvl="0">
      <w:start w:val="1"/>
      <w:numFmt w:val="decimal"/>
      <w:isLgl w:val="false"/>
      <w:suff w:val="tab"/>
      <w:lvlText w:val="第%1章"/>
      <w:lvlJc w:val="left"/>
      <w:pPr>
        <w:ind w:left="4941" w:hanging="1140"/>
      </w:pPr>
      <w:rPr>
        <w:rFonts w:ascii="SimSun" w:hAnsi="SimSun" w:eastAsia="SimSun" w:cs="SimSun"/>
      </w:rPr>
    </w:lvl>
    <w:lvl w:ilvl="1">
      <w:start w:val="1"/>
      <w:numFmt w:val="lowerLetter"/>
      <w:isLgl w:val="false"/>
      <w:suff w:val="tab"/>
      <w:lvlText w:val="%2)"/>
      <w:lvlJc w:val="left"/>
      <w:pPr>
        <w:ind w:left="4641" w:hanging="420"/>
      </w:pPr>
    </w:lvl>
    <w:lvl w:ilvl="2">
      <w:start w:val="1"/>
      <w:numFmt w:val="decimal"/>
      <w:isLgl w:val="false"/>
      <w:suff w:val="tab"/>
      <w:lvlText w:val="%3."/>
      <w:lvlJc w:val="right"/>
      <w:pPr>
        <w:ind w:left="5061" w:hanging="420"/>
      </w:pPr>
    </w:lvl>
    <w:lvl w:ilvl="3">
      <w:start w:val="1"/>
      <w:numFmt w:val="decimal"/>
      <w:isLgl w:val="false"/>
      <w:suff w:val="tab"/>
      <w:lvlText w:val="%4."/>
      <w:lvlJc w:val="left"/>
      <w:pPr>
        <w:ind w:left="5481" w:hanging="420"/>
      </w:pPr>
    </w:lvl>
    <w:lvl w:ilvl="4">
      <w:start w:val="1"/>
      <w:numFmt w:val="lowerLetter"/>
      <w:isLgl w:val="false"/>
      <w:suff w:val="tab"/>
      <w:lvlText w:val="%5)"/>
      <w:lvlJc w:val="left"/>
      <w:pPr>
        <w:ind w:left="5901" w:hanging="420"/>
      </w:pPr>
    </w:lvl>
    <w:lvl w:ilvl="5">
      <w:start w:val="1"/>
      <w:numFmt w:val="decimal"/>
      <w:isLgl w:val="false"/>
      <w:suff w:val="tab"/>
      <w:lvlText w:val="%6."/>
      <w:lvlJc w:val="right"/>
      <w:pPr>
        <w:ind w:left="6321" w:hanging="420"/>
      </w:pPr>
    </w:lvl>
    <w:lvl w:ilvl="6">
      <w:start w:val="1"/>
      <w:numFmt w:val="decimal"/>
      <w:isLgl w:val="false"/>
      <w:suff w:val="tab"/>
      <w:lvlText w:val="%7."/>
      <w:lvlJc w:val="left"/>
      <w:pPr>
        <w:ind w:left="6741" w:hanging="420"/>
      </w:pPr>
    </w:lvl>
    <w:lvl w:ilvl="7">
      <w:start w:val="1"/>
      <w:numFmt w:val="lowerLetter"/>
      <w:isLgl w:val="false"/>
      <w:suff w:val="tab"/>
      <w:lvlText w:val="%8)"/>
      <w:lvlJc w:val="left"/>
      <w:pPr>
        <w:ind w:left="7161" w:hanging="420"/>
      </w:pPr>
    </w:lvl>
    <w:lvl w:ilvl="8">
      <w:start w:val="1"/>
      <w:numFmt w:val="decimal"/>
      <w:isLgl w:val="false"/>
      <w:suff w:val="tab"/>
      <w:lvlText w:val="%9."/>
      <w:lvlJc w:val="right"/>
      <w:pPr>
        <w:ind w:left="7581" w:hanging="420"/>
      </w:pPr>
    </w:lvl>
  </w:abstractNum>
  <w:abstractNum w:abstractNumId="12">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3">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name w:val="Heading 1"/>
    <w:link w:val="653"/>
    <w:uiPriority w:val="9"/>
    <w:qFormat/>
    <w:pPr>
      <w:keepLines/>
      <w:keepNext/>
      <w:spacing w:before="480" w:after="200"/>
      <w:outlineLvl w:val="0"/>
    </w:pPr>
    <w:rPr>
      <w:rFonts w:ascii="Arial" w:hAnsi="Arial" w:eastAsia="Arial" w:cs="Arial"/>
      <w:sz w:val="40"/>
      <w:szCs w:val="40"/>
    </w:rPr>
  </w:style>
  <w:style w:type="character" w:styleId="653">
    <w:name w:val="Heading 1 Char"/>
    <w:link w:val="652"/>
    <w:uiPriority w:val="9"/>
    <w:rPr>
      <w:rFonts w:ascii="Arial" w:hAnsi="Arial" w:eastAsia="Arial" w:cs="Arial"/>
      <w:sz w:val="40"/>
      <w:szCs w:val="40"/>
    </w:rPr>
  </w:style>
  <w:style w:type="paragraph" w:styleId="654">
    <w:name w:val="Heading 2"/>
    <w:link w:val="655"/>
    <w:uiPriority w:val="9"/>
    <w:unhideWhenUsed/>
    <w:qFormat/>
    <w:pPr>
      <w:keepLines/>
      <w:keepNext/>
      <w:spacing w:before="360" w:after="200"/>
      <w:outlineLvl w:val="1"/>
    </w:pPr>
    <w:rPr>
      <w:rFonts w:ascii="Arial" w:hAnsi="Arial" w:eastAsia="Arial" w:cs="Arial"/>
      <w:sz w:val="34"/>
    </w:rPr>
  </w:style>
  <w:style w:type="character" w:styleId="655">
    <w:name w:val="Heading 2 Char"/>
    <w:link w:val="654"/>
    <w:uiPriority w:val="9"/>
    <w:rPr>
      <w:rFonts w:ascii="Arial" w:hAnsi="Arial" w:eastAsia="Arial" w:cs="Arial"/>
      <w:sz w:val="34"/>
    </w:rPr>
  </w:style>
  <w:style w:type="paragraph" w:styleId="656">
    <w:name w:val="Heading 3"/>
    <w:link w:val="657"/>
    <w:uiPriority w:val="9"/>
    <w:unhideWhenUsed/>
    <w:qFormat/>
    <w:pPr>
      <w:keepLines/>
      <w:keepNext/>
      <w:spacing w:before="320" w:after="200"/>
      <w:outlineLvl w:val="2"/>
    </w:pPr>
    <w:rPr>
      <w:rFonts w:ascii="Arial" w:hAnsi="Arial" w:eastAsia="Arial" w:cs="Arial"/>
      <w:sz w:val="30"/>
      <w:szCs w:val="30"/>
    </w:rPr>
  </w:style>
  <w:style w:type="character" w:styleId="657">
    <w:name w:val="Heading 3 Char"/>
    <w:link w:val="656"/>
    <w:uiPriority w:val="9"/>
    <w:rPr>
      <w:rFonts w:ascii="Arial" w:hAnsi="Arial" w:eastAsia="Arial" w:cs="Arial"/>
      <w:sz w:val="30"/>
      <w:szCs w:val="30"/>
    </w:rPr>
  </w:style>
  <w:style w:type="paragraph" w:styleId="658">
    <w:name w:val="Heading 4"/>
    <w:link w:val="659"/>
    <w:uiPriority w:val="9"/>
    <w:unhideWhenUsed/>
    <w:qFormat/>
    <w:pPr>
      <w:keepLines/>
      <w:keepNext/>
      <w:spacing w:before="320" w:after="200"/>
      <w:outlineLvl w:val="3"/>
    </w:pPr>
    <w:rPr>
      <w:rFonts w:ascii="Arial" w:hAnsi="Arial" w:eastAsia="Arial" w:cs="Arial"/>
      <w:b/>
      <w:bCs/>
      <w:sz w:val="26"/>
      <w:szCs w:val="26"/>
    </w:rPr>
  </w:style>
  <w:style w:type="character" w:styleId="659">
    <w:name w:val="Heading 4 Char"/>
    <w:link w:val="658"/>
    <w:uiPriority w:val="9"/>
    <w:rPr>
      <w:rFonts w:ascii="Arial" w:hAnsi="Arial" w:eastAsia="Arial" w:cs="Arial"/>
      <w:b/>
      <w:bCs/>
      <w:sz w:val="26"/>
      <w:szCs w:val="26"/>
    </w:rPr>
  </w:style>
  <w:style w:type="paragraph" w:styleId="660">
    <w:name w:val="Heading 5"/>
    <w:link w:val="661"/>
    <w:uiPriority w:val="9"/>
    <w:unhideWhenUsed/>
    <w:qFormat/>
    <w:pPr>
      <w:keepLines/>
      <w:keepNext/>
      <w:spacing w:before="320" w:after="200"/>
      <w:outlineLvl w:val="4"/>
    </w:pPr>
    <w:rPr>
      <w:rFonts w:ascii="Arial" w:hAnsi="Arial" w:eastAsia="Arial" w:cs="Arial"/>
      <w:b/>
      <w:bCs/>
      <w:sz w:val="24"/>
      <w:szCs w:val="24"/>
    </w:rPr>
  </w:style>
  <w:style w:type="character" w:styleId="661">
    <w:name w:val="Heading 5 Char"/>
    <w:link w:val="660"/>
    <w:uiPriority w:val="9"/>
    <w:rPr>
      <w:rFonts w:ascii="Arial" w:hAnsi="Arial" w:eastAsia="Arial" w:cs="Arial"/>
      <w:b/>
      <w:bCs/>
      <w:sz w:val="24"/>
      <w:szCs w:val="24"/>
    </w:rPr>
  </w:style>
  <w:style w:type="paragraph" w:styleId="662">
    <w:name w:val="Heading 6"/>
    <w:link w:val="663"/>
    <w:uiPriority w:val="9"/>
    <w:unhideWhenUsed/>
    <w:qFormat/>
    <w:pPr>
      <w:keepLines/>
      <w:keepNext/>
      <w:spacing w:before="320" w:after="200"/>
      <w:outlineLvl w:val="5"/>
    </w:pPr>
    <w:rPr>
      <w:rFonts w:ascii="Arial" w:hAnsi="Arial" w:eastAsia="Arial" w:cs="Arial"/>
      <w:b/>
      <w:bCs/>
      <w:sz w:val="22"/>
      <w:szCs w:val="22"/>
    </w:rPr>
  </w:style>
  <w:style w:type="character" w:styleId="663">
    <w:name w:val="Heading 6 Char"/>
    <w:link w:val="662"/>
    <w:uiPriority w:val="9"/>
    <w:rPr>
      <w:rFonts w:ascii="Arial" w:hAnsi="Arial" w:eastAsia="Arial" w:cs="Arial"/>
      <w:b/>
      <w:bCs/>
      <w:sz w:val="22"/>
      <w:szCs w:val="22"/>
    </w:rPr>
  </w:style>
  <w:style w:type="paragraph" w:styleId="664">
    <w:name w:val="Heading 7"/>
    <w:link w:val="665"/>
    <w:uiPriority w:val="9"/>
    <w:unhideWhenUsed/>
    <w:qFormat/>
    <w:pPr>
      <w:keepLines/>
      <w:keepNext/>
      <w:spacing w:before="320" w:after="200"/>
      <w:outlineLvl w:val="6"/>
    </w:pPr>
    <w:rPr>
      <w:rFonts w:ascii="Arial" w:hAnsi="Arial" w:eastAsia="Arial" w:cs="Arial"/>
      <w:b/>
      <w:bCs/>
      <w:i/>
      <w:iCs/>
      <w:sz w:val="22"/>
      <w:szCs w:val="22"/>
    </w:rPr>
  </w:style>
  <w:style w:type="character" w:styleId="665">
    <w:name w:val="Heading 7 Char"/>
    <w:link w:val="664"/>
    <w:uiPriority w:val="9"/>
    <w:rPr>
      <w:rFonts w:ascii="Arial" w:hAnsi="Arial" w:eastAsia="Arial" w:cs="Arial"/>
      <w:b/>
      <w:bCs/>
      <w:i/>
      <w:iCs/>
      <w:sz w:val="22"/>
      <w:szCs w:val="22"/>
    </w:rPr>
  </w:style>
  <w:style w:type="paragraph" w:styleId="666">
    <w:name w:val="Heading 8"/>
    <w:link w:val="667"/>
    <w:uiPriority w:val="9"/>
    <w:unhideWhenUsed/>
    <w:qFormat/>
    <w:pPr>
      <w:keepLines/>
      <w:keepNext/>
      <w:spacing w:before="320" w:after="200"/>
      <w:outlineLvl w:val="7"/>
    </w:pPr>
    <w:rPr>
      <w:rFonts w:ascii="Arial" w:hAnsi="Arial" w:eastAsia="Arial" w:cs="Arial"/>
      <w:i/>
      <w:iCs/>
      <w:sz w:val="22"/>
      <w:szCs w:val="22"/>
    </w:rPr>
  </w:style>
  <w:style w:type="character" w:styleId="667">
    <w:name w:val="Heading 8 Char"/>
    <w:link w:val="666"/>
    <w:uiPriority w:val="9"/>
    <w:rPr>
      <w:rFonts w:ascii="Arial" w:hAnsi="Arial" w:eastAsia="Arial" w:cs="Arial"/>
      <w:i/>
      <w:iCs/>
      <w:sz w:val="22"/>
      <w:szCs w:val="22"/>
    </w:rPr>
  </w:style>
  <w:style w:type="paragraph" w:styleId="668">
    <w:name w:val="Heading 9"/>
    <w:link w:val="669"/>
    <w:uiPriority w:val="9"/>
    <w:unhideWhenUsed/>
    <w:qFormat/>
    <w:pPr>
      <w:keepLines/>
      <w:keepNext/>
      <w:spacing w:before="320" w:after="200"/>
      <w:outlineLvl w:val="8"/>
    </w:pPr>
    <w:rPr>
      <w:rFonts w:ascii="Arial" w:hAnsi="Arial" w:eastAsia="Arial" w:cs="Arial"/>
      <w:i/>
      <w:iCs/>
      <w:sz w:val="21"/>
      <w:szCs w:val="21"/>
    </w:rPr>
  </w:style>
  <w:style w:type="character" w:styleId="669">
    <w:name w:val="Heading 9 Char"/>
    <w:link w:val="668"/>
    <w:uiPriority w:val="9"/>
    <w:rPr>
      <w:rFonts w:ascii="Arial" w:hAnsi="Arial" w:eastAsia="Arial" w:cs="Arial"/>
      <w:i/>
      <w:iCs/>
      <w:sz w:val="21"/>
      <w:szCs w:val="21"/>
    </w:rPr>
  </w:style>
  <w:style w:type="paragraph" w:styleId="670">
    <w:name w:val="List Paragraph"/>
    <w:uiPriority w:val="34"/>
    <w:qFormat/>
    <w:pPr>
      <w:contextualSpacing/>
      <w:ind w:left="720"/>
    </w:pPr>
  </w:style>
  <w:style w:type="paragraph" w:styleId="671">
    <w:name w:val="No Spacing"/>
    <w:uiPriority w:val="1"/>
    <w:qFormat/>
    <w:pPr>
      <w:spacing w:before="0" w:after="0" w:line="240" w:lineRule="auto"/>
    </w:pPr>
  </w:style>
  <w:style w:type="paragraph" w:styleId="672">
    <w:name w:val="Title"/>
    <w:link w:val="673"/>
    <w:uiPriority w:val="10"/>
    <w:qFormat/>
    <w:pPr>
      <w:contextualSpacing/>
      <w:spacing w:before="300" w:after="200"/>
    </w:pPr>
    <w:rPr>
      <w:sz w:val="48"/>
      <w:szCs w:val="48"/>
    </w:rPr>
  </w:style>
  <w:style w:type="character" w:styleId="673">
    <w:name w:val="Title Char"/>
    <w:link w:val="672"/>
    <w:uiPriority w:val="10"/>
    <w:rPr>
      <w:sz w:val="48"/>
      <w:szCs w:val="48"/>
    </w:rPr>
  </w:style>
  <w:style w:type="paragraph" w:styleId="674">
    <w:name w:val="Subtitle"/>
    <w:link w:val="675"/>
    <w:uiPriority w:val="11"/>
    <w:qFormat/>
    <w:pPr>
      <w:spacing w:before="200" w:after="200"/>
    </w:pPr>
    <w:rPr>
      <w:sz w:val="24"/>
      <w:szCs w:val="24"/>
    </w:rPr>
  </w:style>
  <w:style w:type="character" w:styleId="675">
    <w:name w:val="Subtitle Char"/>
    <w:link w:val="674"/>
    <w:uiPriority w:val="11"/>
    <w:rPr>
      <w:sz w:val="24"/>
      <w:szCs w:val="24"/>
    </w:rPr>
  </w:style>
  <w:style w:type="paragraph" w:styleId="676">
    <w:name w:val="Quote"/>
    <w:link w:val="677"/>
    <w:uiPriority w:val="29"/>
    <w:qFormat/>
    <w:pPr>
      <w:ind w:left="720" w:right="720"/>
    </w:pPr>
    <w:rPr>
      <w:i/>
    </w:rPr>
  </w:style>
  <w:style w:type="character" w:styleId="677">
    <w:name w:val="Quote Char"/>
    <w:link w:val="676"/>
    <w:uiPriority w:val="29"/>
    <w:rPr>
      <w:i/>
    </w:rPr>
  </w:style>
  <w:style w:type="paragraph" w:styleId="678">
    <w:name w:val="Intense Quote"/>
    <w:link w:val="6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9">
    <w:name w:val="Intense Quote Char"/>
    <w:link w:val="678"/>
    <w:uiPriority w:val="30"/>
    <w:rPr>
      <w:i/>
    </w:rPr>
  </w:style>
  <w:style w:type="paragraph" w:styleId="680">
    <w:name w:val="Header"/>
    <w:link w:val="681"/>
    <w:uiPriority w:val="99"/>
    <w:unhideWhenUsed/>
    <w:pPr>
      <w:spacing w:after="0" w:line="240" w:lineRule="auto"/>
      <w:tabs>
        <w:tab w:val="center" w:pos="7143" w:leader="none"/>
        <w:tab w:val="right" w:pos="14287" w:leader="none"/>
      </w:tabs>
    </w:pPr>
  </w:style>
  <w:style w:type="character" w:styleId="681">
    <w:name w:val="Header Char"/>
    <w:link w:val="680"/>
    <w:uiPriority w:val="99"/>
  </w:style>
  <w:style w:type="paragraph" w:styleId="682">
    <w:name w:val="Footer"/>
    <w:link w:val="685"/>
    <w:uiPriority w:val="99"/>
    <w:unhideWhenUsed/>
    <w:pPr>
      <w:spacing w:after="0" w:line="240" w:lineRule="auto"/>
      <w:tabs>
        <w:tab w:val="center" w:pos="7143" w:leader="none"/>
        <w:tab w:val="right" w:pos="14287" w:leader="none"/>
      </w:tabs>
    </w:pPr>
  </w:style>
  <w:style w:type="character" w:styleId="683">
    <w:name w:val="Footer Char"/>
    <w:link w:val="682"/>
    <w:uiPriority w:val="99"/>
  </w:style>
  <w:style w:type="paragraph" w:styleId="684">
    <w:name w:val="Caption"/>
    <w:uiPriority w:val="35"/>
    <w:semiHidden/>
    <w:unhideWhenUsed/>
    <w:qFormat/>
    <w:pPr>
      <w:spacing w:line="276" w:lineRule="auto"/>
    </w:pPr>
    <w:rPr>
      <w:b/>
      <w:bCs/>
      <w:color w:val="4f81bd" w:themeColor="accent1"/>
      <w:sz w:val="18"/>
      <w:szCs w:val="18"/>
    </w:rPr>
  </w:style>
  <w:style w:type="character" w:styleId="685">
    <w:name w:val="Caption Char"/>
    <w:basedOn w:val="684"/>
    <w:link w:val="682"/>
    <w:uiPriority w:val="99"/>
  </w:style>
  <w:style w:type="table" w:styleId="6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2">
    <w:name w:val="Hyperlink"/>
    <w:uiPriority w:val="99"/>
    <w:unhideWhenUsed/>
    <w:rPr>
      <w:color w:val="0000ff" w:themeColor="hyperlink"/>
      <w:u w:val="single"/>
    </w:rPr>
  </w:style>
  <w:style w:type="paragraph" w:styleId="813">
    <w:name w:val="footnote text"/>
    <w:link w:val="814"/>
    <w:uiPriority w:val="99"/>
    <w:semiHidden/>
    <w:unhideWhenUsed/>
    <w:pPr>
      <w:spacing w:after="40" w:line="240" w:lineRule="auto"/>
    </w:pPr>
    <w:rPr>
      <w:sz w:val="18"/>
    </w:rPr>
  </w:style>
  <w:style w:type="character" w:styleId="814">
    <w:name w:val="Footnote Text Char"/>
    <w:link w:val="813"/>
    <w:uiPriority w:val="99"/>
    <w:rPr>
      <w:sz w:val="18"/>
    </w:rPr>
  </w:style>
  <w:style w:type="character" w:styleId="815">
    <w:name w:val="footnote reference"/>
    <w:uiPriority w:val="99"/>
    <w:unhideWhenUsed/>
    <w:rPr>
      <w:vertAlign w:val="superscript"/>
    </w:rPr>
  </w:style>
  <w:style w:type="paragraph" w:styleId="816">
    <w:name w:val="endnote text"/>
    <w:link w:val="817"/>
    <w:uiPriority w:val="99"/>
    <w:semiHidden/>
    <w:unhideWhenUsed/>
    <w:pPr>
      <w:spacing w:after="0" w:line="240" w:lineRule="auto"/>
    </w:pPr>
    <w:rPr>
      <w:sz w:val="20"/>
    </w:rPr>
  </w:style>
  <w:style w:type="character" w:styleId="817">
    <w:name w:val="Endnote Text Char"/>
    <w:link w:val="816"/>
    <w:uiPriority w:val="99"/>
    <w:rPr>
      <w:sz w:val="20"/>
    </w:rPr>
  </w:style>
  <w:style w:type="character" w:styleId="818">
    <w:name w:val="endnote reference"/>
    <w:uiPriority w:val="99"/>
    <w:semiHidden/>
    <w:unhideWhenUsed/>
    <w:rPr>
      <w:vertAlign w:val="superscript"/>
    </w:rPr>
  </w:style>
  <w:style w:type="paragraph" w:styleId="819">
    <w:name w:val="toc 1"/>
    <w:uiPriority w:val="39"/>
    <w:unhideWhenUsed/>
    <w:pPr>
      <w:ind w:left="0" w:right="0" w:firstLine="0"/>
      <w:spacing w:after="57"/>
    </w:pPr>
  </w:style>
  <w:style w:type="paragraph" w:styleId="820">
    <w:name w:val="toc 2"/>
    <w:uiPriority w:val="39"/>
    <w:unhideWhenUsed/>
    <w:pPr>
      <w:ind w:left="283" w:right="0" w:firstLine="0"/>
      <w:spacing w:after="57"/>
    </w:pPr>
  </w:style>
  <w:style w:type="paragraph" w:styleId="821">
    <w:name w:val="toc 3"/>
    <w:uiPriority w:val="39"/>
    <w:unhideWhenUsed/>
    <w:pPr>
      <w:ind w:left="567" w:right="0" w:firstLine="0"/>
      <w:spacing w:after="57"/>
    </w:pPr>
  </w:style>
  <w:style w:type="paragraph" w:styleId="822">
    <w:name w:val="toc 4"/>
    <w:uiPriority w:val="39"/>
    <w:unhideWhenUsed/>
    <w:pPr>
      <w:ind w:left="850" w:right="0" w:firstLine="0"/>
      <w:spacing w:after="57"/>
    </w:pPr>
  </w:style>
  <w:style w:type="paragraph" w:styleId="823">
    <w:name w:val="toc 5"/>
    <w:uiPriority w:val="39"/>
    <w:unhideWhenUsed/>
    <w:pPr>
      <w:ind w:left="1134" w:right="0" w:firstLine="0"/>
      <w:spacing w:after="57"/>
    </w:pPr>
  </w:style>
  <w:style w:type="paragraph" w:styleId="824">
    <w:name w:val="toc 6"/>
    <w:uiPriority w:val="39"/>
    <w:unhideWhenUsed/>
    <w:pPr>
      <w:ind w:left="1417" w:right="0" w:firstLine="0"/>
      <w:spacing w:after="57"/>
    </w:pPr>
  </w:style>
  <w:style w:type="paragraph" w:styleId="825">
    <w:name w:val="toc 7"/>
    <w:uiPriority w:val="39"/>
    <w:unhideWhenUsed/>
    <w:pPr>
      <w:ind w:left="1701" w:right="0" w:firstLine="0"/>
      <w:spacing w:after="57"/>
    </w:pPr>
  </w:style>
  <w:style w:type="paragraph" w:styleId="826">
    <w:name w:val="toc 8"/>
    <w:uiPriority w:val="39"/>
    <w:unhideWhenUsed/>
    <w:pPr>
      <w:ind w:left="1984" w:right="0" w:firstLine="0"/>
      <w:spacing w:after="57"/>
    </w:pPr>
  </w:style>
  <w:style w:type="paragraph" w:styleId="827">
    <w:name w:val="toc 9"/>
    <w:uiPriority w:val="39"/>
    <w:unhideWhenUsed/>
    <w:pPr>
      <w:ind w:left="2268" w:right="0" w:firstLine="0"/>
      <w:spacing w:after="57"/>
    </w:pPr>
  </w:style>
  <w:style w:type="paragraph" w:styleId="828">
    <w:name w:val="TOC Heading"/>
    <w:uiPriority w:val="39"/>
    <w:unhideWhenUsed/>
  </w:style>
  <w:style w:type="paragraph" w:styleId="829">
    <w:name w:val="table of figures"/>
    <w:uiPriority w:val="99"/>
    <w:unhideWhenUsed/>
    <w:pPr>
      <w:spacing w:after="0" w:afterAutospacing="0"/>
    </w:pPr>
  </w:style>
  <w:style w:type="character" w:styleId="830" w:default="1">
    <w:name w:val="Default Paragraph Font"/>
    <w:uiPriority w:val="1"/>
    <w:semiHidden/>
    <w:unhideWhenUsed/>
  </w:style>
  <w:style w:type="numbering" w:styleId="831" w:default="1">
    <w:name w:val="No List"/>
    <w:uiPriority w:val="99"/>
    <w:semiHidden/>
    <w:unhideWhenUsed/>
  </w:style>
  <w:style w:type="paragraph" w:styleId="832" w:default="1">
    <w:name w:val="Normal"/>
    <w:qFormat/>
  </w:style>
  <w:style w:type="table" w:styleId="8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3443"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9387"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5417"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5134"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5680"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7509"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721" TargetMode="External"/><Relationship Id="rId16" Type="http://schemas.openxmlformats.org/officeDocument/2006/relationships/hyperlink" Target="mailto:804311530@qq.com.%EF%BC%88%EF%BC%89" TargetMode="External"/><Relationship Id="rId17" Type="http://schemas.openxmlformats.org/officeDocument/2006/relationships/hyperlink" Target="http://www.ccgp-jiangsu.gov.cn/jiangsu/zlxz/ee/ee3a4bc5a3454aa2b0d9312230633ce9.html%E3%80%82" TargetMode="External"/><Relationship Id="rId18" Type="http://schemas.openxmlformats.org/officeDocument/2006/relationships/hyperlink" Target="http://gks.mof.gov.cn/ztztz/zhengfucaigouguanli/201802/t20180201_2804589.htm" TargetMode="External"/><Relationship Id="rId19"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郭遥</cp:lastModifiedBy>
  <cp:revision>2</cp:revision>
  <dcterms:created xsi:type="dcterms:W3CDTF">2026-09-02T06:23:22Z</dcterms:created>
  <dcterms:modified xsi:type="dcterms:W3CDTF">2026-09-03T02:48:27Z</dcterms:modified>
</cp:coreProperties>
</file>