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76"/>
          <w:sz w:val="96"/>
          <w:szCs w:val="96"/>
        </w:rPr>
      </w:pPr>
      <w:r>
        <w:rPr>
          <w:rFonts w:hint="eastAsia" w:ascii="宋体" w:hAnsi="宋体" w:eastAsia="宋体" w:cs="宋体"/>
          <w:b/>
          <w:spacing w:val="76"/>
          <w:sz w:val="96"/>
          <w:szCs w:val="96"/>
        </w:rPr>
      </w:r>
      <w:r/>
    </w:p>
    <w:p>
      <w:pPr>
        <w:jc w:val="center"/>
        <w:rPr>
          <w:rFonts w:hint="eastAsia" w:ascii="宋体" w:hAnsi="宋体" w:eastAsia="宋体" w:cs="宋体"/>
          <w:b/>
          <w:spacing w:val="76"/>
          <w:sz w:val="96"/>
          <w:szCs w:val="96"/>
        </w:rPr>
      </w:pPr>
      <w:r>
        <w:rPr>
          <w:rFonts w:hint="eastAsia" w:ascii="宋体" w:hAnsi="宋体" w:eastAsia="宋体" w:cs="宋体"/>
          <w:b/>
          <w:spacing w:val="76"/>
          <w:sz w:val="96"/>
          <w:szCs w:val="96"/>
        </w:rPr>
      </w:r>
      <w:r/>
    </w:p>
    <w:p>
      <w:pPr>
        <w:ind w:left="0" w:firstLine="0"/>
        <w:jc w:val="center"/>
        <w:keepLines w:val="0"/>
        <w:keepNext w:val="0"/>
        <w:pageBreakBefore w:val="0"/>
        <w:spacing w:line="1100" w:lineRule="exact"/>
        <w:widowControl w:val="off"/>
        <w:rPr>
          <w:rFonts w:hint="eastAsia" w:ascii="宋体"/>
          <w:bCs/>
          <w:color w:val="auto"/>
          <w:spacing w:val="20"/>
          <w:sz w:val="96"/>
          <w:szCs w:val="84"/>
        </w:rPr>
        <w:outlineLvl w:val="9"/>
      </w:pPr>
      <w:r/>
      <w:bookmarkStart w:id="0" w:name="_Toc26020"/>
      <w:r/>
      <w:bookmarkStart w:id="1" w:name="_Toc32591"/>
      <w:r/>
      <w:bookmarkStart w:id="2" w:name="_Toc2249"/>
      <w:r/>
      <w:bookmarkStart w:id="3" w:name="_Toc20523"/>
      <w:r>
        <w:rPr>
          <w:rFonts w:hint="eastAsia" w:ascii="宋体" w:hAnsi="宋体" w:eastAsia="宋体" w:cs="宋体"/>
          <w:b/>
          <w:spacing w:val="76"/>
          <w:sz w:val="96"/>
          <w:szCs w:val="96"/>
        </w:rPr>
        <w:t xml:space="preserve">竞争性</w:t>
      </w:r>
      <w:r>
        <w:rPr>
          <w:rFonts w:hint="eastAsia" w:ascii="宋体" w:hAnsi="宋体" w:eastAsia="宋体" w:cs="宋体"/>
          <w:b/>
          <w:spacing w:val="76"/>
          <w:sz w:val="96"/>
          <w:szCs w:val="96"/>
          <w:lang w:val="en-US" w:eastAsia="zh-CN"/>
        </w:rPr>
        <w:t xml:space="preserve">磋商</w:t>
      </w:r>
      <w:r>
        <w:rPr>
          <w:rFonts w:hint="eastAsia" w:ascii="宋体" w:hAnsi="宋体" w:eastAsia="宋体" w:cs="宋体"/>
          <w:b/>
          <w:spacing w:val="76"/>
          <w:sz w:val="96"/>
          <w:szCs w:val="96"/>
        </w:rPr>
        <w:t xml:space="preserve">文件</w:t>
      </w:r>
      <w:bookmarkEnd w:id="0"/>
      <w:r/>
      <w:bookmarkEnd w:id="1"/>
      <w:r/>
      <w:bookmarkEnd w:id="2"/>
      <w:r/>
      <w:bookmarkEnd w:id="3"/>
      <w:r/>
      <w:r/>
    </w:p>
    <w:p>
      <w:r/>
      <w:r/>
    </w:p>
    <w:p>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1365885</wp:posOffset>
                </wp:positionH>
                <wp:positionV relativeFrom="paragraph">
                  <wp:posOffset>16510</wp:posOffset>
                </wp:positionV>
                <wp:extent cx="2616200" cy="1950085"/>
                <wp:effectExtent l="0" t="0" r="0" b="0"/>
                <wp:wrapSquare wrapText="bothSides"/>
                <wp:docPr id="5" name="图片 6" descr="173648678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1736486785789"/>
                        <pic:cNvPicPr>
                          <a:picLocks noChangeAspect="1"/>
                        </pic:cNvPicPr>
                        <pic:nvPr/>
                      </pic:nvPicPr>
                      <pic:blipFill>
                        <a:blip r:embed="rId15"/>
                        <a:stretch/>
                      </pic:blipFill>
                      <pic:spPr bwMode="auto">
                        <a:xfrm>
                          <a:off x="0" y="0"/>
                          <a:ext cx="2616451" cy="195028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07.5pt;mso-position-horizontal:absolute;mso-position-vertical-relative:text;margin-top:1.3pt;mso-position-vertical:absolute;width:206.0pt;height:153.5pt;mso-wrap-distance-left:9.0pt;mso-wrap-distance-top:0.0pt;mso-wrap-distance-right:9.0pt;mso-wrap-distance-bottom:0.0pt;" stroked="false">
                <v:path textboxrect="0,0,0,0"/>
                <w10:wrap type="square"/>
                <v:imagedata r:id="rId15" o:title=""/>
              </v:shape>
            </w:pict>
          </mc:Fallback>
        </mc:AlternateContent>
      </w:r>
      <w:r/>
    </w:p>
    <w:p>
      <w:r/>
      <w:r/>
    </w:p>
    <w:p>
      <w:pPr>
        <w:ind w:left="0" w:right="0" w:firstLine="560"/>
        <w:keepLines w:val="0"/>
        <w:keepNext w:val="0"/>
        <w:pageBreakBefore w:val="0"/>
        <w:spacing w:line="700" w:lineRule="exact"/>
        <w:widowControl w:val="off"/>
        <w:rPr>
          <w:rFonts w:hint="eastAsia" w:ascii="楷体" w:hAnsi="楷体" w:eastAsia="楷体"/>
          <w:b/>
          <w:bCs/>
          <w:sz w:val="36"/>
          <w:lang w:eastAsia="zh-CN"/>
        </w:rPr>
      </w:pPr>
      <w:r>
        <w:rPr>
          <w:rFonts w:hint="eastAsia" w:ascii="楷体" w:hAnsi="楷体" w:eastAsia="楷体"/>
          <w:b/>
          <w:bCs/>
          <w:sz w:val="36"/>
          <w:lang w:eastAsia="zh-CN"/>
        </w:rPr>
      </w:r>
      <w:r/>
    </w:p>
    <w:p>
      <w:pPr>
        <w:ind w:left="0" w:right="0" w:firstLine="1124"/>
        <w:keepLines w:val="0"/>
        <w:keepNext w:val="0"/>
        <w:pageBreakBefore w:val="0"/>
        <w:spacing w:line="700" w:lineRule="exact"/>
        <w:widowControl w:val="off"/>
        <w:rPr>
          <w:rFonts w:hint="default" w:ascii="楷体" w:hAnsi="楷体" w:eastAsia="楷体"/>
          <w:b/>
          <w:bCs/>
          <w:sz w:val="36"/>
          <w:szCs w:val="36"/>
          <w:lang w:val="en-US" w:eastAsia="zh-CN"/>
        </w:rPr>
      </w:pPr>
      <w:r>
        <w:rPr>
          <w:rFonts w:hint="default" w:ascii="楷体" w:hAnsi="楷体" w:eastAsia="楷体"/>
          <w:b/>
          <w:bCs/>
          <w:sz w:val="36"/>
          <w:szCs w:val="36"/>
          <w:lang w:val="en-US"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lang w:eastAsia="zh-CN"/>
        </w:rPr>
        <w:t xml:space="preserve">项目名称：兴化市“一老一小”监管平台维保服务</w:t>
      </w:r>
      <w:r/>
    </w:p>
    <w:p>
      <w:pPr>
        <w:ind w:left="0" w:firstLine="1124"/>
        <w:keepLines w:val="0"/>
        <w:keepNext w:val="0"/>
        <w:pageBreakBefore w:val="0"/>
        <w:spacing w:line="700" w:lineRule="exact"/>
        <w:widowControl w:val="off"/>
        <w:rPr>
          <w:rFonts w:hint="eastAsia" w:ascii="楷体" w:hAnsi="楷体" w:eastAsia="楷体"/>
          <w:b/>
          <w:bCs/>
          <w:sz w:val="36"/>
          <w:lang w:eastAsia="zh-CN"/>
        </w:rPr>
        <w:outlineLvl w:val="9"/>
      </w:pPr>
      <w:r/>
      <w:bookmarkStart w:id="4" w:name="_Toc2369"/>
      <w:r/>
      <w:bookmarkStart w:id="5" w:name="_Toc16746"/>
      <w:r/>
      <w:bookmarkStart w:id="6" w:name="_Toc4524"/>
      <w:r/>
      <w:bookmarkStart w:id="7" w:name="_Toc30835"/>
      <w:r>
        <w:rPr>
          <w:rFonts w:hint="eastAsia" w:ascii="楷体" w:hAnsi="楷体" w:eastAsia="楷体"/>
          <w:b/>
          <w:bCs/>
          <w:sz w:val="36"/>
          <w:lang w:eastAsia="zh-CN"/>
        </w:rPr>
        <w:t xml:space="preserve">项目编号：JSZC-321281-TZZZ-C2026-0008号</w:t>
      </w:r>
      <w:bookmarkEnd w:id="4"/>
      <w:r/>
      <w:bookmarkEnd w:id="5"/>
      <w:r/>
      <w:bookmarkEnd w:id="6"/>
      <w:r/>
      <w:bookmarkEnd w:id="7"/>
      <w:r/>
      <w:r/>
    </w:p>
    <w:p>
      <w:pPr>
        <w:ind w:left="0" w:firstLine="1124"/>
        <w:keepLines w:val="0"/>
        <w:keepNext w:val="0"/>
        <w:pageBreakBefore w:val="0"/>
        <w:spacing w:line="700" w:lineRule="exact"/>
        <w:widowControl w:val="off"/>
        <w:rPr>
          <w:rFonts w:hint="eastAsia" w:ascii="楷体" w:hAnsi="楷体" w:eastAsia="楷体"/>
          <w:b/>
          <w:bCs/>
          <w:sz w:val="36"/>
          <w:lang w:val="en-US" w:eastAsia="zh-CN"/>
        </w:rPr>
        <w:outlineLvl w:val="9"/>
      </w:pPr>
      <w:r/>
      <w:bookmarkStart w:id="8" w:name="_Toc9423"/>
      <w:r/>
      <w:bookmarkStart w:id="9" w:name="_Toc11712"/>
      <w:r/>
      <w:bookmarkStart w:id="10" w:name="_Toc4889"/>
      <w:r/>
      <w:bookmarkStart w:id="11" w:name="_Toc15464"/>
      <w:r/>
      <w:bookmarkStart w:id="12" w:name="_Toc10023"/>
      <w:r>
        <w:rPr>
          <w:rFonts w:hint="eastAsia" w:ascii="楷体" w:hAnsi="楷体" w:eastAsia="楷体"/>
          <w:b/>
          <w:bCs/>
          <w:sz w:val="36"/>
          <w:lang w:eastAsia="zh-CN"/>
        </w:rPr>
        <w:t xml:space="preserve">采 购 人：</w:t>
      </w:r>
      <w:bookmarkEnd w:id="8"/>
      <w:r/>
      <w:bookmarkEnd w:id="9"/>
      <w:r/>
      <w:bookmarkEnd w:id="10"/>
      <w:r/>
      <w:bookmarkEnd w:id="11"/>
      <w:r/>
      <w:bookmarkEnd w:id="12"/>
      <w:r>
        <w:rPr>
          <w:rFonts w:hint="eastAsia" w:ascii="楷体" w:hAnsi="楷体" w:eastAsia="楷体"/>
          <w:b/>
          <w:bCs/>
          <w:sz w:val="36"/>
          <w:lang w:val="en-US" w:eastAsia="zh-CN"/>
        </w:rPr>
        <w:t xml:space="preserve">兴化市民政局</w:t>
      </w:r>
      <w:r/>
    </w:p>
    <w:p>
      <w:pPr>
        <w:ind w:left="0" w:firstLine="1124"/>
        <w:keepLines w:val="0"/>
        <w:keepNext w:val="0"/>
        <w:pageBreakBefore w:val="0"/>
        <w:spacing w:line="700" w:lineRule="exact"/>
        <w:widowControl w:val="off"/>
        <w:rPr>
          <w:rFonts w:hint="eastAsia" w:ascii="楷体" w:hAnsi="楷体" w:eastAsia="楷体"/>
          <w:b/>
          <w:bCs/>
          <w:sz w:val="36"/>
          <w:lang w:val="en-US" w:eastAsia="zh-CN"/>
        </w:rPr>
        <w:outlineLvl w:val="9"/>
      </w:pPr>
      <w:r/>
      <w:bookmarkStart w:id="13" w:name="_Toc26483"/>
      <w:r/>
      <w:bookmarkStart w:id="14" w:name="_Toc25052"/>
      <w:r/>
      <w:bookmarkStart w:id="15" w:name="_Toc13297"/>
      <w:r/>
      <w:bookmarkStart w:id="16" w:name="_Toc28664"/>
      <w:r>
        <w:rPr>
          <w:rFonts w:hint="eastAsia" w:ascii="楷体" w:hAnsi="楷体" w:eastAsia="楷体"/>
          <w:b/>
          <w:bCs/>
          <w:sz w:val="36"/>
          <w:lang w:val="en-US" w:eastAsia="zh-CN"/>
        </w:rPr>
        <w:t xml:space="preserve">采购代理：泰州中政招投标代理有限公司</w:t>
      </w:r>
      <w:bookmarkEnd w:id="13"/>
      <w:r/>
      <w:bookmarkEnd w:id="14"/>
      <w:r/>
      <w:bookmarkEnd w:id="15"/>
      <w:r/>
      <w:bookmarkEnd w:id="16"/>
      <w:r/>
      <w:r/>
    </w:p>
    <w:p>
      <w:pPr>
        <w:ind w:left="2244" w:hanging="1684"/>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r>
      <w:r/>
    </w:p>
    <w:p>
      <w:pPr>
        <w:ind w:left="0" w:firstLine="0"/>
        <w:jc w:val="center"/>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t xml:space="preserve">二〇二六年九月</w:t>
      </w:r>
      <w:r/>
    </w:p>
    <w:p>
      <w:pPr>
        <w:ind w:left="2244" w:hanging="1684"/>
        <w:jc w:val="center"/>
        <w:keepLines w:val="0"/>
        <w:keepNext w:val="0"/>
        <w:pageBreakBefore w:val="0"/>
        <w:spacing w:after="287"/>
        <w:widowControl w:val="off"/>
        <w:rPr>
          <w:rFonts w:hint="eastAsia" w:ascii="楷体" w:hAnsi="楷体" w:eastAsia="楷体"/>
          <w:b/>
          <w:bCs/>
          <w:sz w:val="36"/>
          <w:lang w:val="en-US" w:eastAsia="zh-CN"/>
        </w:rPr>
        <w:sectPr>
          <w:headerReference w:type="default" r:id="rId9"/>
          <w:headerReference w:type="first" r:id="rId10"/>
          <w:footerReference w:type="default" r:id="rId12"/>
          <w:footnotePr/>
          <w:endnotePr/>
          <w:type w:val="nextPage"/>
          <w:pgSz w:w="11906" w:h="16838" w:orient="portrait"/>
          <w:pgMar w:top="1440" w:right="1286" w:bottom="1440" w:left="1380" w:header="851" w:footer="992" w:gutter="0"/>
          <w:cols w:num="1" w:sep="0" w:space="425" w:equalWidth="1"/>
          <w:docGrid w:linePitch="360"/>
          <w:titlePg/>
        </w:sectPr>
      </w:pPr>
      <w:r>
        <w:rPr>
          <w:rFonts w:hint="eastAsia" w:ascii="楷体" w:hAnsi="楷体" w:eastAsia="楷体"/>
          <w:b/>
          <w:bCs/>
          <w:sz w:val="36"/>
          <w:lang w:val="en-US" w:eastAsia="zh-CN"/>
        </w:rPr>
      </w:r>
      <w:r/>
    </w:p>
    <w:p>
      <w:pPr>
        <w:ind w:firstLine="0"/>
        <w:jc w:val="center"/>
        <w:keepLines w:val="0"/>
        <w:keepNext w:val="0"/>
        <w:pageBreakBefore w:val="0"/>
        <w:spacing w:after="0"/>
        <w:widowControl w:val="off"/>
        <w:rPr>
          <w:rFonts w:hint="eastAsia" w:ascii="方正小标宋简体" w:hAnsi="方正小标宋_GBK" w:eastAsia="方正小标宋简体" w:cs="Times New Roman"/>
          <w:sz w:val="36"/>
          <w:szCs w:val="36"/>
          <w:lang w:eastAsia="zh-CN"/>
        </w:rPr>
        <w:outlineLvl w:val="9"/>
      </w:pPr>
      <w:r/>
      <w:bookmarkStart w:id="17" w:name="_Toc30485"/>
      <w:r/>
      <w:bookmarkStart w:id="18" w:name="_Toc31738"/>
      <w:r/>
      <w:bookmarkStart w:id="19" w:name="_Toc21972"/>
      <w:r/>
      <w:bookmarkStart w:id="20" w:name="_Toc28211"/>
      <w:r>
        <w:rPr>
          <w:rFonts w:hint="eastAsia" w:ascii="方正小标宋简体" w:hAnsi="方正小标宋_GBK" w:eastAsia="方正小标宋简体" w:cs="Times New Roman"/>
          <w:sz w:val="36"/>
          <w:szCs w:val="36"/>
        </w:rPr>
        <w:t xml:space="preserve">兴化市政府采购不见面交易相关提醒</w:t>
      </w:r>
      <w:bookmarkEnd w:id="17"/>
      <w:r/>
      <w:bookmarkEnd w:id="18"/>
      <w:r/>
      <w:bookmarkEnd w:id="19"/>
      <w:r/>
      <w:bookmarkEnd w:id="20"/>
      <w:r/>
      <w:r/>
    </w:p>
    <w:p>
      <w:pPr>
        <w:ind w:firstLine="0"/>
        <w:keepLines w:val="0"/>
        <w:keepNext w:val="0"/>
        <w:pageBreakBefore w:val="0"/>
        <w:spacing w:line="400" w:lineRule="exact"/>
        <w:widowControl w:val="off"/>
        <w:rPr>
          <w:rFonts w:hint="eastAsia" w:ascii="仿宋" w:hAnsi="仿宋" w:eastAsia="仿宋" w:cs="仿宋"/>
          <w:sz w:val="24"/>
          <w:szCs w:val="24"/>
          <w:lang w:eastAsia="zh-CN"/>
        </w:rPr>
        <w:outlineLvl w:val="0"/>
      </w:pPr>
      <w:r/>
      <w:bookmarkStart w:id="21" w:name="_Toc29089"/>
      <w:r/>
      <w:bookmarkStart w:id="22" w:name="_Toc24776"/>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关于</w:t>
      </w:r>
      <w:r>
        <w:rPr>
          <w:rFonts w:hint="eastAsia" w:ascii="仿宋" w:hAnsi="仿宋" w:eastAsia="仿宋" w:cs="仿宋"/>
          <w:sz w:val="24"/>
          <w:szCs w:val="24"/>
        </w:rPr>
        <w:t xml:space="preserve">政府采购线上合同信用融资功能</w:t>
      </w:r>
      <w:r>
        <w:rPr>
          <w:rFonts w:hint="eastAsia" w:ascii="仿宋" w:hAnsi="仿宋" w:eastAsia="仿宋" w:cs="仿宋"/>
          <w:sz w:val="24"/>
          <w:szCs w:val="24"/>
          <w:lang w:eastAsia="zh-CN"/>
        </w:rPr>
        <w:t xml:space="preserve">告知提醒</w:t>
      </w:r>
      <w:bookmarkEnd w:id="21"/>
      <w:r/>
      <w:bookmarkEnd w:id="22"/>
      <w:r/>
      <w:r/>
    </w:p>
    <w:p>
      <w:pPr>
        <w:ind w:firstLine="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各政府采购供应商：</w:t>
      </w:r>
      <w:r/>
    </w:p>
    <w:p>
      <w:pPr>
        <w:ind w:firstLine="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今年我市已正式启用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苏采云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系统，</w:t>
      </w:r>
      <w:r>
        <w:rPr>
          <w:rFonts w:hint="eastAsia" w:ascii="仿宋" w:hAnsi="仿宋" w:eastAsia="仿宋" w:cs="仿宋"/>
          <w:sz w:val="24"/>
          <w:szCs w:val="24"/>
          <w:lang w:eastAsia="zh-CN"/>
        </w:rPr>
        <w:t xml:space="preserve">目前</w:t>
      </w:r>
      <w:r>
        <w:rPr>
          <w:rFonts w:hint="eastAsia" w:ascii="仿宋" w:hAnsi="仿宋" w:eastAsia="仿宋" w:cs="仿宋"/>
          <w:sz w:val="24"/>
          <w:szCs w:val="24"/>
        </w:rPr>
        <w:t xml:space="preserve">已全面开通政府采购线上合同信用融资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以下简称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政采贷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功能</w:t>
      </w:r>
      <w:r>
        <w:rPr>
          <w:rFonts w:hint="eastAsia" w:ascii="仿宋" w:hAnsi="仿宋" w:eastAsia="仿宋" w:cs="仿宋"/>
          <w:sz w:val="24"/>
          <w:szCs w:val="24"/>
          <w:lang w:eastAsia="zh-CN"/>
        </w:rPr>
        <w:t xml:space="preserve">。成交供应商可凭政府采购合同在中征平台发起贷款申请贷款。</w:t>
      </w:r>
      <w:r/>
    </w:p>
    <w:p>
      <w:pPr>
        <w:ind w:firstLine="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“政采贷”业务流程</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153670</wp:posOffset>
                </wp:positionH>
                <wp:positionV relativeFrom="paragraph">
                  <wp:posOffset>85090</wp:posOffset>
                </wp:positionV>
                <wp:extent cx="4928235" cy="1301115"/>
                <wp:effectExtent l="0" t="0" r="5715" b="13335"/>
                <wp:wrapSquare wrapText="bothSides"/>
                <wp:docPr id="6"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1675992174522"/>
                        <pic:cNvPicPr>
                          <a:picLocks noChangeAspect="1"/>
                        </pic:cNvPicPr>
                        <pic:nvPr/>
                      </pic:nvPicPr>
                      <pic:blipFill>
                        <a:blip r:embed="rId16"/>
                        <a:stretch/>
                      </pic:blipFill>
                      <pic:spPr bwMode="auto">
                        <a:xfrm>
                          <a:off x="0" y="0"/>
                          <a:ext cx="4928235" cy="13011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1pt;mso-position-horizontal:absolute;mso-position-vertical-relative:text;margin-top:6.7pt;mso-position-vertical:absolute;width:388.0pt;height:102.4pt;mso-wrap-distance-left:9.0pt;mso-wrap-distance-top:0.0pt;mso-wrap-distance-right:9.0pt;mso-wrap-distance-bottom:0.0pt;" stroked="false">
                <v:path textboxrect="0,0,0,0"/>
                <w10:wrap type="square"/>
                <v:imagedata r:id="rId16" o:title=""/>
              </v:shape>
            </w:pict>
          </mc:Fallback>
        </mc:AlternateContent>
      </w:r>
      <w:r>
        <w:rPr>
          <w:rFonts w:hint="eastAsia" w:ascii="仿宋" w:hAnsi="仿宋" w:eastAsia="仿宋" w:cs="仿宋"/>
          <w:sz w:val="24"/>
          <w:szCs w:val="24"/>
        </w:rPr>
        <w:t xml:space="preserve">常见问题</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哪些企业能申请“政采贷”？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答：江苏省内采用国库集中支付的政府采购项目的中标供应商，可凭政府采购合同申请"政采贷"。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供应商在哪里申请“政采贷”？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答：中标供应商在“中征应收账款融资服务平台”（简称“中征平台”）上向意向银行发起融资申请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中标供应商要注意什么？</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答：中标供应商要加强和采购单位的沟通协调，尽早确定融资需求。需要“政采贷”融资的，政府采购合同付款账号应当空置。</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采购单位要做什么？</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答：采购单位在“苏采云”系统中公示政府采购合同时，要勾选融资标识，为中标供应商融资提供便利。如后续融资失败，采购单位要及时维护中标供应商相关账号信息，按时支付款项。</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“政采贷”融资失败怎么办？</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政采贷：</w:t>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"http://www.ccgp-jiangsu.gov.cn/jiangsu/paying.html" </w:instrText>
      </w:r>
      <w:r>
        <w:rPr>
          <w:rFonts w:hint="eastAsia" w:ascii="仿宋" w:hAnsi="仿宋" w:eastAsia="仿宋" w:cs="仿宋"/>
          <w:sz w:val="24"/>
          <w:szCs w:val="24"/>
          <w:lang w:eastAsia="zh-CN"/>
        </w:rPr>
        <w:fldChar w:fldCharType="separate"/>
      </w:r>
      <w:r>
        <w:rPr>
          <w:rStyle w:val="822"/>
          <w:rFonts w:hint="eastAsia" w:ascii="仿宋" w:hAnsi="仿宋" w:eastAsia="仿宋" w:cs="仿宋"/>
          <w:spacing w:val="1"/>
          <w:sz w:val="24"/>
          <w:szCs w:val="24"/>
          <w:lang w:eastAsia="zh-CN"/>
        </w:rPr>
        <w:t xml:space="preserve">http://www.ccgp-jiangsu.gov.cn/jiangsu/paying.html</w:t>
      </w:r>
      <w:r>
        <w:rPr>
          <w:rFonts w:hint="eastAsia" w:ascii="仿宋" w:hAnsi="仿宋" w:eastAsia="仿宋" w:cs="仿宋"/>
          <w:sz w:val="24"/>
          <w:szCs w:val="24"/>
          <w:lang w:eastAsia="zh-CN"/>
        </w:rPr>
        <w:fldChar w:fldCharType="end"/>
      </w:r>
      <w:r/>
    </w:p>
    <w:p>
      <w:pPr>
        <w:ind w:firstLine="0"/>
        <w:jc w:val="left"/>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中征平台：</w:t>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"https://www.crcrfsp.com/" </w:instrText>
      </w:r>
      <w:r>
        <w:rPr>
          <w:rFonts w:hint="eastAsia" w:ascii="仿宋" w:hAnsi="仿宋" w:eastAsia="仿宋" w:cs="仿宋"/>
          <w:sz w:val="24"/>
          <w:szCs w:val="24"/>
          <w:lang w:eastAsia="zh-CN"/>
        </w:rPr>
        <w:fldChar w:fldCharType="separate"/>
      </w:r>
      <w:r>
        <w:rPr>
          <w:rStyle w:val="822"/>
          <w:rFonts w:hint="eastAsia" w:ascii="仿宋" w:hAnsi="仿宋" w:eastAsia="仿宋" w:cs="仿宋"/>
          <w:spacing w:val="1"/>
          <w:sz w:val="24"/>
          <w:szCs w:val="24"/>
          <w:lang w:eastAsia="zh-CN"/>
        </w:rPr>
        <w:t xml:space="preserve">https://www.crcrfsp.com/</w:t>
      </w:r>
      <w:r>
        <w:rPr>
          <w:rFonts w:hint="eastAsia" w:ascii="仿宋" w:hAnsi="仿宋" w:eastAsia="仿宋" w:cs="仿宋"/>
          <w:sz w:val="24"/>
          <w:szCs w:val="24"/>
          <w:lang w:eastAsia="zh-CN"/>
        </w:rPr>
        <w:fldChar w:fldCharType="end"/>
      </w:r>
      <w:r/>
    </w:p>
    <w:p>
      <w:pPr>
        <w:ind w:firstLine="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联系人：张女士</w:t>
      </w:r>
      <w:r>
        <w:rPr>
          <w:rFonts w:hint="eastAsia" w:ascii="仿宋" w:hAnsi="仿宋" w:eastAsia="仿宋" w:cs="仿宋"/>
          <w:sz w:val="24"/>
          <w:szCs w:val="24"/>
          <w:lang w:val="en-US" w:eastAsia="zh-CN"/>
        </w:rPr>
        <w:t xml:space="preserve">           联系电话：0523-82020605</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3" w:name="_Toc26251"/>
      <w:r/>
      <w:bookmarkStart w:id="24" w:name="_Toc24939"/>
      <w:r>
        <w:rPr>
          <w:rFonts w:hint="eastAsia" w:ascii="仿宋" w:hAnsi="仿宋" w:eastAsia="仿宋" w:cs="仿宋"/>
          <w:b/>
          <w:bCs/>
          <w:sz w:val="24"/>
          <w:szCs w:val="24"/>
          <w:lang w:val="en-US" w:eastAsia="zh-CN"/>
        </w:rPr>
        <w:t xml:space="preserve">2、招标（采购）不见面交易注意事项</w:t>
      </w:r>
      <w:bookmarkEnd w:id="23"/>
      <w:r/>
      <w:bookmarkEnd w:id="24"/>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安装调试音视频设备。各供应商在投标前按照要求装好耳麦、摄像头等通讯工具。</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确保音视频畅通。</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、招标项目需要进行谈判、招标程序，请各供应商在投标前按照要求对耳麦、摄像头等通讯工具进行最终调试，可以利用微信或qq等相关软件进行测试，确保在谈判、招标过程可以正常进行。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及时完成最终报价。</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、招标项目需要供应商进行最终报价，请各供应商在项目评标结束之前不要擅自离开“苏采云”交易系统开标大厅，待评审专家开启最终报价程序后，及时准确完成最终报价。</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5" w:name="_Toc22686"/>
      <w:r/>
      <w:bookmarkStart w:id="26" w:name="_Toc5906"/>
      <w:r>
        <w:rPr>
          <w:rFonts w:hint="eastAsia" w:ascii="仿宋" w:hAnsi="仿宋" w:eastAsia="仿宋" w:cs="仿宋"/>
          <w:b/>
          <w:bCs/>
          <w:sz w:val="24"/>
          <w:szCs w:val="24"/>
          <w:lang w:val="en-US" w:eastAsia="zh-CN"/>
        </w:rPr>
        <w:t xml:space="preserve">3、供应商相关法律责任提醒</w:t>
      </w:r>
      <w:bookmarkEnd w:id="25"/>
      <w:r/>
      <w:bookmarkEnd w:id="26"/>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相关法律法规：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（一）提供虚假材料谋取中标、成交的；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（二）采取不正当手段诋毁、排挤其他供应商的；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（三）与采购人、其他供应商或者采购代理机构恶意串通的；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（四）向采购人、采购代理机构行贿或者提供其他不正当利益的；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（五）在招标采购过程中与采购人进行协商谈判的；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（六）拒绝有关部门监督检查或者提供虚假情况的。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供应商有前款第（一）至（五）项情形之一的，中标、成交无效。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《政府采购法实施条例》第七十二条　供应商有下列情形之一的，依照政府采购法第七十七条第一款的规定追究法律责任：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（一）向评标委员会、</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小组或者询价小组成员行贿或者提供其他不正当利益；</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（二）中标或者成交后无正当理由拒不与采购人签订政府采购合同；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（三）未按照采购文件确定的事项签订政府采购合同；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（四）将政府采购合同转包；</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（五）提供假冒伪劣产品；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（六）擅自变更、中止或者终止政府采购合同。</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7" w:name="_Toc1667"/>
      <w:r/>
      <w:bookmarkStart w:id="28" w:name="_Toc20734"/>
      <w:r>
        <w:rPr>
          <w:rFonts w:hint="eastAsia" w:ascii="仿宋" w:hAnsi="仿宋" w:eastAsia="仿宋" w:cs="仿宋"/>
          <w:b/>
          <w:bCs/>
          <w:sz w:val="24"/>
          <w:szCs w:val="24"/>
          <w:lang w:val="en-US" w:eastAsia="zh-CN"/>
        </w:rPr>
        <w:t xml:space="preserve">4.政府采购政策（包括但不限于下列具体政策要求）</w:t>
      </w:r>
      <w:bookmarkEnd w:id="27"/>
      <w:r/>
      <w:bookmarkEnd w:id="28"/>
      <w:r/>
      <w:r/>
    </w:p>
    <w:p>
      <w:pPr>
        <w:ind w:firstLine="560"/>
        <w:jc w:val="left"/>
        <w:keepLines w:val="0"/>
        <w:keepNext w:val="0"/>
        <w:pageBreakBefore w:val="0"/>
        <w:spacing w:line="400" w:lineRule="exact"/>
        <w:widowControl w:val="off"/>
        <w:rPr>
          <w:rFonts w:hint="eastAsia" w:ascii="仿宋" w:hAnsi="仿宋" w:eastAsia="仿宋" w:cs="仿宋"/>
          <w:sz w:val="24"/>
          <w:szCs w:val="24"/>
          <w:lang w:val="en-US" w:eastAsia="zh-CN"/>
        </w:rPr>
        <w:outlineLvl w:val="0"/>
      </w:pPr>
      <w:r/>
      <w:bookmarkStart w:id="29" w:name="_Toc19940"/>
      <w:r/>
      <w:bookmarkStart w:id="30" w:name="_Toc19654"/>
      <w:r>
        <w:rPr>
          <w:rFonts w:hint="eastAsia" w:ascii="仿宋" w:hAnsi="仿宋" w:eastAsia="仿宋" w:cs="仿宋"/>
          <w:sz w:val="24"/>
          <w:szCs w:val="24"/>
          <w:lang w:val="en-US" w:eastAsia="zh-CN"/>
        </w:rPr>
        <w:t xml:space="preserve">4、政府采购政策</w:t>
      </w:r>
      <w:bookmarkEnd w:id="29"/>
      <w:r/>
      <w:bookmarkEnd w:id="30"/>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4.1中小企业、监狱企业及残疾人福利性单位</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4.1.1中小企业定义：</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4.1.1.1中小企业是</w:t>
      </w:r>
      <w:r>
        <w:rPr>
          <w:rFonts w:hint="eastAsia" w:ascii="仿宋" w:hAnsi="仿宋" w:eastAsia="仿宋" w:cs="仿宋"/>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4.1.1.2投标人提供的货物、工程或者服务符合下列情形的，享受中小企业扶持政策：</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（1）在货物采购项目中，货物由中小企业制造，即货物由中小企业生产且使用该中小企业商号或者注册商标；</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（2）在工程采购项目中，工程由中小企业承建，即工程施工单位为中小企业；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（3）在服务采购项目中，服务由中小企业承接，即提供服务的人员为中小企业依照《中华人民共和国劳动合同法》订立劳动合同的从业人员。</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4.1.1.3在货物采购项目中，投标人提供的货物既有中小企业制造货物，也有大型企业制造货物的，不享受中小企业扶持政策。</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4.1.1.4以联合体形式参加政府采购活动，联合体各方均为中小企业的，联合体视同中小企业。其中，联合体各方均为小微企业的，联合体视同小微企业。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4.1.3残疾人福利单位定义：享受政府采购支持政策的残疾人福利性单位应当同时满足以下条件：</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（1）安置的残疾人占本单位在职职工人数的比例不低于25%（含25%），并且安置的残疾人人数不少于10 人（含10 人）；</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（2）依法与安置的每位残疾人签订了一年以上（含一年）的劳动合同或服务协议；</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（3）为安置的每位残疾人按月足额缴纳了基本养老保险、基本医疗保险、失业保险、工伤保险和生育保险等社会保险费；</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（4）通过银行等金融机构向安置的每位残疾人，按月支付了不低于单位所在区县适用的经省级人民政府批准的月最低工资标准的工资；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（5）提供本单位制造的货物、承担的工程或者服务（以下简称产品），或者提供其他残疾人福利性单位制造的货物（不包括使用非残疾人福利性单位注册商标的货物）；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4.1.4小微企业价格评审优惠的政策调整：见《评标方法与评标标准》（如涉及）。</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4.2政府采购节能产品、环境标志产品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4.2.4非政府强制采购的节能产品或环境标志产品，依据品目清单和认证证书实施政府优先采购。优先采购的具体规定见第五章《评标方法与评标标准》（如涉及）。</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4.3商品包装、快递包装</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4.4绿色数据中心</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根据财政部 生态环境部 工业和信息化部关于印发《绿色数据中心政府采购需求标准（试行）》的通知（ </w:t>
      </w:r>
      <w:bookmarkStart w:id="31" w:name="sendNo"/>
      <w:r>
        <w:rPr>
          <w:rFonts w:hint="eastAsia" w:ascii="仿宋" w:hAnsi="仿宋" w:eastAsia="仿宋" w:cs="仿宋"/>
          <w:sz w:val="24"/>
          <w:szCs w:val="24"/>
        </w:rPr>
        <w:t xml:space="preserve">财库〔2023〕7号</w:t>
      </w:r>
      <w:bookmarkEnd w:id="31"/>
      <w:r>
        <w:rPr>
          <w:rFonts w:hint="eastAsia" w:ascii="仿宋" w:hAnsi="仿宋" w:eastAsia="仿宋" w:cs="仿宋"/>
          <w:sz w:val="24"/>
          <w:szCs w:val="24"/>
        </w:rPr>
        <w:t xml:space="preserve">）要求，</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4.4.1采购人采购数据中心相关设备、运维服务，应当有利于节约能源、环境保护和资源循环利用，按照《需求标准》实施相关采购活动。</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4.4.2采购人应当加强采购需求管理，根据《需求标准》提出的指标编制数据中心相关设备、运维服务政府采购项目的采购文件，并在合同中明确对相关指标的验收方式和违约责任。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4.4.3采购人在项目的投标、响应环节，原则上不对数据中心相关设备、服务进行检测、认证，也不要求供应商提供检测报告、认证报告，供应商出具符合相关要求的承诺函可视为符合规定。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4.4.5对于供应商未按合同约定提供设备或服务的，采购人应当依法追究其违约责任。对于供应商提供虚假材料谋取中标、成交的，依法予以处理。</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4.5信息安全产品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4.5.1依据《关于信息安全产品实施政府采购的通知》（财库〔2010〕48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4.5.2未按要求提供相关材料的，不享受相关政策。</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4.6 电子履约保函(保险)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jc w:val="left"/>
        <w:keepLines w:val="0"/>
        <w:keepNext w:val="0"/>
        <w:pageBreakBefore w:val="0"/>
        <w:spacing w:line="400" w:lineRule="exact"/>
        <w:widowControl w:val="off"/>
        <w:rPr>
          <w:rFonts w:hint="eastAsia" w:ascii="仿宋" w:hAnsi="仿宋" w:eastAsia="仿宋" w:cs="仿宋"/>
          <w:b/>
          <w:bCs/>
          <w:sz w:val="24"/>
          <w:szCs w:val="24"/>
          <w:lang w:val="en-US" w:eastAsia="zh-CN"/>
        </w:rPr>
      </w:pPr>
      <w:r>
        <w:rPr>
          <w:rFonts w:hint="eastAsia" w:ascii="仿宋" w:hAnsi="仿宋" w:eastAsia="仿宋" w:cs="仿宋"/>
          <w:sz w:val="24"/>
          <w:szCs w:val="24"/>
        </w:rPr>
        <w:t xml:space="preserve">供应商可登录江苏政府采购网“资料下载”栏目（网址：</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"http://www.ccgp-jiangsu.gov.cn/jiangsu/zlxz" \o "www.ccgp-jiangsu.gov.cn/jiangsu/zlxz）下载"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www.ccgp-jiangsu.gov.cn/jiangsu/zlxz）下载“政府采购电子履约</w:t>
      </w:r>
      <w:r>
        <w:rPr>
          <w:rFonts w:hint="eastAsia" w:ascii="仿宋" w:hAnsi="仿宋" w:eastAsia="仿宋" w:cs="仿宋"/>
          <w:sz w:val="24"/>
          <w:szCs w:val="24"/>
        </w:rPr>
        <w:fldChar w:fldCharType="end"/>
      </w:r>
      <w:r>
        <w:rPr>
          <w:rFonts w:hint="eastAsia" w:ascii="仿宋" w:hAnsi="仿宋" w:eastAsia="仿宋" w:cs="仿宋"/>
          <w:sz w:val="24"/>
          <w:szCs w:val="24"/>
        </w:rPr>
        <w:t xml:space="preserve">保函（保险）操作手册”。</w:t>
      </w:r>
      <w:r/>
    </w:p>
    <w:p>
      <w:pPr>
        <w:ind w:left="2244" w:hanging="1684"/>
        <w:jc w:val="center"/>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r>
      <w:r/>
    </w:p>
    <w:p>
      <w:pPr>
        <w:ind w:left="0" w:firstLine="0"/>
        <w:jc w:val="center"/>
        <w:keepLines w:val="0"/>
        <w:keepNext/>
        <w:pageBreakBefore/>
        <w:spacing w:before="600" w:line="360" w:lineRule="auto"/>
        <w:widowControl w:val="off"/>
        <w:rPr>
          <w:rFonts w:hint="eastAsia" w:ascii="仿宋" w:hAnsi="仿宋" w:eastAsia="仿宋" w:cs="仿宋"/>
          <w:b/>
          <w:sz w:val="44"/>
          <w:szCs w:val="44"/>
        </w:rPr>
      </w:pPr>
      <w:r>
        <w:rPr>
          <w:rFonts w:hint="eastAsia" w:ascii="宋体" w:hAnsi="宋体"/>
          <w:b/>
          <w:bCs/>
          <w:color w:val="auto"/>
          <w:sz w:val="44"/>
          <w:szCs w:val="44"/>
          <w:highlight w:val="none"/>
          <w:lang w:val="en-US" w:eastAsia="zh-CN"/>
        </w:rPr>
        <w:t xml:space="preserve">目录</w:t>
      </w:r>
      <w:r/>
    </w:p>
    <w:sdt>
      <w:sdtPr>
        <w15:appearance w15:val="boundingBox"/>
        <w15:color w:val="dbdbdb"/>
        <w:id w:val="147473825"/>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both"/>
            <w:spacing w:before="0" w:after="0" w:line="240" w:lineRule="auto"/>
          </w:pPr>
          <w:r>
            <w:fldChar w:fldCharType="begin"/>
          </w:r>
          <w:r>
            <w:instrText xml:space="preserve">TOC \o "1-1" \h \u </w:instrText>
          </w:r>
          <w:r>
            <w:fldChar w:fldCharType="separate"/>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_Toc28577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第一章 磋商邀请</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_Toc28577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_Toc2184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第二章 供应商须知</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_Toc2184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12</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_Toc18251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第三章 合同文本</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_Toc18251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24</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_Toc3104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第四章 采购需求</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_Toc3104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28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_Toc32391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第五章 评审方法与评审标准</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_Toc32391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50</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_Toc20233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第六章 响应文件相关格式</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_Toc20233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53</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_Toc25562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第七章 质疑函范本</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_Toc25562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67</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ind w:left="0" w:right="0" w:firstLine="0"/>
            <w:jc w:val="both"/>
            <w:spacing w:before="0" w:after="0" w:line="240" w:lineRule="auto"/>
            <w:rPr>
              <w:rFonts w:hint="default" w:ascii="Times New Roman" w:hAnsi="Times New Roman" w:eastAsia="仿宋" w:cs="Times New Roman"/>
              <w:sz w:val="28"/>
              <w:szCs w:val="24"/>
              <w:lang w:val="en-US" w:eastAsia="zh-CN" w:bidi="ar-SA"/>
            </w:rPr>
          </w:pPr>
          <w:r>
            <w:fldChar w:fldCharType="end"/>
          </w:r>
          <w:r/>
        </w:p>
      </w:sdtContent>
    </w:sdt>
    <w:p>
      <w:pPr>
        <w:ind w:left="0" w:right="0" w:firstLine="0"/>
        <w:jc w:val="both"/>
        <w:spacing w:before="0" w:after="0" w:line="240" w:lineRule="auto"/>
        <w:rPr>
          <w:rFonts w:hint="default" w:ascii="Times New Roman" w:hAnsi="Times New Roman" w:eastAsia="仿宋" w:cs="Times New Roman"/>
          <w:sz w:val="28"/>
          <w:szCs w:val="24"/>
          <w:lang w:val="en-US" w:eastAsia="zh-CN" w:bidi="ar-SA"/>
        </w:rPr>
      </w:pPr>
      <w:r>
        <w:rPr>
          <w:rFonts w:hint="default" w:ascii="Times New Roman" w:hAnsi="Times New Roman" w:eastAsia="仿宋" w:cs="Times New Roman"/>
          <w:sz w:val="28"/>
          <w:szCs w:val="24"/>
          <w:lang w:val="en-US" w:eastAsia="zh-CN" w:bidi="ar-SA"/>
        </w:rPr>
      </w:r>
      <w:r/>
    </w:p>
    <w:p>
      <w:pPr>
        <w:numPr>
          <w:ilvl w:val="0"/>
          <w:numId w:val="1"/>
        </w:numPr>
        <w:ind w:firstLine="403"/>
        <w:jc w:val="center"/>
        <w:keepLines w:val="0"/>
        <w:keepNext/>
        <w:pageBreakBefore/>
        <w:spacing w:before="200" w:after="200"/>
        <w:widowControl w:val="off"/>
        <w:rPr>
          <w:rFonts w:hint="eastAsia" w:ascii="宋体" w:hAnsi="宋体" w:eastAsia="宋体" w:cs="宋体"/>
          <w:b/>
          <w:bCs/>
          <w:sz w:val="44"/>
          <w:szCs w:val="44"/>
        </w:rPr>
      </w:pPr>
      <w:r/>
      <w:bookmarkStart w:id="32" w:name="_Toc28577"/>
      <w:r>
        <w:rPr>
          <w:rFonts w:hint="eastAsia" w:ascii="宋体" w:hAnsi="宋体" w:eastAsia="宋体" w:cs="宋体"/>
          <w:b/>
          <w:bCs/>
          <w:sz w:val="44"/>
          <w:szCs w:val="44"/>
        </w:rPr>
        <w:t xml:space="preserve">磋商邀请</w:t>
      </w:r>
      <w:bookmarkEnd w:id="32"/>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受</w:t>
      </w:r>
      <w:r>
        <w:rPr>
          <w:rFonts w:hint="eastAsia" w:ascii="宋体" w:hAnsi="宋体" w:eastAsia="宋体" w:cs="宋体"/>
          <w:sz w:val="24"/>
          <w:szCs w:val="24"/>
          <w:u w:val="single"/>
          <w:lang w:val="en-US" w:eastAsia="zh-CN"/>
        </w:rPr>
        <w:t xml:space="preserve">兴化市民政局</w:t>
      </w:r>
      <w:r>
        <w:rPr>
          <w:rFonts w:hint="eastAsia" w:ascii="宋体" w:hAnsi="宋体" w:eastAsia="宋体" w:cs="宋体"/>
          <w:sz w:val="24"/>
          <w:szCs w:val="24"/>
          <w:lang w:val="en-US" w:eastAsia="zh-CN"/>
        </w:rPr>
        <w:t xml:space="preserve">委托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泰州中政招投标代理有限公司为采购代理单位，</w:t>
      </w:r>
      <w:r>
        <w:rPr>
          <w:rFonts w:hint="eastAsia" w:ascii="宋体" w:hAnsi="宋体" w:eastAsia="宋体" w:cs="宋体"/>
          <w:sz w:val="24"/>
          <w:szCs w:val="24"/>
        </w:rPr>
        <w:t xml:space="preserve">对</w:t>
      </w:r>
      <w:r>
        <w:rPr>
          <w:rFonts w:hint="eastAsia" w:ascii="宋体" w:hAnsi="宋体" w:eastAsia="宋体" w:cs="宋体"/>
          <w:sz w:val="24"/>
          <w:szCs w:val="24"/>
          <w:u w:val="single"/>
          <w:lang w:val="en-US" w:eastAsia="zh-CN"/>
        </w:rPr>
        <w:t xml:space="preserve">兴化市“一老一小”监管平台维保服务</w:t>
      </w:r>
      <w:r>
        <w:rPr>
          <w:rFonts w:hint="eastAsia" w:ascii="宋体" w:hAnsi="宋体" w:eastAsia="宋体" w:cs="宋体"/>
          <w:sz w:val="24"/>
          <w:szCs w:val="24"/>
        </w:rPr>
        <w:t xml:space="preserve">项目进行竞争性</w:t>
      </w:r>
      <w:r>
        <w:rPr>
          <w:rFonts w:hint="eastAsia" w:ascii="宋体" w:hAnsi="宋体" w:eastAsia="宋体" w:cs="宋体"/>
          <w:sz w:val="24"/>
          <w:szCs w:val="24"/>
          <w:lang w:eastAsia="zh-CN"/>
        </w:rPr>
        <w:t xml:space="preserve">磋商</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，欢迎符合条件的供应商参加磋商。</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val="en-US" w:eastAsia="zh-CN"/>
        </w:rPr>
        <w:t xml:space="preserve">兴化市“一老一小”监管平台维保服务</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lang w:eastAsia="zh-CN"/>
        </w:rPr>
        <w:t xml:space="preserve">2026年09月21日14:30</w:t>
      </w:r>
      <w:r>
        <w:rPr>
          <w:rFonts w:hint="eastAsia" w:ascii="宋体" w:hAnsi="宋体" w:eastAsia="宋体" w:cs="宋体"/>
          <w:bCs/>
          <w:sz w:val="24"/>
          <w:szCs w:val="24"/>
        </w:rPr>
        <w:t xml:space="preserve">（北京时间）前递交响应文件</w:t>
      </w:r>
      <w:r>
        <w:rPr>
          <w:rFonts w:hint="eastAsia" w:ascii="宋体" w:hAnsi="宋体" w:eastAsia="宋体" w:cs="宋体"/>
          <w:sz w:val="24"/>
          <w:szCs w:val="24"/>
        </w:rPr>
        <w:t xml:space="preserve">。</w:t>
      </w:r>
      <w:r/>
    </w:p>
    <w:p>
      <w:pPr>
        <w:ind w:left="0" w:firstLine="0"/>
        <w:keepLines/>
        <w:keepNext/>
        <w:spacing w:line="440" w:lineRule="exact"/>
        <w:rPr>
          <w:rFonts w:hint="eastAsia" w:ascii="宋体" w:hAnsi="宋体" w:eastAsia="宋体" w:cs="宋体"/>
          <w:b/>
          <w:bCs/>
          <w:sz w:val="28"/>
          <w:szCs w:val="28"/>
        </w:rPr>
        <w:outlineLvl w:val="9"/>
      </w:pPr>
      <w:r/>
      <w:bookmarkStart w:id="33" w:name="_Toc28359079"/>
      <w:r/>
      <w:bookmarkStart w:id="34" w:name="_Toc35393790"/>
      <w:r/>
      <w:bookmarkStart w:id="35" w:name="_Toc38985263"/>
      <w:r/>
      <w:bookmarkStart w:id="36" w:name="_Toc28359002"/>
      <w:r/>
      <w:bookmarkStart w:id="37" w:name="_Toc35393621"/>
      <w:r/>
      <w:bookmarkStart w:id="38" w:name="_Hlk24379207"/>
      <w:r/>
      <w:r/>
    </w:p>
    <w:p>
      <w:pPr>
        <w:ind w:left="0" w:firstLine="0"/>
        <w:keepLines/>
        <w:keepNext/>
        <w:spacing w:line="440" w:lineRule="exact"/>
        <w:rPr>
          <w:rFonts w:hint="eastAsia" w:ascii="宋体" w:hAnsi="宋体" w:eastAsia="宋体" w:cs="宋体"/>
          <w:b/>
          <w:bCs/>
          <w:sz w:val="28"/>
          <w:szCs w:val="28"/>
        </w:rPr>
        <w:outlineLvl w:val="0"/>
      </w:pPr>
      <w:r/>
      <w:bookmarkStart w:id="39" w:name="_Toc14287"/>
      <w:r/>
      <w:bookmarkStart w:id="40" w:name="_Toc23533"/>
      <w:r>
        <w:rPr>
          <w:rFonts w:hint="eastAsia" w:ascii="宋体" w:hAnsi="宋体" w:eastAsia="宋体" w:cs="宋体"/>
          <w:b/>
          <w:bCs/>
          <w:sz w:val="28"/>
          <w:szCs w:val="28"/>
        </w:rPr>
        <w:t xml:space="preserve">一、项目基本情况</w:t>
      </w:r>
      <w:bookmarkEnd w:id="33"/>
      <w:r/>
      <w:bookmarkEnd w:id="34"/>
      <w:r/>
      <w:bookmarkEnd w:id="35"/>
      <w:r/>
      <w:bookmarkEnd w:id="36"/>
      <w:r/>
      <w:bookmarkEnd w:id="37"/>
      <w:r/>
      <w:bookmarkEnd w:id="39"/>
      <w:r/>
      <w:bookmarkEnd w:id="40"/>
      <w:r/>
      <w:r/>
    </w:p>
    <w:p>
      <w:p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JSZC-321281-TZZZ-C2026-0008</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2.项目名称：</w:t>
      </w:r>
      <w:bookmarkEnd w:id="38"/>
      <w:r>
        <w:rPr>
          <w:rFonts w:hint="eastAsia" w:ascii="宋体" w:hAnsi="宋体" w:eastAsia="宋体" w:cs="宋体"/>
          <w:sz w:val="24"/>
          <w:szCs w:val="24"/>
          <w:lang w:val="en-US" w:eastAsia="zh-CN"/>
        </w:rPr>
        <w:t xml:space="preserve">兴化市“一老一小”监管平台维保服务采购</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3.预算金额</w:t>
      </w:r>
      <w:r/>
    </w:p>
    <w:tbl>
      <w:tblPr>
        <w:tblStyle w:val="789"/>
        <w:tblW w:w="7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09"/>
        <w:gridCol w:w="3749"/>
      </w:tblGrid>
      <w:tr>
        <w:trPr>
          <w:jc w:val="center"/>
          <w:trHeight w:val="0"/>
          <w:tblHeader/>
        </w:trPr>
        <w:tc>
          <w:tcPr>
            <w:tcW w:w="3709"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采购包号</w:t>
            </w:r>
            <w:r/>
          </w:p>
        </w:tc>
        <w:tc>
          <w:tcPr>
            <w:tcW w:w="3749"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预算金额</w:t>
            </w:r>
            <w:r/>
          </w:p>
        </w:tc>
      </w:tr>
      <w:tr>
        <w:trPr>
          <w:jc w:val="center"/>
          <w:trHeight w:val="0"/>
        </w:trPr>
        <w:tc>
          <w:tcPr>
            <w:tcW w:w="3709"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749" w:type="dxa"/>
            <w:vAlign w:val="center"/>
            <w:textDirection w:val="lrTb"/>
            <w:noWrap w:val="false"/>
          </w:tcPr>
          <w:p>
            <w:pPr>
              <w:ind w:left="0" w:right="0" w:firstLine="0"/>
              <w:jc w:val="center"/>
              <w:keepLines w:val="0"/>
              <w:keepNext w:val="0"/>
              <w:pageBreakBefore w:val="0"/>
              <w:spacing w:line="46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150</w:t>
            </w:r>
            <w:r>
              <w:rPr>
                <w:rFonts w:hint="eastAsia" w:ascii="宋体" w:hAnsi="宋体" w:eastAsia="宋体" w:cs="宋体"/>
                <w:b w:val="0"/>
                <w:bCs/>
                <w:color w:val="auto"/>
                <w:sz w:val="24"/>
                <w:szCs w:val="24"/>
              </w:rPr>
              <w:t xml:space="preserve">万元</w:t>
            </w:r>
            <w:r/>
          </w:p>
        </w:tc>
      </w:tr>
    </w:tbl>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4、最高限价：</w:t>
      </w:r>
      <w:r/>
    </w:p>
    <w:tbl>
      <w:tblPr>
        <w:tblStyle w:val="789"/>
        <w:tblW w:w="7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61"/>
        <w:gridCol w:w="3225"/>
        <w:gridCol w:w="2460"/>
      </w:tblGrid>
      <w:tr>
        <w:trPr>
          <w:jc w:val="center"/>
          <w:trHeight w:val="0"/>
        </w:trPr>
        <w:tc>
          <w:tcPr>
            <w:tcW w:w="1761"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采购包号</w:t>
            </w:r>
            <w:r/>
          </w:p>
        </w:tc>
        <w:tc>
          <w:tcPr>
            <w:tcW w:w="3225"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是否设定最高限价（是/否）</w:t>
            </w:r>
            <w:r/>
          </w:p>
        </w:tc>
        <w:tc>
          <w:tcPr>
            <w:tcW w:w="2460"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最高限价</w:t>
            </w:r>
            <w:r/>
          </w:p>
        </w:tc>
      </w:tr>
      <w:tr>
        <w:trPr>
          <w:jc w:val="center"/>
          <w:trHeight w:val="0"/>
        </w:trPr>
        <w:tc>
          <w:tcPr>
            <w:tcW w:w="1761" w:type="dxa"/>
            <w:vAlign w:val="top"/>
            <w:textDirection w:val="lrTb"/>
            <w:noWrap w:val="false"/>
          </w:tcPr>
          <w:p>
            <w:pPr>
              <w:ind w:left="0" w:firstLine="0"/>
              <w:jc w:val="center"/>
              <w:keepLines w:val="0"/>
              <w:keepNext w:val="0"/>
              <w:pageBreakBefore w:val="0"/>
              <w:spacing w:line="46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225"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c>
          <w:tcPr>
            <w:tcW w:w="2460" w:type="dxa"/>
            <w:vAlign w:val="top"/>
            <w:textDirection w:val="lrTb"/>
            <w:noWrap w:val="false"/>
          </w:tcPr>
          <w:p>
            <w:pPr>
              <w:ind w:left="0" w:firstLine="0"/>
              <w:jc w:val="center"/>
              <w:keepLines w:val="0"/>
              <w:keepNext w:val="0"/>
              <w:pageBreakBefore w:val="0"/>
              <w:spacing w:line="460" w:lineRule="exact"/>
              <w:widowControl w:val="off"/>
              <w:rPr>
                <w:rFonts w:hint="default" w:ascii="宋体" w:hAnsi="宋体" w:eastAsia="宋体" w:cs="宋体"/>
                <w:sz w:val="24"/>
                <w:szCs w:val="24"/>
                <w:lang w:val="en-US" w:eastAsia="zh-CN"/>
              </w:rPr>
            </w:pPr>
            <w:r>
              <w:rPr>
                <w:rStyle w:val="820"/>
                <w:rFonts w:hint="eastAsia" w:ascii="宋体" w:hAnsi="宋体" w:eastAsia="宋体" w:cs="宋体"/>
                <w:b w:val="0"/>
                <w:i w:val="0"/>
                <w:iCs w:val="0"/>
                <w:caps w:val="0"/>
                <w:strike w:val="0"/>
                <w:color w:val="auto"/>
                <w:spacing w:val="0"/>
                <w:sz w:val="24"/>
                <w:szCs w:val="24"/>
                <w:u w:val="none"/>
                <w:lang w:val="en-US" w:eastAsia="zh-CN"/>
              </w:rPr>
              <w:t xml:space="preserve">150</w:t>
            </w:r>
            <w:r>
              <w:rPr>
                <w:rFonts w:hint="eastAsia" w:ascii="宋体" w:hAnsi="宋体" w:eastAsia="宋体" w:cs="宋体"/>
                <w:b w:val="0"/>
                <w:bCs/>
                <w:color w:val="auto"/>
                <w:sz w:val="24"/>
                <w:szCs w:val="24"/>
              </w:rPr>
              <w:t xml:space="preserve">万元</w:t>
            </w:r>
            <w:r/>
          </w:p>
        </w:tc>
      </w:tr>
    </w:tbl>
    <w:p>
      <w:pPr>
        <w:ind w:firstLine="480"/>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.采购需求（简介）：</w:t>
      </w:r>
      <w:r>
        <w:rPr>
          <w:rFonts w:hint="eastAsia" w:ascii="宋体" w:hAnsi="宋体" w:eastAsia="宋体" w:cs="宋体"/>
          <w:sz w:val="24"/>
          <w:szCs w:val="24"/>
          <w:lang w:val="en-US" w:eastAsia="zh-CN"/>
        </w:rPr>
        <w:t xml:space="preserve">兴化市“一老一小”监管平台维保服务</w:t>
      </w:r>
      <w:r>
        <w:rPr>
          <w:rFonts w:hint="eastAsia" w:ascii="宋体" w:hAnsi="宋体" w:eastAsia="宋体" w:cs="宋体"/>
          <w:color w:val="auto"/>
          <w:sz w:val="24"/>
          <w:szCs w:val="24"/>
          <w:lang w:val="en-US" w:eastAsia="zh-CN" w:bidi="ar-SA"/>
        </w:rPr>
        <w:t xml:space="preserve">。详细内容见本磋商文件第四章。</w:t>
      </w:r>
      <w:r/>
    </w:p>
    <w:p>
      <w:pPr>
        <w:ind w:firstLine="480"/>
        <w:keepLines w:val="0"/>
        <w:keepNext w:val="0"/>
        <w:pageBreakBefore w:val="0"/>
        <w:spacing w:line="46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.合同履行期限：</w:t>
      </w:r>
      <w:r>
        <w:rPr>
          <w:rFonts w:hint="eastAsia" w:ascii="宋体" w:hAnsi="宋体" w:eastAsia="宋体" w:cs="宋体"/>
          <w:sz w:val="24"/>
          <w:szCs w:val="24"/>
          <w:lang w:val="en-US" w:eastAsia="zh-CN"/>
        </w:rPr>
        <w:t xml:space="preserve">服务期二年，合同一年一签。</w:t>
      </w:r>
      <w:r/>
    </w:p>
    <w:p>
      <w:pPr>
        <w:ind w:left="0" w:firstLine="0"/>
        <w:keepLines/>
        <w:keepNext/>
        <w:spacing w:line="440" w:lineRule="exact"/>
        <w:rPr>
          <w:rFonts w:hint="eastAsia" w:ascii="宋体" w:hAnsi="宋体" w:eastAsia="宋体" w:cs="宋体"/>
          <w:b/>
          <w:bCs/>
          <w:sz w:val="28"/>
          <w:szCs w:val="28"/>
        </w:rPr>
        <w:outlineLvl w:val="0"/>
      </w:pPr>
      <w:r/>
      <w:bookmarkStart w:id="41" w:name="_Toc28359003"/>
      <w:r/>
      <w:bookmarkStart w:id="42" w:name="_Toc35393791"/>
      <w:r/>
      <w:bookmarkStart w:id="43" w:name="_Toc35393622"/>
      <w:r/>
      <w:bookmarkStart w:id="44" w:name="_Toc3311"/>
      <w:r/>
      <w:bookmarkStart w:id="45" w:name="_Toc13058"/>
      <w:r/>
      <w:bookmarkStart w:id="46" w:name="_Toc38985264"/>
      <w:r/>
      <w:bookmarkStart w:id="47" w:name="_Toc28359080"/>
      <w:r>
        <w:rPr>
          <w:rFonts w:hint="eastAsia" w:ascii="宋体" w:hAnsi="宋体" w:eastAsia="宋体" w:cs="宋体"/>
          <w:b/>
          <w:bCs/>
          <w:sz w:val="28"/>
          <w:szCs w:val="28"/>
        </w:rPr>
        <w:t xml:space="preserve">二、申请人的资格要求</w:t>
      </w:r>
      <w:bookmarkEnd w:id="41"/>
      <w:r/>
      <w:bookmarkEnd w:id="42"/>
      <w:r/>
      <w:bookmarkEnd w:id="43"/>
      <w:r/>
      <w:bookmarkEnd w:id="44"/>
      <w:r/>
      <w:bookmarkEnd w:id="45"/>
      <w:r/>
      <w:bookmarkEnd w:id="46"/>
      <w:r/>
      <w:bookmarkEnd w:id="47"/>
      <w:r/>
      <w:r/>
    </w:p>
    <w:p>
      <w:pPr>
        <w:ind w:firstLine="480"/>
        <w:spacing w:line="440" w:lineRule="exact"/>
        <w:rPr>
          <w:rFonts w:hint="eastAsia" w:ascii="宋体" w:hAnsi="宋体" w:eastAsia="宋体" w:cs="宋体"/>
          <w:sz w:val="24"/>
          <w:szCs w:val="24"/>
        </w:rPr>
        <w:outlineLvl w:val="1"/>
      </w:pPr>
      <w:r/>
      <w:bookmarkStart w:id="48" w:name="_Toc35393623"/>
      <w:r/>
      <w:bookmarkStart w:id="49" w:name="_Toc35393792"/>
      <w:r/>
      <w:bookmarkStart w:id="50" w:name="_Toc28359081"/>
      <w:r/>
      <w:bookmarkStart w:id="51" w:name="_Toc28359004"/>
      <w:r/>
      <w:bookmarkStart w:id="52" w:name="_Toc38985265"/>
      <w:r>
        <w:rPr>
          <w:rFonts w:hint="eastAsia" w:ascii="宋体" w:hAnsi="宋体" w:eastAsia="宋体" w:cs="宋体"/>
          <w:sz w:val="24"/>
          <w:szCs w:val="24"/>
        </w:rPr>
        <w:t xml:space="preserve">（一）通用资格要求</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1.2上一年度的财务状况报告（成立不满一年无需提供）；</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落实政府采购政策需满足的资格要求：</w:t>
      </w:r>
      <w:r>
        <w:rPr>
          <w:rFonts w:hint="eastAsia" w:ascii="宋体" w:hAnsi="宋体" w:eastAsia="宋体" w:cs="宋体"/>
          <w:sz w:val="24"/>
          <w:szCs w:val="24"/>
          <w:u w:val="single"/>
          <w:lang w:val="en-US" w:eastAsia="zh-CN"/>
        </w:rPr>
        <w:t xml:space="preserve">无</w:t>
      </w:r>
      <w:r>
        <w:rPr>
          <w:rFonts w:hint="eastAsia" w:ascii="宋体" w:hAnsi="宋体" w:eastAsia="宋体" w:cs="宋体"/>
          <w:sz w:val="24"/>
          <w:szCs w:val="24"/>
          <w:u w:val="single"/>
          <w:lang w:eastAsia="zh-CN"/>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4.联合体参与磋商</w:t>
      </w:r>
      <w:r/>
    </w:p>
    <w:tbl>
      <w:tblPr>
        <w:tblStyle w:val="789"/>
        <w:tblW w:w="8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8"/>
        <w:gridCol w:w="3352"/>
        <w:gridCol w:w="3304"/>
      </w:tblGrid>
      <w:tr>
        <w:trPr>
          <w:jc w:val="center"/>
          <w:trHeight w:val="0"/>
          <w:tblHeader/>
        </w:trPr>
        <w:tc>
          <w:tcPr>
            <w:tcW w:w="1488"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采购包号</w:t>
            </w:r>
            <w:r/>
          </w:p>
        </w:tc>
        <w:tc>
          <w:tcPr>
            <w:tcW w:w="3352"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是否接受联合体参与磋商</w:t>
            </w:r>
            <w:r/>
          </w:p>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（是/否）</w:t>
            </w:r>
            <w:r/>
          </w:p>
        </w:tc>
        <w:tc>
          <w:tcPr>
            <w:tcW w:w="3304"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该采购包中联合体成员数量上限</w:t>
            </w:r>
            <w:r/>
          </w:p>
        </w:tc>
      </w:tr>
      <w:tr>
        <w:trPr>
          <w:jc w:val="center"/>
          <w:trHeight w:val="0"/>
        </w:trPr>
        <w:tc>
          <w:tcPr>
            <w:tcW w:w="1488"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352"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c>
          <w:tcPr>
            <w:tcW w:w="3304"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p>
        </w:tc>
      </w:tr>
    </w:tbl>
    <w:p>
      <w:pPr>
        <w:ind w:firstLine="480"/>
        <w:spacing w:line="44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（二）本项目的特定资格要求</w:t>
      </w:r>
      <w:r/>
    </w:p>
    <w:tbl>
      <w:tblPr>
        <w:tblStyle w:val="789"/>
        <w:tblW w:w="80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1"/>
        <w:gridCol w:w="6559"/>
      </w:tblGrid>
      <w:tr>
        <w:trPr>
          <w:jc w:val="center"/>
          <w:trHeight w:val="0"/>
          <w:tblHeader/>
        </w:trPr>
        <w:tc>
          <w:tcPr>
            <w:tcW w:w="1461"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采购包号</w:t>
            </w:r>
            <w:r/>
          </w:p>
        </w:tc>
        <w:tc>
          <w:tcPr>
            <w:tcW w:w="6559"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特定资格要求</w:t>
            </w:r>
            <w:r/>
          </w:p>
        </w:tc>
      </w:tr>
      <w:tr>
        <w:trPr>
          <w:jc w:val="center"/>
          <w:trHeight w:val="0"/>
        </w:trPr>
        <w:tc>
          <w:tcPr>
            <w:tcW w:w="1461"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6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val="0"/>
                <w:sz w:val="24"/>
                <w:szCs w:val="24"/>
                <w:highlight w:val="none"/>
                <w:lang w:val="en-US" w:eastAsia="zh-CN"/>
              </w:rPr>
              <w:t xml:space="preserve">无</w:t>
            </w:r>
            <w:r/>
          </w:p>
        </w:tc>
      </w:tr>
    </w:tbl>
    <w:p>
      <w:pPr>
        <w:ind w:left="0" w:firstLine="0"/>
        <w:keepLines/>
        <w:keepNext/>
        <w:spacing w:line="440" w:lineRule="exact"/>
        <w:rPr>
          <w:rFonts w:hint="eastAsia" w:ascii="宋体" w:hAnsi="宋体" w:eastAsia="宋体" w:cs="宋体"/>
          <w:b/>
          <w:bCs/>
          <w:sz w:val="28"/>
          <w:szCs w:val="28"/>
        </w:rPr>
        <w:outlineLvl w:val="0"/>
      </w:pPr>
      <w:r/>
      <w:bookmarkStart w:id="53" w:name="_Toc31419"/>
      <w:r/>
      <w:bookmarkStart w:id="54" w:name="_Toc29283"/>
      <w:r>
        <w:rPr>
          <w:rFonts w:hint="eastAsia" w:ascii="宋体" w:hAnsi="宋体" w:eastAsia="宋体" w:cs="宋体"/>
          <w:b/>
          <w:bCs/>
          <w:sz w:val="28"/>
          <w:szCs w:val="28"/>
        </w:rPr>
        <w:t xml:space="preserve">三、获取磋商文件</w:t>
      </w:r>
      <w:bookmarkEnd w:id="53"/>
      <w:r/>
      <w:bookmarkEnd w:id="54"/>
      <w:r/>
      <w:r/>
    </w:p>
    <w:p>
      <w:pPr>
        <w:ind w:left="0" w:firstLine="480"/>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1.时间：自磋商文件公告发布之日起5个工作日。</w:t>
      </w:r>
      <w:r/>
    </w:p>
    <w:p>
      <w:pPr>
        <w:ind w:firstLine="480"/>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2.方式：本项目采用网上注册登记方式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在江苏政府采购网“苏采云”系统自行免费下载磋商文件。</w:t>
      </w:r>
      <w:bookmarkEnd w:id="48"/>
      <w:r/>
      <w:bookmarkEnd w:id="49"/>
      <w:r/>
      <w:bookmarkEnd w:id="50"/>
      <w:r/>
      <w:bookmarkEnd w:id="51"/>
      <w:r/>
      <w:bookmarkEnd w:id="52"/>
      <w:r/>
      <w:r/>
    </w:p>
    <w:p>
      <w:pPr>
        <w:ind w:left="0" w:firstLine="0"/>
        <w:keepLines/>
        <w:keepNext/>
        <w:spacing w:line="440" w:lineRule="exact"/>
        <w:rPr>
          <w:rFonts w:hint="eastAsia" w:ascii="宋体" w:hAnsi="宋体" w:eastAsia="宋体" w:cs="宋体"/>
          <w:b/>
          <w:bCs/>
          <w:sz w:val="28"/>
          <w:szCs w:val="28"/>
        </w:rPr>
        <w:outlineLvl w:val="0"/>
      </w:pPr>
      <w:r/>
      <w:bookmarkStart w:id="55" w:name="_Toc28359082"/>
      <w:r/>
      <w:bookmarkStart w:id="56" w:name="_Toc28359005"/>
      <w:r/>
      <w:bookmarkStart w:id="57" w:name="_Toc35393793"/>
      <w:r/>
      <w:bookmarkStart w:id="58" w:name="_Toc38985266"/>
      <w:r/>
      <w:bookmarkStart w:id="59" w:name="_Toc35393624"/>
      <w:r/>
      <w:bookmarkStart w:id="60" w:name="_Toc1679"/>
      <w:r/>
      <w:bookmarkStart w:id="61" w:name="_Toc23751"/>
      <w:r>
        <w:rPr>
          <w:rFonts w:hint="eastAsia" w:ascii="宋体" w:hAnsi="宋体" w:eastAsia="宋体" w:cs="宋体"/>
          <w:b/>
          <w:bCs/>
          <w:sz w:val="28"/>
          <w:szCs w:val="28"/>
        </w:rPr>
        <w:t xml:space="preserve">四、提交</w:t>
      </w:r>
      <w:bookmarkEnd w:id="55"/>
      <w:r/>
      <w:bookmarkEnd w:id="56"/>
      <w:r>
        <w:rPr>
          <w:rFonts w:hint="eastAsia" w:ascii="宋体" w:hAnsi="宋体" w:eastAsia="宋体" w:cs="宋体"/>
          <w:b/>
          <w:bCs/>
          <w:sz w:val="28"/>
          <w:szCs w:val="28"/>
        </w:rPr>
        <w:t xml:space="preserve">响应文件截止时间</w:t>
      </w:r>
      <w:bookmarkEnd w:id="57"/>
      <w:r/>
      <w:bookmarkEnd w:id="58"/>
      <w:r/>
      <w:bookmarkEnd w:id="59"/>
      <w:r>
        <w:rPr>
          <w:rFonts w:hint="eastAsia" w:ascii="宋体" w:hAnsi="宋体" w:eastAsia="宋体" w:cs="宋体"/>
          <w:b/>
          <w:bCs/>
          <w:sz w:val="28"/>
          <w:szCs w:val="28"/>
        </w:rPr>
        <w:t xml:space="preserve">、开启时间及地点</w:t>
      </w:r>
      <w:bookmarkEnd w:id="60"/>
      <w:r/>
      <w:bookmarkEnd w:id="61"/>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u w:val="none"/>
        </w:rPr>
        <w:t xml:space="preserve">1.</w:t>
      </w:r>
      <w:r>
        <w:rPr>
          <w:rFonts w:hint="eastAsia" w:ascii="宋体" w:hAnsi="宋体" w:eastAsia="宋体" w:cs="宋体"/>
          <w:bCs/>
          <w:sz w:val="24"/>
          <w:szCs w:val="24"/>
          <w:u w:val="none"/>
          <w:lang w:val="en-US" w:eastAsia="zh-CN"/>
        </w:rPr>
        <w:t xml:space="preserve">时间：</w:t>
      </w:r>
      <w:r>
        <w:rPr>
          <w:rFonts w:hint="eastAsia" w:ascii="宋体" w:hAnsi="宋体" w:eastAsia="宋体" w:cs="宋体"/>
          <w:bCs/>
          <w:sz w:val="24"/>
          <w:szCs w:val="24"/>
          <w:u w:val="none"/>
          <w:lang w:eastAsia="zh-CN"/>
        </w:rPr>
        <w:t xml:space="preserve">2026年09月21日14:30</w:t>
      </w:r>
      <w:r>
        <w:rPr>
          <w:rFonts w:hint="eastAsia" w:ascii="宋体" w:hAnsi="宋体" w:eastAsia="宋体" w:cs="宋体"/>
          <w:bCs/>
          <w:sz w:val="24"/>
          <w:szCs w:val="24"/>
        </w:rPr>
        <w:t xml:space="preserve">（北京时间）。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p>
    <w:p>
      <w:pPr>
        <w:ind w:left="0" w:firstLine="0"/>
        <w:keepLines/>
        <w:keepNext/>
        <w:spacing w:line="440" w:lineRule="exact"/>
        <w:rPr>
          <w:rFonts w:hint="eastAsia" w:ascii="宋体" w:hAnsi="宋体" w:eastAsia="宋体" w:cs="宋体"/>
          <w:b/>
          <w:bCs/>
          <w:sz w:val="28"/>
          <w:szCs w:val="28"/>
        </w:rPr>
        <w:outlineLvl w:val="0"/>
      </w:pPr>
      <w:r/>
      <w:bookmarkStart w:id="62" w:name="_Toc28359007"/>
      <w:r/>
      <w:bookmarkStart w:id="63" w:name="_Toc35393794"/>
      <w:r/>
      <w:bookmarkStart w:id="64" w:name="_Toc38985267"/>
      <w:r/>
      <w:bookmarkStart w:id="65" w:name="_Toc28359084"/>
      <w:r/>
      <w:bookmarkStart w:id="66" w:name="_Toc12724"/>
      <w:r/>
      <w:bookmarkStart w:id="67" w:name="_Toc7256"/>
      <w:r/>
      <w:bookmarkStart w:id="68" w:name="_Toc35393625"/>
      <w:r>
        <w:rPr>
          <w:rFonts w:hint="eastAsia" w:ascii="宋体" w:hAnsi="宋体" w:eastAsia="宋体" w:cs="宋体"/>
          <w:b/>
          <w:bCs/>
          <w:sz w:val="28"/>
          <w:szCs w:val="28"/>
        </w:rPr>
        <w:t xml:space="preserve">五、公告期限</w:t>
      </w:r>
      <w:bookmarkEnd w:id="62"/>
      <w:r/>
      <w:bookmarkEnd w:id="63"/>
      <w:r/>
      <w:bookmarkEnd w:id="64"/>
      <w:r/>
      <w:bookmarkEnd w:id="65"/>
      <w:r/>
      <w:bookmarkEnd w:id="66"/>
      <w:r/>
      <w:bookmarkEnd w:id="67"/>
      <w:r/>
      <w:bookmarkEnd w:id="68"/>
      <w:r/>
      <w:r/>
    </w:p>
    <w:p>
      <w:pPr>
        <w:ind w:firstLine="480"/>
        <w:spacing w:line="440" w:lineRule="exact"/>
        <w:rPr>
          <w:rFonts w:hint="eastAsia" w:ascii="宋体" w:hAnsi="宋体" w:eastAsia="宋体" w:cs="宋体"/>
          <w:bCs/>
          <w:color w:val="ff0000"/>
          <w:sz w:val="24"/>
          <w:szCs w:val="24"/>
          <w:u w:val="single"/>
        </w:rPr>
      </w:pPr>
      <w:r>
        <w:rPr>
          <w:rFonts w:hint="eastAsia" w:ascii="宋体" w:hAnsi="宋体" w:eastAsia="宋体" w:cs="宋体"/>
          <w:sz w:val="24"/>
          <w:szCs w:val="24"/>
        </w:rPr>
        <w:t xml:space="preserve">磋商公告期限为自本公告发布之日起3个工作日，磋商文件公告期限为自本公告发布之日起5个工作日。</w:t>
      </w:r>
      <w:r/>
    </w:p>
    <w:p>
      <w:pPr>
        <w:ind w:left="0" w:firstLine="0"/>
        <w:keepLines/>
        <w:keepNext/>
        <w:spacing w:line="440" w:lineRule="exact"/>
        <w:rPr>
          <w:rFonts w:hint="eastAsia" w:ascii="宋体" w:hAnsi="宋体" w:eastAsia="宋体" w:cs="宋体"/>
          <w:b/>
          <w:bCs/>
          <w:sz w:val="28"/>
          <w:szCs w:val="28"/>
        </w:rPr>
        <w:outlineLvl w:val="0"/>
      </w:pPr>
      <w:r/>
      <w:bookmarkStart w:id="69" w:name="_Toc35393795"/>
      <w:r/>
      <w:bookmarkStart w:id="70" w:name="_Toc17506"/>
      <w:r/>
      <w:bookmarkStart w:id="71" w:name="_Toc3473"/>
      <w:r/>
      <w:bookmarkStart w:id="72" w:name="_Toc38985268"/>
      <w:r/>
      <w:bookmarkStart w:id="73" w:name="_Toc35393626"/>
      <w:r>
        <w:rPr>
          <w:rFonts w:hint="eastAsia" w:ascii="宋体" w:hAnsi="宋体" w:eastAsia="宋体" w:cs="宋体"/>
          <w:b/>
          <w:bCs/>
          <w:sz w:val="28"/>
          <w:szCs w:val="28"/>
        </w:rPr>
        <w:t xml:space="preserve">六、其他补充事宜</w:t>
      </w:r>
      <w:bookmarkEnd w:id="69"/>
      <w:r/>
      <w:bookmarkEnd w:id="70"/>
      <w:r/>
      <w:bookmarkEnd w:id="71"/>
      <w:r/>
      <w:bookmarkEnd w:id="72"/>
      <w:r/>
      <w:bookmarkEnd w:id="73"/>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无</w:t>
      </w:r>
      <w:r/>
    </w:p>
    <w:p>
      <w:pPr>
        <w:ind w:left="0" w:firstLine="0"/>
        <w:keepLines/>
        <w:keepNext/>
        <w:spacing w:line="440" w:lineRule="exact"/>
        <w:rPr>
          <w:rFonts w:hint="eastAsia" w:ascii="宋体" w:hAnsi="宋体" w:eastAsia="宋体" w:cs="宋体"/>
          <w:b/>
          <w:bCs/>
          <w:sz w:val="28"/>
          <w:szCs w:val="28"/>
        </w:rPr>
        <w:outlineLvl w:val="0"/>
      </w:pPr>
      <w:r/>
      <w:bookmarkStart w:id="74" w:name="_Toc25916"/>
      <w:r/>
      <w:bookmarkStart w:id="75" w:name="_Toc28359085"/>
      <w:r/>
      <w:bookmarkStart w:id="76" w:name="_Toc38985269"/>
      <w:r/>
      <w:bookmarkStart w:id="77" w:name="_Toc35393796"/>
      <w:r/>
      <w:bookmarkStart w:id="78" w:name="_Toc28359008"/>
      <w:r/>
      <w:bookmarkStart w:id="79" w:name="_Toc35393627"/>
      <w:r/>
      <w:bookmarkStart w:id="80" w:name="_Toc4227"/>
      <w:r>
        <w:rPr>
          <w:rFonts w:hint="eastAsia" w:ascii="宋体" w:hAnsi="宋体" w:eastAsia="宋体" w:cs="宋体"/>
          <w:b/>
          <w:bCs/>
          <w:sz w:val="28"/>
          <w:szCs w:val="28"/>
        </w:rPr>
        <w:t xml:space="preserve">七、本次磋商联系方式</w:t>
      </w:r>
      <w:bookmarkEnd w:id="74"/>
      <w:r/>
      <w:bookmarkEnd w:id="75"/>
      <w:r/>
      <w:bookmarkEnd w:id="76"/>
      <w:r/>
      <w:bookmarkEnd w:id="77"/>
      <w:r/>
      <w:bookmarkEnd w:id="78"/>
      <w:r/>
      <w:bookmarkEnd w:id="79"/>
      <w:r/>
      <w:bookmarkEnd w:id="80"/>
      <w:r/>
      <w:r/>
    </w:p>
    <w:p>
      <w:pPr>
        <w:ind w:firstLine="482"/>
        <w:keepLines w:val="0"/>
        <w:keepNext w:val="0"/>
        <w:pageBreakBefore w:val="0"/>
        <w:spacing w:line="460" w:lineRule="exact"/>
        <w:widowControl/>
        <w:rPr>
          <w:rFonts w:hint="eastAsia" w:ascii="宋体" w:hAnsi="宋体" w:eastAsia="宋体" w:cs="宋体"/>
          <w:sz w:val="24"/>
          <w:szCs w:val="24"/>
        </w:rPr>
        <w:outlineLvl w:val="1"/>
      </w:pPr>
      <w:r>
        <w:rPr>
          <w:rFonts w:hint="eastAsia" w:ascii="宋体" w:hAnsi="宋体" w:eastAsia="宋体" w:cs="宋体"/>
          <w:sz w:val="24"/>
          <w:szCs w:val="24"/>
        </w:rPr>
        <w:t xml:space="preserve">1.采购人信息</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lang w:val="en-US" w:eastAsia="zh-CN"/>
        </w:rPr>
        <w:t xml:space="preserve">兴化市民政局</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兴化市楚水路35号</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lang w:val="en-US" w:eastAsia="zh-CN"/>
        </w:rPr>
        <w:t xml:space="preserve">成先生</w:t>
      </w:r>
      <w:r/>
    </w:p>
    <w:p>
      <w:pPr>
        <w:ind w:firstLine="482"/>
        <w:keepLines w:val="0"/>
        <w:keepNext w:val="0"/>
        <w:pageBreakBefore w:val="0"/>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联系方式：</w:t>
      </w:r>
      <w:bookmarkStart w:id="81" w:name="_Toc28359009"/>
      <w:r/>
      <w:bookmarkStart w:id="82" w:name="_Toc28359086"/>
      <w:r>
        <w:rPr>
          <w:rFonts w:hint="eastAsia" w:ascii="宋体" w:hAnsi="宋体" w:eastAsia="宋体" w:cs="宋体"/>
          <w:sz w:val="24"/>
          <w:szCs w:val="24"/>
          <w:u w:val="single"/>
        </w:rPr>
        <w:t xml:space="preserve">15252698855</w:t>
      </w:r>
      <w:r/>
    </w:p>
    <w:p>
      <w:pPr>
        <w:ind w:firstLine="482"/>
        <w:keepLines w:val="0"/>
        <w:keepNext w:val="0"/>
        <w:pageBreakBefore w:val="0"/>
        <w:spacing w:line="460" w:lineRule="exact"/>
        <w:rPr>
          <w:rFonts w:hint="eastAsia" w:ascii="宋体" w:hAnsi="宋体" w:eastAsia="宋体" w:cs="宋体"/>
          <w:sz w:val="24"/>
          <w:szCs w:val="24"/>
        </w:rPr>
        <w:outlineLvl w:val="1"/>
      </w:pPr>
      <w:r>
        <w:rPr>
          <w:rFonts w:hint="eastAsia" w:ascii="宋体" w:hAnsi="宋体" w:eastAsia="宋体" w:cs="宋体"/>
          <w:sz w:val="24"/>
          <w:szCs w:val="24"/>
        </w:rPr>
        <w:t xml:space="preserve">2.</w:t>
      </w:r>
      <w:bookmarkEnd w:id="81"/>
      <w:r/>
      <w:bookmarkEnd w:id="82"/>
      <w:r>
        <w:rPr>
          <w:rFonts w:hint="eastAsia" w:ascii="宋体" w:hAnsi="宋体" w:eastAsia="宋体" w:cs="宋体"/>
          <w:sz w:val="24"/>
          <w:szCs w:val="24"/>
        </w:rPr>
        <w:t xml:space="preserve">采购代理机构信息</w:t>
      </w:r>
      <w:r/>
    </w:p>
    <w:p>
      <w:pPr>
        <w:ind w:firstLine="482"/>
        <w:keepLines w:val="0"/>
        <w:keepNext w:val="0"/>
        <w:pageBreakBefore w:val="0"/>
        <w:spacing w:line="460" w:lineRule="exact"/>
        <w:rPr>
          <w:rFonts w:hint="eastAsia" w:ascii="宋体" w:hAnsi="宋体" w:eastAsia="宋体" w:cs="宋体"/>
          <w:sz w:val="24"/>
          <w:szCs w:val="21"/>
          <w:u w:val="single"/>
        </w:rPr>
      </w:pPr>
      <w:r/>
      <w:bookmarkStart w:id="83" w:name="_Toc28359087"/>
      <w:r/>
      <w:bookmarkStart w:id="84" w:name="_Toc28359010"/>
      <w:r>
        <w:rPr>
          <w:rFonts w:hint="eastAsia" w:ascii="宋体" w:hAnsi="宋体" w:eastAsia="宋体" w:cs="宋体"/>
          <w:sz w:val="24"/>
          <w:szCs w:val="21"/>
          <w:u w:val="none"/>
        </w:rPr>
        <w:t xml:space="preserve">名 称：</w:t>
      </w:r>
      <w:r>
        <w:rPr>
          <w:rFonts w:hint="eastAsia" w:ascii="宋体" w:hAnsi="宋体" w:eastAsia="宋体" w:cs="宋体"/>
          <w:sz w:val="24"/>
          <w:szCs w:val="21"/>
          <w:u w:val="single"/>
          <w:lang w:eastAsia="zh-CN"/>
        </w:rPr>
        <w:t xml:space="preserve">泰州中政招投标代理有限公司</w:t>
      </w:r>
      <w:r/>
    </w:p>
    <w:p>
      <w:pPr>
        <w:ind w:firstLine="482"/>
        <w:keepLines w:val="0"/>
        <w:keepNext w:val="0"/>
        <w:pageBreakBefore w:val="0"/>
        <w:spacing w:line="460" w:lineRule="exact"/>
        <w:rPr>
          <w:rFonts w:hint="eastAsia" w:ascii="宋体" w:hAnsi="宋体" w:eastAsia="宋体" w:cs="宋体"/>
          <w:sz w:val="24"/>
          <w:szCs w:val="21"/>
          <w:u w:val="single"/>
          <w:lang w:val="en-US" w:eastAsia="zh-CN"/>
        </w:rPr>
      </w:pPr>
      <w:r>
        <w:rPr>
          <w:rFonts w:hint="eastAsia" w:ascii="宋体" w:hAnsi="宋体" w:eastAsia="宋体" w:cs="宋体"/>
          <w:sz w:val="24"/>
          <w:szCs w:val="21"/>
          <w:u w:val="none"/>
        </w:rPr>
        <w:t xml:space="preserve">地 址：</w:t>
      </w:r>
      <w:r>
        <w:rPr>
          <w:rFonts w:hint="eastAsia" w:ascii="宋体" w:hAnsi="宋体" w:eastAsia="宋体" w:cs="宋体"/>
          <w:sz w:val="24"/>
          <w:szCs w:val="21"/>
          <w:u w:val="single"/>
        </w:rPr>
        <w:t xml:space="preserve">兴化市</w:t>
      </w:r>
      <w:r>
        <w:rPr>
          <w:rFonts w:hint="eastAsia" w:ascii="宋体" w:hAnsi="宋体" w:eastAsia="宋体" w:cs="宋体"/>
          <w:sz w:val="24"/>
          <w:szCs w:val="21"/>
          <w:u w:val="single"/>
          <w:lang w:val="en-US" w:eastAsia="zh-CN"/>
        </w:rPr>
        <w:t xml:space="preserve">长九领寓518</w:t>
      </w:r>
      <w:r/>
    </w:p>
    <w:p>
      <w:pPr>
        <w:ind w:firstLine="482"/>
        <w:keepLines w:val="0"/>
        <w:keepNext w:val="0"/>
        <w:pageBreakBefore w:val="0"/>
        <w:spacing w:line="460" w:lineRule="exact"/>
        <w:rPr>
          <w:rFonts w:hint="eastAsia" w:ascii="宋体" w:hAnsi="宋体" w:eastAsia="宋体" w:cs="宋体"/>
          <w:sz w:val="24"/>
          <w:szCs w:val="21"/>
          <w:u w:val="single"/>
          <w:lang w:val="en-US" w:eastAsia="zh-CN"/>
        </w:rPr>
      </w:pPr>
      <w:r>
        <w:rPr>
          <w:rFonts w:hint="eastAsia" w:ascii="宋体" w:hAnsi="宋体" w:eastAsia="宋体" w:cs="宋体"/>
          <w:sz w:val="24"/>
          <w:szCs w:val="21"/>
          <w:u w:val="none"/>
          <w:lang w:val="en-US" w:eastAsia="zh-CN"/>
        </w:rPr>
        <w:t xml:space="preserve">联系人：</w:t>
      </w:r>
      <w:r>
        <w:rPr>
          <w:rFonts w:hint="eastAsia" w:ascii="宋体" w:hAnsi="宋体" w:eastAsia="宋体" w:cs="宋体"/>
          <w:sz w:val="24"/>
          <w:szCs w:val="21"/>
          <w:u w:val="single"/>
          <w:lang w:val="en-US" w:eastAsia="zh-CN"/>
        </w:rPr>
        <w:t xml:space="preserve">孙先生</w:t>
      </w:r>
      <w:r/>
    </w:p>
    <w:p>
      <w:pPr>
        <w:ind w:firstLine="482"/>
        <w:keepLines w:val="0"/>
        <w:keepNext w:val="0"/>
        <w:pageBreakBefore w:val="0"/>
        <w:spacing w:line="460" w:lineRule="exact"/>
        <w:rPr>
          <w:rFonts w:hint="eastAsia" w:ascii="宋体" w:hAnsi="宋体" w:eastAsia="宋体" w:cs="宋体"/>
          <w:sz w:val="24"/>
          <w:szCs w:val="21"/>
          <w:u w:val="single"/>
        </w:rPr>
      </w:pPr>
      <w:r>
        <w:rPr>
          <w:rFonts w:hint="eastAsia" w:ascii="宋体" w:hAnsi="宋体" w:eastAsia="宋体" w:cs="宋体"/>
          <w:sz w:val="24"/>
          <w:szCs w:val="21"/>
          <w:u w:val="none"/>
        </w:rPr>
        <w:t xml:space="preserve">联系方式：</w:t>
      </w:r>
      <w:r>
        <w:rPr>
          <w:rFonts w:hint="eastAsia" w:ascii="宋体" w:hAnsi="宋体" w:eastAsia="宋体" w:cs="宋体"/>
          <w:sz w:val="24"/>
          <w:szCs w:val="21"/>
          <w:u w:val="single"/>
        </w:rPr>
        <w:t xml:space="preserve">0523-</w:t>
      </w:r>
      <w:r>
        <w:rPr>
          <w:rFonts w:hint="eastAsia" w:ascii="宋体" w:hAnsi="宋体" w:eastAsia="宋体" w:cs="宋体"/>
          <w:sz w:val="24"/>
          <w:szCs w:val="21"/>
          <w:u w:val="single"/>
          <w:lang w:val="en-US" w:eastAsia="zh-CN"/>
        </w:rPr>
        <w:t xml:space="preserve">83285808</w:t>
      </w:r>
      <w:bookmarkEnd w:id="83"/>
      <w:r/>
      <w:bookmarkEnd w:id="84"/>
      <w:r/>
      <w:r/>
    </w:p>
    <w:p>
      <w:pPr>
        <w:ind w:left="0" w:firstLine="0"/>
        <w:keepLines/>
        <w:keepNext/>
        <w:spacing w:line="440" w:lineRule="exact"/>
        <w:rPr>
          <w:b/>
          <w:bCs/>
          <w:sz w:val="28"/>
          <w:szCs w:val="28"/>
        </w:rPr>
        <w:outlineLvl w:val="0"/>
      </w:pPr>
      <w:r/>
      <w:bookmarkStart w:id="85" w:name="_Toc27369"/>
      <w:r/>
      <w:bookmarkStart w:id="86" w:name="_Toc7697"/>
      <w:r>
        <w:rPr>
          <w:rFonts w:hint="eastAsia"/>
          <w:b/>
          <w:bCs/>
          <w:sz w:val="28"/>
          <w:szCs w:val="28"/>
        </w:rPr>
        <w:t xml:space="preserve">八、其他</w:t>
      </w:r>
      <w:bookmarkEnd w:id="85"/>
      <w:r/>
      <w:bookmarkEnd w:id="86"/>
      <w:r/>
      <w:r/>
    </w:p>
    <w:p>
      <w:pPr>
        <w:ind w:firstLine="454"/>
        <w:keepLines w:val="0"/>
        <w:keepNext w:val="0"/>
        <w:pageBreakBefore w:val="0"/>
        <w:spacing w:line="440" w:lineRule="exact"/>
        <w:widowControl w:val="off"/>
        <w:tabs>
          <w:tab w:val="left" w:pos="900" w:leader="none"/>
        </w:tabs>
        <w:rPr>
          <w:rFonts w:hint="eastAsia" w:ascii="宋体" w:hAnsi="宋体" w:eastAsia="宋体" w:cs="宋体"/>
          <w:bCs/>
          <w:spacing w:val="-6"/>
          <w:sz w:val="24"/>
          <w:szCs w:val="24"/>
        </w:rPr>
      </w:pPr>
      <w:r>
        <w:rPr>
          <w:rFonts w:hint="eastAsia" w:ascii="宋体" w:hAnsi="宋体" w:eastAsia="宋体" w:cs="宋体"/>
          <w:spacing w:val="-6"/>
          <w:sz w:val="24"/>
          <w:szCs w:val="24"/>
        </w:rPr>
        <w:t xml:space="preserve">1.</w:t>
      </w:r>
      <w:r>
        <w:rPr>
          <w:rFonts w:hint="eastAsia" w:ascii="宋体" w:hAnsi="宋体" w:eastAsia="宋体" w:cs="宋体"/>
          <w:bCs/>
          <w:spacing w:val="-6"/>
          <w:sz w:val="24"/>
          <w:szCs w:val="24"/>
        </w:rPr>
        <w:t xml:space="preserve">根据省财政厅《关于更换全省政府采购交易系统C A数字证书和电子签章的通知》（苏财购〔2023〕101号），</w:t>
      </w:r>
      <w:r>
        <w:rPr>
          <w:rFonts w:hint="eastAsia" w:ascii="宋体" w:hAnsi="宋体" w:eastAsia="宋体" w:cs="宋体"/>
          <w:spacing w:val="-6"/>
          <w:sz w:val="24"/>
          <w:szCs w:val="24"/>
        </w:rPr>
        <w:t xml:space="preserve">“苏采云”政府采购交易系统（以下简称苏采云系统）</w:t>
      </w:r>
      <w:r>
        <w:rPr>
          <w:rFonts w:hint="eastAsia" w:ascii="宋体" w:hAnsi="宋体" w:eastAsia="宋体" w:cs="宋体"/>
          <w:bCs/>
          <w:spacing w:val="-6"/>
          <w:sz w:val="24"/>
          <w:szCs w:val="24"/>
        </w:rPr>
        <w:t xml:space="preserve">的CA数字证书、电子签章已更换为江苏省电子政务证书认证中心CA和方正国际软件（北京）有限公司电子签章。如果供应商通过</w:t>
      </w:r>
      <w:r>
        <w:rPr>
          <w:rFonts w:hint="eastAsia" w:ascii="宋体" w:hAnsi="宋体" w:eastAsia="宋体" w:cs="宋体"/>
          <w:spacing w:val="-6"/>
          <w:sz w:val="24"/>
          <w:szCs w:val="24"/>
        </w:rPr>
        <w:t xml:space="preserve">苏采云系统</w:t>
      </w:r>
      <w:r>
        <w:rPr>
          <w:rFonts w:hint="eastAsia" w:ascii="宋体" w:hAnsi="宋体" w:eastAsia="宋体" w:cs="宋体"/>
          <w:bCs/>
          <w:spacing w:val="-6"/>
          <w:sz w:val="24"/>
          <w:szCs w:val="24"/>
        </w:rPr>
        <w:t xml:space="preserve">参与政府采购项目，需要更换CA数字证书和电子签章。具体办理指南和操作手册见链接：</w:t>
      </w:r>
      <w:r>
        <w:rPr>
          <w:rFonts w:hint="eastAsia" w:ascii="宋体" w:hAnsi="宋体" w:eastAsia="宋体" w:cs="宋体"/>
          <w:bCs/>
          <w:spacing w:val="-6"/>
          <w:sz w:val="24"/>
          <w:szCs w:val="24"/>
          <w:lang w:eastAsia="zh-CN"/>
        </w:rPr>
        <w:t xml:space="preserve">http://www.ccgp-jiangsu.gov.cn/jiangsu/zlxz/24/241a256f61f0436db9afef4c1eb5c78f.html</w:t>
      </w:r>
      <w:r>
        <w:rPr>
          <w:rFonts w:hint="eastAsia" w:ascii="宋体" w:hAnsi="宋体" w:eastAsia="宋体" w:cs="宋体"/>
          <w:bCs/>
          <w:spacing w:val="-6"/>
          <w:sz w:val="24"/>
          <w:szCs w:val="24"/>
        </w:rPr>
        <w:t xml:space="preserve">。</w:t>
      </w:r>
      <w:r/>
    </w:p>
    <w:p>
      <w:pPr>
        <w:ind w:firstLine="480"/>
        <w:spacing w:line="44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w:t>
      </w:r>
      <w:r>
        <w:rPr>
          <w:rFonts w:hint="eastAsia" w:ascii="宋体" w:hAnsi="宋体" w:eastAsia="宋体" w:cs="宋体"/>
          <w:bCs/>
          <w:sz w:val="24"/>
          <w:szCs w:val="24"/>
          <w:lang w:val="en-US" w:eastAsia="zh-CN"/>
        </w:rPr>
        <w:t xml:space="preserve">泰州</w:t>
      </w:r>
      <w:r>
        <w:rPr>
          <w:rFonts w:hint="eastAsia" w:ascii="宋体" w:hAnsi="宋体" w:eastAsia="宋体" w:cs="宋体"/>
          <w:bCs/>
          <w:sz w:val="24"/>
          <w:szCs w:val="24"/>
          <w:lang w:eastAsia="zh-CN"/>
        </w:rPr>
        <w:t xml:space="preserve">公共资源交易中心一楼</w:t>
      </w:r>
      <w:r>
        <w:rPr>
          <w:rFonts w:hint="eastAsia" w:ascii="宋体" w:hAnsi="宋体" w:eastAsia="宋体" w:cs="宋体"/>
          <w:bCs/>
          <w:sz w:val="24"/>
          <w:szCs w:val="24"/>
        </w:rPr>
        <w:t xml:space="preserve">大厅CA办理窗口办理，具体联系方式见《苏采云系统供应商操作手册》（以下简称《操作手册》））、进行注册并按《操作手册》要求制作、上传电子响应文件。</w:t>
      </w:r>
      <w:r/>
    </w:p>
    <w:p>
      <w:pPr>
        <w:ind w:firstLine="480"/>
        <w:spacing w:line="44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 有关本次磋商的事项若存在变动或修改，敬请及时关注</w:t>
      </w:r>
      <w:r>
        <w:rPr>
          <w:rFonts w:hint="eastAsia" w:ascii="宋体" w:hAnsi="宋体" w:eastAsia="宋体" w:cs="宋体"/>
          <w:bCs/>
          <w:sz w:val="24"/>
          <w:szCs w:val="24"/>
          <w:lang w:eastAsia="zh-CN"/>
        </w:rPr>
        <w:t xml:space="preserve">泰州中政招投标代理有限公司</w:t>
      </w:r>
      <w:r>
        <w:rPr>
          <w:rFonts w:hint="eastAsia" w:ascii="宋体" w:hAnsi="宋体" w:eastAsia="宋体" w:cs="宋体"/>
          <w:bCs/>
          <w:sz w:val="24"/>
          <w:szCs w:val="24"/>
        </w:rPr>
        <w:t xml:space="preserve">在“江苏政府采购网”发布的更正公告。</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 </w:t>
      </w:r>
      <w:r>
        <w:rPr>
          <w:rFonts w:hint="eastAsia" w:ascii="宋体" w:hAnsi="宋体" w:eastAsia="宋体" w:cs="宋体"/>
          <w:bCs/>
          <w:sz w:val="24"/>
          <w:szCs w:val="24"/>
          <w:lang w:val="en-US" w:eastAsia="zh-CN"/>
        </w:rPr>
        <w:t xml:space="preserve">单位负责人为同一人或者存在直接控股、管理关系的不同供应商，不得参加同一合同项下的政府采购活动。</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4.为本采购项目提供整体设计、规范编制或者项目管理、审查等服务的供应商，不得再参加本采购项目的采购活动。</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5.查询及使用供应商信用记录：</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⑴由采购人查询信用信息。</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⑵查询渠道包括：“信用中国”网（www.creditchina.gov.cn）；</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⑶截止时点（查询环节）：评审结束前。</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⑷信用信息查询记录和证据留存的具体方式：网页截屏打印，与其他采购文件一并保存。</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⑸信用信息的使用规则：</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94"/>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87" w:name="_Toc2184"/>
      <w:r>
        <w:rPr>
          <w:rFonts w:hint="eastAsia" w:ascii="宋体" w:hAnsi="宋体" w:eastAsia="宋体" w:cs="宋体"/>
          <w:b/>
          <w:bCs/>
          <w:sz w:val="44"/>
          <w:szCs w:val="44"/>
          <w:lang w:val="en-US" w:eastAsia="zh-CN"/>
        </w:rPr>
        <w:t xml:space="preserve">供应商须知</w:t>
      </w:r>
      <w:bookmarkEnd w:id="87"/>
      <w:r/>
      <w:r/>
    </w:p>
    <w:p>
      <w:pPr>
        <w:ind w:left="0" w:firstLine="0"/>
        <w:jc w:val="center"/>
        <w:keepLines/>
        <w:keepNext/>
        <w:pageBreakBefore w:val="0"/>
        <w:spacing w:before="320" w:line="440" w:lineRule="exact"/>
        <w:widowControl w:val="off"/>
        <w:rPr>
          <w:rFonts w:hint="eastAsia" w:ascii="宋体" w:hAnsi="宋体" w:eastAsia="宋体" w:cs="宋体"/>
          <w:b/>
          <w:bCs/>
          <w:sz w:val="32"/>
          <w:szCs w:val="32"/>
        </w:rPr>
        <w:outlineLvl w:val="0"/>
      </w:pPr>
      <w:r/>
      <w:bookmarkStart w:id="88" w:name="_Toc26021"/>
      <w:r/>
      <w:bookmarkStart w:id="89" w:name="_Toc20823275"/>
      <w:r/>
      <w:bookmarkStart w:id="90" w:name="_Toc15605"/>
      <w:r/>
      <w:bookmarkStart w:id="91" w:name="_Toc513029203"/>
      <w:r/>
      <w:bookmarkStart w:id="92" w:name="_Toc16938519"/>
      <w:r/>
      <w:bookmarkStart w:id="93" w:name="_Toc120614214"/>
      <w:r>
        <w:rPr>
          <w:rFonts w:hint="eastAsia" w:ascii="宋体" w:hAnsi="宋体" w:eastAsia="宋体" w:cs="宋体"/>
          <w:b/>
          <w:bCs/>
          <w:sz w:val="32"/>
          <w:szCs w:val="32"/>
        </w:rPr>
        <w:t xml:space="preserve">一、总则</w:t>
      </w:r>
      <w:bookmarkEnd w:id="88"/>
      <w:r/>
      <w:bookmarkEnd w:id="89"/>
      <w:r/>
      <w:bookmarkEnd w:id="90"/>
      <w:r/>
      <w:bookmarkEnd w:id="91"/>
      <w:r/>
      <w:bookmarkEnd w:id="92"/>
      <w:r/>
      <w:bookmarkEnd w:id="93"/>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94" w:name="_Hlt16619475"/>
      <w:r/>
      <w:bookmarkEnd w:id="94"/>
      <w:r/>
      <w:bookmarkStart w:id="95" w:name="_Toc458694821"/>
      <w:r/>
      <w:bookmarkStart w:id="96" w:name="_Toc513029204"/>
      <w:r/>
      <w:bookmarkStart w:id="97" w:name="_Toc20823276"/>
      <w:r/>
      <w:bookmarkStart w:id="98" w:name="_Toc16938520"/>
      <w:r>
        <w:rPr>
          <w:rFonts w:hint="eastAsia" w:ascii="宋体" w:hAnsi="宋体" w:eastAsia="宋体" w:cs="宋体"/>
          <w:b/>
          <w:bCs/>
          <w:sz w:val="28"/>
          <w:szCs w:val="28"/>
        </w:rPr>
        <w:t xml:space="preserve">1</w:t>
      </w:r>
      <w:bookmarkEnd w:id="95"/>
      <w:r>
        <w:rPr>
          <w:rFonts w:hint="eastAsia" w:ascii="宋体" w:hAnsi="宋体" w:eastAsia="宋体" w:cs="宋体"/>
          <w:b/>
          <w:bCs/>
          <w:sz w:val="28"/>
          <w:szCs w:val="28"/>
        </w:rPr>
        <w:t xml:space="preserve">、采购方式</w:t>
      </w:r>
      <w:bookmarkEnd w:id="96"/>
      <w:r/>
      <w:bookmarkEnd w:id="97"/>
      <w:r/>
      <w:bookmarkEnd w:id="98"/>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本次政府采购活动采取竞争性磋商(以下简称磋商)方式，本磋商文件仅适用于磋商公告中所述项目。</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99" w:name="_Toc513029205"/>
      <w:r/>
      <w:bookmarkStart w:id="100" w:name="_Toc16938521"/>
      <w:r/>
      <w:bookmarkStart w:id="101" w:name="_Toc20823277"/>
      <w:r>
        <w:rPr>
          <w:rFonts w:hint="eastAsia" w:ascii="宋体" w:hAnsi="宋体" w:eastAsia="宋体" w:cs="宋体"/>
          <w:b/>
          <w:bCs/>
          <w:sz w:val="28"/>
          <w:szCs w:val="28"/>
        </w:rPr>
        <w:t xml:space="preserve">2、合格的</w:t>
      </w:r>
      <w:bookmarkEnd w:id="99"/>
      <w:r/>
      <w:bookmarkEnd w:id="100"/>
      <w:r/>
      <w:bookmarkEnd w:id="101"/>
      <w:r>
        <w:rPr>
          <w:rFonts w:hint="eastAsia" w:ascii="宋体" w:hAnsi="宋体" w:eastAsia="宋体" w:cs="宋体"/>
          <w:b/>
          <w:bCs/>
          <w:sz w:val="28"/>
          <w:szCs w:val="28"/>
        </w:rPr>
        <w:t xml:space="preserve">供应商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2.1满足磋商公告中供应商资格要求的规定。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满足本磋商文件实质性要求的规定。</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02" w:name="_Toc20823278"/>
      <w:r/>
      <w:bookmarkStart w:id="103" w:name="_Toc16938522"/>
      <w:r/>
      <w:bookmarkStart w:id="104" w:name="_Toc513029206"/>
      <w:r>
        <w:rPr>
          <w:rFonts w:hint="eastAsia" w:ascii="宋体" w:hAnsi="宋体" w:eastAsia="宋体" w:cs="宋体"/>
          <w:b/>
          <w:bCs/>
          <w:sz w:val="28"/>
          <w:szCs w:val="28"/>
        </w:rPr>
        <w:t xml:space="preserve">3、适用法律</w:t>
      </w:r>
      <w:bookmarkEnd w:id="102"/>
      <w:r/>
      <w:bookmarkEnd w:id="103"/>
      <w:r/>
      <w:bookmarkEnd w:id="104"/>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3.1 本次磋商及由此产生的合同受中华人民共和国有关的法律法规制约和保护。</w:t>
      </w:r>
      <w:r/>
    </w:p>
    <w:p>
      <w:pPr>
        <w:ind w:firstLine="480"/>
        <w:jc w:val="left"/>
        <w:pageBreakBefore w:val="0"/>
        <w:spacing w:line="440" w:lineRule="exact"/>
        <w:widowControl w:val="off"/>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3.2 在本项目政府采购活动过程中，如果所执行的标准有更新的，按照最新标准执行。</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05" w:name="_Toc16938523"/>
      <w:r/>
      <w:bookmarkStart w:id="106" w:name="_Toc462564067"/>
      <w:r/>
      <w:bookmarkStart w:id="107" w:name="_Toc513029207"/>
      <w:r/>
      <w:bookmarkStart w:id="108" w:name="_Toc20823279"/>
      <w:r>
        <w:rPr>
          <w:rFonts w:hint="eastAsia" w:ascii="宋体" w:hAnsi="宋体" w:eastAsia="宋体" w:cs="宋体"/>
          <w:b/>
          <w:bCs/>
          <w:sz w:val="28"/>
          <w:szCs w:val="28"/>
        </w:rPr>
        <w:t xml:space="preserve">4、磋商费用</w:t>
      </w:r>
      <w:bookmarkEnd w:id="105"/>
      <w:r/>
      <w:bookmarkEnd w:id="106"/>
      <w:r/>
      <w:bookmarkEnd w:id="107"/>
      <w:r/>
      <w:bookmarkEnd w:id="108"/>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4.1</w:t>
      </w:r>
      <w:r>
        <w:rPr>
          <w:rFonts w:hint="eastAsia" w:ascii="宋体" w:hAnsi="宋体" w:eastAsia="宋体" w:cs="宋体"/>
          <w:sz w:val="24"/>
          <w:szCs w:val="21"/>
        </w:rPr>
        <w:t xml:space="preserve">供应商应自行承担所有与参加本次磋商有关的费用，无论磋商过程中的做法和结果如何，</w:t>
      </w:r>
      <w:r>
        <w:rPr>
          <w:rFonts w:hint="eastAsia" w:ascii="宋体" w:hAnsi="宋体" w:eastAsia="宋体" w:cs="宋体"/>
          <w:sz w:val="24"/>
          <w:szCs w:val="21"/>
          <w:lang w:eastAsia="zh-CN"/>
        </w:rPr>
        <w:t xml:space="preserve">泰州中政招投标代理有限公司</w:t>
      </w:r>
      <w:r>
        <w:rPr>
          <w:rFonts w:hint="eastAsia" w:ascii="宋体" w:hAnsi="宋体" w:eastAsia="宋体" w:cs="宋体"/>
          <w:sz w:val="24"/>
          <w:szCs w:val="21"/>
        </w:rPr>
        <w:t xml:space="preserve">（以下简称</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）在任何情况下均无义务和责任承担这些费用。</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4.2本次磋商</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和采购人不收取标书工本费。</w:t>
      </w:r>
      <w:r/>
    </w:p>
    <w:p>
      <w:pPr>
        <w:ind w:firstLine="480"/>
        <w:jc w:val="left"/>
        <w:pageBreakBefore w:val="0"/>
        <w:spacing w:line="440" w:lineRule="exact"/>
        <w:widowControl w:val="off"/>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4.3该项目的报价应包括完成该项目服务所需的一切相关费用、磋商文件制作费、其它应付的费用等。</w:t>
      </w:r>
      <w:r/>
    </w:p>
    <w:p>
      <w:pPr>
        <w:ind w:firstLine="480"/>
        <w:jc w:val="left"/>
        <w:pageBreakBefore w:val="0"/>
        <w:spacing w:line="440" w:lineRule="exact"/>
        <w:widowControl w:val="off"/>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4.4采购代理机构代理费用的收取标准和方式：本招标代理服务费由采购人支付。</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5、磋商文件的约束力</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供应商一旦参加本项目采购活动，即被认为接受了本磋商文件的规定和约束。</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09" w:name="_Toc20823281"/>
      <w:r/>
      <w:bookmarkStart w:id="110" w:name="_Toc120614215"/>
      <w:r/>
      <w:bookmarkStart w:id="111" w:name="_Toc16938525"/>
      <w:r/>
      <w:bookmarkStart w:id="112" w:name="_Toc513029209"/>
      <w:r/>
      <w:bookmarkStart w:id="113" w:name="_Toc5797"/>
      <w:r/>
      <w:bookmarkStart w:id="114" w:name="_Toc9876"/>
      <w:r>
        <w:rPr>
          <w:rFonts w:hint="eastAsia" w:ascii="宋体" w:hAnsi="宋体" w:eastAsia="宋体" w:cs="宋体"/>
          <w:b/>
          <w:bCs/>
          <w:sz w:val="32"/>
          <w:szCs w:val="32"/>
        </w:rPr>
        <w:t xml:space="preserve">二、</w:t>
      </w:r>
      <w:bookmarkEnd w:id="109"/>
      <w:r/>
      <w:bookmarkEnd w:id="110"/>
      <w:r/>
      <w:bookmarkEnd w:id="111"/>
      <w:r/>
      <w:bookmarkEnd w:id="112"/>
      <w:r>
        <w:rPr>
          <w:rFonts w:hint="eastAsia" w:ascii="宋体" w:hAnsi="宋体" w:eastAsia="宋体" w:cs="宋体"/>
          <w:b/>
          <w:bCs/>
          <w:sz w:val="32"/>
          <w:szCs w:val="32"/>
        </w:rPr>
        <w:t xml:space="preserve">磋商文件</w:t>
      </w:r>
      <w:bookmarkEnd w:id="113"/>
      <w:r/>
      <w:bookmarkEnd w:id="11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15" w:name="_Toc513029210"/>
      <w:r/>
      <w:bookmarkStart w:id="116" w:name="_Toc16938526"/>
      <w:r/>
      <w:bookmarkStart w:id="117" w:name="_Toc20823282"/>
      <w:r>
        <w:rPr>
          <w:rFonts w:hint="eastAsia" w:ascii="宋体" w:hAnsi="宋体" w:eastAsia="宋体" w:cs="宋体"/>
          <w:b/>
          <w:bCs/>
          <w:sz w:val="28"/>
          <w:szCs w:val="28"/>
        </w:rPr>
        <w:t xml:space="preserve">6、磋商文件构成</w:t>
      </w:r>
      <w:bookmarkEnd w:id="115"/>
      <w:r/>
      <w:bookmarkEnd w:id="116"/>
      <w:r/>
      <w:bookmarkEnd w:id="117"/>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6.1</w:t>
      </w:r>
      <w:r>
        <w:rPr>
          <w:rFonts w:hint="eastAsia" w:ascii="宋体" w:hAnsi="宋体" w:eastAsia="宋体" w:cs="宋体"/>
          <w:sz w:val="24"/>
          <w:szCs w:val="21"/>
        </w:rPr>
        <w:t xml:space="preserve">磋商文件由以下部分组成：</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（1）磋商邀请</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（2）供应商须知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（5）评审方法与评审标准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（6）响应文件格式</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请仔细检查磋商文件是否齐全，如有缺漏请立即与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联系解决。</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18" w:name="_Toc513029212"/>
      <w:r/>
      <w:bookmarkStart w:id="119" w:name="_Toc462564071"/>
      <w:r/>
      <w:bookmarkStart w:id="120" w:name="_Toc20823284"/>
      <w:r/>
      <w:bookmarkStart w:id="121" w:name="_Toc16938528"/>
      <w:r>
        <w:rPr>
          <w:rFonts w:hint="eastAsia" w:ascii="宋体" w:hAnsi="宋体" w:eastAsia="宋体" w:cs="宋体"/>
          <w:b/>
          <w:bCs/>
          <w:sz w:val="28"/>
          <w:szCs w:val="28"/>
        </w:rPr>
        <w:t xml:space="preserve">7、磋商文件的澄清和修改</w:t>
      </w:r>
      <w:bookmarkEnd w:id="118"/>
      <w:r/>
      <w:bookmarkEnd w:id="119"/>
      <w:r/>
      <w:bookmarkEnd w:id="120"/>
      <w:r/>
      <w:bookmarkEnd w:id="121"/>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7.1</w:t>
      </w:r>
      <w:r>
        <w:rPr>
          <w:rFonts w:hint="eastAsia" w:ascii="宋体" w:hAnsi="宋体" w:eastAsia="宋体" w:cs="宋体"/>
          <w:sz w:val="24"/>
          <w:szCs w:val="21"/>
        </w:rPr>
        <w:t xml:space="preserve"> 在响应文件提交截止时间前，</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可以对磋商文件进行澄清和修改,</w:t>
      </w:r>
      <w:r>
        <w:rPr>
          <w:rFonts w:hint="eastAsia" w:ascii="宋体" w:hAnsi="宋体" w:eastAsia="宋体" w:cs="宋体"/>
          <w:szCs w:val="21"/>
        </w:rPr>
        <w:t xml:space="preserve"> </w:t>
      </w:r>
      <w:r>
        <w:rPr>
          <w:rFonts w:hint="eastAsia" w:ascii="宋体" w:hAnsi="宋体" w:eastAsia="宋体" w:cs="宋体"/>
          <w:sz w:val="24"/>
          <w:szCs w:val="21"/>
        </w:rPr>
        <w:t xml:space="preserve">澄清或者修改的内容作为磋商文件的组成部分。澄清或者修改的内容可能影响响应文件编制的，</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将在提交首次响应文件截止时间至少5日前，在“江苏政府采购网”上发布书面更正公告形式通知所有获取磋商文件的供应商,</w:t>
      </w:r>
      <w:r>
        <w:rPr>
          <w:rFonts w:hint="eastAsia" w:ascii="宋体" w:hAnsi="宋体" w:eastAsia="宋体" w:cs="宋体"/>
          <w:szCs w:val="21"/>
        </w:rPr>
        <w:t xml:space="preserve"> </w:t>
      </w:r>
      <w:r>
        <w:rPr>
          <w:rFonts w:hint="eastAsia" w:ascii="宋体" w:hAnsi="宋体" w:eastAsia="宋体" w:cs="宋体"/>
          <w:sz w:val="24"/>
          <w:szCs w:val="21"/>
        </w:rPr>
        <w:t xml:space="preserve">更正公告内容将作为磋商文件的组成部分，并对供应商具有约束力。不足5日的，</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将顺延提交首次响应文件截止时间。</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7.2</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可以视采购项目的具体情况，组织供应商进行现场考察或召开磋商前答疑会，但不单独或分别组织只有一个供应商参加的现场考察和答疑会。</w:t>
      </w:r>
      <w:r/>
    </w:p>
    <w:p>
      <w:pPr>
        <w:ind w:firstLine="480"/>
        <w:jc w:val="left"/>
        <w:pageBreakBefore w:val="0"/>
        <w:spacing w:line="440" w:lineRule="exact"/>
        <w:widowControl w:val="off"/>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7.3任何要求对磋商文件进行澄清的供应商，应在磋商截止期5日前按磋商公告中的通讯地址，以书面形式通知泰州中政。</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22" w:name="_Toc16938529"/>
      <w:r/>
      <w:bookmarkStart w:id="123" w:name="_Toc11365"/>
      <w:r/>
      <w:bookmarkStart w:id="124" w:name="_Toc513029213"/>
      <w:r/>
      <w:bookmarkStart w:id="125" w:name="_Toc462564072"/>
      <w:r/>
      <w:bookmarkStart w:id="126" w:name="_Toc27993"/>
      <w:r/>
      <w:bookmarkStart w:id="127" w:name="_Toc20823285"/>
      <w:r/>
      <w:bookmarkStart w:id="128" w:name="_Toc120614216"/>
      <w:r>
        <w:rPr>
          <w:rFonts w:hint="eastAsia" w:ascii="宋体" w:hAnsi="宋体" w:eastAsia="宋体" w:cs="宋体"/>
          <w:b/>
          <w:bCs/>
          <w:sz w:val="32"/>
          <w:szCs w:val="32"/>
        </w:rPr>
        <w:t xml:space="preserve">三、响应文件的编制</w:t>
      </w:r>
      <w:bookmarkEnd w:id="122"/>
      <w:r/>
      <w:bookmarkEnd w:id="123"/>
      <w:r/>
      <w:bookmarkEnd w:id="124"/>
      <w:r/>
      <w:bookmarkEnd w:id="125"/>
      <w:r/>
      <w:bookmarkEnd w:id="126"/>
      <w:r/>
      <w:bookmarkEnd w:id="127"/>
      <w:r/>
      <w:bookmarkEnd w:id="128"/>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29" w:name="_Toc513029214"/>
      <w:r/>
      <w:bookmarkStart w:id="130" w:name="_Toc16938530"/>
      <w:r/>
      <w:bookmarkStart w:id="131" w:name="_Toc20823286"/>
      <w:r/>
      <w:bookmarkStart w:id="132" w:name="_Toc462564073"/>
      <w:r>
        <w:rPr>
          <w:rFonts w:hint="eastAsia" w:ascii="宋体" w:hAnsi="宋体" w:eastAsia="宋体" w:cs="宋体"/>
          <w:b/>
          <w:bCs/>
          <w:sz w:val="28"/>
          <w:szCs w:val="28"/>
        </w:rPr>
        <w:t xml:space="preserve">8、响应文件的语言及度量衡单位</w:t>
      </w:r>
      <w:bookmarkEnd w:id="129"/>
      <w:r/>
      <w:bookmarkEnd w:id="130"/>
      <w:r/>
      <w:bookmarkEnd w:id="131"/>
      <w:r/>
      <w:bookmarkEnd w:id="132"/>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8.1</w:t>
      </w:r>
      <w:r>
        <w:rPr>
          <w:rFonts w:hint="eastAsia" w:ascii="宋体" w:hAnsi="宋体" w:eastAsia="宋体" w:cs="宋体"/>
          <w:sz w:val="24"/>
          <w:szCs w:val="21"/>
        </w:rPr>
        <w:t xml:space="preserve">供应商提交的响应文件以及供应商与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就有关磋商的所有来往通知、函件和文件均应使用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8.2</w:t>
      </w:r>
      <w:r>
        <w:rPr>
          <w:rFonts w:hint="eastAsia" w:ascii="宋体" w:hAnsi="宋体" w:eastAsia="宋体" w:cs="宋体"/>
          <w:sz w:val="24"/>
          <w:szCs w:val="21"/>
        </w:rPr>
        <w:t xml:space="preserve"> 除技术性能另有规定外，响应文件所使用的度量衡单位，均须采用国家法定计量单位。</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33" w:name="_Toc20823287"/>
      <w:r/>
      <w:bookmarkStart w:id="134" w:name="_Toc513029215"/>
      <w:r/>
      <w:bookmarkStart w:id="135" w:name="_Toc16938531"/>
      <w:r/>
      <w:bookmarkStart w:id="136" w:name="_Toc462564074"/>
      <w:r>
        <w:rPr>
          <w:rFonts w:hint="eastAsia" w:ascii="宋体" w:hAnsi="宋体" w:eastAsia="宋体" w:cs="宋体"/>
          <w:b/>
          <w:bCs/>
          <w:sz w:val="28"/>
          <w:szCs w:val="28"/>
        </w:rPr>
        <w:t xml:space="preserve">9、响应文件构成</w:t>
      </w:r>
      <w:bookmarkEnd w:id="133"/>
      <w:r/>
      <w:bookmarkEnd w:id="134"/>
      <w:r/>
      <w:bookmarkEnd w:id="135"/>
      <w:r/>
      <w:bookmarkEnd w:id="136"/>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供应商编写的响应文件应包括资格证明文件、</w:t>
      </w:r>
      <w:r>
        <w:rPr>
          <w:rFonts w:hint="eastAsia" w:ascii="宋体" w:hAnsi="宋体" w:eastAsia="宋体" w:cs="宋体"/>
          <w:sz w:val="24"/>
          <w:szCs w:val="24"/>
        </w:rPr>
        <w:t xml:space="preserve">实质性要求响应及偏离表</w:t>
      </w:r>
      <w:r>
        <w:rPr>
          <w:rFonts w:hint="eastAsia" w:ascii="宋体" w:hAnsi="宋体" w:eastAsia="宋体" w:cs="宋体"/>
          <w:sz w:val="24"/>
          <w:szCs w:val="21"/>
        </w:rPr>
        <w:t xml:space="preserve">、分项报价表、技术要求响应及偏离表、商务要求响应及偏离表、其他证明文件、磋商响应函等部分。</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9.2 如标书制作工具中格式和内容与“江苏政府采购网”发布的磋商文件不一致，请以“江苏政府采购网”发布的磋商文件为准。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37" w:name="_Hlt26954838"/>
      <w:r/>
      <w:bookmarkEnd w:id="137"/>
      <w:r/>
      <w:bookmarkStart w:id="138" w:name="_Hlt26670360"/>
      <w:r/>
      <w:bookmarkEnd w:id="138"/>
      <w:r/>
      <w:bookmarkStart w:id="139" w:name="_Hlt26668975"/>
      <w:r/>
      <w:bookmarkEnd w:id="139"/>
      <w:r/>
      <w:bookmarkStart w:id="140" w:name="_Toc49090507"/>
      <w:r/>
      <w:bookmarkStart w:id="141" w:name="_Toc14577357"/>
      <w:r/>
      <w:bookmarkStart w:id="142" w:name="_Toc513029219"/>
      <w:r/>
      <w:bookmarkStart w:id="143" w:name="_Toc49090509"/>
      <w:r/>
      <w:bookmarkStart w:id="144" w:name="_Toc14577354"/>
      <w:r/>
      <w:bookmarkStart w:id="145" w:name="_Toc513029216"/>
      <w:r/>
      <w:bookmarkStart w:id="146" w:name="_Toc49090508"/>
      <w:r/>
      <w:bookmarkStart w:id="147" w:name="_Toc14577355"/>
      <w:r>
        <w:rPr>
          <w:rFonts w:hint="eastAsia" w:ascii="宋体" w:hAnsi="宋体" w:eastAsia="宋体" w:cs="宋体"/>
          <w:b/>
          <w:bCs/>
          <w:sz w:val="28"/>
          <w:szCs w:val="28"/>
        </w:rPr>
        <w:t xml:space="preserve">10、证明磋商响应标的符合磋商文件规定的文件</w:t>
      </w:r>
      <w:bookmarkEnd w:id="140"/>
      <w:r/>
      <w:bookmarkEnd w:id="141"/>
      <w:r/>
      <w:bookmarkEnd w:id="142"/>
      <w:r/>
      <w:bookmarkEnd w:id="143"/>
      <w:r/>
      <w:bookmarkEnd w:id="144"/>
      <w:r/>
      <w:bookmarkEnd w:id="145"/>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10.1供应商应按照磋商文件要求提交证明文件，证明其及磋商响应标的符合磋商文件规定。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10.2磋商文件对证明文件无明确形式要求的，证明文件可以以文字资料、图纸和数据等形式提交。</w:t>
      </w:r>
      <w:bookmarkEnd w:id="146"/>
      <w:r/>
      <w:bookmarkEnd w:id="147"/>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11、分项报价表</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11.1</w:t>
      </w:r>
      <w:r>
        <w:rPr>
          <w:rFonts w:hint="eastAsia" w:ascii="宋体" w:hAnsi="宋体" w:eastAsia="宋体" w:cs="宋体"/>
          <w:sz w:val="24"/>
          <w:szCs w:val="21"/>
        </w:rPr>
        <w:t xml:space="preserve">供应商应按照磋商文件规定格式填报分项报价表。</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11.2</w:t>
      </w:r>
      <w:r>
        <w:rPr>
          <w:rFonts w:hint="eastAsia" w:ascii="宋体" w:hAnsi="宋体" w:eastAsia="宋体" w:cs="宋体"/>
          <w:bCs/>
          <w:sz w:val="24"/>
          <w:szCs w:val="21"/>
        </w:rPr>
        <w:t xml:space="preserve">磋商货币。响应文件中的单价和总价无特殊规定的采用人民币报价，以元为单位标注。</w:t>
      </w:r>
      <w:r>
        <w:rPr>
          <w:rFonts w:hint="eastAsia" w:ascii="宋体" w:hAnsi="宋体" w:eastAsia="宋体" w:cs="宋体"/>
          <w:sz w:val="24"/>
          <w:szCs w:val="21"/>
        </w:rPr>
        <w:t xml:space="preserve">磋商文件中另有规定的按规定执行。</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48" w:name="_Hlt26670486"/>
      <w:r/>
      <w:bookmarkEnd w:id="148"/>
      <w:r/>
      <w:bookmarkStart w:id="149" w:name="_Hlt26954848"/>
      <w:r/>
      <w:bookmarkEnd w:id="149"/>
      <w:r/>
      <w:bookmarkStart w:id="150" w:name="_Hlt26954846"/>
      <w:r/>
      <w:bookmarkEnd w:id="150"/>
      <w:r/>
      <w:bookmarkStart w:id="151" w:name="_Hlt26954731"/>
      <w:r/>
      <w:bookmarkEnd w:id="151"/>
      <w:r/>
      <w:bookmarkStart w:id="152" w:name="_Hlt26670482"/>
      <w:r/>
      <w:bookmarkEnd w:id="152"/>
      <w:r>
        <w:rPr>
          <w:rFonts w:hint="eastAsia" w:ascii="宋体" w:hAnsi="宋体" w:eastAsia="宋体" w:cs="宋体"/>
          <w:b/>
          <w:bCs/>
          <w:sz w:val="28"/>
          <w:szCs w:val="28"/>
        </w:rPr>
        <w:t xml:space="preserve">12、技术要求响应及偏离表、商务要求响应及偏离表</w:t>
      </w:r>
      <w:r/>
    </w:p>
    <w:p>
      <w:pPr>
        <w:ind w:firstLine="480"/>
        <w:jc w:val="left"/>
        <w:pageBreakBefore w:val="0"/>
        <w:spacing w:line="440" w:lineRule="exact"/>
        <w:widowControl w:val="off"/>
        <w:rPr>
          <w:rFonts w:hint="eastAsia" w:ascii="宋体" w:hAnsi="宋体" w:eastAsia="宋体" w:cs="宋体"/>
          <w:sz w:val="24"/>
          <w:szCs w:val="21"/>
          <w:lang w:val="zh-CN"/>
        </w:rPr>
      </w:pPr>
      <w:r>
        <w:rPr>
          <w:rFonts w:hint="eastAsia" w:ascii="宋体" w:hAnsi="宋体" w:eastAsia="宋体" w:cs="宋体"/>
          <w:bCs/>
          <w:sz w:val="24"/>
          <w:szCs w:val="21"/>
          <w:lang w:val="zh-CN"/>
        </w:rPr>
        <w:t xml:space="preserve">12.1</w:t>
      </w:r>
      <w:r>
        <w:rPr>
          <w:rFonts w:hint="eastAsia" w:ascii="宋体" w:hAnsi="宋体" w:eastAsia="宋体" w:cs="宋体"/>
          <w:sz w:val="24"/>
          <w:szCs w:val="21"/>
          <w:lang w:val="zh-CN"/>
        </w:rPr>
        <w:t xml:space="preserve">供应商需对磋商文件中的技术要求与商务要求逐项作出响应或偏离，并说明原因。</w:t>
      </w:r>
      <w:r/>
    </w:p>
    <w:p>
      <w:pPr>
        <w:ind w:firstLine="480"/>
        <w:jc w:val="left"/>
        <w:pageBreakBefore w:val="0"/>
        <w:spacing w:line="440" w:lineRule="exact"/>
        <w:widowControl w:val="off"/>
        <w:rPr>
          <w:rFonts w:hint="eastAsia" w:ascii="宋体" w:hAnsi="宋体" w:eastAsia="宋体" w:cs="宋体"/>
          <w:sz w:val="24"/>
          <w:szCs w:val="21"/>
          <w:lang w:val="zh-CN"/>
        </w:rPr>
      </w:pPr>
      <w:r>
        <w:rPr>
          <w:rFonts w:hint="eastAsia" w:ascii="宋体" w:hAnsi="宋体" w:eastAsia="宋体" w:cs="宋体"/>
          <w:sz w:val="24"/>
          <w:szCs w:val="21"/>
          <w:lang w:val="zh-CN"/>
        </w:rPr>
        <w:t xml:space="preserve">12.2供应商需按照磋商文件要求，在响应文件中提供与技术要求和商务要求相关的证明材料。</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13、服务承诺、培训计划、人员安排及其他</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13.1</w:t>
      </w:r>
      <w:r>
        <w:rPr>
          <w:rFonts w:hint="eastAsia" w:ascii="宋体" w:hAnsi="宋体" w:eastAsia="宋体" w:cs="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13.2供应商需根据磋商文件要求提供培训计划。</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13.3供应商需根据磋商文件要求提供</w:t>
      </w:r>
      <w:r>
        <w:rPr>
          <w:rFonts w:hint="eastAsia" w:ascii="宋体" w:hAnsi="宋体" w:eastAsia="宋体" w:cs="宋体"/>
          <w:sz w:val="24"/>
          <w:szCs w:val="21"/>
          <w:lang w:val="zh-CN"/>
        </w:rPr>
        <w:t xml:space="preserve">磋商响应标的的主要组成部分、功能设计、实现思路及关键技术等。</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53" w:name="_Toc14577359"/>
      <w:r/>
      <w:bookmarkStart w:id="154" w:name="_Toc49090510"/>
      <w:r>
        <w:rPr>
          <w:rFonts w:hint="eastAsia" w:ascii="宋体" w:hAnsi="宋体" w:eastAsia="宋体" w:cs="宋体"/>
          <w:b/>
          <w:bCs/>
          <w:sz w:val="28"/>
          <w:szCs w:val="28"/>
        </w:rPr>
        <w:t xml:space="preserve">14、磋商响应函</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14.1</w:t>
      </w:r>
      <w:r>
        <w:rPr>
          <w:rFonts w:hint="eastAsia" w:ascii="宋体" w:hAnsi="宋体" w:eastAsia="宋体" w:cs="宋体"/>
          <w:sz w:val="24"/>
          <w:szCs w:val="21"/>
        </w:rPr>
        <w:t xml:space="preserve">供应商应按照磋商文件中提供的格式完整、正确填写磋商响应函。</w:t>
      </w:r>
      <w:bookmarkEnd w:id="153"/>
      <w:r/>
      <w:bookmarkEnd w:id="15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55" w:name="_Toc14577360"/>
      <w:r/>
      <w:bookmarkStart w:id="156" w:name="_Toc49090511"/>
      <w:r>
        <w:rPr>
          <w:rFonts w:hint="eastAsia" w:ascii="宋体" w:hAnsi="宋体" w:eastAsia="宋体" w:cs="宋体"/>
          <w:b/>
          <w:bCs/>
          <w:sz w:val="28"/>
          <w:szCs w:val="28"/>
        </w:rPr>
        <w:t xml:space="preserve">15、磋商有效期</w:t>
      </w:r>
      <w:bookmarkEnd w:id="155"/>
      <w:r/>
      <w:bookmarkEnd w:id="156"/>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15.1磋商有效期为</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规定的提交响应文件截止之日后</w:t>
      </w:r>
      <w:r>
        <w:rPr>
          <w:rFonts w:hint="eastAsia" w:ascii="宋体" w:hAnsi="宋体" w:eastAsia="宋体" w:cs="宋体"/>
          <w:b/>
          <w:sz w:val="24"/>
          <w:szCs w:val="21"/>
          <w:u w:val="single"/>
        </w:rPr>
        <w:t xml:space="preserve">六十（60）天</w:t>
      </w:r>
      <w:r>
        <w:rPr>
          <w:rFonts w:hint="eastAsia" w:ascii="宋体" w:hAnsi="宋体" w:eastAsia="宋体" w:cs="宋体"/>
          <w:bCs/>
          <w:sz w:val="24"/>
          <w:szCs w:val="21"/>
        </w:rPr>
        <w:t xml:space="preserve">。磋商有效期比规定短的将被视为非实质性响应磋商文件而予以拒绝。</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16、磋商有效期的延长</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16.1在特殊情况下，</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于原磋商有效期满之前，可向供应商提出延长磋商有效期的要求。这种要求与答复均应采用书面形式。供应商可以拒绝</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的这一要求而放弃磋商，同意延长磋商有效期的供应商既不能要求也不允许修改其响应文件。</w:t>
      </w:r>
      <w:r>
        <w:rPr>
          <w:rFonts w:hint="eastAsia" w:ascii="宋体" w:hAnsi="宋体" w:eastAsia="宋体" w:cs="宋体"/>
          <w:sz w:val="24"/>
          <w:szCs w:val="24"/>
        </w:rPr>
        <w:t xml:space="preserve">受磋商有效期约束的所有权利与义务均延长至新的有效期</w:t>
      </w:r>
      <w:r>
        <w:rPr>
          <w:rFonts w:hint="eastAsia" w:ascii="宋体" w:hAnsi="宋体" w:eastAsia="宋体" w:cs="宋体"/>
          <w:bCs/>
          <w:sz w:val="24"/>
          <w:szCs w:val="21"/>
        </w:rPr>
        <w:t xml:space="preserve">。</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57" w:name="_Hlt26954739"/>
      <w:r/>
      <w:bookmarkEnd w:id="157"/>
      <w:r/>
      <w:bookmarkStart w:id="158" w:name="_Hlt26954852"/>
      <w:r/>
      <w:bookmarkEnd w:id="158"/>
      <w:r/>
      <w:bookmarkStart w:id="159" w:name="_Toc20823296"/>
      <w:r/>
      <w:bookmarkStart w:id="160" w:name="_Toc31973"/>
      <w:r/>
      <w:bookmarkStart w:id="161" w:name="_Toc3269"/>
      <w:r/>
      <w:bookmarkStart w:id="162" w:name="_Toc120614217"/>
      <w:r/>
      <w:bookmarkStart w:id="163" w:name="_Toc513029224"/>
      <w:r/>
      <w:bookmarkStart w:id="164" w:name="_Toc16938540"/>
      <w:r>
        <w:rPr>
          <w:rFonts w:hint="eastAsia" w:ascii="宋体" w:hAnsi="宋体" w:eastAsia="宋体" w:cs="宋体"/>
          <w:b/>
          <w:bCs/>
          <w:sz w:val="32"/>
          <w:szCs w:val="32"/>
        </w:rPr>
        <w:t xml:space="preserve">四、响应文件的递交</w:t>
      </w:r>
      <w:bookmarkEnd w:id="159"/>
      <w:r/>
      <w:bookmarkEnd w:id="160"/>
      <w:r/>
      <w:bookmarkEnd w:id="161"/>
      <w:r/>
      <w:bookmarkEnd w:id="162"/>
      <w:r/>
      <w:bookmarkEnd w:id="163"/>
      <w:r/>
      <w:bookmarkEnd w:id="16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65" w:name="_Toc513029225"/>
      <w:r/>
      <w:bookmarkStart w:id="166" w:name="_Toc20823297"/>
      <w:r/>
      <w:bookmarkStart w:id="167" w:name="_Toc462564084"/>
      <w:r/>
      <w:bookmarkStart w:id="168" w:name="_Toc16938541"/>
      <w:r>
        <w:rPr>
          <w:rFonts w:hint="eastAsia" w:ascii="宋体" w:hAnsi="宋体" w:eastAsia="宋体" w:cs="宋体"/>
          <w:b/>
          <w:bCs/>
          <w:sz w:val="28"/>
          <w:szCs w:val="28"/>
        </w:rPr>
        <w:t xml:space="preserve">17、电子磋商</w:t>
      </w:r>
      <w:bookmarkEnd w:id="165"/>
      <w:r/>
      <w:bookmarkEnd w:id="166"/>
      <w:r/>
      <w:bookmarkEnd w:id="167"/>
      <w:r/>
      <w:bookmarkEnd w:id="168"/>
      <w:r>
        <w:rPr>
          <w:rFonts w:hint="eastAsia" w:ascii="宋体" w:hAnsi="宋体" w:eastAsia="宋体" w:cs="宋体"/>
          <w:b/>
          <w:bCs/>
          <w:sz w:val="28"/>
          <w:szCs w:val="28"/>
        </w:rPr>
        <w:t xml:space="preserve">响应文件的递交</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17.1供应商应当按照《操作手册》规定，在提交响应文件截止时间前制作并上传电子响应文件。</w:t>
      </w:r>
      <w:bookmarkStart w:id="169" w:name="_Toc513029226"/>
      <w:r/>
      <w:bookmarkStart w:id="170" w:name="_Toc16938542"/>
      <w:r/>
      <w:bookmarkStart w:id="171" w:name="_Toc20823298"/>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18、提交响应文件截止时间</w:t>
      </w:r>
      <w:bookmarkEnd w:id="169"/>
      <w:r/>
      <w:bookmarkEnd w:id="170"/>
      <w:r/>
      <w:bookmarkEnd w:id="171"/>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18.1</w:t>
      </w:r>
      <w:r>
        <w:rPr>
          <w:rFonts w:hint="eastAsia" w:ascii="宋体" w:hAnsi="宋体" w:eastAsia="宋体" w:cs="宋体"/>
          <w:bCs/>
          <w:sz w:val="24"/>
          <w:szCs w:val="21"/>
        </w:rPr>
        <w:t xml:space="preserve">供应商上传电子响应文件的时间不得迟于磋商公告中规定的提交响应文件截止时间。</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18.2</w:t>
      </w:r>
      <w:r>
        <w:rPr>
          <w:rFonts w:hint="eastAsia" w:ascii="宋体" w:hAnsi="宋体" w:eastAsia="宋体" w:cs="宋体"/>
          <w:bCs/>
          <w:sz w:val="24"/>
          <w:szCs w:val="21"/>
        </w:rPr>
        <w:t xml:space="preserve"> </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72" w:name="_Toc16938543"/>
      <w:r/>
      <w:bookmarkStart w:id="173" w:name="_Toc20823299"/>
      <w:r/>
      <w:bookmarkStart w:id="174" w:name="_Toc513029227"/>
      <w:r>
        <w:rPr>
          <w:rFonts w:hint="eastAsia" w:ascii="宋体" w:hAnsi="宋体" w:eastAsia="宋体" w:cs="宋体"/>
          <w:b/>
          <w:bCs/>
          <w:sz w:val="28"/>
          <w:szCs w:val="28"/>
        </w:rPr>
        <w:t xml:space="preserve">19、响应文件</w:t>
      </w:r>
      <w:bookmarkEnd w:id="172"/>
      <w:r/>
      <w:bookmarkEnd w:id="173"/>
      <w:r/>
      <w:bookmarkEnd w:id="174"/>
      <w:r>
        <w:rPr>
          <w:rFonts w:hint="eastAsia" w:ascii="宋体" w:hAnsi="宋体" w:eastAsia="宋体" w:cs="宋体"/>
          <w:b/>
          <w:bCs/>
          <w:sz w:val="28"/>
          <w:szCs w:val="28"/>
        </w:rPr>
        <w:t xml:space="preserve">的拒收</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19.1 </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拒绝接收在其规定的提交响应文件截止时间后上传的任何电子响应文件。</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75" w:name="_Toc20823300"/>
      <w:r/>
      <w:bookmarkStart w:id="176" w:name="_Toc513029228"/>
      <w:r/>
      <w:bookmarkStart w:id="177" w:name="_Toc16938544"/>
      <w:r>
        <w:rPr>
          <w:rFonts w:hint="eastAsia" w:ascii="宋体" w:hAnsi="宋体" w:eastAsia="宋体" w:cs="宋体"/>
          <w:b/>
          <w:bCs/>
          <w:sz w:val="28"/>
          <w:szCs w:val="28"/>
        </w:rPr>
        <w:t xml:space="preserve">20、响应文件的撤回和修改</w:t>
      </w:r>
      <w:bookmarkEnd w:id="175"/>
      <w:r/>
      <w:bookmarkEnd w:id="176"/>
      <w:r/>
      <w:bookmarkEnd w:id="177"/>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20.1响应文件的撤回</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20.1.1 电子响应文件的撤回</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截止时间前，撤回其电子响应文件，具体操作方法见《操作手册》。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20.1.2供应商撤回电子响应文件，则认为其不再参与本项目磋商活动。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20.2响应文件的修改</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截止时间前，对其电子响应文件进行修改，具体操作方法见《操作手册》。</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20.3</w:t>
      </w:r>
      <w:r>
        <w:rPr>
          <w:rFonts w:hint="eastAsia" w:ascii="宋体" w:hAnsi="宋体" w:eastAsia="宋体" w:cs="宋体"/>
          <w:bCs/>
          <w:sz w:val="24"/>
          <w:szCs w:val="21"/>
        </w:rPr>
        <w:t xml:space="preserve"> 在提交响应文件截止时间之后，供应商不得对其电子响应文件作任何修改。</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20.4</w:t>
      </w:r>
      <w:r>
        <w:rPr>
          <w:rFonts w:hint="eastAsia" w:ascii="宋体" w:hAnsi="宋体" w:eastAsia="宋体" w:cs="宋体"/>
          <w:bCs/>
          <w:sz w:val="24"/>
          <w:szCs w:val="21"/>
        </w:rPr>
        <w:t xml:space="preserve"> 在提交响应文件截止时间至磋商文件中规定的磋商有效期满之间的这段时间内，供应商不得撤回其响应文件。</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78" w:name="_Toc29470"/>
      <w:r/>
      <w:bookmarkStart w:id="179" w:name="_Toc513029229"/>
      <w:r/>
      <w:bookmarkStart w:id="180" w:name="_Toc20823301"/>
      <w:r/>
      <w:bookmarkStart w:id="181" w:name="_Toc16938545"/>
      <w:r/>
      <w:bookmarkStart w:id="182" w:name="_Toc120614218"/>
      <w:r/>
      <w:bookmarkStart w:id="183" w:name="_Toc5756"/>
      <w:r>
        <w:rPr>
          <w:rFonts w:hint="eastAsia" w:ascii="宋体" w:hAnsi="宋体" w:eastAsia="宋体" w:cs="宋体"/>
          <w:b/>
          <w:bCs/>
          <w:sz w:val="32"/>
          <w:szCs w:val="32"/>
        </w:rPr>
        <w:t xml:space="preserve">五、响应文件的解密与评审</w:t>
      </w:r>
      <w:bookmarkEnd w:id="178"/>
      <w:r/>
      <w:bookmarkEnd w:id="179"/>
      <w:r/>
      <w:bookmarkEnd w:id="180"/>
      <w:r/>
      <w:bookmarkEnd w:id="181"/>
      <w:r/>
      <w:bookmarkEnd w:id="182"/>
      <w:r/>
      <w:bookmarkEnd w:id="183"/>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84" w:name="_Toc20823302"/>
      <w:r/>
      <w:bookmarkStart w:id="185" w:name="_Toc513029230"/>
      <w:r/>
      <w:bookmarkStart w:id="186" w:name="_Toc16938546"/>
      <w:r>
        <w:rPr>
          <w:rFonts w:hint="eastAsia" w:ascii="宋体" w:hAnsi="宋体" w:eastAsia="宋体" w:cs="宋体"/>
          <w:b/>
          <w:bCs/>
          <w:sz w:val="28"/>
          <w:szCs w:val="28"/>
        </w:rPr>
        <w:t xml:space="preserve">21、</w:t>
      </w:r>
      <w:bookmarkEnd w:id="184"/>
      <w:r/>
      <w:bookmarkEnd w:id="185"/>
      <w:r/>
      <w:bookmarkEnd w:id="186"/>
      <w:r>
        <w:rPr>
          <w:rFonts w:hint="eastAsia" w:ascii="宋体" w:hAnsi="宋体" w:eastAsia="宋体" w:cs="宋体"/>
          <w:b/>
          <w:bCs/>
          <w:sz w:val="28"/>
          <w:szCs w:val="28"/>
        </w:rPr>
        <w:t xml:space="preserve">响应文件解密</w:t>
      </w:r>
      <w:r/>
    </w:p>
    <w:p>
      <w:pPr>
        <w:ind w:firstLine="480"/>
        <w:jc w:val="left"/>
        <w:pageBreakBefore w:val="0"/>
        <w:spacing w:line="440" w:lineRule="exact"/>
        <w:widowControl w:val="off"/>
        <w:rPr>
          <w:rFonts w:hint="eastAsia" w:ascii="宋体" w:hAnsi="宋体" w:eastAsia="宋体" w:cs="宋体"/>
          <w:szCs w:val="21"/>
        </w:rPr>
      </w:pPr>
      <w:r>
        <w:rPr>
          <w:rFonts w:hint="eastAsia" w:ascii="宋体" w:hAnsi="宋体" w:eastAsia="宋体" w:cs="宋体"/>
          <w:sz w:val="24"/>
          <w:szCs w:val="21"/>
        </w:rPr>
        <w:t xml:space="preserve">21.1</w:t>
      </w:r>
      <w:r>
        <w:rPr>
          <w:rFonts w:hint="eastAsia" w:ascii="宋体" w:hAnsi="宋体" w:eastAsia="宋体" w:cs="宋体"/>
          <w:sz w:val="24"/>
          <w:szCs w:val="24"/>
        </w:rPr>
        <w:t xml:space="preserve">供应商应当按照《操作手册》规定，在苏采云系统规定的时间内对磋商响应文件进行解密。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87" w:name="_Toc20823303"/>
      <w:r/>
      <w:bookmarkStart w:id="188" w:name="_Toc16938547"/>
      <w:r/>
      <w:bookmarkStart w:id="189" w:name="_Toc513029231"/>
      <w:r>
        <w:rPr>
          <w:rFonts w:hint="eastAsia" w:ascii="宋体" w:hAnsi="宋体" w:eastAsia="宋体" w:cs="宋体"/>
          <w:b/>
          <w:bCs/>
          <w:sz w:val="28"/>
          <w:szCs w:val="28"/>
        </w:rPr>
        <w:t xml:space="preserve">22、磋商小组</w:t>
      </w:r>
      <w:r/>
    </w:p>
    <w:p>
      <w:pPr>
        <w:ind w:firstLine="480"/>
        <w:jc w:val="left"/>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22.2磋商小组独立工作，负责评审所有响应文件并确定成交侯选人。</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23、评审过程的保密与公正</w:t>
      </w:r>
      <w:bookmarkEnd w:id="187"/>
      <w:r/>
      <w:bookmarkEnd w:id="188"/>
      <w:r/>
      <w:bookmarkEnd w:id="189"/>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23.1</w:t>
      </w:r>
      <w:r>
        <w:rPr>
          <w:rFonts w:hint="eastAsia" w:ascii="宋体" w:hAnsi="宋体" w:eastAsia="宋体" w:cs="宋体"/>
          <w:bCs/>
          <w:sz w:val="24"/>
          <w:szCs w:val="21"/>
        </w:rPr>
        <w:t xml:space="preserve">磋商小组、采购人和</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工作人员、相关监督人员等与评审工作有关的人员，对评审情况以及在评审过程中获悉的国家秘密、商业秘密负有保密责任。</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23.2</w:t>
      </w:r>
      <w:r>
        <w:rPr>
          <w:rFonts w:hint="eastAsia" w:ascii="宋体" w:hAnsi="宋体" w:eastAsia="宋体" w:cs="宋体"/>
          <w:sz w:val="24"/>
          <w:szCs w:val="24"/>
        </w:rPr>
        <w:t xml:space="preserve">在评审过程中，供应商不得以任何行为影响磋商评审过程，否则其响应文件将被作为无效响应文件。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23.3</w:t>
      </w:r>
      <w:r>
        <w:rPr>
          <w:rFonts w:hint="eastAsia" w:ascii="宋体" w:hAnsi="宋体" w:eastAsia="宋体" w:cs="宋体"/>
          <w:sz w:val="24"/>
          <w:szCs w:val="24"/>
        </w:rPr>
        <w:t xml:space="preserve">在项目评审期间，</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将设专门人员与供应商联系。</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23.4</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和磋商小组不向未成交的供应商解释未成交原因，也不公布评审过程中的相关细节。</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90" w:name="_Toc20823304"/>
      <w:r/>
      <w:bookmarkStart w:id="191" w:name="_Toc16938548"/>
      <w:r/>
      <w:bookmarkStart w:id="192" w:name="_Toc513029232"/>
      <w:r>
        <w:rPr>
          <w:rFonts w:hint="eastAsia" w:ascii="宋体" w:hAnsi="宋体" w:eastAsia="宋体" w:cs="宋体"/>
          <w:b/>
          <w:bCs/>
          <w:sz w:val="28"/>
          <w:szCs w:val="28"/>
        </w:rPr>
        <w:t xml:space="preserve">24、评审过程中的澄清</w:t>
      </w:r>
      <w:bookmarkEnd w:id="190"/>
      <w:r/>
      <w:bookmarkEnd w:id="191"/>
      <w:r/>
      <w:bookmarkEnd w:id="192"/>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 接到磋商小组澄清、说明和更正要求的供应商如未按规定做出澄清、说明和 更正，其风险由供应商自行承担。</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93" w:name="_Toc513029233"/>
      <w:r/>
      <w:bookmarkStart w:id="194" w:name="_Toc16938549"/>
      <w:r/>
      <w:bookmarkStart w:id="195" w:name="_Toc20823305"/>
      <w:r>
        <w:rPr>
          <w:rFonts w:hint="eastAsia" w:ascii="宋体" w:hAnsi="宋体" w:eastAsia="宋体" w:cs="宋体"/>
          <w:b/>
          <w:bCs/>
          <w:sz w:val="28"/>
          <w:szCs w:val="28"/>
        </w:rPr>
        <w:t xml:space="preserve">25、对响应文件的审</w:t>
      </w:r>
      <w:bookmarkEnd w:id="193"/>
      <w:r/>
      <w:bookmarkEnd w:id="194"/>
      <w:r/>
      <w:bookmarkEnd w:id="195"/>
      <w:r>
        <w:rPr>
          <w:rFonts w:hint="eastAsia" w:ascii="宋体" w:hAnsi="宋体" w:eastAsia="宋体" w:cs="宋体"/>
          <w:b/>
          <w:bCs/>
          <w:sz w:val="28"/>
          <w:szCs w:val="28"/>
        </w:rPr>
        <w:t xml:space="preserve">查</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25.1</w:t>
      </w:r>
      <w:r>
        <w:rPr>
          <w:rFonts w:hint="eastAsia" w:ascii="宋体" w:hAnsi="宋体" w:eastAsia="宋体" w:cs="宋体"/>
          <w:bCs/>
          <w:sz w:val="24"/>
          <w:szCs w:val="21"/>
        </w:rPr>
        <w:t xml:space="preserve">响应文件审查分为资格审查和符合性审查。</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25.1.1 资格审查：由磋商小组依据法律法规和磋商文件的规定，对响应文件中的资格证明文件进行审查，以确定供应商是否具备参加磋商的资格。</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25.1.2 符合性审查：依据磋商文件的规定，由磋商小组从响应文件的有效性、完整性和对磋商文件的响应程度进行审查，以确定是否对磋商文件的实质性要求作出响应。</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25.1.3 未通过资格审查或符合性审查的供应商，磋商小组将在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中告知未通过资格审查或符合性审查的原因，评审结束后，磋商小组将不再告知未通过资格审查或符合性审查的原因。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25.2</w:t>
      </w:r>
      <w:r>
        <w:rPr>
          <w:rFonts w:hint="eastAsia" w:ascii="宋体" w:hAnsi="宋体" w:eastAsia="宋体" w:cs="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25.3未实质性响应磋商文件的情形</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25.3.1供应商在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规定的时间内未成功解密电子响应文件的。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25.3.2供应商未按照磋商文件要求上传电子响应文件的。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25.3.3供应商同一采购包提交两个（含两个）以上不同的响应文件或者最后报价的。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25.3.4供应商不具备磋商文件中规定资格要求的。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25.3.5供应商的最后报价超过了采购预算。</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25.3.6不符合磋商文件中规定的实质性要求的</w:t>
      </w:r>
      <w:r>
        <w:rPr>
          <w:rFonts w:hint="eastAsia" w:ascii="宋体" w:hAnsi="宋体" w:eastAsia="宋体" w:cs="宋体"/>
          <w:b w:val="0"/>
          <w:bCs w:val="0"/>
          <w:sz w:val="24"/>
          <w:szCs w:val="21"/>
        </w:rPr>
        <w:t xml:space="preserve">。</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25.3.8 响应文件含有采购人不能接受的附加条件的。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25.3.9响应文件未按照磋商文件要求加盖CA电子公章的。</w:t>
      </w:r>
      <w:r/>
    </w:p>
    <w:p>
      <w:pPr>
        <w:ind w:firstLine="480"/>
        <w:jc w:val="left"/>
        <w:pageBreakBefore w:val="0"/>
        <w:spacing w:line="440" w:lineRule="exact"/>
        <w:widowControl w:val="off"/>
        <w:rPr>
          <w:rFonts w:hint="default" w:ascii="宋体" w:hAnsi="宋体" w:eastAsia="宋体" w:cs="宋体"/>
          <w:bCs/>
          <w:sz w:val="24"/>
          <w:szCs w:val="21"/>
          <w:lang w:val="en-US" w:eastAsia="zh-CN"/>
        </w:rPr>
      </w:pPr>
      <w:r>
        <w:rPr>
          <w:rFonts w:hint="eastAsia" w:ascii="宋体" w:hAnsi="宋体" w:eastAsia="宋体" w:cs="宋体"/>
          <w:bCs/>
          <w:sz w:val="24"/>
          <w:szCs w:val="21"/>
          <w:lang w:val="en-US" w:eastAsia="zh-CN"/>
        </w:rPr>
        <w:t xml:space="preserve">25.3.10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25.4未实质性响应磋商文件的响应文件按无效响应处理。</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25.5</w:t>
      </w:r>
      <w:r>
        <w:rPr>
          <w:rFonts w:hint="eastAsia" w:ascii="宋体" w:hAnsi="宋体" w:eastAsia="宋体" w:cs="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jc w:val="left"/>
        <w:pageBreakBefore w:val="0"/>
        <w:spacing w:line="440" w:lineRule="exact"/>
        <w:widowControl w:val="off"/>
        <w:rPr>
          <w:rFonts w:hint="eastAsia" w:ascii="宋体" w:hAnsi="宋体" w:eastAsia="宋体" w:cs="宋体"/>
          <w:sz w:val="24"/>
          <w:szCs w:val="21"/>
        </w:rPr>
      </w:pPr>
      <w:r/>
      <w:bookmarkStart w:id="196" w:name="_Toc20823306"/>
      <w:r/>
      <w:bookmarkStart w:id="197" w:name="_Toc513029234"/>
      <w:r/>
      <w:bookmarkStart w:id="198" w:name="_Toc16938550"/>
      <w:r>
        <w:rPr>
          <w:rFonts w:hint="eastAsia" w:ascii="宋体" w:hAnsi="宋体" w:eastAsia="宋体" w:cs="宋体"/>
          <w:sz w:val="24"/>
          <w:szCs w:val="21"/>
        </w:rPr>
        <w:t xml:space="preserve">25.6供应商在项目评审全过程中应保持通讯畅通，并安排专人与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及磋商小组联系。</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26、</w:t>
      </w:r>
      <w:bookmarkEnd w:id="196"/>
      <w:r/>
      <w:bookmarkEnd w:id="197"/>
      <w:r/>
      <w:bookmarkEnd w:id="198"/>
      <w:r>
        <w:rPr>
          <w:rFonts w:hint="eastAsia" w:ascii="宋体" w:hAnsi="宋体" w:eastAsia="宋体" w:cs="宋体"/>
          <w:b/>
          <w:bCs/>
          <w:sz w:val="28"/>
          <w:szCs w:val="28"/>
        </w:rPr>
        <w:t xml:space="preserve">磋商程序及评审方法和评审标准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26.1磋商程序</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 异常低价响应审查</w:t>
      </w:r>
      <w:r/>
    </w:p>
    <w:p>
      <w:pPr>
        <w:ind w:firstLine="480"/>
        <w:jc w:val="left"/>
        <w:keepLines w:val="0"/>
        <w:keepNext w:val="0"/>
        <w:pageBreakBefore w:val="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26.1.4.1 供应商最后报价出现下列情形之一的，磋商小组应当启动异常低价响应审查程序：</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zh-CN" w:eastAsia="zh-CN"/>
        </w:rPr>
        <w:t xml:space="preserve">（1）</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报价低于全部通过符合性审查供应商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报价平均值50%的，即</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报价&lt;全部通过符合性审查供应商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报价平均值×50%；</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（2）</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报价低于通过符合性审查的次低报价供应商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报价50%的，即</w:t>
      </w:r>
      <w:r>
        <w:rPr>
          <w:rFonts w:hint="eastAsia" w:ascii="宋体" w:hAnsi="宋体" w:eastAsia="宋体" w:cs="宋体"/>
          <w:color w:val="ff0000"/>
          <w:sz w:val="24"/>
          <w:szCs w:val="24"/>
          <w:lang w:val="en-US" w:eastAsia="zh-CN"/>
        </w:rPr>
        <w:t xml:space="preserve">最终响应报价</w:t>
      </w:r>
      <w:r>
        <w:rPr>
          <w:rFonts w:hint="eastAsia" w:ascii="宋体" w:hAnsi="宋体" w:eastAsia="宋体" w:cs="宋体"/>
          <w:color w:val="ff0000"/>
          <w:sz w:val="24"/>
          <w:szCs w:val="24"/>
          <w:lang w:val="zh-CN" w:eastAsia="zh-CN"/>
        </w:rPr>
        <w:t xml:space="preserve">&lt;通过符合性审查的次低报价供应商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报价×50%；</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（3）</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报价低于采购项目最高限价45%的，即</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报价&lt;采购项目最高限价×45%；</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（4）</w:t>
      </w:r>
      <w:r>
        <w:rPr>
          <w:rFonts w:hint="eastAsia" w:ascii="宋体" w:hAnsi="宋体" w:eastAsia="宋体" w:cs="宋体"/>
          <w:color w:val="ff0000"/>
          <w:sz w:val="24"/>
          <w:szCs w:val="24"/>
          <w:lang w:val="en-US" w:eastAsia="zh-CN"/>
        </w:rPr>
        <w:t xml:space="preserve">磋商小组</w:t>
      </w:r>
      <w:r>
        <w:rPr>
          <w:rFonts w:hint="eastAsia" w:ascii="宋体" w:hAnsi="宋体" w:eastAsia="宋体" w:cs="宋体"/>
          <w:color w:val="ff0000"/>
          <w:sz w:val="24"/>
          <w:szCs w:val="24"/>
          <w:lang w:val="zh-CN" w:eastAsia="zh-CN"/>
        </w:rPr>
        <w:t xml:space="preserve">基于专业判断，认为供应商报价过低，有可能影响产品质量或者不能诚信履约的其他情形。</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26.1.4.2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26.2 评审方法和评审标准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26.2.2评审标准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26.3采购活动终止的情况</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26.3.1因情况变化，不再符合规定的竞争性磋商采购方式适用情形的。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26.3.2出现影响采购公正的违法、违规行为的。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26.3.3除本磋商文件第二章第26.1.2条第三款规定的情形外，在采购过程中符合要求的供应商或者最后报价未超过采购预算的供应商不足3家的。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26.3.4在苏采云系统规定时间内成功解密电子响应文件的供应商不足3家的。</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99" w:name="_Toc20823307"/>
      <w:r/>
      <w:bookmarkStart w:id="200" w:name="_Toc513029235"/>
      <w:r/>
      <w:bookmarkStart w:id="201" w:name="_Toc16938551"/>
      <w:r/>
      <w:bookmarkStart w:id="202" w:name="_Toc120614219"/>
      <w:r/>
      <w:bookmarkStart w:id="203" w:name="_Toc10101"/>
      <w:r/>
      <w:bookmarkStart w:id="204" w:name="_Toc21207"/>
      <w:r>
        <w:rPr>
          <w:rFonts w:hint="eastAsia" w:ascii="宋体" w:hAnsi="宋体" w:eastAsia="宋体" w:cs="宋体"/>
          <w:b/>
          <w:bCs/>
          <w:sz w:val="32"/>
          <w:szCs w:val="32"/>
        </w:rPr>
        <w:t xml:space="preserve">六、</w:t>
      </w:r>
      <w:bookmarkEnd w:id="199"/>
      <w:r/>
      <w:bookmarkEnd w:id="200"/>
      <w:r/>
      <w:bookmarkEnd w:id="201"/>
      <w:r/>
      <w:bookmarkEnd w:id="202"/>
      <w:r>
        <w:rPr>
          <w:rFonts w:hint="eastAsia" w:ascii="宋体" w:hAnsi="宋体" w:eastAsia="宋体" w:cs="宋体"/>
          <w:b/>
          <w:bCs/>
          <w:sz w:val="32"/>
          <w:szCs w:val="32"/>
        </w:rPr>
        <w:t xml:space="preserve">成交</w:t>
      </w:r>
      <w:bookmarkEnd w:id="203"/>
      <w:r/>
      <w:bookmarkEnd w:id="204"/>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05" w:name="_Toc513029238"/>
      <w:r/>
      <w:bookmarkStart w:id="206" w:name="_Toc16938554"/>
      <w:r/>
      <w:bookmarkStart w:id="207" w:name="_Toc20823310"/>
      <w:r>
        <w:rPr>
          <w:rFonts w:hint="eastAsia" w:ascii="宋体" w:hAnsi="宋体" w:eastAsia="宋体" w:cs="宋体"/>
          <w:b/>
          <w:bCs w:val="0"/>
          <w:sz w:val="28"/>
          <w:szCs w:val="28"/>
        </w:rPr>
        <w:t xml:space="preserve">27、</w:t>
      </w:r>
      <w:bookmarkEnd w:id="205"/>
      <w:r>
        <w:rPr>
          <w:rFonts w:hint="eastAsia" w:ascii="宋体" w:hAnsi="宋体" w:eastAsia="宋体" w:cs="宋体"/>
          <w:b/>
          <w:bCs w:val="0"/>
          <w:sz w:val="28"/>
          <w:szCs w:val="28"/>
        </w:rPr>
        <w:t xml:space="preserve">确定</w:t>
      </w:r>
      <w:bookmarkEnd w:id="206"/>
      <w:r/>
      <w:bookmarkEnd w:id="207"/>
      <w:r>
        <w:rPr>
          <w:rFonts w:hint="eastAsia" w:ascii="宋体" w:hAnsi="宋体" w:eastAsia="宋体" w:cs="宋体"/>
          <w:b/>
          <w:bCs w:val="0"/>
          <w:sz w:val="28"/>
          <w:szCs w:val="28"/>
        </w:rPr>
        <w:t xml:space="preserve">成交单位</w:t>
      </w:r>
      <w:r/>
    </w:p>
    <w:p>
      <w:pPr>
        <w:ind w:firstLine="480"/>
        <w:jc w:val="left"/>
        <w:keepLines w:val="0"/>
        <w:keepNext w:val="0"/>
        <w:pageBreakBefore w:val="0"/>
        <w:spacing w:line="420" w:lineRule="exact"/>
        <w:widowControl w:val="off"/>
        <w:tabs>
          <w:tab w:val="left" w:pos="900" w:leader="none"/>
        </w:tabs>
        <w:rPr>
          <w:rFonts w:hint="eastAsia" w:ascii="宋体" w:hAnsi="宋体" w:eastAsia="宋体" w:cs="宋体"/>
          <w:sz w:val="24"/>
          <w:szCs w:val="21"/>
        </w:rPr>
      </w:pPr>
      <w:r>
        <w:rPr>
          <w:rFonts w:hint="eastAsia" w:ascii="宋体" w:hAnsi="宋体" w:eastAsia="宋体" w:cs="宋体"/>
          <w:bCs/>
          <w:sz w:val="24"/>
          <w:szCs w:val="21"/>
        </w:rPr>
        <w:t xml:space="preserve">27.1</w:t>
      </w:r>
      <w:r>
        <w:rPr>
          <w:rFonts w:hint="eastAsia" w:ascii="宋体" w:hAnsi="宋体" w:eastAsia="宋体" w:cs="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w:t>
      </w:r>
      <w:r>
        <w:rPr>
          <w:rFonts w:hint="eastAsia" w:ascii="宋体" w:hAnsi="宋体" w:eastAsia="宋体" w:cs="宋体"/>
          <w:sz w:val="24"/>
          <w:szCs w:val="21"/>
          <w:lang w:val="en-US" w:eastAsia="zh-CN"/>
        </w:rPr>
        <w:t xml:space="preserve">由采购人在磋商小组监督下</w:t>
      </w:r>
      <w:r>
        <w:rPr>
          <w:rFonts w:hint="eastAsia" w:ascii="宋体" w:hAnsi="宋体" w:eastAsia="宋体" w:cs="宋体"/>
          <w:sz w:val="24"/>
          <w:szCs w:val="21"/>
        </w:rPr>
        <w:t xml:space="preserve">现场抽签</w:t>
      </w:r>
      <w:r>
        <w:rPr>
          <w:rFonts w:hint="eastAsia" w:ascii="宋体" w:hAnsi="宋体" w:eastAsia="宋体" w:cs="宋体"/>
          <w:sz w:val="24"/>
          <w:szCs w:val="21"/>
          <w:lang w:val="en-US" w:eastAsia="zh-CN"/>
        </w:rPr>
        <w:t xml:space="preserve">确定第一成交候选人</w:t>
      </w:r>
      <w:r>
        <w:rPr>
          <w:rFonts w:hint="eastAsia" w:ascii="宋体" w:hAnsi="宋体" w:eastAsia="宋体" w:cs="宋体"/>
          <w:sz w:val="24"/>
          <w:szCs w:val="21"/>
        </w:rPr>
        <w:t xml:space="preserve">。</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27.2采购人从评审报告提出的成交候选供应商中，按照</w:t>
      </w:r>
      <w:r>
        <w:rPr>
          <w:rFonts w:hint="eastAsia" w:ascii="宋体" w:hAnsi="宋体" w:eastAsia="宋体" w:cs="宋体"/>
          <w:bCs/>
          <w:sz w:val="24"/>
          <w:szCs w:val="21"/>
          <w:lang w:val="en-US" w:eastAsia="zh-CN"/>
        </w:rPr>
        <w:t xml:space="preserve">得分</w:t>
      </w:r>
      <w:r>
        <w:rPr>
          <w:rFonts w:hint="eastAsia" w:ascii="宋体" w:hAnsi="宋体" w:eastAsia="宋体" w:cs="宋体"/>
          <w:bCs/>
          <w:sz w:val="24"/>
          <w:szCs w:val="21"/>
        </w:rPr>
        <w:t xml:space="preserve">排序由高到低的原则确定成交供应商。采购人确定成交供应商后，</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将在“江苏政府采购网”发布成交结果公告，公告期限为1个工作日。</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27.3若有充分证据证明，成交供应商出现下列情况之一的，一经查实，将被取消成交资格：</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27.3.1提供虚假材料谋取成交的。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27.3.2与评审专家、采购人、其他供应商或者</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工作人员恶意串通的。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27.3.3向评审专家、采购人或</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工作人员行贿或者提供其他不正当利益的。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27.3.4恶意竞争，最后报价明显低于其自身合理成本且又无法提供证明的。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27.3.5不满足本磋商文件规定的实质性要求，但在评审过程中又未被磋商小组发现的。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27.3.6成交后无正当理由拒不与采购人签订政府采购合同或者未按照磋商文件确定的事项签订政府采购合同的。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27.3.7将政府采购合同转包的。</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08" w:name="_Toc200451960"/>
      <w:r>
        <w:rPr>
          <w:rFonts w:hint="eastAsia" w:ascii="宋体" w:hAnsi="宋体" w:eastAsia="宋体" w:cs="宋体"/>
          <w:b/>
          <w:bCs w:val="0"/>
          <w:sz w:val="28"/>
          <w:szCs w:val="28"/>
        </w:rPr>
        <w:t xml:space="preserve">28、质疑处理</w:t>
      </w:r>
      <w:bookmarkEnd w:id="208"/>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或采购人提出质疑。上述应知其权益受到损害之日，是指：</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28.2.2对采购过程提出质疑的，为各采购程序环节结束之日。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28.2.3对成交结果提出质疑的，为成交结果公告期限届满之日。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、采购人将只对供应商第一次质疑作出答复。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负责答复。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不接受无快递运单号的快递）。</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泰州中政</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采购人质疑接收人及联系方式见本磋商文件第一章。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 未参加磋商活动的供应商或在磋商活动中自身权益未受到损害的供应商所提出的质疑。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28.5.5供应商组成联合体参加磋商，联合体中任何一方或多方未按要求签字、盖章、加盖公章的质疑。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29、成交通知书</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29.1成交结果确定后，</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将向成交供应商发出成交通知书。请成交供应商在成交结果公告届满之日起30日内,</w:t>
      </w:r>
      <w:r>
        <w:rPr>
          <w:rFonts w:hint="eastAsia" w:ascii="宋体" w:hAnsi="宋体" w:eastAsia="宋体" w:cs="宋体"/>
          <w:sz w:val="24"/>
          <w:szCs w:val="24"/>
          <w:lang w:val="en-US" w:eastAsia="zh-CN"/>
        </w:rPr>
        <w:t xml:space="preserve">至泰州中政领取成交通知书</w:t>
      </w:r>
      <w:r>
        <w:rPr>
          <w:rFonts w:hint="eastAsia" w:ascii="宋体" w:hAnsi="宋体" w:eastAsia="宋体" w:cs="宋体"/>
          <w:sz w:val="24"/>
          <w:szCs w:val="24"/>
        </w:rPr>
        <w:t xml:space="preserve">。</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209" w:name="_Toc30717"/>
      <w:r/>
      <w:bookmarkStart w:id="210" w:name="_Toc16938552"/>
      <w:r/>
      <w:bookmarkStart w:id="211" w:name="_Toc513029236"/>
      <w:r/>
      <w:bookmarkStart w:id="212" w:name="_Toc20823308"/>
      <w:r/>
      <w:bookmarkStart w:id="213" w:name="_Toc120614220"/>
      <w:r/>
      <w:bookmarkStart w:id="214" w:name="_Toc16330"/>
      <w:r>
        <w:rPr>
          <w:rFonts w:hint="eastAsia" w:ascii="宋体" w:hAnsi="宋体" w:eastAsia="宋体" w:cs="宋体"/>
          <w:b/>
          <w:bCs/>
          <w:sz w:val="32"/>
          <w:szCs w:val="32"/>
        </w:rPr>
        <w:t xml:space="preserve">七、授予合同</w:t>
      </w:r>
      <w:bookmarkEnd w:id="209"/>
      <w:r/>
      <w:bookmarkEnd w:id="210"/>
      <w:r/>
      <w:bookmarkEnd w:id="211"/>
      <w:r/>
      <w:bookmarkEnd w:id="212"/>
      <w:r/>
      <w:bookmarkEnd w:id="213"/>
      <w:r/>
      <w:bookmarkEnd w:id="214"/>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15" w:name="_Toc513029237"/>
      <w:r/>
      <w:bookmarkStart w:id="216" w:name="_Toc20823309"/>
      <w:r/>
      <w:bookmarkStart w:id="217" w:name="_Toc16938553"/>
      <w:r>
        <w:rPr>
          <w:rFonts w:hint="eastAsia" w:ascii="宋体" w:hAnsi="宋体" w:eastAsia="宋体" w:cs="宋体"/>
          <w:b/>
          <w:bCs w:val="0"/>
          <w:sz w:val="28"/>
          <w:szCs w:val="28"/>
        </w:rPr>
        <w:t xml:space="preserve">30. 签订合同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30</w:t>
      </w:r>
      <w:r>
        <w:rPr>
          <w:rFonts w:hint="eastAsia" w:ascii="宋体" w:hAnsi="宋体" w:eastAsia="宋体" w:cs="宋体"/>
          <w:sz w:val="24"/>
          <w:szCs w:val="24"/>
        </w:rPr>
        <w:t xml:space="preserve">.l成交供应商应当在成交通知书发出之日起三十日内，按照磋商文件确定的事项与采购人签订政府采购合同。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30.2磋商文件、成交供应商的响应文件及磋商过程中有关澄清、承诺文件均应作为合同附件。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31、标的物的追加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15"/>
      <w:r/>
      <w:bookmarkEnd w:id="216"/>
      <w:r/>
      <w:bookmarkEnd w:id="217"/>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32、政府采购履约资金扶持政策</w:t>
      </w:r>
      <w:r/>
    </w:p>
    <w:p>
      <w:pPr>
        <w:ind w:firstLine="480"/>
        <w:jc w:val="left"/>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成交供应商可凭政府采购合同办理融资贷款，详情请见江苏政府采购网“政采贷”专栏。</w:t>
      </w:r>
      <w:r/>
    </w:p>
    <w:p>
      <w:pPr>
        <w:numPr>
          <w:ilvl w:val="0"/>
          <w:numId w:val="1"/>
        </w:numPr>
        <w:ind w:firstLine="403"/>
        <w:jc w:val="center"/>
        <w:keepLines/>
        <w:keepNext/>
        <w:pageBreakBefore/>
        <w:spacing w:before="200" w:after="200"/>
        <w:widowControl/>
        <w:rPr>
          <w:rFonts w:hint="default" w:ascii="宋体" w:hAnsi="宋体" w:eastAsia="宋体" w:cs="宋体"/>
          <w:b/>
          <w:bCs/>
          <w:sz w:val="44"/>
          <w:szCs w:val="44"/>
          <w:lang w:val="en-US" w:eastAsia="zh-CN"/>
        </w:rPr>
      </w:pPr>
      <w:r/>
      <w:bookmarkStart w:id="218" w:name="_Toc18251"/>
      <w:r>
        <w:rPr>
          <w:rFonts w:hint="eastAsia" w:ascii="宋体" w:hAnsi="宋体" w:eastAsia="宋体" w:cs="宋体"/>
          <w:b/>
          <w:bCs/>
          <w:sz w:val="44"/>
          <w:szCs w:val="44"/>
          <w:lang w:val="en-US" w:eastAsia="zh-CN"/>
        </w:rPr>
        <w:t xml:space="preserve">合同文本</w:t>
      </w:r>
      <w:bookmarkEnd w:id="218"/>
      <w:r/>
      <w:r/>
    </w:p>
    <w:p>
      <w:pPr>
        <w:ind w:left="0" w:firstLine="560"/>
        <w:jc w:val="center"/>
        <w:spacing w:before="156" w:after="156"/>
        <w:rPr>
          <w:rFonts w:ascii="宋体" w:hAnsi="宋体"/>
          <w:b/>
          <w:sz w:val="30"/>
          <w:szCs w:val="21"/>
        </w:rPr>
        <w:outlineLvl w:val="0"/>
      </w:pPr>
      <w:r/>
      <w:bookmarkStart w:id="219" w:name="_Toc32603"/>
      <w:r/>
      <w:bookmarkStart w:id="220" w:name="_Toc11693"/>
      <w:r/>
      <w:bookmarkStart w:id="221" w:name="_Toc84"/>
      <w:r>
        <w:rPr>
          <w:rFonts w:hint="eastAsia" w:ascii="宋体" w:hAnsi="宋体"/>
          <w:b/>
          <w:sz w:val="30"/>
          <w:szCs w:val="21"/>
        </w:rPr>
        <w:t xml:space="preserve">江苏省政府采购合同（合同编号）</w:t>
      </w:r>
      <w:bookmarkEnd w:id="219"/>
      <w:r/>
      <w:bookmarkEnd w:id="220"/>
      <w:r/>
      <w:bookmarkEnd w:id="221"/>
      <w:r/>
      <w:r/>
    </w:p>
    <w:p>
      <w:pPr>
        <w:ind w:left="0" w:firstLine="560"/>
        <w:jc w:val="center"/>
        <w:spacing w:before="156" w:after="156"/>
        <w:rPr>
          <w:rFonts w:hint="eastAsia" w:ascii="宋体" w:hAnsi="宋体"/>
          <w:b/>
          <w:bCs/>
          <w:sz w:val="30"/>
          <w:szCs w:val="20"/>
        </w:rPr>
        <w:outlineLvl w:val="9"/>
      </w:pPr>
      <w:r/>
      <w:bookmarkStart w:id="222" w:name="_Toc9959"/>
      <w:r>
        <w:rPr>
          <w:rFonts w:hint="eastAsia" w:ascii="宋体" w:hAnsi="宋体"/>
          <w:b/>
          <w:sz w:val="30"/>
          <w:szCs w:val="21"/>
        </w:rPr>
        <w:t xml:space="preserve">（适用于服务类项目）</w:t>
      </w:r>
      <w:bookmarkEnd w:id="222"/>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项目名称： ****                                    </w:t>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w:t>
      </w:r>
      <w:r/>
    </w:p>
    <w:p>
      <w:pPr>
        <w:ind w:left="0" w:firstLine="446"/>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ind w:left="0" w:firstLine="446"/>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ind w:left="0" w:firstLine="446"/>
        <w:keepLines w:val="0"/>
        <w:keepNext w:val="0"/>
        <w:pageBreakBefore w:val="0"/>
        <w:spacing w:line="460" w:lineRule="exact"/>
        <w:widowControl w:val="off"/>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3" w:name="_Toc3080"/>
      <w:r/>
      <w:bookmarkStart w:id="224" w:name="_Toc17044"/>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bookmarkEnd w:id="223"/>
      <w:r/>
      <w:bookmarkEnd w:id="224"/>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1.3 标的数量（规模）：</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1.4 履行时间（期限）：</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1.5 履行地点：</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5" w:name="_Toc25567"/>
      <w:r/>
      <w:bookmarkStart w:id="226" w:name="_Toc24230"/>
      <w:r>
        <w:rPr>
          <w:rFonts w:ascii="宋体" w:hAnsi="宋体" w:cs="Courier New"/>
          <w:b/>
          <w:sz w:val="24"/>
          <w:szCs w:val="24"/>
        </w:rPr>
        <w:t xml:space="preserve">二、合同金额</w:t>
      </w:r>
      <w:bookmarkEnd w:id="225"/>
      <w:r/>
      <w:bookmarkEnd w:id="226"/>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2.1 本合同金额为（大写）：_____</w:t>
      </w:r>
      <w:r>
        <w:rPr>
          <w:rFonts w:hint="eastAsia" w:ascii="宋体" w:hAnsi="宋体" w:cs="Courier New"/>
          <w:sz w:val="24"/>
          <w:szCs w:val="24"/>
        </w:rPr>
        <w:t xml:space="preserve">圆</w:t>
      </w:r>
      <w:r>
        <w:rPr>
          <w:rFonts w:ascii="宋体" w:hAnsi="宋体" w:cs="Courier New"/>
          <w:sz w:val="24"/>
          <w:szCs w:val="24"/>
        </w:rPr>
        <w:t xml:space="preserve">（______元）人民币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7" w:name="_Toc24107"/>
      <w:r/>
      <w:bookmarkStart w:id="228" w:name="_Toc19796"/>
      <w:r>
        <w:rPr>
          <w:rFonts w:ascii="宋体" w:hAnsi="宋体" w:cs="Courier New"/>
          <w:b/>
          <w:sz w:val="24"/>
          <w:szCs w:val="24"/>
        </w:rPr>
        <w:t xml:space="preserve">三、技术资料</w:t>
      </w:r>
      <w:bookmarkEnd w:id="227"/>
      <w:r/>
      <w:bookmarkEnd w:id="228"/>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9" w:name="_Toc5532"/>
      <w:r/>
      <w:bookmarkStart w:id="230" w:name="_Toc8434"/>
      <w:r>
        <w:rPr>
          <w:rFonts w:ascii="宋体" w:hAnsi="宋体" w:cs="Courier New"/>
          <w:b/>
          <w:sz w:val="24"/>
          <w:szCs w:val="24"/>
        </w:rPr>
        <w:t xml:space="preserve">四、知识产权</w:t>
      </w:r>
      <w:bookmarkEnd w:id="229"/>
      <w:r/>
      <w:bookmarkEnd w:id="230"/>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ind w:left="0" w:firstLine="482"/>
        <w:keepLines w:val="0"/>
        <w:keepNext w:val="0"/>
        <w:pageBreakBefore w:val="0"/>
        <w:spacing w:line="460" w:lineRule="exact"/>
        <w:widowControl w:val="off"/>
        <w:rPr>
          <w:rFonts w:ascii="宋体" w:hAnsi="宋体" w:cs="Courier New"/>
          <w:sz w:val="24"/>
          <w:szCs w:val="24"/>
          <w:u w:val="single"/>
        </w:rPr>
        <w:outlineLvl w:val="0"/>
      </w:pPr>
      <w:r/>
      <w:bookmarkStart w:id="231" w:name="_Toc31162"/>
      <w:r/>
      <w:bookmarkStart w:id="232" w:name="_Toc3413"/>
      <w:r>
        <w:rPr>
          <w:rFonts w:ascii="宋体" w:hAnsi="宋体" w:cs="Courier New"/>
          <w:b/>
          <w:sz w:val="24"/>
          <w:szCs w:val="24"/>
        </w:rPr>
        <w:t xml:space="preserve">五、产权担保</w:t>
      </w:r>
      <w:bookmarkEnd w:id="231"/>
      <w:r/>
      <w:bookmarkEnd w:id="232"/>
      <w:r/>
      <w:r/>
    </w:p>
    <w:p>
      <w:pPr>
        <w:ind w:left="0" w:firstLine="480"/>
        <w:keepLines w:val="0"/>
        <w:keepNext w:val="0"/>
        <w:pageBreakBefore w:val="0"/>
        <w:spacing w:line="460" w:lineRule="exact"/>
        <w:widowControl w:val="off"/>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33" w:name="_Toc26818"/>
      <w:r/>
      <w:bookmarkStart w:id="234" w:name="_Toc3304"/>
      <w:r>
        <w:rPr>
          <w:rFonts w:ascii="宋体" w:hAnsi="宋体" w:cs="Courier New"/>
          <w:b/>
          <w:sz w:val="24"/>
          <w:szCs w:val="24"/>
        </w:rPr>
        <w:t xml:space="preserve">六、履约保证金</w:t>
      </w:r>
      <w:bookmarkEnd w:id="233"/>
      <w:r/>
      <w:bookmarkEnd w:id="234"/>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w:t>
      </w:r>
      <w:r>
        <w:rPr>
          <w:rFonts w:hint="eastAsia" w:ascii="宋体" w:hAnsi="宋体" w:cs="Courier New"/>
          <w:sz w:val="24"/>
          <w:szCs w:val="24"/>
          <w:lang w:val="en-US" w:eastAsia="zh-CN"/>
        </w:rPr>
        <w:t xml:space="preserve">30</w:t>
      </w:r>
      <w:r>
        <w:rPr>
          <w:rFonts w:hint="eastAsia" w:ascii="宋体" w:hAnsi="宋体" w:cs="Courier New"/>
          <w:sz w:val="24"/>
          <w:szCs w:val="24"/>
        </w:rPr>
        <w:t xml:space="preserve">%</w:t>
      </w:r>
      <w:r>
        <w:rPr>
          <w:rFonts w:hint="eastAsia" w:ascii="宋体" w:hAnsi="宋体" w:cs="Courier New"/>
          <w:sz w:val="24"/>
          <w:szCs w:val="24"/>
          <w:lang w:eastAsia="zh-CN"/>
        </w:rPr>
        <w:t xml:space="preserve">，金额：履约保证金=预算金额×成交费率×</w:t>
      </w:r>
      <w:r>
        <w:rPr>
          <w:rFonts w:hint="eastAsia" w:ascii="宋体" w:hAnsi="宋体" w:cs="Courier New"/>
          <w:sz w:val="24"/>
          <w:szCs w:val="24"/>
          <w:lang w:val="en-US" w:eastAsia="zh-CN"/>
        </w:rPr>
        <w:t xml:space="preserve">30</w:t>
      </w:r>
      <w:r>
        <w:rPr>
          <w:rFonts w:hint="eastAsia" w:ascii="宋体" w:hAnsi="宋体" w:cs="Courier New"/>
          <w:sz w:val="24"/>
          <w:szCs w:val="24"/>
          <w:lang w:eastAsia="zh-CN"/>
        </w:rPr>
        <w:t xml:space="preserve">%</w:t>
      </w:r>
      <w:r>
        <w:rPr>
          <w:rFonts w:hint="eastAsia"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ind w:left="0" w:firstLine="482"/>
        <w:keepLines w:val="0"/>
        <w:keepNext w:val="0"/>
        <w:pageBreakBefore w:val="0"/>
        <w:spacing w:line="460" w:lineRule="exact"/>
        <w:widowControl w:val="off"/>
        <w:rPr>
          <w:rFonts w:ascii="宋体" w:hAnsi="宋体" w:eastAsia="仿宋_GB2312"/>
          <w:b/>
          <w:sz w:val="24"/>
          <w:szCs w:val="24"/>
        </w:rPr>
        <w:outlineLvl w:val="0"/>
      </w:pPr>
      <w:r/>
      <w:bookmarkStart w:id="235" w:name="_Toc22898"/>
      <w:r/>
      <w:bookmarkStart w:id="236" w:name="_Toc4267"/>
      <w:r>
        <w:rPr>
          <w:rFonts w:hint="eastAsia" w:ascii="宋体" w:hAnsi="宋体"/>
          <w:b/>
          <w:sz w:val="24"/>
          <w:szCs w:val="24"/>
        </w:rPr>
        <w:t xml:space="preserve">七、合同转包或分包</w:t>
      </w:r>
      <w:bookmarkEnd w:id="235"/>
      <w:r/>
      <w:bookmarkEnd w:id="236"/>
      <w:r/>
      <w:r/>
    </w:p>
    <w:p>
      <w:pPr>
        <w:ind w:left="0" w:firstLine="480"/>
        <w:keepLines w:val="0"/>
        <w:keepNext w:val="0"/>
        <w:pageBreakBefore w:val="0"/>
        <w:spacing w:line="460" w:lineRule="exact"/>
        <w:widowControl w:val="off"/>
        <w:rPr>
          <w:rFonts w:hint="eastAsia" w:ascii="宋体" w:hAnsi="宋体"/>
          <w:sz w:val="24"/>
          <w:szCs w:val="24"/>
        </w:rPr>
      </w:pPr>
      <w:r>
        <w:rPr>
          <w:rFonts w:hint="eastAsia" w:ascii="宋体" w:hAnsi="宋体"/>
          <w:sz w:val="24"/>
          <w:szCs w:val="24"/>
        </w:rPr>
        <w:t xml:space="preserve">7.1乙方不得将合同标的转包给他人履行。</w:t>
      </w:r>
      <w:r/>
    </w:p>
    <w:p>
      <w:pPr>
        <w:ind w:left="0" w:firstLine="480"/>
        <w:keepLines w:val="0"/>
        <w:keepNext w:val="0"/>
        <w:pageBreakBefore w:val="0"/>
        <w:spacing w:line="460" w:lineRule="exact"/>
        <w:widowControl w:val="off"/>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ind w:left="0" w:firstLine="480"/>
        <w:keepLines w:val="0"/>
        <w:keepNext w:val="0"/>
        <w:pageBreakBefore w:val="0"/>
        <w:spacing w:line="460" w:lineRule="exact"/>
        <w:widowControl w:val="off"/>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37" w:name="_Toc19425"/>
      <w:r/>
      <w:bookmarkStart w:id="238" w:name="_Toc24126"/>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bookmarkEnd w:id="237"/>
      <w:r/>
      <w:bookmarkEnd w:id="238"/>
      <w:r/>
      <w:r/>
    </w:p>
    <w:p>
      <w:pPr>
        <w:ind w:left="0" w:firstLine="480"/>
        <w:keepLines w:val="0"/>
        <w:keepNext w:val="0"/>
        <w:pageBreakBefore w:val="0"/>
        <w:spacing w:line="460" w:lineRule="exact"/>
        <w:widowControl w:val="off"/>
        <w:rPr>
          <w:rFonts w:hint="eastAsia" w:ascii="宋体" w:hAnsi="宋体" w:eastAsia="仿宋"/>
          <w:sz w:val="24"/>
          <w:szCs w:val="24"/>
          <w:lang w:eastAsia="zh-CN"/>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lang w:eastAsia="zh-CN"/>
        </w:rPr>
        <w:t xml:space="preserve">：每月结算一次，乙方每月向甲方提供上个月的配送清单及对应的费用发票、</w:t>
      </w:r>
      <w:r>
        <w:rPr>
          <w:rFonts w:hint="eastAsia" w:ascii="宋体" w:hAnsi="宋体"/>
          <w:sz w:val="24"/>
          <w:szCs w:val="24"/>
          <w:lang w:val="en-US" w:eastAsia="zh-CN"/>
        </w:rPr>
        <w:t xml:space="preserve">兴化市</w:t>
      </w:r>
      <w:r>
        <w:rPr>
          <w:rFonts w:hint="eastAsia" w:ascii="宋体" w:hAnsi="宋体"/>
          <w:sz w:val="24"/>
          <w:szCs w:val="24"/>
          <w:lang w:eastAsia="zh-CN"/>
        </w:rPr>
        <w:t xml:space="preserve">发改委网站公布表，甲方在收到资料并审核通过后按实付款（按合同扣减相关费用）。</w:t>
      </w:r>
      <w:r/>
    </w:p>
    <w:p>
      <w:pPr>
        <w:ind w:left="0" w:firstLine="482"/>
        <w:keepLines w:val="0"/>
        <w:keepNext w:val="0"/>
        <w:pageBreakBefore w:val="0"/>
        <w:spacing w:line="460" w:lineRule="exact"/>
        <w:widowControl w:val="off"/>
        <w:rPr>
          <w:rFonts w:ascii="宋体" w:hAnsi="宋体" w:eastAsia="仿宋_GB2312"/>
          <w:b/>
          <w:sz w:val="24"/>
          <w:szCs w:val="24"/>
        </w:rPr>
        <w:outlineLvl w:val="0"/>
      </w:pPr>
      <w:r/>
      <w:bookmarkStart w:id="239" w:name="_Toc7407"/>
      <w:r/>
      <w:bookmarkStart w:id="240" w:name="_Toc23219"/>
      <w:r>
        <w:rPr>
          <w:rFonts w:hint="eastAsia" w:ascii="宋体" w:hAnsi="宋体"/>
          <w:b/>
          <w:sz w:val="24"/>
          <w:szCs w:val="24"/>
        </w:rPr>
        <w:t xml:space="preserve">九、税费</w:t>
      </w:r>
      <w:bookmarkEnd w:id="239"/>
      <w:r/>
      <w:bookmarkEnd w:id="240"/>
      <w:r/>
      <w:r/>
    </w:p>
    <w:p>
      <w:pPr>
        <w:ind w:left="0" w:firstLine="480"/>
        <w:keepLines w:val="0"/>
        <w:keepNext w:val="0"/>
        <w:pageBreakBefore w:val="0"/>
        <w:spacing w:line="460" w:lineRule="exact"/>
        <w:widowControl w:val="off"/>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1" w:name="_Toc24356"/>
      <w:r/>
      <w:bookmarkStart w:id="242" w:name="_Toc22136"/>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bookmarkEnd w:id="241"/>
      <w:r/>
      <w:bookmarkEnd w:id="242"/>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3" w:name="_Toc25"/>
      <w:r/>
      <w:bookmarkStart w:id="244" w:name="_Toc6824"/>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bookmarkEnd w:id="243"/>
      <w:r/>
      <w:bookmarkEnd w:id="244"/>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5" w:name="_Toc18127"/>
      <w:r/>
      <w:bookmarkStart w:id="246" w:name="_Toc3946"/>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bookmarkEnd w:id="245"/>
      <w:r/>
      <w:bookmarkEnd w:id="246"/>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7" w:name="_Toc15016"/>
      <w:r/>
      <w:bookmarkStart w:id="248" w:name="_Toc20504"/>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bookmarkEnd w:id="247"/>
      <w:r/>
      <w:bookmarkEnd w:id="248"/>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9" w:name="_Toc3809"/>
      <w:r/>
      <w:bookmarkStart w:id="250" w:name="_Toc12954"/>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bookmarkEnd w:id="249"/>
      <w:r/>
      <w:bookmarkEnd w:id="250"/>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  甲方：                        乙方： </w:t>
      </w:r>
      <w:r/>
    </w:p>
    <w:p>
      <w:pPr>
        <w:ind w:left="0" w:firstLine="24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地址：                       </w:t>
      </w:r>
      <w:r>
        <w:rPr>
          <w:rFonts w:hint="eastAsia" w:ascii="宋体" w:hAnsi="宋体" w:cs="Courier New"/>
          <w:sz w:val="24"/>
          <w:szCs w:val="24"/>
        </w:rPr>
        <w:t xml:space="preserve"> </w:t>
      </w:r>
      <w:r>
        <w:rPr>
          <w:rFonts w:ascii="宋体" w:hAnsi="宋体" w:cs="Courier New"/>
          <w:sz w:val="24"/>
          <w:szCs w:val="24"/>
        </w:rPr>
        <w:t xml:space="preserve">地址： </w:t>
      </w:r>
      <w:r/>
    </w:p>
    <w:p>
      <w:pPr>
        <w:ind w:left="0" w:firstLine="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keepLines w:val="0"/>
        <w:keepNext w:val="0"/>
        <w:pageBreakBefore w:val="0"/>
        <w:spacing w:before="120" w:after="120" w:line="420" w:lineRule="exact"/>
        <w:widowControl w:val="off"/>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keepLines w:val="0"/>
        <w:keepNext w:val="0"/>
        <w:pageBreakBefore w:val="0"/>
        <w:spacing w:line="420" w:lineRule="exact"/>
        <w:widowControl w:val="off"/>
        <w:rPr>
          <w:szCs w:val="21"/>
        </w:rPr>
      </w:pPr>
      <w:r>
        <w:rPr>
          <w:rFonts w:hint="eastAsia"/>
          <w:szCs w:val="21"/>
        </w:rPr>
        <w:t xml:space="preserve">                                          </w:t>
      </w:r>
      <w:r/>
    </w:p>
    <w:p>
      <w:pPr>
        <w:ind w:firstLine="480"/>
        <w:jc w:val="right"/>
        <w:keepLines w:val="0"/>
        <w:keepNext w:val="0"/>
        <w:pageBreakBefore w:val="0"/>
        <w:spacing w:line="420" w:lineRule="exact"/>
        <w:widowControl w:val="off"/>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836"/>
        <w:ind w:right="0"/>
        <w:keepLines w:val="0"/>
        <w:keepNext w:val="0"/>
        <w:pageBreakBefore w:val="0"/>
        <w:spacing w:line="5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829"/>
        <w:ind w:left="0" w:right="0"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numPr>
          <w:ilvl w:val="0"/>
          <w:numId w:val="1"/>
        </w:numPr>
        <w:ind w:firstLine="403"/>
        <w:jc w:val="center"/>
        <w:keepLines/>
        <w:keepNext/>
        <w:pageBreakBefore/>
        <w:spacing w:before="200" w:after="200"/>
        <w:widowControl/>
        <w:rPr>
          <w:rFonts w:hint="default" w:ascii="宋体" w:hAnsi="宋体" w:eastAsia="宋体" w:cs="宋体"/>
          <w:b/>
          <w:bCs/>
          <w:sz w:val="44"/>
          <w:szCs w:val="44"/>
          <w:lang w:val="en-US" w:eastAsia="zh-CN"/>
        </w:rPr>
      </w:pPr>
      <w:r/>
      <w:bookmarkStart w:id="251" w:name="_Toc3104"/>
      <w:r>
        <w:rPr>
          <w:rFonts w:hint="eastAsia" w:ascii="宋体" w:hAnsi="宋体" w:eastAsia="宋体" w:cs="宋体"/>
          <w:b/>
          <w:bCs/>
          <w:sz w:val="44"/>
          <w:szCs w:val="44"/>
          <w:lang w:val="en-US" w:eastAsia="zh-CN"/>
        </w:rPr>
        <w:t xml:space="preserve">采购需求</w:t>
      </w:r>
      <w:bookmarkEnd w:id="251"/>
      <w:r/>
      <w:r/>
    </w:p>
    <w:p>
      <w:pPr>
        <w:ind w:firstLine="482"/>
        <w:keepLines w:val="0"/>
        <w:keepNext w:val="0"/>
        <w:pageBreakBefore w:val="0"/>
        <w:spacing w:before="100" w:after="100" w:line="460" w:lineRule="exact"/>
        <w:widowControl w:val="off"/>
        <w:rPr>
          <w:rFonts w:hint="eastAsia" w:ascii="宋体" w:hAnsi="宋体" w:eastAsia="宋体" w:cs="宋体"/>
          <w:b/>
          <w:bCs/>
          <w:sz w:val="24"/>
        </w:rPr>
        <w:outlineLvl w:val="0"/>
      </w:pPr>
      <w:r/>
      <w:bookmarkStart w:id="252" w:name="_Toc25917"/>
      <w:r/>
      <w:bookmarkStart w:id="253" w:name="_Toc28761"/>
      <w:r/>
      <w:bookmarkStart w:id="254" w:name="_Toc16046"/>
      <w:r/>
      <w:bookmarkStart w:id="255" w:name="_Toc22538"/>
      <w:r>
        <w:rPr>
          <w:rFonts w:hint="eastAsia" w:ascii="宋体" w:hAnsi="宋体" w:eastAsia="宋体" w:cs="宋体"/>
          <w:b/>
          <w:bCs/>
          <w:sz w:val="24"/>
        </w:rPr>
        <w:t xml:space="preserve">一、采购标的清单</w:t>
      </w:r>
      <w:bookmarkEnd w:id="252"/>
      <w:r/>
      <w:bookmarkEnd w:id="253"/>
      <w:r/>
      <w:r/>
    </w:p>
    <w:tbl>
      <w:tblPr>
        <w:tblStyle w:val="819"/>
        <w:tblW w:w="0" w:type="auto"/>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44"/>
        <w:gridCol w:w="1281"/>
        <w:gridCol w:w="1877"/>
        <w:gridCol w:w="2198"/>
      </w:tblGrid>
      <w:tr>
        <w:trPr/>
        <w:tc>
          <w:tcPr>
            <w:tcW w:w="81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采购包号</w:t>
            </w:r>
            <w:r/>
          </w:p>
        </w:tc>
        <w:tc>
          <w:tcPr>
            <w:tcW w:w="1944"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采购标的</w:t>
            </w:r>
            <w:r/>
          </w:p>
        </w:tc>
        <w:tc>
          <w:tcPr>
            <w:tcW w:w="128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采购预算</w:t>
            </w:r>
            <w:r/>
          </w:p>
        </w:tc>
        <w:tc>
          <w:tcPr>
            <w:tcW w:w="1877"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项目属性</w:t>
            </w:r>
            <w:r/>
          </w:p>
        </w:tc>
        <w:tc>
          <w:tcPr>
            <w:tcW w:w="2198"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对应中小企业划分标准所属行业</w:t>
            </w:r>
            <w:r/>
          </w:p>
        </w:tc>
      </w:tr>
      <w:tr>
        <w:trPr/>
        <w:tc>
          <w:tcPr>
            <w:tcW w:w="81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p>
        </w:tc>
        <w:tc>
          <w:tcPr>
            <w:tcW w:w="1944"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兴化市“一老一小”监管平台维保服务采购</w:t>
            </w:r>
            <w:r/>
          </w:p>
        </w:tc>
        <w:tc>
          <w:tcPr>
            <w:tcW w:w="128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150万元</w:t>
            </w:r>
            <w:r/>
          </w:p>
        </w:tc>
        <w:tc>
          <w:tcPr>
            <w:tcW w:w="1877"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软件运维服务类项目</w:t>
            </w:r>
            <w:r/>
          </w:p>
        </w:tc>
        <w:tc>
          <w:tcPr>
            <w:tcW w:w="2198"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软件和信息技术服务</w:t>
            </w:r>
            <w:r/>
          </w:p>
        </w:tc>
      </w:tr>
    </w:tbl>
    <w:p>
      <w:pPr>
        <w:ind w:firstLine="482"/>
        <w:jc w:val="left"/>
        <w:keepLines w:val="0"/>
        <w:keepNext w:val="0"/>
        <w:pageBreakBefore w:val="0"/>
        <w:spacing w:before="100" w:after="100" w:line="460" w:lineRule="exact"/>
        <w:widowControl w:val="off"/>
        <w:rPr>
          <w:rFonts w:hint="default" w:ascii="宋体" w:hAnsi="宋体" w:eastAsia="宋体" w:cs="宋体"/>
          <w:b/>
          <w:bCs/>
          <w:sz w:val="24"/>
          <w:lang w:val="en-US" w:eastAsia="zh-CN"/>
        </w:rPr>
        <w:outlineLvl w:val="0"/>
      </w:pPr>
      <w:r/>
      <w:bookmarkStart w:id="256" w:name="_Toc23006"/>
      <w:r/>
      <w:bookmarkStart w:id="257" w:name="_Toc11031"/>
      <w:r/>
      <w:bookmarkStart w:id="258" w:name="_Toc18080"/>
      <w:r/>
      <w:bookmarkStart w:id="259" w:name="_Toc21886"/>
      <w:r>
        <w:rPr>
          <w:rFonts w:hint="eastAsia" w:ascii="宋体" w:hAnsi="宋体" w:eastAsia="宋体" w:cs="宋体"/>
          <w:b/>
          <w:bCs/>
          <w:sz w:val="24"/>
          <w:lang w:val="en-US" w:eastAsia="zh-CN"/>
        </w:rPr>
        <w:t xml:space="preserve">二、项目</w:t>
      </w:r>
      <w:bookmarkEnd w:id="256"/>
      <w:r/>
      <w:bookmarkEnd w:id="257"/>
      <w:r>
        <w:rPr>
          <w:rFonts w:hint="eastAsia" w:ascii="宋体" w:hAnsi="宋体" w:eastAsia="宋体" w:cs="宋体"/>
          <w:b/>
          <w:bCs/>
          <w:sz w:val="24"/>
          <w:lang w:val="en-US" w:eastAsia="zh-CN"/>
        </w:rPr>
        <w:t xml:space="preserve">概况</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bookmarkStart w:id="260" w:name="_Toc13675"/>
      <w:r/>
      <w:bookmarkStart w:id="261" w:name="_Toc3093"/>
      <w:r>
        <w:rPr>
          <w:rFonts w:hint="eastAsia" w:ascii="宋体" w:hAnsi="宋体" w:eastAsia="宋体" w:cs="宋体"/>
          <w:sz w:val="24"/>
          <w:szCs w:val="24"/>
          <w:lang w:val="en-US" w:eastAsia="zh-CN"/>
        </w:rPr>
        <w:t xml:space="preserve">（一）服务时间</w:t>
      </w:r>
      <w:bookmarkEnd w:id="260"/>
      <w:r/>
      <w:bookmarkEnd w:id="261"/>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兴化市“一老一小”监管平台由兴化市民政局于2021年7月正式启动建设工作，首次合同期限为30个月,费用286万（含未成年关爱保护项目），通过公开招标由兴化市企盟计算机软件有限公司负责开发和运维。平台上线后，于2024年6月完成首次功能优化升级，合同期限为24个月，费用198.89万，通过公开招标由中电鸿信信息科技有限公司负责运维。</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本次项目针对兴化市已建成运行的“一老一小”监管平台提供全周期运维服务。项目服务周期为24个月，其中前2个月须完成平台相关功能的优化升级，并同步开展常态化运维保障，确保平台服务周期无缝衔接。</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运维期间须完成原有平台系统功能的升级完善、驻场运营支撑及安全合规保障，持续强化平台在养老服务的监管效能，契合兴化市26个镇街全覆盖的民生服务格局，推动平台从基础信息化管理向智能化监管稳步迈进。</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兴化市“一老一小”监管平台初期建设范畴涵盖养老服务监管与未成年人关爱保护两大业务板块。按照江苏省民政厅关于未成年人保护工作的统一信息化部署要求，全省未成年人关爱保护业务已统一归集至“苏童成长”平台规范运行，本市原有未成年人关爱保护相关功能模块已同步停用。</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上述业务调整，本次24个月运维服务的服务边界、功能升级任务、驻场团队配置、考核指标体系及150万元资金预算均不涉及未成年人关爱保护平台相关事项，全部运维工作仅围绕平台养老服务监管板块展开，聚焦养老助餐服务AI升级、AI智慧助浴系统完善、驻场运营支撑、网络安全合规保障等养老领域核心任务，保障养老服务监管板块平稳运行与迭代升级。</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bookmarkStart w:id="262" w:name="_Toc32474"/>
      <w:r>
        <w:rPr>
          <w:rFonts w:hint="eastAsia" w:ascii="宋体" w:hAnsi="宋体" w:eastAsia="宋体" w:cs="宋体"/>
          <w:sz w:val="24"/>
          <w:szCs w:val="24"/>
          <w:lang w:val="en-US" w:eastAsia="zh-CN"/>
        </w:rPr>
        <w:t xml:space="preserve">（二）</w:t>
      </w:r>
      <w:bookmarkEnd w:id="262"/>
      <w:r/>
      <w:bookmarkStart w:id="263" w:name="_Toc21189"/>
      <w:r/>
      <w:bookmarkStart w:id="264" w:name="_Toc21499"/>
      <w:r>
        <w:rPr>
          <w:rFonts w:hint="eastAsia" w:ascii="宋体" w:hAnsi="宋体" w:eastAsia="宋体" w:cs="宋体"/>
          <w:sz w:val="24"/>
          <w:szCs w:val="24"/>
          <w:lang w:val="en-US" w:eastAsia="zh-CN"/>
        </w:rPr>
        <w:t xml:space="preserve">功能作用</w:t>
      </w:r>
      <w:bookmarkEnd w:id="263"/>
      <w:r/>
      <w:bookmarkEnd w:id="264"/>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1.功能作用</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兴化市“一老一小”监管平台是集服务供给、过程监管、数据分析、应急响应于一体的智慧民生服务平台，通过整合线上系统与线下服务资源，构建“养老服务精准化、监管考核智能化”的服务管理体系。平台依托大数据技术实现服务对象精准画像，通过实时数据采集、智能预警、工单流转等功能，打通服务供给与需求对接的“最后一公里”，为民政部门、服务机构、从业人员及服务对象提供全链条支撑。</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平台核心功能模块分为四大类，具体如下：</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智慧助餐\助浴服务模块：涵盖PC管理后台、微信小程序端，实现助餐\助浴需求在线申报、订单智能分派、订单轨迹追踪、服务满意度评价等功能。助老员需在服务对象定位范围内完成签到确认，确保服务真实可追溯。</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服务”服务监管模块：养老服务端实现养老机构运营状态、居家养老服务过程、特殊困难老年人探访等监管功能；模块支持跨部门数据共享，民政、乡镇（街道）、服务机构可根据权限获取对应数据，形成监管闭环。</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专业化客服中心模块：整合政策咨询、服务预约、投诉受理等功能，提供“一站式”民生服务通道。客服人员可实时录入咨询信息，跟踪工单处理进度，确保问题100%办结回复，同时自动统计客服数据形成月度报告。</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数据统计分析模块：自动汇总平台各类数据，生成养老服务供给、服务质量评价等统计报表，通过可视化图表展示服务覆盖情况、资源配置效率等核心指标，为政策制定和服务优化提供数据支撑。</w:t>
      </w:r>
      <w:r/>
    </w:p>
    <w:p>
      <w:pPr>
        <w:ind w:left="0" w:firstLine="560"/>
        <w:keepLines w:val="0"/>
        <w:keepNext w:val="0"/>
        <w:pageBreakBefore w:val="0"/>
        <w:spacing w:line="42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2.应用成效</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bookmarkStart w:id="265" w:name="_Toc12674"/>
      <w:r/>
      <w:bookmarkStart w:id="266" w:name="_Toc12090"/>
      <w:r>
        <w:rPr>
          <w:rFonts w:hint="eastAsia" w:ascii="宋体" w:hAnsi="宋体" w:eastAsia="宋体" w:cs="宋体"/>
          <w:sz w:val="24"/>
          <w:szCs w:val="24"/>
        </w:rPr>
        <w:t xml:space="preserve">兴化市“</w:t>
      </w:r>
      <w:r>
        <w:rPr>
          <w:rFonts w:hint="eastAsia" w:ascii="宋体" w:hAnsi="宋体" w:eastAsia="宋体" w:cs="宋体"/>
          <w:sz w:val="24"/>
          <w:szCs w:val="24"/>
          <w:lang w:eastAsia="zh-CN"/>
        </w:rPr>
        <w:t xml:space="preserve">一老一小</w:t>
      </w:r>
      <w:r>
        <w:rPr>
          <w:rFonts w:hint="eastAsia" w:ascii="宋体" w:hAnsi="宋体" w:eastAsia="宋体" w:cs="宋体"/>
          <w:sz w:val="24"/>
          <w:szCs w:val="24"/>
        </w:rPr>
        <w:t xml:space="preserve">”监管平台成效显著，核心在于通过数字化手段打破信息壁垒，实现服务的精准化、监管的智能化、治理的高效化。</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1.精准匹配供需，实现“政策找人”</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整合了民政、医保、教育等多部门数据，建立了老年人的精准数据库，涵盖90566名空巢独居老人的信息。</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推动养老服务等政策的主动触达，实现了从“人找政策”到“政策找人”的转变。</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2.创新服务场景，覆盖全周期需求</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养老服务方面，推出了居家养老上门服务；自平台运营以来，已提供上门服务228.9742万次，提供助餐服务75.61万次。</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二、</w:t>
      </w:r>
      <w:bookmarkEnd w:id="265"/>
      <w:r/>
      <w:bookmarkEnd w:id="266"/>
      <w:r>
        <w:rPr>
          <w:rFonts w:hint="eastAsia" w:ascii="宋体" w:hAnsi="宋体" w:eastAsia="宋体" w:cs="宋体"/>
          <w:b/>
          <w:bCs/>
          <w:sz w:val="24"/>
          <w:lang w:val="en-US" w:eastAsia="zh-CN"/>
        </w:rPr>
        <w:t xml:space="preserve">项目实施方案</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bookmarkStart w:id="267" w:name="_Toc10299"/>
      <w:r/>
      <w:bookmarkStart w:id="268" w:name="_Toc196"/>
      <w:r>
        <w:rPr>
          <w:rFonts w:hint="eastAsia" w:ascii="宋体" w:hAnsi="宋体" w:eastAsia="宋体" w:cs="宋体"/>
          <w:sz w:val="24"/>
          <w:szCs w:val="24"/>
          <w:lang w:val="en-US" w:eastAsia="zh-CN"/>
        </w:rPr>
        <w:t xml:space="preserve">（一）运维时间</w:t>
      </w:r>
      <w:bookmarkEnd w:id="267"/>
      <w:r/>
      <w:bookmarkEnd w:id="268"/>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本运维时间：无缝衔接平台现有服务周期，周期为24个月（含2个月平台升级期）。</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bookmarkStart w:id="269" w:name="_Toc18608"/>
      <w:r/>
      <w:bookmarkStart w:id="270" w:name="_Toc18626"/>
      <w:r>
        <w:rPr>
          <w:rFonts w:hint="eastAsia" w:ascii="宋体" w:hAnsi="宋体" w:eastAsia="宋体" w:cs="宋体"/>
          <w:sz w:val="24"/>
          <w:szCs w:val="24"/>
          <w:lang w:val="en-US" w:eastAsia="zh-CN"/>
        </w:rPr>
        <w:t xml:space="preserve">（二）运维目标</w:t>
      </w:r>
      <w:bookmarkEnd w:id="269"/>
      <w:r/>
      <w:bookmarkEnd w:id="270"/>
      <w:r/>
      <w:r/>
    </w:p>
    <w:p>
      <w:pPr>
        <w:ind w:left="0" w:firstLine="560"/>
        <w:keepLines w:val="0"/>
        <w:keepNext w:val="0"/>
        <w:pageBreakBefore w:val="0"/>
        <w:spacing w:line="420" w:lineRule="exact"/>
        <w:widowControl w:val="off"/>
        <w:rPr>
          <w:rFonts w:hint="eastAsia" w:ascii="宋体" w:hAnsi="宋体" w:eastAsia="宋体" w:cs="宋体"/>
          <w:sz w:val="24"/>
          <w:szCs w:val="24"/>
        </w:rPr>
      </w:pPr>
      <w:r/>
      <w:bookmarkStart w:id="271" w:name="_Toc18341"/>
      <w:r>
        <w:rPr>
          <w:rFonts w:hint="eastAsia" w:ascii="宋体" w:hAnsi="宋体" w:eastAsia="宋体" w:cs="宋体"/>
          <w:sz w:val="24"/>
          <w:szCs w:val="24"/>
        </w:rPr>
        <w:t xml:space="preserve">为全面落实国家、省、市关于智慧养老、智慧民政、AI赋能民生工作部署，本运维服务对养老助餐服务AI升级、并同步升级补充AI智慧助浴系统,实现从信息化到智能化的跨越式升级，真正做到数据多跑路、人员少跑腿、监管无死角、服务有温度。</w:t>
      </w:r>
      <w:r/>
    </w:p>
    <w:p>
      <w:pPr>
        <w:ind w:left="0" w:firstLine="56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所有系统功能升级完善工作均基于原有兴化市“</w:t>
      </w:r>
      <w:r>
        <w:rPr>
          <w:rFonts w:hint="eastAsia" w:ascii="宋体" w:hAnsi="宋体" w:eastAsia="宋体" w:cs="宋体"/>
          <w:sz w:val="24"/>
          <w:szCs w:val="24"/>
          <w:lang w:eastAsia="zh-CN"/>
        </w:rPr>
        <w:t xml:space="preserve">一老一小</w:t>
      </w:r>
      <w:r>
        <w:rPr>
          <w:rFonts w:hint="eastAsia" w:ascii="宋体" w:hAnsi="宋体" w:eastAsia="宋体" w:cs="宋体"/>
          <w:sz w:val="24"/>
          <w:szCs w:val="24"/>
        </w:rPr>
        <w:t xml:space="preserve">”监管平台架构开展，不得脱离现有平台独立建设，确保与原有系统数据互通、业务连贯、账号体系统一。</w:t>
      </w:r>
      <w:r/>
    </w:p>
    <w:p>
      <w:pPr>
        <w:ind w:left="0" w:firstLine="56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升级完善后的平台需符合国家、省、市民政行业信息化建设规范，满足《中华人民共和国个人信息保护法》《网络安全等级保护条例》等法律法规要求，持续保持网络安全等级保护二级合规水平。</w:t>
      </w:r>
      <w:r/>
    </w:p>
    <w:p>
      <w:pPr>
        <w:ind w:left="0" w:firstLine="56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服务期内运维保障平台7×24小时稳定运行；故障响应时间不超过30分钟，一般故障2小时内修复，重大故障3小时内提出解决方案并推进处置。</w:t>
      </w:r>
      <w:r/>
    </w:p>
    <w:p>
      <w:pPr>
        <w:ind w:left="0" w:firstLine="56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所有升级功能需满足国产化需求，且适配原有PC管理端、各角色小程序端、指挥中心大屏端，实现多端数据实时同步、操作流程一致。</w:t>
      </w:r>
      <w:r/>
    </w:p>
    <w:p>
      <w:pPr>
        <w:ind w:left="0" w:firstLine="56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项目实施过程中不得影响原有平台正常业务运行，升级操作需在非业务高峰时段开展，保障业务连续性。</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w:t>
      </w:r>
      <w:bookmarkEnd w:id="271"/>
      <w:r/>
      <w:bookmarkStart w:id="272" w:name="_Toc24870"/>
      <w:r/>
      <w:bookmarkStart w:id="273" w:name="_Toc24659"/>
      <w:r>
        <w:rPr>
          <w:rFonts w:hint="eastAsia" w:ascii="宋体" w:hAnsi="宋体" w:eastAsia="宋体" w:cs="宋体"/>
          <w:b/>
          <w:bCs/>
          <w:sz w:val="24"/>
          <w:szCs w:val="24"/>
          <w:lang w:val="en-US" w:eastAsia="zh-CN"/>
        </w:rPr>
        <w:t xml:space="preserve">运维计划</w:t>
      </w:r>
      <w:bookmarkEnd w:id="272"/>
      <w:r/>
      <w:bookmarkEnd w:id="273"/>
      <w:r/>
      <w:r/>
    </w:p>
    <w:p>
      <w:pPr>
        <w:ind w:left="0" w:firstLine="560"/>
        <w:keepLines w:val="0"/>
        <w:keepNext w:val="0"/>
        <w:pageBreakBefore w:val="0"/>
        <w:spacing w:line="42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1.总体运维需求</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（1）核心升级与运维需求</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功能完善需求：本运维服务对养老助餐服务AI升级、并同步升级补充AI智慧助浴系统。</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运维保障需求：组建专业驻场运维团队，提供7×24小时运维服务，涵盖平台运行监控、故障处置、版本迭代、数据备份、安全防护等全环节，保障平台稳定运行。</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合规建设需求：完成等保二级测评及年度复测、整改，完善数据脱敏、访问控制、日志审计等安全功能，确保老年人敏感信息的合规保护。</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驻场服务需求：配置2年全职驻场团队，完成政策咨询、投诉受理、服务预约、工单回访、数据录入、报表生成及平台日常运维等全业务服务。</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（2）“养老服务”服务监管平台运营升级详细参数</w:t>
      </w:r>
      <w:r/>
    </w:p>
    <w:tbl>
      <w:tblPr>
        <w:tblStyle w:val="789"/>
        <w:tblW w:w="8236" w:type="dxa"/>
        <w:jc w:val="center"/>
        <w:tblLayout w:type="fixed"/>
        <w:tblCellMar>
          <w:left w:w="108" w:type="dxa"/>
          <w:top w:w="0" w:type="dxa"/>
          <w:right w:w="108" w:type="dxa"/>
          <w:bottom w:w="0" w:type="dxa"/>
        </w:tblCellMar>
        <w:tblLook w:val="04A0" w:firstRow="1" w:lastRow="0" w:firstColumn="1" w:lastColumn="0" w:noHBand="0" w:noVBand="1"/>
      </w:tblPr>
      <w:tblGrid>
        <w:gridCol w:w="811"/>
        <w:gridCol w:w="1255"/>
        <w:gridCol w:w="2850"/>
        <w:gridCol w:w="818"/>
        <w:gridCol w:w="805"/>
        <w:gridCol w:w="1697"/>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4105"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要求配置</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平台升级</w:t>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养老服务综合监管平台实现</w:t>
            </w:r>
            <w:r>
              <w:rPr>
                <w:rFonts w:hint="eastAsia" w:ascii="仿宋" w:hAnsi="仿宋" w:eastAsia="仿宋" w:cs="仿宋"/>
                <w:sz w:val="24"/>
                <w:szCs w:val="24"/>
              </w:rPr>
              <w:t xml:space="preserve">养老助餐服务AI升级以及升级补充AI智慧助浴系统</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详见服务范围</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平台运维</w:t>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cs="仿宋"/>
                <w:color w:val="000000"/>
                <w:sz w:val="24"/>
                <w:szCs w:val="24"/>
                <w:lang w:eastAsia="zh-CN" w:bidi="ar"/>
              </w:rPr>
              <w:t xml:space="preserve">“养老服务”</w:t>
            </w:r>
            <w:r>
              <w:rPr>
                <w:rFonts w:hint="eastAsia" w:ascii="仿宋" w:hAnsi="仿宋" w:eastAsia="仿宋" w:cs="仿宋"/>
                <w:color w:val="000000"/>
                <w:sz w:val="24"/>
                <w:szCs w:val="24"/>
                <w:lang w:bidi="ar"/>
              </w:rPr>
              <w:t xml:space="preserve">服务监管平台运维</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详见服务范围</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客服中心</w:t>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val="en-US" w:eastAsia="zh-CN" w:bidi="ar"/>
              </w:rPr>
              <w:t xml:space="preserve">6</w:t>
            </w:r>
            <w:r>
              <w:rPr>
                <w:rFonts w:hint="eastAsia" w:ascii="仿宋" w:hAnsi="仿宋" w:eastAsia="仿宋" w:cs="仿宋"/>
                <w:color w:val="000000"/>
                <w:sz w:val="24"/>
                <w:szCs w:val="24"/>
                <w:lang w:bidi="ar"/>
              </w:rPr>
              <w:t xml:space="preserve">名（组长1人，组员</w:t>
            </w:r>
            <w:r>
              <w:rPr>
                <w:rFonts w:hint="eastAsia" w:ascii="仿宋" w:hAnsi="仿宋" w:eastAsia="仿宋" w:cs="仿宋"/>
                <w:color w:val="000000"/>
                <w:sz w:val="24"/>
                <w:szCs w:val="24"/>
                <w:lang w:val="en-US" w:eastAsia="zh-CN" w:bidi="ar"/>
              </w:rPr>
              <w:t xml:space="preserve">4</w:t>
            </w:r>
            <w:r>
              <w:rPr>
                <w:rFonts w:hint="eastAsia" w:ascii="仿宋" w:hAnsi="仿宋" w:eastAsia="仿宋" w:cs="仿宋"/>
                <w:color w:val="000000"/>
                <w:sz w:val="24"/>
                <w:szCs w:val="24"/>
                <w:lang w:bidi="ar"/>
              </w:rPr>
              <w:t xml:space="preserve">人，驻场技术人员1人）。需为客服人员缴纳社保</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详见服务范围</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sz w:val="24"/>
                <w:szCs w:val="24"/>
              </w:rPr>
              <w:t xml:space="preserve">信息化网络安全管理</w:t>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cs="仿宋"/>
                <w:color w:val="000000"/>
                <w:sz w:val="24"/>
                <w:szCs w:val="24"/>
                <w:lang w:eastAsia="zh-CN" w:bidi="ar"/>
              </w:rPr>
              <w:t xml:space="preserve">“养老服务”</w:t>
            </w:r>
            <w:r>
              <w:rPr>
                <w:rFonts w:hint="eastAsia" w:ascii="仿宋" w:hAnsi="仿宋" w:eastAsia="仿宋" w:cs="仿宋"/>
                <w:color w:val="000000"/>
                <w:sz w:val="24"/>
                <w:szCs w:val="24"/>
                <w:lang w:bidi="ar"/>
              </w:rPr>
              <w:t xml:space="preserve">服务监管平台安全等级保护评定及整改</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须满足网络安全二级等保及完成整改工作</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restart"/>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255" w:type="dxa"/>
            <w:vAlign w:val="center"/>
            <w:vMerge w:val="restart"/>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其他费用</w:t>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云端服务器租用费</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VCPU≥16核、内存≥32GB、存储≥1TB，支持弹性扩容</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光纤接入租用</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不低于100M</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000000" w:sz="4" w:space="0"/>
              <w:left w:val="single" w:color="auto" w:sz="4" w:space="0"/>
              <w:bottom w:val="single" w:color="auto"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人脸识别</w:t>
            </w:r>
            <w:r/>
          </w:p>
        </w:tc>
        <w:tc>
          <w:tcPr>
            <w:tcBorders>
              <w:top w:val="single" w:color="000000" w:sz="4" w:space="0"/>
              <w:left w:val="single" w:color="000000" w:sz="4" w:space="0"/>
              <w:bottom w:val="single" w:color="auto"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auto"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auto"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约400万次</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000000" w:sz="4" w:space="0"/>
              <w:left w:val="single" w:color="auto" w:sz="4" w:space="0"/>
              <w:bottom w:val="single" w:color="auto"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短信</w:t>
            </w:r>
            <w:r/>
          </w:p>
        </w:tc>
        <w:tc>
          <w:tcPr>
            <w:tcBorders>
              <w:top w:val="single" w:color="000000" w:sz="4" w:space="0"/>
              <w:left w:val="single" w:color="000000" w:sz="4" w:space="0"/>
              <w:bottom w:val="single" w:color="auto"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auto"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auto"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约4万条</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000000" w:sz="4" w:space="0"/>
              <w:left w:val="single" w:color="auto" w:sz="4" w:space="0"/>
              <w:bottom w:val="single" w:color="auto"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算力服务</w:t>
            </w:r>
            <w:r/>
          </w:p>
        </w:tc>
        <w:tc>
          <w:tcPr>
            <w:tcBorders>
              <w:top w:val="single" w:color="000000" w:sz="4" w:space="0"/>
              <w:left w:val="single" w:color="000000" w:sz="4" w:space="0"/>
              <w:bottom w:val="single" w:color="auto"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auto"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auto"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20B token</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台式电脑</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697" w:type="dxa"/>
            <w:vAlign w:val="center"/>
            <w:vMerge w:val="restart"/>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用于日常办公，服务商自行提供</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打印机</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高速扫描仪</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电话</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配套办公设备</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硬件、设备维修</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配件、耗材</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left="0" w:firstLine="561"/>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（3）业务需求</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核心用户：</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兴化市老年群体、养老服务机构、政府监管部门；</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主要业务：</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养老服务综合监管平台实现养老助餐服务AI升级以及升级补充AI智慧助浴系统。</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“养老服务”服务监管平台运维：提供远程支持、现场技术服务、定期跟踪等售后保障。</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客服中心服务：支持电话咨询、投诉受理、服务预约、回访调研、数据统计分析等功能，实现服务全程留痕。</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信息化网络安全：满足网络安全二级等保及完成整改工作。</w:t>
      </w:r>
      <w:r/>
    </w:p>
    <w:p>
      <w:pPr>
        <w:numPr>
          <w:ilvl w:val="0"/>
          <w:numId w:val="2"/>
        </w:num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技术需求</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部署需求：泰州政务云，VCPU≥16核、内存≥32GB、存储≥1TB，弹性扩容。</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性能需求：支持同时在线用户数≥500人，并发请求≥100次/秒，系统响应≤3秒。</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接需求：按需对接泰州通、泰政通、市级数据平台、信创园，确保与原有系统数据互通、业务连贯、账号体系统一。本平台严格遵循国家信息技术应用创新（信创）战略要求，坚持"全面适配、分步实施、安全可控、平滑过渡"的总体原则，在平台设计、开发、部署各环节全面考虑信创兼容性，确保平台可在国产化软硬件环境下稳定运行。数据层采用标准化接口，支持国产数据库迁移；前端采用响应式设计，全面兼容国产浏览器。信创迁移不改变平台业务功能和用户操作习惯，确保迁移过程业务不中断、数据不丢失。</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安全需求：等保二级、数据脱敏、加密传输、加密存储、双重身份认证、全日志审计。</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AI技术需求：计算机视觉（人脸识别、图像识别）、深度学习算法。</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设备需求：适配国产电脑、小程序、移动端、大数据大屏、人脸识别终端。</w:t>
      </w:r>
      <w:r/>
    </w:p>
    <w:p>
      <w:pPr>
        <w:ind w:left="0" w:firstLine="560"/>
        <w:keepLines w:val="0"/>
        <w:keepNext w:val="0"/>
        <w:pageBreakBefore w:val="0"/>
        <w:spacing w:line="420" w:lineRule="exact"/>
        <w:widowControl w:val="off"/>
        <w:rPr>
          <w:rFonts w:hint="eastAsia" w:ascii="宋体" w:hAnsi="宋体" w:eastAsia="方正仿宋_GBK" w:cs="宋体"/>
          <w:b/>
          <w:bCs/>
          <w:sz w:val="28"/>
          <w:szCs w:val="28"/>
          <w:lang w:val="en-US" w:eastAsia="zh-CN"/>
        </w:rPr>
      </w:pPr>
      <w:r>
        <w:rPr>
          <w:rFonts w:hint="eastAsia" w:ascii="宋体" w:hAnsi="宋体" w:eastAsia="宋体" w:cs="宋体"/>
          <w:b/>
          <w:bCs/>
          <w:sz w:val="28"/>
          <w:szCs w:val="28"/>
          <w:lang w:val="en-US" w:eastAsia="zh-CN"/>
        </w:rPr>
        <w:t xml:space="preserve">2.平台升级建设要求</w:t>
      </w:r>
      <w:r/>
    </w:p>
    <w:p>
      <w:pPr>
        <w:ind w:firstLine="482"/>
        <w:keepLines w:val="0"/>
        <w:keepNext w:val="0"/>
        <w:pageBreakBefore w:val="0"/>
        <w:spacing w:line="420" w:lineRule="exact"/>
        <w:widowControl w:val="off"/>
        <w:rPr>
          <w:rFonts w:hint="eastAsia" w:ascii="宋体" w:hAnsi="宋体" w:eastAsia="宋体" w:cs="宋体"/>
          <w:b/>
          <w:bCs/>
          <w:sz w:val="24"/>
          <w:szCs w:val="24"/>
        </w:rPr>
      </w:pPr>
      <w:r/>
      <w:bookmarkStart w:id="274" w:name="heading_4"/>
      <w:r>
        <w:rPr>
          <w:rFonts w:hint="eastAsia" w:ascii="宋体" w:hAnsi="宋体" w:eastAsia="宋体" w:cs="宋体"/>
          <w:b/>
          <w:bCs/>
          <w:sz w:val="24"/>
          <w:szCs w:val="24"/>
        </w:rPr>
        <w:t xml:space="preserve">（1）养老助餐监管系统AI功能升级完善</w:t>
      </w:r>
      <w:bookmarkEnd w:id="274"/>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对原有助餐监管模块进行AI智能化功能优化，强化服务核验能力、提升合规监管效能。</w:t>
      </w:r>
      <w:r/>
    </w:p>
    <w:p>
      <w:pPr>
        <w:ind w:firstLine="482"/>
        <w:jc w:val="left"/>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1）登记核验功能升级：</w:t>
      </w:r>
      <w:r/>
    </w:p>
    <w:p>
      <w:pPr>
        <w:numPr>
          <w:ilvl w:val="0"/>
          <w:numId w:val="3"/>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扫脸登记（标准模式）：</w:t>
      </w:r>
      <w:r>
        <w:rPr>
          <w:rFonts w:hint="eastAsia" w:ascii="宋体" w:hAnsi="宋体" w:eastAsia="宋体" w:cs="宋体"/>
          <w:color w:val="000000" w:themeColor="text1"/>
          <w:sz w:val="24"/>
          <w:szCs w:val="24"/>
          <w14:textFill>
            <w14:solidFill>
              <w14:schemeClr w14:val="tx1"/>
            </w14:solidFill>
          </w14:textFill>
        </w:rPr>
        <w:t xml:space="preserve">3D活体检测，拦截照片、视频、面具、翻拍作弊</w:t>
      </w:r>
      <w:r>
        <w:rPr>
          <w:rFonts w:hint="eastAsia" w:ascii="宋体" w:hAnsi="宋体" w:eastAsia="宋体" w:cs="宋体"/>
          <w:sz w:val="24"/>
          <w:szCs w:val="24"/>
        </w:rPr>
        <w:t xml:space="preserve">；人脸比对自动匹配档案，相似度低时弹出备选提示；</w:t>
      </w:r>
      <w:r>
        <w:rPr>
          <w:rFonts w:hint="eastAsia" w:ascii="宋体" w:hAnsi="宋体" w:eastAsia="宋体" w:cs="宋体"/>
          <w:color w:val="000000" w:themeColor="text1"/>
          <w:sz w:val="24"/>
          <w:szCs w:val="24"/>
          <w14:textFill>
            <w14:solidFill>
              <w14:schemeClr w14:val="tx1"/>
            </w14:solidFill>
          </w14:textFill>
        </w:rPr>
        <w:t xml:space="preserve">强制校验老人+餐盒同框、餐盒透明、可见饭菜</w:t>
      </w:r>
      <w:r>
        <w:rPr>
          <w:rFonts w:hint="eastAsia" w:ascii="宋体" w:hAnsi="宋体" w:eastAsia="宋体" w:cs="宋体"/>
          <w:sz w:val="24"/>
          <w:szCs w:val="24"/>
        </w:rPr>
        <w:t xml:space="preserve">。</w:t>
      </w:r>
      <w:r/>
    </w:p>
    <w:p>
      <w:pPr>
        <w:numPr>
          <w:ilvl w:val="0"/>
          <w:numId w:val="3"/>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非扫脸登记（特殊老人模式）：针对面部萎缩、失能、卧床、高龄、无自理能力老人，支持选择老人→上传老人现场照→上传餐食照→二图至少一张同框；代拿餐强制填写备注；提交后自动进入人工复核队列，不经审核不结算。</w:t>
      </w:r>
      <w:r/>
    </w:p>
    <w:p>
      <w:pPr>
        <w:numPr>
          <w:ilvl w:val="0"/>
          <w:numId w:val="3"/>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登记规则AI强约束：限定午餐时段10:00—14:30、</w:t>
      </w:r>
      <w:r>
        <w:rPr>
          <w:rFonts w:hint="eastAsia" w:ascii="宋体" w:hAnsi="宋体" w:eastAsia="宋体" w:cs="宋体"/>
          <w:color w:val="auto"/>
          <w:sz w:val="24"/>
          <w:szCs w:val="24"/>
        </w:rPr>
        <w:t xml:space="preserve">晚餐时段15:00-20:00</w:t>
      </w:r>
      <w:r>
        <w:rPr>
          <w:rFonts w:hint="eastAsia" w:ascii="宋体" w:hAnsi="宋体" w:eastAsia="宋体" w:cs="宋体"/>
          <w:sz w:val="24"/>
          <w:szCs w:val="24"/>
        </w:rPr>
        <w:t xml:space="preserve">录单，非时段无法录单；每人每日仅限1单，重复提交自动拦截；照片模糊、餐盒不透明、无餐食、非老人本人自动识别不通过。</w:t>
      </w:r>
      <w:r/>
    </w:p>
    <w:p>
      <w:pPr>
        <w:ind w:firstLine="482"/>
        <w:jc w:val="left"/>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2）餐食合规AI识别优化:</w:t>
      </w:r>
      <w:r/>
    </w:p>
    <w:p>
      <w:pPr>
        <w:numPr>
          <w:ilvl w:val="0"/>
          <w:numId w:val="4"/>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餐食标准识别：AI自动识别一饭一菜、餐盒透明、饭菜可见。</w:t>
      </w:r>
      <w:r/>
    </w:p>
    <w:p>
      <w:pPr>
        <w:numPr>
          <w:ilvl w:val="0"/>
          <w:numId w:val="4"/>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违规场景自动拦截：空餐盒、白板餐盒、翻拍照片、图片盗用、老人不在场、家中饭菜全部拦截。</w:t>
      </w:r>
      <w:r/>
    </w:p>
    <w:p>
      <w:pPr>
        <w:numPr>
          <w:ilvl w:val="0"/>
          <w:numId w:val="4"/>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同框强制校验：必须老人面部清晰+餐盒同时入镜，缺一不可。</w:t>
      </w:r>
      <w:r/>
    </w:p>
    <w:p>
      <w:pPr>
        <w:numPr>
          <w:ilvl w:val="0"/>
          <w:numId w:val="4"/>
        </w:num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反馈</w:t>
      </w:r>
      <w:r>
        <w:rPr>
          <w:rFonts w:hint="eastAsia" w:ascii="宋体" w:hAnsi="宋体" w:eastAsia="宋体" w:cs="宋体"/>
          <w:color w:val="auto"/>
          <w:sz w:val="24"/>
          <w:szCs w:val="24"/>
        </w:rPr>
        <w:t xml:space="preserve">：不合规即时提示原因，引导规范拍摄。</w:t>
      </w:r>
      <w:r/>
    </w:p>
    <w:p>
      <w:pPr>
        <w:ind w:firstLine="482"/>
        <w:jc w:val="left"/>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3）工单智能审核模块升级：</w:t>
      </w:r>
      <w:r/>
    </w:p>
    <w:p>
      <w:pPr>
        <w:numPr>
          <w:ilvl w:val="0"/>
          <w:numId w:val="5"/>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AI自动初审：扫脸工单自动核验人脸、定位、时段、餐食、同框，合规自动通过。</w:t>
      </w:r>
      <w:r/>
    </w:p>
    <w:p>
      <w:pPr>
        <w:numPr>
          <w:ilvl w:val="0"/>
          <w:numId w:val="5"/>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人工专项复审：非扫脸工单、疑似异常工单，人工逐一审核。</w:t>
      </w:r>
      <w:r/>
    </w:p>
    <w:p>
      <w:pPr>
        <w:numPr>
          <w:ilvl w:val="0"/>
          <w:numId w:val="5"/>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重复工单合并：同一老人同日多单自动识别，只保留最真实一单，其余标记无效。</w:t>
      </w:r>
      <w:r/>
    </w:p>
    <w:p>
      <w:pPr>
        <w:numPr>
          <w:ilvl w:val="0"/>
          <w:numId w:val="5"/>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工单状态全流程管理：支持待审核、已通过、已驳回、已结算、无效单、</w:t>
      </w:r>
      <w:r>
        <w:rPr>
          <w:rFonts w:hint="eastAsia" w:ascii="宋体" w:hAnsi="宋体" w:eastAsia="宋体" w:cs="宋体"/>
          <w:color w:val="auto"/>
          <w:sz w:val="24"/>
          <w:szCs w:val="24"/>
          <w:highlight w:val="none"/>
        </w:rPr>
        <w:t xml:space="preserve">黑名单</w:t>
      </w:r>
      <w:r>
        <w:rPr>
          <w:rFonts w:hint="eastAsia" w:ascii="宋体" w:hAnsi="宋体" w:eastAsia="宋体" w:cs="宋体"/>
          <w:sz w:val="24"/>
          <w:szCs w:val="24"/>
        </w:rPr>
        <w:t xml:space="preserve">单全状态管控。</w:t>
      </w:r>
      <w:r/>
    </w:p>
    <w:p>
      <w:pPr>
        <w:numPr>
          <w:ilvl w:val="0"/>
          <w:numId w:val="5"/>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驳回原因标准化：内置信息不符、照片不实、餐食不合格、时间不符、非本人、身故录单等标准化驳回原因。</w:t>
      </w:r>
      <w:r/>
    </w:p>
    <w:p>
      <w:pPr>
        <w:numPr>
          <w:ilvl w:val="0"/>
          <w:numId w:val="0"/>
        </w:numPr>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78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548"/>
        <w:gridCol w:w="2127"/>
        <w:gridCol w:w="4847"/>
      </w:tblGrid>
      <w:tr>
        <w:trPr>
          <w:jc w:val="center"/>
          <w:trHeight w:val="0"/>
          <w:tblHeader/>
        </w:trPr>
        <w:tc>
          <w:tcPr>
            <w:tcMar>
              <w:left w:w="120" w:type="dxa"/>
              <w:top w:w="60" w:type="dxa"/>
              <w:right w:w="120" w:type="dxa"/>
              <w:bottom w:w="30" w:type="dxa"/>
            </w:tcMar>
            <w:tcW w:w="154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b/>
                <w:sz w:val="24"/>
                <w:szCs w:val="24"/>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级模块</w:t>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b/>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级功能模块</w:t>
            </w:r>
            <w:r/>
          </w:p>
        </w:tc>
        <w:tc>
          <w:tcPr>
            <w:tcMar>
              <w:left w:w="120" w:type="dxa"/>
              <w:top w:w="60" w:type="dxa"/>
              <w:right w:w="120" w:type="dxa"/>
              <w:bottom w:w="30" w:type="dxa"/>
            </w:tcMar>
            <w:tcW w:w="484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b/>
                <w:sz w:val="24"/>
                <w:szCs w:val="24"/>
              </w:rPr>
            </w:pPr>
            <w:r>
              <w:rPr>
                <w:rFonts w:hint="eastAsia" w:ascii="宋体" w:hAnsi="宋体" w:eastAsia="宋体" w:cs="宋体"/>
                <w:b/>
                <w:bCs/>
                <w:sz w:val="24"/>
                <w:szCs w:val="24"/>
              </w:rPr>
              <w:t xml:space="preserve">三级核心功能点</w:t>
            </w:r>
            <w:r/>
          </w:p>
        </w:tc>
      </w:tr>
      <w:tr>
        <w:trPr>
          <w:jc w:val="center"/>
          <w:trHeight w:val="0"/>
        </w:trPr>
        <w:tc>
          <w:tcPr>
            <w:tcMar>
              <w:left w:w="120" w:type="dxa"/>
              <w:top w:w="60" w:type="dxa"/>
              <w:right w:w="120" w:type="dxa"/>
              <w:bottom w:w="30" w:type="dxa"/>
            </w:tcMar>
            <w:tcW w:w="1548" w:type="dxa"/>
            <w:vAlign w:val="center"/>
            <w:vMerge w:val="restart"/>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助餐登记与核验</w:t>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扫脸登记标准模式</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3D活体检测+人脸比对自动匹配老人档案；强制校验老人+餐盒同框、餐盒透明、饭菜可见；</w:t>
            </w:r>
            <w:r>
              <w:rPr>
                <w:rFonts w:hint="eastAsia" w:ascii="宋体" w:hAnsi="宋体" w:eastAsia="宋体" w:cs="宋体"/>
                <w:sz w:val="24"/>
                <w:szCs w:val="24"/>
              </w:rPr>
              <w:t xml:space="preserve">合规直接归档</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非扫脸登记特殊模式</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针对特殊老人，支持老人现场照+餐食照</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双图上传，强制同框要求；</w:t>
            </w:r>
            <w:r>
              <w:rPr>
                <w:rFonts w:hint="eastAsia" w:ascii="宋体" w:hAnsi="宋体" w:eastAsia="宋体" w:cs="宋体"/>
                <w:color w:val="auto"/>
                <w:sz w:val="24"/>
                <w:szCs w:val="24"/>
              </w:rPr>
              <w:t xml:space="preserve">代拿餐填写备注与代领人信息；提交后进入人工复核队列，未经审核不进入结算池</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登记规则强约束</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限定午餐10:00-14:30、</w:t>
            </w:r>
            <w:r>
              <w:rPr>
                <w:rFonts w:hint="eastAsia" w:ascii="宋体" w:hAnsi="宋体" w:eastAsia="宋体" w:cs="宋体"/>
                <w:color w:val="auto"/>
                <w:sz w:val="24"/>
                <w:szCs w:val="24"/>
              </w:rPr>
              <w:t xml:space="preserve">晚餐时段15:00-20:00</w:t>
            </w:r>
            <w:r>
              <w:rPr>
                <w:rFonts w:hint="eastAsia" w:ascii="宋体" w:hAnsi="宋体" w:eastAsia="宋体" w:cs="宋体"/>
                <w:sz w:val="24"/>
                <w:szCs w:val="24"/>
              </w:rPr>
              <w:t xml:space="preserve">录单，非时段禁止操作；每人每日仅限1单，重复提交自动拦截；照片模糊、餐盒不透明、无餐食、非本人自动识别不通过</w:t>
            </w:r>
            <w:r/>
          </w:p>
        </w:tc>
      </w:tr>
      <w:tr>
        <w:trPr>
          <w:jc w:val="center"/>
          <w:trHeight w:val="0"/>
        </w:trPr>
        <w:tc>
          <w:tcPr>
            <w:tcMar>
              <w:left w:w="120" w:type="dxa"/>
              <w:top w:w="60" w:type="dxa"/>
              <w:right w:w="120" w:type="dxa"/>
              <w:bottom w:w="30" w:type="dxa"/>
            </w:tcMar>
            <w:tcW w:w="1548" w:type="dxa"/>
            <w:vAlign w:val="center"/>
            <w:vMerge w:val="restart"/>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餐食合规AI识别</w:t>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餐食标准识别</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AI自动识别一饭一菜标配、餐盒透明、饭菜可见</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违规场景拦截</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自动拦截空餐盒、白板餐盒、翻拍照片、图片盗用、老人不在场、家中饭菜等违规场景</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同框强制校验</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强制要求老人面部清晰+餐盒同时入镜，缺一不可，不合规无法提交</w:t>
            </w:r>
            <w:r/>
          </w:p>
        </w:tc>
      </w:tr>
      <w:tr>
        <w:trPr>
          <w:jc w:val="center"/>
          <w:trHeight w:val="0"/>
        </w:trPr>
        <w:tc>
          <w:tcPr>
            <w:tcMar>
              <w:left w:w="120" w:type="dxa"/>
              <w:top w:w="60" w:type="dxa"/>
              <w:right w:w="120" w:type="dxa"/>
              <w:bottom w:w="30" w:type="dxa"/>
            </w:tcMar>
            <w:tcW w:w="1548" w:type="dxa"/>
            <w:vAlign w:val="center"/>
            <w:vMerge w:val="restart"/>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w:t>
            </w:r>
            <w:r>
              <w:rPr>
                <w:rFonts w:hint="eastAsia" w:ascii="宋体" w:hAnsi="方正仿宋_GB2312" w:eastAsia="宋体" w:cs="方正仿宋_GB2312"/>
                <w:sz w:val="24"/>
                <w:szCs w:val="32"/>
              </w:rPr>
              <w:t xml:space="preserve">工单智能审核</w:t>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AI自动初审</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扫脸工单自动核验人脸、定位、时段、</w:t>
            </w:r>
            <w:r>
              <w:rPr>
                <w:rFonts w:hint="eastAsia" w:ascii="宋体" w:hAnsi="宋体" w:eastAsia="宋体" w:cs="宋体"/>
                <w:color w:val="auto"/>
                <w:sz w:val="24"/>
                <w:szCs w:val="24"/>
              </w:rPr>
              <w:t xml:space="preserve">餐食、同框全维度信</w:t>
            </w:r>
            <w:r>
              <w:rPr>
                <w:rFonts w:hint="eastAsia" w:ascii="宋体" w:hAnsi="宋体" w:eastAsia="宋体" w:cs="宋体"/>
                <w:sz w:val="24"/>
                <w:szCs w:val="24"/>
              </w:rPr>
              <w:t xml:space="preserve">息，合规自动通过，进入结算池</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人工专项复审</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非扫脸工单、疑似异常工单人工逐一审核，支持批量审核、驳回、标注原因</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重复工单处理</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同一老人同日多单自动识别，仅保留有效单，其余标记无效，禁止重复结算</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工单全状态管控</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支持待审核、已通过、已驳回、已结算、无效单、</w:t>
            </w:r>
            <w:r>
              <w:rPr>
                <w:rFonts w:hint="eastAsia" w:ascii="宋体" w:hAnsi="宋体" w:eastAsia="宋体" w:cs="宋体"/>
                <w:color w:val="auto"/>
                <w:sz w:val="24"/>
                <w:szCs w:val="24"/>
              </w:rPr>
              <w:t xml:space="preserve">黑名单全状</w:t>
            </w:r>
            <w:r>
              <w:rPr>
                <w:rFonts w:hint="eastAsia" w:ascii="宋体" w:hAnsi="宋体" w:eastAsia="宋体" w:cs="宋体"/>
                <w:sz w:val="24"/>
                <w:szCs w:val="24"/>
              </w:rPr>
              <w:t xml:space="preserve">态跟踪管理，状态变更全程留痕</w:t>
            </w:r>
            <w:r/>
          </w:p>
        </w:tc>
      </w:tr>
    </w:tbl>
    <w:p>
      <w:pPr>
        <w:ind w:firstLine="482"/>
        <w:keepLines w:val="0"/>
        <w:keepNext w:val="0"/>
        <w:pageBreakBefore w:val="0"/>
        <w:spacing w:before="60"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（2）养老智慧助浴系统功能完善</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养老助浴系统基于现有“养老服务综合监管平台”，聚焦养老助浴服务全流程，通过补充核心功能模块、优化现有模块，构建“安全有保障、家属能参与、监管可追溯、服务更高效”的专业化助浴服务体系，最终实现助浴服务从“基础服务”向“安全化、精细化、智能化”升级，满足老人高品质助浴需求，同时为监管部门、服务商家提供高效协同工具。</w:t>
      </w:r>
      <w:r/>
    </w:p>
    <w:p>
      <w:pPr>
        <w:ind w:firstLine="482"/>
        <w:keepLines w:val="0"/>
        <w:keepNext w:val="0"/>
        <w:pageBreakBefore w:val="0"/>
        <w:spacing w:before="60" w:line="420" w:lineRule="exact"/>
        <w:widowControl w:val="off"/>
        <w:rPr>
          <w:rFonts w:hint="eastAsia" w:ascii="宋体" w:hAnsi="宋体" w:eastAsia="宋体" w:cs="宋体"/>
          <w:b/>
          <w:bCs/>
          <w:color w:val="000000"/>
          <w:sz w:val="24"/>
          <w:szCs w:val="24"/>
          <w:lang w:bidi="ar"/>
        </w:rPr>
      </w:pPr>
      <w:r/>
      <w:bookmarkStart w:id="275" w:name="heading_1"/>
      <w:r>
        <w:rPr>
          <w:rFonts w:hint="eastAsia" w:ascii="宋体" w:hAnsi="宋体" w:eastAsia="宋体" w:cs="宋体"/>
          <w:b/>
          <w:bCs/>
          <w:color w:val="000000"/>
          <w:sz w:val="24"/>
          <w:szCs w:val="24"/>
          <w:lang w:bidi="ar"/>
        </w:rPr>
        <w:t xml:space="preserve">1）服务机构管理模块</w:t>
      </w:r>
      <w:bookmarkEnd w:id="275"/>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面向平台运营方与入驻养老服务机构，实现机构从入驻到运营的全生命周期管理，保障服务供给端合规运营。</w:t>
      </w:r>
      <w:r/>
    </w:p>
    <w:p>
      <w:pPr>
        <w:numPr>
          <w:ilvl w:val="0"/>
          <w:numId w:val="6"/>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76" w:name="heading_2"/>
      <w:r>
        <w:rPr>
          <w:rFonts w:hint="eastAsia" w:ascii="宋体" w:hAnsi="宋体" w:eastAsia="宋体" w:cs="宋体"/>
          <w:color w:val="000000"/>
          <w:sz w:val="24"/>
          <w:szCs w:val="24"/>
          <w:lang w:bidi="ar"/>
        </w:rPr>
        <w:t xml:space="preserve">机构入驻与审核</w:t>
      </w:r>
      <w:bookmarkEnd w:id="276"/>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机构基本信息提交：支持机构在线填写名称、</w:t>
      </w:r>
      <w:r>
        <w:rPr>
          <w:rFonts w:hint="eastAsia" w:ascii="宋体" w:hAnsi="宋体" w:eastAsia="宋体" w:cs="宋体"/>
          <w:color w:val="auto"/>
          <w:sz w:val="24"/>
          <w:szCs w:val="24"/>
          <w:lang w:bidi="ar"/>
        </w:rPr>
        <w:t xml:space="preserve">地址、法人、联系方式等基础信息，完成入驻申请填报。</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资质文件上传：支持上传营业执照、养老服务许可证、卫生许可证等合规资质文件，作为平台审核依据。</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审核进度与结果通知：机构可实时查询平台审核进度，审核结果通过系统通知同步推送，驳回场景同步告知具体原因。</w:t>
      </w:r>
      <w:r/>
    </w:p>
    <w:p>
      <w:pPr>
        <w:numPr>
          <w:ilvl w:val="0"/>
          <w:numId w:val="6"/>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77" w:name="heading_3"/>
      <w:r>
        <w:rPr>
          <w:rFonts w:hint="eastAsia" w:ascii="宋体" w:hAnsi="宋体" w:eastAsia="宋体" w:cs="宋体"/>
          <w:color w:val="000000"/>
          <w:sz w:val="24"/>
          <w:szCs w:val="24"/>
          <w:lang w:bidi="ar"/>
        </w:rPr>
        <w:t xml:space="preserve">机构信息管理</w:t>
      </w:r>
      <w:bookmarkEnd w:id="277"/>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基础信息维护：</w:t>
      </w:r>
      <w:r>
        <w:rPr>
          <w:rFonts w:hint="eastAsia" w:ascii="宋体" w:hAnsi="宋体" w:eastAsia="宋体" w:cs="宋体"/>
          <w:color w:val="auto"/>
          <w:sz w:val="24"/>
          <w:szCs w:val="24"/>
          <w:lang w:bidi="ar"/>
        </w:rPr>
        <w:t xml:space="preserve">支持机构自主维护联系方式、经营地址等基础信息，信息变更需提交平台核验生效。</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资质证书更新与审核：机构资质到期前可在线提交更新材料，平台完成二次审核，保障机构资质持续有效。</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服务能力维护：机构可自主维护服务项目、人员规模、承接上限等服务范围与能力信息，同步至派单调度体系。</w:t>
      </w:r>
      <w:r/>
    </w:p>
    <w:p>
      <w:pPr>
        <w:numPr>
          <w:ilvl w:val="0"/>
          <w:numId w:val="6"/>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服务范围管理</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服务区域设置：支持基于地理位置定位设置服务覆盖区域，可添加多个服务片区，灵活调整服务边界。</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老人分布查看：机构可查看所辖服务区域内的在册老人分布情况。</w:t>
      </w:r>
      <w:r/>
    </w:p>
    <w:p>
      <w:pPr>
        <w:numPr>
          <w:ilvl w:val="0"/>
          <w:numId w:val="6"/>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78" w:name="heading_5"/>
      <w:r>
        <w:rPr>
          <w:rFonts w:hint="eastAsia" w:ascii="宋体" w:hAnsi="宋体" w:eastAsia="宋体" w:cs="宋体"/>
          <w:color w:val="000000"/>
          <w:sz w:val="24"/>
          <w:szCs w:val="24"/>
          <w:lang w:bidi="ar"/>
        </w:rPr>
        <w:t xml:space="preserve">机构评价管理</w:t>
      </w:r>
      <w:bookmarkEnd w:id="278"/>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机构可查看老人及家属提交的服务评价与星级评分，掌握服务口碑与问题点，针对性优化服务质量。</w:t>
      </w:r>
      <w:r/>
    </w:p>
    <w:p>
      <w:pPr>
        <w:numPr>
          <w:ilvl w:val="0"/>
          <w:numId w:val="6"/>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79" w:name="heading_6"/>
      <w:r>
        <w:rPr>
          <w:rFonts w:hint="eastAsia" w:ascii="宋体" w:hAnsi="宋体" w:eastAsia="宋体" w:cs="宋体"/>
          <w:color w:val="000000"/>
          <w:sz w:val="24"/>
          <w:szCs w:val="24"/>
          <w:lang w:bidi="ar"/>
        </w:rPr>
        <w:t xml:space="preserve">结算管理</w:t>
      </w:r>
      <w:bookmarkEnd w:id="279"/>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结算明细查询：支持按时间段、服务类型查看服务费用结算明细，清晰核对每笔订单收益。</w:t>
      </w:r>
      <w:r/>
    </w:p>
    <w:p>
      <w:pPr>
        <w:ind w:firstLine="482"/>
        <w:keepLines w:val="0"/>
        <w:keepNext w:val="0"/>
        <w:pageBreakBefore w:val="0"/>
        <w:spacing w:before="60" w:line="420" w:lineRule="exact"/>
        <w:widowControl w:val="off"/>
        <w:rPr>
          <w:rFonts w:hint="eastAsia" w:ascii="宋体" w:hAnsi="宋体" w:eastAsia="宋体" w:cs="宋体"/>
          <w:b/>
          <w:bCs/>
          <w:color w:val="000000"/>
          <w:sz w:val="24"/>
          <w:szCs w:val="24"/>
          <w:lang w:bidi="ar"/>
        </w:rPr>
      </w:pPr>
      <w:r/>
      <w:bookmarkStart w:id="280" w:name="heading_7"/>
      <w:r>
        <w:rPr>
          <w:rFonts w:hint="eastAsia" w:ascii="宋体" w:hAnsi="宋体" w:eastAsia="宋体" w:cs="宋体"/>
          <w:b/>
          <w:bCs/>
          <w:color w:val="000000"/>
          <w:sz w:val="24"/>
          <w:szCs w:val="24"/>
          <w:lang w:bidi="ar"/>
        </w:rPr>
        <w:t xml:space="preserve">2）助浴员管理模块</w:t>
      </w:r>
      <w:bookmarkEnd w:id="280"/>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面向平台与服务机构，实现助浴从业人员的档案、资质、考勤、培训、评价全流程管理，保障服务人员专业合规。</w:t>
      </w:r>
      <w:r/>
    </w:p>
    <w:p>
      <w:pPr>
        <w:numPr>
          <w:ilvl w:val="0"/>
          <w:numId w:val="7"/>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1" w:name="heading_8"/>
      <w:r>
        <w:rPr>
          <w:rFonts w:hint="eastAsia" w:ascii="宋体" w:hAnsi="宋体" w:eastAsia="宋体" w:cs="宋体"/>
          <w:color w:val="000000"/>
          <w:sz w:val="24"/>
          <w:szCs w:val="24"/>
          <w:lang w:bidi="ar"/>
        </w:rPr>
        <w:t xml:space="preserve">人员档案管理</w:t>
      </w:r>
      <w:bookmarkEnd w:id="281"/>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基础信息录入：录入助浴员姓名、性别、年龄、联系方式等基础身份信息，建立人员电子档案。</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专业资质上传：支持上传健康证、助浴培训证书、</w:t>
      </w:r>
      <w:r>
        <w:rPr>
          <w:rFonts w:hint="eastAsia" w:ascii="宋体" w:hAnsi="宋体" w:eastAsia="宋体" w:cs="宋体"/>
          <w:color w:val="auto"/>
          <w:sz w:val="24"/>
          <w:szCs w:val="24"/>
          <w:lang w:bidi="ar"/>
        </w:rPr>
        <w:t xml:space="preserve">技能等级证书</w:t>
      </w:r>
      <w:r>
        <w:rPr>
          <w:rFonts w:hint="eastAsia" w:ascii="宋体" w:hAnsi="宋体" w:eastAsia="宋体" w:cs="宋体"/>
          <w:color w:val="000000"/>
          <w:sz w:val="24"/>
          <w:szCs w:val="24"/>
          <w:lang w:bidi="ar"/>
        </w:rPr>
        <w:t xml:space="preserve">等执业资质文件存档。</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档案信息维护：支持人员信息动态更新与维护，确保档案信息准确有效。</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有效期提醒：</w:t>
      </w:r>
      <w:r>
        <w:rPr>
          <w:rFonts w:hint="eastAsia" w:ascii="宋体" w:hAnsi="宋体" w:eastAsia="宋体" w:cs="宋体"/>
          <w:color w:val="auto"/>
          <w:sz w:val="24"/>
          <w:szCs w:val="24"/>
          <w:lang w:bidi="ar"/>
        </w:rPr>
        <w:t xml:space="preserve">系统自动监测健康证等资质有效期，到期前自动推送提醒，督促及时更新。</w:t>
      </w:r>
      <w:r/>
    </w:p>
    <w:p>
      <w:pPr>
        <w:numPr>
          <w:ilvl w:val="0"/>
          <w:numId w:val="7"/>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2" w:name="heading_9"/>
      <w:r>
        <w:rPr>
          <w:rFonts w:hint="eastAsia" w:ascii="宋体" w:hAnsi="宋体" w:eastAsia="宋体" w:cs="宋体"/>
          <w:color w:val="000000"/>
          <w:sz w:val="24"/>
          <w:szCs w:val="24"/>
          <w:lang w:bidi="ar"/>
        </w:rPr>
        <w:t xml:space="preserve">资质审核与升级</w:t>
      </w:r>
      <w:bookmarkEnd w:id="282"/>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入职资质审核：新入职助浴员提交资质后，平台/机构完成审核，</w:t>
      </w:r>
      <w:r>
        <w:rPr>
          <w:rFonts w:hint="eastAsia" w:ascii="宋体" w:hAnsi="宋体" w:eastAsia="宋体" w:cs="宋体"/>
          <w:color w:val="auto"/>
          <w:sz w:val="24"/>
          <w:szCs w:val="24"/>
          <w:lang w:bidi="ar"/>
        </w:rPr>
        <w:t xml:space="preserve">结果同步通知本人。</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审核反馈与整改：资质审核不通过时，系统反馈具体原因并提供整改指引，支持二次提交。</w:t>
      </w:r>
      <w:r/>
    </w:p>
    <w:p>
      <w:pPr>
        <w:numPr>
          <w:ilvl w:val="0"/>
          <w:numId w:val="7"/>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3" w:name="heading_10"/>
      <w:r>
        <w:rPr>
          <w:rFonts w:hint="eastAsia" w:ascii="宋体" w:hAnsi="宋体" w:eastAsia="宋体" w:cs="宋体"/>
          <w:color w:val="000000"/>
          <w:sz w:val="24"/>
          <w:szCs w:val="24"/>
          <w:lang w:bidi="ar"/>
        </w:rPr>
        <w:t xml:space="preserve">定位与考勤管理</w:t>
      </w:r>
      <w:bookmarkEnd w:id="283"/>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定位追踪：</w:t>
      </w:r>
      <w:r>
        <w:rPr>
          <w:rFonts w:hint="eastAsia" w:ascii="宋体" w:hAnsi="宋体" w:eastAsia="宋体" w:cs="宋体"/>
          <w:color w:val="auto"/>
          <w:sz w:val="24"/>
          <w:szCs w:val="24"/>
          <w:lang w:bidi="ar"/>
        </w:rPr>
        <w:t xml:space="preserve">平台与机构可查看助浴员实时位置与服务轨迹，掌握外勤服务动态。</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签到签退管理：助浴员到达服务地点后基于定位完成签到，服务结束后签退，系统自动生成考勤记录。</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考勤数据统计：自动汇总出勤时长、服务单量等考勤数据，支持导出对接薪酬核算。</w:t>
      </w:r>
      <w:r/>
    </w:p>
    <w:p>
      <w:pPr>
        <w:numPr>
          <w:ilvl w:val="0"/>
          <w:numId w:val="7"/>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4" w:name="heading_11"/>
      <w:r>
        <w:rPr>
          <w:rFonts w:hint="eastAsia" w:ascii="宋体" w:hAnsi="宋体" w:eastAsia="宋体" w:cs="宋体"/>
          <w:color w:val="000000"/>
          <w:sz w:val="24"/>
          <w:szCs w:val="24"/>
          <w:lang w:bidi="ar"/>
        </w:rPr>
        <w:t xml:space="preserve">培训与考核管理</w:t>
      </w:r>
      <w:bookmarkEnd w:id="284"/>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平台可定向推送助浴服务规范、应急处理等线上培训课程，跟踪助浴员学习进度，记录考核成绩，支持个人与机构查询培训结果。</w:t>
      </w:r>
      <w:r/>
    </w:p>
    <w:p>
      <w:pPr>
        <w:numPr>
          <w:ilvl w:val="0"/>
          <w:numId w:val="7"/>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5" w:name="heading_12"/>
      <w:r>
        <w:rPr>
          <w:rFonts w:hint="eastAsia" w:ascii="宋体" w:hAnsi="宋体" w:eastAsia="宋体" w:cs="宋体"/>
          <w:color w:val="000000"/>
          <w:sz w:val="24"/>
          <w:szCs w:val="24"/>
          <w:lang w:bidi="ar"/>
        </w:rPr>
        <w:t xml:space="preserve">服务评价管理</w:t>
      </w:r>
      <w:bookmarkEnd w:id="285"/>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个人评价查看：助浴员可查看老人、家属及所属机构的服务评价，了解自身服务问题。</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整改反馈提交：针对评价中指出的问题，可提交整改反馈与改进说明，形成个人服务提升闭环。</w:t>
      </w:r>
      <w:r/>
    </w:p>
    <w:p>
      <w:pPr>
        <w:ind w:firstLine="482"/>
        <w:keepLines w:val="0"/>
        <w:keepNext w:val="0"/>
        <w:pageBreakBefore w:val="0"/>
        <w:spacing w:before="60" w:line="420" w:lineRule="exact"/>
        <w:widowControl w:val="off"/>
        <w:rPr>
          <w:rFonts w:hint="eastAsia" w:ascii="宋体" w:hAnsi="宋体" w:eastAsia="宋体" w:cs="宋体"/>
          <w:b/>
          <w:bCs/>
          <w:color w:val="000000"/>
          <w:sz w:val="24"/>
          <w:szCs w:val="24"/>
          <w:lang w:bidi="ar"/>
        </w:rPr>
      </w:pPr>
      <w:r/>
      <w:bookmarkStart w:id="286" w:name="heading_13"/>
      <w:r>
        <w:rPr>
          <w:rFonts w:hint="eastAsia" w:ascii="宋体" w:hAnsi="宋体" w:eastAsia="宋体" w:cs="宋体"/>
          <w:b/>
          <w:bCs/>
          <w:color w:val="000000"/>
          <w:sz w:val="24"/>
          <w:szCs w:val="24"/>
          <w:lang w:bidi="ar"/>
        </w:rPr>
        <w:t xml:space="preserve">3）老人信息管理模块</w:t>
      </w:r>
      <w:bookmarkEnd w:id="286"/>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构建老人全维度信息档案，支撑服务精准匹配与安全保障，兼顾隐私保护与信息便捷维护。</w:t>
      </w:r>
      <w:r/>
    </w:p>
    <w:p>
      <w:pPr>
        <w:numPr>
          <w:ilvl w:val="0"/>
          <w:numId w:val="8"/>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基础信息管理</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老人基础信息录入：记录姓名、性别、年龄、身份证号、联系方式等核心身份信息，建立个人专属档案。</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家属信息登记：登记紧急联系人姓名、亲属关系、联系方式等信息，保障异常场景及时联动。</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信息更新维护：支持老人本人或家属协助更新基础信息，确保信息时效性。</w:t>
      </w:r>
      <w:r/>
    </w:p>
    <w:p>
      <w:pPr>
        <w:numPr>
          <w:ilvl w:val="0"/>
          <w:numId w:val="8"/>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7" w:name="heading_15"/>
      <w:r>
        <w:rPr>
          <w:rFonts w:hint="eastAsia" w:ascii="宋体" w:hAnsi="宋体" w:eastAsia="宋体" w:cs="宋体"/>
          <w:color w:val="000000"/>
          <w:sz w:val="24"/>
          <w:szCs w:val="24"/>
          <w:lang w:bidi="ar"/>
        </w:rPr>
        <w:t xml:space="preserve">健康档案管理</w:t>
      </w:r>
      <w:bookmarkEnd w:id="287"/>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健康基础信息录入：记录既往病史、过敏史、当前健康状况，形成健康基础档案。</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日常健康数据记录：</w:t>
      </w:r>
      <w:r>
        <w:rPr>
          <w:rFonts w:hint="eastAsia" w:ascii="宋体" w:hAnsi="宋体" w:eastAsia="宋体" w:cs="宋体"/>
          <w:color w:val="0d0d0d" w:themeColor="text1" w:themeTint="F2"/>
          <w:sz w:val="24"/>
          <w:szCs w:val="24"/>
          <w:lang w:bidi="ar"/>
          <w14:textFill>
            <w14:solidFill>
              <w14:schemeClr w14:val="tx1">
                <w14:lumMod w14:val="95000"/>
                <w14:lumOff w14:val="5000"/>
              </w14:schemeClr>
            </w14:solidFill>
          </w14:textFill>
        </w:rPr>
        <w:t xml:space="preserve">支持手动录入血压、血糖等日常健康数据</w:t>
      </w:r>
      <w:r>
        <w:rPr>
          <w:rFonts w:hint="eastAsia" w:ascii="宋体" w:hAnsi="宋体" w:eastAsia="宋体" w:cs="宋体"/>
          <w:color w:val="auto"/>
          <w:sz w:val="24"/>
          <w:szCs w:val="24"/>
          <w:lang w:bidi="ar"/>
        </w:rPr>
        <w:t xml:space="preserve">。</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健康评估报告：基于健康数据生成健康评估报告，支持老人、家属与机构查看。</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助浴禁忌提示：</w:t>
      </w:r>
      <w:r>
        <w:rPr>
          <w:rFonts w:hint="eastAsia" w:ascii="宋体" w:hAnsi="宋体" w:eastAsia="宋体" w:cs="宋体"/>
          <w:color w:val="auto"/>
          <w:sz w:val="24"/>
          <w:szCs w:val="24"/>
          <w:lang w:bidi="ar"/>
        </w:rPr>
        <w:t xml:space="preserve">根据老人健康状况自动提示助浴相关禁忌，如水温度限制、服务时长限制、不适宜服务场景等，规避服务风险。</w:t>
      </w:r>
      <w:r/>
    </w:p>
    <w:p>
      <w:pPr>
        <w:numPr>
          <w:ilvl w:val="0"/>
          <w:numId w:val="8"/>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8" w:name="heading_16"/>
      <w:r>
        <w:rPr>
          <w:rFonts w:hint="eastAsia" w:ascii="宋体" w:hAnsi="宋体" w:eastAsia="宋体" w:cs="宋体"/>
          <w:color w:val="000000"/>
          <w:sz w:val="24"/>
          <w:szCs w:val="24"/>
          <w:lang w:bidi="ar"/>
        </w:rPr>
        <w:t xml:space="preserve">人脸识别信息管理</w:t>
      </w:r>
      <w:bookmarkEnd w:id="288"/>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人脸信息采集：支持现场采集、相册上传两种方式录入老人人脸信息，用于服务核验。</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信息安全管理：人脸信息加密存储，严格落实隐私保护要求，支持信息更新与删除。</w:t>
      </w:r>
      <w:r/>
    </w:p>
    <w:p>
      <w:pPr>
        <w:numPr>
          <w:ilvl w:val="0"/>
          <w:numId w:val="8"/>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9" w:name="heading_17"/>
      <w:r>
        <w:rPr>
          <w:rFonts w:hint="eastAsia" w:ascii="宋体" w:hAnsi="宋体" w:eastAsia="宋体" w:cs="宋体"/>
          <w:color w:val="000000"/>
          <w:sz w:val="24"/>
          <w:szCs w:val="24"/>
          <w:lang w:bidi="ar"/>
        </w:rPr>
        <w:t xml:space="preserve">服务偏好管理</w:t>
      </w:r>
      <w:bookmarkEnd w:id="289"/>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记录老人助浴时间偏好、水温偏好、服务人员性别偏好等个性化需求，支撑服务定制化匹配，提升服务体验。</w:t>
      </w:r>
      <w:r/>
    </w:p>
    <w:p>
      <w:pPr>
        <w:numPr>
          <w:ilvl w:val="0"/>
          <w:numId w:val="8"/>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0" w:name="heading_18"/>
      <w:r>
        <w:rPr>
          <w:rFonts w:hint="eastAsia" w:ascii="宋体" w:hAnsi="宋体" w:eastAsia="宋体" w:cs="宋体"/>
          <w:color w:val="000000"/>
          <w:sz w:val="24"/>
          <w:szCs w:val="24"/>
          <w:lang w:bidi="ar"/>
        </w:rPr>
        <w:t xml:space="preserve">服务记录查询</w:t>
      </w:r>
      <w:bookmarkEnd w:id="290"/>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历史工单查询：可查询历史助浴服务工单，包含服务时间、服务助浴员、服务评价等全维度信息。</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健康变化记录：可查看历次服务前后的健康状况变化记录，跟踪老人长期健康趋势。</w:t>
      </w:r>
      <w:r/>
    </w:p>
    <w:p>
      <w:pPr>
        <w:ind w:firstLine="482"/>
        <w:keepLines w:val="0"/>
        <w:keepNext w:val="0"/>
        <w:pageBreakBefore w:val="0"/>
        <w:spacing w:before="60" w:line="420" w:lineRule="exact"/>
        <w:widowControl w:val="off"/>
        <w:rPr>
          <w:rFonts w:hint="eastAsia" w:ascii="宋体" w:hAnsi="宋体" w:eastAsia="宋体" w:cs="宋体"/>
          <w:b/>
          <w:bCs/>
          <w:color w:val="000000"/>
          <w:sz w:val="24"/>
          <w:szCs w:val="24"/>
          <w:lang w:bidi="ar"/>
        </w:rPr>
      </w:pPr>
      <w:r/>
      <w:bookmarkStart w:id="291" w:name="heading_19"/>
      <w:r>
        <w:rPr>
          <w:rFonts w:hint="eastAsia" w:ascii="宋体" w:hAnsi="宋体" w:eastAsia="宋体" w:cs="宋体"/>
          <w:b/>
          <w:bCs/>
          <w:color w:val="000000"/>
          <w:sz w:val="24"/>
          <w:szCs w:val="24"/>
          <w:lang w:bidi="ar"/>
        </w:rPr>
        <w:t xml:space="preserve">4）工单管理模块（AI智能中枢）</w:t>
      </w:r>
      <w:bookmarkEnd w:id="291"/>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以AI能力为核心，实现助浴工单从派单、执行到收尾的全流程智能化管控，保障服务合规、高效、可追溯。</w:t>
      </w:r>
      <w:r/>
    </w:p>
    <w:p>
      <w:pPr>
        <w:numPr>
          <w:ilvl w:val="0"/>
          <w:numId w:val="9"/>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2" w:name="heading_21"/>
      <w:r>
        <w:rPr>
          <w:rFonts w:hint="eastAsia" w:ascii="宋体" w:hAnsi="宋体" w:eastAsia="宋体" w:cs="宋体"/>
          <w:color w:val="000000"/>
          <w:sz w:val="24"/>
          <w:szCs w:val="24"/>
          <w:lang w:bidi="ar"/>
        </w:rPr>
        <w:t xml:space="preserve">工单全状态管控</w:t>
      </w:r>
      <w:bookmarkEnd w:id="292"/>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覆盖工单全生命周期状态管理，支持待服务、已完成、已评价、异常五大核心状态的实时跟踪与流转；支持按服务时间、区域、助浴员、机构等多条件筛选查询工单，满足不同管理视角的查询需求。</w:t>
      </w:r>
      <w:r/>
    </w:p>
    <w:p>
      <w:pPr>
        <w:numPr>
          <w:ilvl w:val="0"/>
          <w:numId w:val="9"/>
        </w:numPr>
        <w:keepLines w:val="0"/>
        <w:keepNext w:val="0"/>
        <w:pageBreakBefore w:val="0"/>
        <w:spacing w:before="60" w:line="420" w:lineRule="exact"/>
        <w:widowControl w:val="off"/>
        <w:rPr>
          <w:rFonts w:hint="eastAsia" w:ascii="宋体" w:hAnsi="宋体" w:eastAsia="宋体" w:cs="宋体"/>
          <w:color w:val="auto"/>
          <w:sz w:val="24"/>
          <w:szCs w:val="24"/>
          <w:lang w:bidi="ar"/>
        </w:rPr>
      </w:pPr>
      <w:r/>
      <w:bookmarkStart w:id="293" w:name="heading_22"/>
      <w:r>
        <w:rPr>
          <w:rFonts w:hint="eastAsia" w:ascii="宋体" w:hAnsi="宋体" w:eastAsia="宋体" w:cs="宋体"/>
          <w:color w:val="auto"/>
          <w:sz w:val="24"/>
          <w:szCs w:val="24"/>
          <w:lang w:bidi="ar"/>
        </w:rPr>
        <w:t xml:space="preserve">AI过程监护</w:t>
      </w:r>
      <w:bookmarkEnd w:id="293"/>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通过AI能力实现服务全流程合规校验：</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签到定位核验：校验助浴员签到位置与服务地址的一致性，杜绝虚假签到；</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人脸识别核验：服务前后通过人脸识别确认服务对象身份，防止冒单；</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服务时长校验：自动监测实际服务时长，与标准时长比对，保障服务足量；</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服务照片合规检测：AI自动检测服务前/中/后上传照片的真实性、规范性，识别不合规拍摄并预警。</w:t>
      </w:r>
      <w:r/>
    </w:p>
    <w:p>
      <w:pPr>
        <w:numPr>
          <w:ilvl w:val="0"/>
          <w:numId w:val="10"/>
        </w:numPr>
        <w:ind w:firstLine="482"/>
        <w:keepLines w:val="0"/>
        <w:keepNext w:val="0"/>
        <w:pageBreakBefore w:val="0"/>
        <w:spacing w:before="60" w:line="420" w:lineRule="exact"/>
        <w:widowControl w:val="off"/>
        <w:rPr>
          <w:rFonts w:hint="eastAsia" w:ascii="宋体" w:hAnsi="宋体" w:eastAsia="宋体" w:cs="宋体"/>
          <w:b/>
          <w:bCs/>
          <w:color w:val="000000"/>
          <w:sz w:val="24"/>
          <w:szCs w:val="24"/>
          <w:lang w:bidi="ar"/>
        </w:rPr>
      </w:pPr>
      <w:r/>
      <w:bookmarkStart w:id="294" w:name="heading_23"/>
      <w:r>
        <w:rPr>
          <w:rFonts w:hint="eastAsia" w:ascii="宋体" w:hAnsi="宋体" w:eastAsia="宋体" w:cs="宋体"/>
          <w:b/>
          <w:bCs/>
          <w:color w:val="000000"/>
          <w:sz w:val="24"/>
          <w:szCs w:val="24"/>
          <w:lang w:bidi="ar"/>
        </w:rPr>
        <w:t xml:space="preserve">助浴员微信小程序（照护版）</w:t>
      </w:r>
      <w:bookmarkEnd w:id="294"/>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面向助浴员移动端的作业工具，覆盖接单、服务执行、信息采集、个人管理全场景，实现上门服务全流程线上化。</w:t>
      </w:r>
      <w:r/>
    </w:p>
    <w:p>
      <w:pPr>
        <w:numPr>
          <w:ilvl w:val="0"/>
          <w:numId w:val="11"/>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5" w:name="heading_24"/>
      <w:r>
        <w:rPr>
          <w:rFonts w:hint="eastAsia" w:ascii="宋体" w:hAnsi="宋体" w:eastAsia="宋体" w:cs="宋体"/>
          <w:color w:val="000000"/>
          <w:sz w:val="24"/>
          <w:szCs w:val="24"/>
          <w:lang w:bidi="ar"/>
        </w:rPr>
        <w:t xml:space="preserve">预约工单接单</w:t>
      </w:r>
      <w:bookmarkEnd w:id="295"/>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工单查看：助浴员可查看分配至本人的预约助浴工单，了解服务地址、老人信息、服务要求等详情。</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服务启动与签到：确认接单后可启动服务，到达现场完成签到打卡。</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双重核验机制：采用GPS定位+人脸识别双重核验，确保助浴员本人到场、服务对象匹配，从源头防止虚假服务。</w:t>
      </w:r>
      <w:r/>
    </w:p>
    <w:p>
      <w:pPr>
        <w:numPr>
          <w:ilvl w:val="0"/>
          <w:numId w:val="11"/>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6" w:name="heading_25"/>
      <w:r>
        <w:rPr>
          <w:rFonts w:hint="eastAsia" w:ascii="宋体" w:hAnsi="宋体" w:eastAsia="宋体" w:cs="宋体"/>
          <w:color w:val="000000"/>
          <w:sz w:val="24"/>
          <w:szCs w:val="24"/>
          <w:lang w:bidi="ar"/>
        </w:rPr>
        <w:t xml:space="preserve">助浴服务执行</w:t>
      </w:r>
      <w:bookmarkEnd w:id="296"/>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服务照片上传：支持上传服务前、服务后三个节点的现场照片，留存服务凭证。</w:t>
      </w:r>
      <w:r/>
    </w:p>
    <w:p>
      <w:pPr>
        <w:ind w:firstLine="480"/>
        <w:keepLines w:val="0"/>
        <w:keepNext w:val="0"/>
        <w:pageBreakBefore w:val="0"/>
        <w:spacing w:before="60" w:line="420" w:lineRule="exact"/>
        <w:widowControl w:val="off"/>
        <w:rPr>
          <w:rFonts w:hint="eastAsia" w:ascii="宋体" w:hAnsi="宋体" w:eastAsia="宋体" w:cs="宋体"/>
          <w:color w:val="ff0000"/>
          <w:sz w:val="24"/>
          <w:szCs w:val="24"/>
          <w:lang w:bidi="ar"/>
        </w:rPr>
      </w:pPr>
      <w:r>
        <w:rPr>
          <w:rFonts w:hint="eastAsia" w:ascii="宋体" w:hAnsi="宋体" w:eastAsia="宋体" w:cs="宋体"/>
          <w:color w:val="auto"/>
          <w:sz w:val="24"/>
          <w:szCs w:val="24"/>
          <w:highlight w:val="none"/>
          <w:lang w:bidi="ar"/>
        </w:rPr>
        <w:t xml:space="preserve">AI照片真实性检测：上传照片经AI自动检测，校验照片真实性、场景合规性，杜绝补拍、网图替代等违规行为。</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服务完成确认：服务结束后通过人脸识别完成服务对象确认，系统自动生成已完成工单，无需手动填报。</w:t>
      </w:r>
      <w:r/>
    </w:p>
    <w:p>
      <w:pPr>
        <w:numPr>
          <w:ilvl w:val="0"/>
          <w:numId w:val="11"/>
        </w:numPr>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7" w:name="heading_26"/>
      <w:r>
        <w:rPr>
          <w:rFonts w:hint="eastAsia" w:ascii="宋体" w:hAnsi="宋体" w:eastAsia="宋体" w:cs="宋体"/>
          <w:color w:val="000000"/>
          <w:sz w:val="24"/>
          <w:szCs w:val="24"/>
          <w:lang w:bidi="ar"/>
        </w:rPr>
        <w:t xml:space="preserve">老人信息采集</w:t>
      </w:r>
      <w:bookmarkEnd w:id="297"/>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身份证OCR建档</w:t>
      </w:r>
      <w:r>
        <w:rPr>
          <w:rFonts w:hint="eastAsia" w:ascii="宋体" w:hAnsi="宋体" w:eastAsia="宋体" w:cs="宋体"/>
          <w:color w:val="auto"/>
          <w:sz w:val="24"/>
          <w:szCs w:val="24"/>
          <w:lang w:bidi="ar"/>
        </w:rPr>
        <w:t xml:space="preserve">：支持扫描老人身份证自动识别并填充基础信息，快速完成老人档案建立，减少手动录入工作量。</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人脸采集与更新：支持现场采集老人人脸照片，完成人脸信息录入与头像更新。</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AI信息校验：AI自动校验录入信息的完整性，对缺失项自动弹出提醒，引导助浴员补充完善，保障档案质量。</w:t>
      </w:r>
      <w:r/>
    </w:p>
    <w:p>
      <w:pPr>
        <w:numPr>
          <w:ilvl w:val="0"/>
          <w:numId w:val="11"/>
        </w:num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bookmarkStart w:id="298" w:name="heading_27"/>
      <w:r>
        <w:rPr>
          <w:rFonts w:hint="eastAsia" w:ascii="宋体" w:hAnsi="宋体" w:eastAsia="宋体" w:cs="宋体"/>
          <w:color w:val="auto"/>
          <w:sz w:val="24"/>
          <w:szCs w:val="24"/>
          <w:lang w:bidi="ar"/>
        </w:rPr>
        <w:t xml:space="preserve">基础作业功能</w:t>
      </w:r>
      <w:bookmarkEnd w:id="298"/>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人脸采集：首次上门服务时采集老人人脸照片，录入系统人脸库。</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扫脸下单：通过人脸识别快速创建服务工单并完成服务确认，提升下单效率。</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待办服务：集中展示待上门的助浴服务任务，支持按时间排序查看。</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完成服务：查看历史已完成的助浴服务记录，支持按时间、服务对象筛选。</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中止服务：因老人身体原因、个人突发情况等无法继续服务时，可提交服务中止申请并说明原因。</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我的位置：展示自身定位，配合平台位置</w:t>
      </w:r>
      <w:r>
        <w:rPr>
          <w:rFonts w:hint="eastAsia" w:ascii="宋体" w:hAnsi="宋体" w:eastAsia="宋体" w:cs="宋体"/>
          <w:color w:val="auto"/>
          <w:sz w:val="24"/>
          <w:szCs w:val="24"/>
          <w:lang w:bidi="ar"/>
        </w:rPr>
        <w:t xml:space="preserve">监管，同时辅助导航前往服务地点。</w:t>
      </w:r>
      <w:r/>
    </w:p>
    <w:p>
      <w:pPr>
        <w:numPr>
          <w:ilvl w:val="0"/>
          <w:numId w:val="11"/>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9" w:name="heading_28"/>
      <w:r>
        <w:rPr>
          <w:rFonts w:hint="eastAsia" w:ascii="宋体" w:hAnsi="宋体" w:eastAsia="宋体" w:cs="宋体"/>
          <w:color w:val="000000"/>
          <w:sz w:val="24"/>
          <w:szCs w:val="24"/>
          <w:lang w:bidi="ar"/>
        </w:rPr>
        <w:t xml:space="preserve">个人中心</w:t>
      </w:r>
      <w:bookmarkEnd w:id="299"/>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包含个人信息查看与修改、系统设置、账号安全管理等功能。</w:t>
      </w:r>
      <w:r/>
    </w:p>
    <w:tbl>
      <w:tblPr>
        <w:tblStyle w:val="789"/>
        <w:tblW w:w="8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384"/>
        <w:gridCol w:w="2114"/>
        <w:gridCol w:w="4756"/>
      </w:tblGrid>
      <w:tr>
        <w:trPr>
          <w:jc w:val="center"/>
          <w:trHeight w:val="0"/>
          <w:tblHeader/>
        </w:trPr>
        <w:tc>
          <w:tcPr>
            <w:tcMar>
              <w:left w:w="120" w:type="dxa"/>
              <w:top w:w="60" w:type="dxa"/>
              <w:right w:w="120" w:type="dxa"/>
              <w:bottom w:w="30" w:type="dxa"/>
            </w:tcMar>
            <w:tcW w:w="13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一级模块</w:t>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二级功能模块</w:t>
            </w:r>
            <w:r/>
          </w:p>
        </w:tc>
        <w:tc>
          <w:tcPr>
            <w:tcMar>
              <w:left w:w="120" w:type="dxa"/>
              <w:top w:w="60" w:type="dxa"/>
              <w:right w:w="120" w:type="dxa"/>
              <w:bottom w:w="30" w:type="dxa"/>
            </w:tcMar>
            <w:tcW w:w="47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三级核心功能点</w:t>
            </w:r>
            <w:r/>
          </w:p>
        </w:tc>
      </w:tr>
      <w:tr>
        <w:trPr>
          <w:jc w:val="center"/>
          <w:trHeight w:val="0"/>
        </w:trPr>
        <w:tc>
          <w:tcPr>
            <w:tcMar>
              <w:left w:w="120" w:type="dxa"/>
              <w:top w:w="60" w:type="dxa"/>
              <w:right w:w="120" w:type="dxa"/>
              <w:bottom w:w="30" w:type="dxa"/>
            </w:tcMar>
            <w:tcW w:w="138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服务机构管理</w:t>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机构入驻与审核</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机构基本信息提交（名称、地址、法人、联系方式等）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资质文件上传（营业执照、养老服务许可证、卫生许可证等）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平台审核进度查询、审核结果通知</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机构信息管理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机构基本信息维护（联系方式、地址变更等）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机构资质证书更新与审核</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机构服务范围与能力信息维护</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服务范围管理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基于定位设置服务覆盖区域（支持多区域添加）</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服务区域内老人分布查看</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机构评价管理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查看老人及家属对机构的服务评价与评分</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结算管理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结算明细查询：支持按时间段、服务类型查看服务费用结算明细，清晰核对每笔订单收益。</w:t>
            </w:r>
            <w:r/>
          </w:p>
        </w:tc>
      </w:tr>
      <w:tr>
        <w:trPr>
          <w:jc w:val="center"/>
          <w:trHeight w:val="0"/>
        </w:trPr>
        <w:tc>
          <w:tcPr>
            <w:tcMar>
              <w:left w:w="120" w:type="dxa"/>
              <w:top w:w="60" w:type="dxa"/>
              <w:right w:w="120" w:type="dxa"/>
              <w:bottom w:w="30" w:type="dxa"/>
            </w:tcMar>
            <w:tcW w:w="138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助浴员管理</w:t>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人员档案管理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助浴员基本信息录入（姓名、性别、年龄、联系方式等）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专业资质上传（健康证、助浴培训证书、技能等级证书等）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人员档案信息维护与更新</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健康证明有效期提醒与更新</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资质审核与升级</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新入职助浴员资质审核与结果通知</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资质审核不通过原因反馈与整改指引</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定位与考勤管理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定位追踪（显示助浴员当前位置与</w:t>
            </w:r>
            <w:r>
              <w:rPr>
                <w:rFonts w:hint="eastAsia" w:ascii="宋体" w:hAnsi="宋体" w:eastAsia="宋体" w:cs="宋体"/>
                <w:color w:val="auto"/>
                <w:sz w:val="24"/>
                <w:szCs w:val="24"/>
              </w:rPr>
              <w:t xml:space="preserve">服务轨迹</w:t>
            </w:r>
            <w:r>
              <w:rPr>
                <w:rFonts w:hint="eastAsia" w:ascii="宋体" w:hAnsi="宋体" w:eastAsia="宋体" w:cs="宋体"/>
                <w:sz w:val="24"/>
                <w:szCs w:val="24"/>
              </w:rPr>
              <w:t xml:space="preserve">）</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上门服务签到（基于定位确认到达服务地点）</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服务结束签退与考勤记录生成</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培训与考核管理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线上培训课程推送、培训进度跟踪、考核成绩记录与查询</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服务评价管理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查看个人服务评价（老人及家属评价、机构评价）</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评价问题整改反馈提交</w:t>
            </w:r>
            <w:r/>
          </w:p>
        </w:tc>
      </w:tr>
      <w:tr>
        <w:trPr>
          <w:jc w:val="center"/>
          <w:trHeight w:val="0"/>
        </w:trPr>
        <w:tc>
          <w:tcPr>
            <w:tcMar>
              <w:left w:w="120" w:type="dxa"/>
              <w:top w:w="60" w:type="dxa"/>
              <w:right w:w="120" w:type="dxa"/>
              <w:bottom w:w="30" w:type="dxa"/>
            </w:tcMar>
            <w:tcW w:w="138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老人信息管理</w:t>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基础信息管理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老人基本信息录入（姓名、性别、年龄、身份证号、联系方式等）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家属信息登记（紧急联系人、关系、联系方式等）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基础信息更新与维护（支持家属协助更新）</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健康档案管理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既往病史、过敏史、当前健康状况录入与更新</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日常健康数据记录（血压、血糖等，支持手动录入与设备同步）</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健康评估报告生成与查看</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助浴相关健康禁忌提示（如水温限制、服务时长限制等）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人脸识别信息管理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老人人脸信息采集与录入（支持现场采集与相册上传）</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人脸信息更新、加密存储与隐私保护</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服务偏好管理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助浴时间偏好、水温偏好、服务人员性别偏好等记录与维护</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服务记录查询</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历史助浴服务工单查询（服务时间、助浴员、服务评价等）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健康状况变化记录查询</w:t>
            </w:r>
            <w:r/>
          </w:p>
        </w:tc>
      </w:tr>
      <w:tr>
        <w:trPr>
          <w:jc w:val="center"/>
          <w:trHeight w:val="0"/>
        </w:trPr>
        <w:tc>
          <w:tcPr>
            <w:tcMar>
              <w:left w:w="120" w:type="dxa"/>
              <w:top w:w="60" w:type="dxa"/>
              <w:right w:w="120" w:type="dxa"/>
              <w:bottom w:w="30" w:type="dxa"/>
            </w:tcMar>
            <w:tcW w:w="138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工单管理模块（AI智能中枢）</w:t>
            </w:r>
            <w:r>
              <w:rPr>
                <w:rFonts w:hint="eastAsia" w:ascii="宋体" w:hAnsi="宋体" w:eastAsia="宋体" w:cs="宋体"/>
                <w:sz w:val="24"/>
                <w:szCs w:val="24"/>
              </w:rPr>
              <w:b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AI全流程工单管理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工单状态全流程管控，支持待服务、已完成、已评价、异常全状态跟踪</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AI过程监护：签到定位核验、人脸识别核验、服务时长校验、服务照片合规检测</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支持多条件筛选查询工单</w:t>
            </w:r>
            <w:r/>
          </w:p>
        </w:tc>
      </w:tr>
      <w:tr>
        <w:trPr>
          <w:jc w:val="center"/>
          <w:trHeight w:val="0"/>
        </w:trPr>
        <w:tc>
          <w:tcPr>
            <w:tcMar>
              <w:left w:w="120" w:type="dxa"/>
              <w:top w:w="60" w:type="dxa"/>
              <w:right w:w="120" w:type="dxa"/>
              <w:bottom w:w="30" w:type="dxa"/>
            </w:tcMar>
            <w:tcW w:w="138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助浴员微信小程序（照护版）</w:t>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预约工单接单</w:t>
            </w:r>
            <w:r>
              <w:rPr>
                <w:rFonts w:hint="eastAsia" w:ascii="宋体" w:hAnsi="宋体" w:eastAsia="宋体" w:cs="宋体"/>
                <w:sz w:val="24"/>
                <w:szCs w:val="24"/>
              </w:rPr>
              <w:b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查看预约工单、开始服务、签到打卡</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GPS定位+人脸识别双重核验，防止虚假服务</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助浴服务执行</w:t>
            </w:r>
            <w:r>
              <w:rPr>
                <w:rFonts w:hint="eastAsia" w:ascii="宋体" w:hAnsi="宋体" w:eastAsia="宋体" w:cs="宋体"/>
                <w:sz w:val="24"/>
                <w:szCs w:val="24"/>
              </w:rPr>
              <w:b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上传服务前/后照片，</w:t>
            </w:r>
            <w:r>
              <w:rPr>
                <w:rFonts w:hint="eastAsia" w:ascii="宋体" w:hAnsi="宋体" w:eastAsia="宋体" w:cs="宋体"/>
                <w:color w:val="auto"/>
                <w:sz w:val="24"/>
                <w:szCs w:val="24"/>
              </w:rPr>
              <w:t xml:space="preserve">AI检测照片真实性</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服务完成人脸确认，自动生成完成工单</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老人信息采集</w:t>
            </w:r>
            <w:r>
              <w:rPr>
                <w:rFonts w:hint="eastAsia" w:ascii="宋体" w:hAnsi="宋体" w:eastAsia="宋体" w:cs="宋体"/>
                <w:sz w:val="24"/>
                <w:szCs w:val="24"/>
              </w:rPr>
              <w:b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身份证OCR快速建档、人脸采集、头像更新</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AI自动校验信息完整性，缺失项自动提醒</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基础作业功能</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人脸采集：首次上门采集老人人脸照片</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扫脸下单：扫脸完成服务工单创建及服务确认</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待办服务：查看待上门的助浴服务任务</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完成服务：查看过往已完成的服务记录</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中止服务：提交服务中止申请并说明原因</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我的位置：位置监</w:t>
            </w:r>
            <w:r>
              <w:rPr>
                <w:rFonts w:hint="eastAsia" w:ascii="宋体" w:hAnsi="宋体" w:eastAsia="宋体" w:cs="宋体"/>
                <w:color w:val="auto"/>
                <w:sz w:val="24"/>
                <w:szCs w:val="24"/>
              </w:rPr>
              <w:t xml:space="preserve">管与导航辅助</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个人中心</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个人信息、个人设置、账号管理等</w:t>
            </w:r>
            <w:r/>
          </w:p>
        </w:tc>
      </w:tr>
    </w:tbl>
    <w:p>
      <w:pPr>
        <w:ind w:left="0" w:firstLine="560"/>
        <w:keepLines w:val="0"/>
        <w:keepNext w:val="0"/>
        <w:pageBreakBefore w:val="0"/>
        <w:spacing w:line="42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3.平台运维</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bookmarkStart w:id="300" w:name="heading_14"/>
      <w:r>
        <w:rPr>
          <w:rFonts w:hint="eastAsia" w:ascii="宋体" w:hAnsi="宋体" w:eastAsia="宋体" w:cs="宋体"/>
          <w:b/>
          <w:bCs/>
          <w:sz w:val="24"/>
          <w:szCs w:val="24"/>
          <w:lang w:val="en-US" w:eastAsia="zh-CN"/>
        </w:rPr>
        <w:t xml:space="preserve">运维服务实施要求</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需有专业的技术团队，需具有相应的专业工程师，有完善的维护方案，需1名以上常驻兴化的维保工程师。</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日常运行监控：7×24小时监控平台运行状态，包括服务器性能、数据库状态、应用服务可用性、接口连通性，发现异常及时预警处置。</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故障处置服务：建立分级故障响应机制，故障响应时间不超过30分钟；一般功能性故障2小时内修复，重大系统故障3小时内出具解决方案并推进修复；故障处置完成后出具故障分析报告。</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版本迭代优化：根据业务需求变化，对平台功能进行小版本迭代优化、BUG修复；配合民政部门完成业务规则调整、流程优化对应的系统适配工作。</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数据运维服务：负责平台日常数据备份、数据校验、数据清理、数据恢复工作；每日自动备份核心数据，每月开展人工备份校验，保障数据完整性与可用性。</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定期巡检服务：每半年开展一次全面系统巡检，涵盖服务器、数据库、应用系统、安全体系全维度，巡检完成后出具正式巡检报告与优化建议。</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养老居家上门、助餐、助浴等系统运维：分别负责对应业务系统的日常运维保障、故障处置、功能优化、数据维护，支撑一线服务业务稳定运行。</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（2）运维服务</w:t>
      </w:r>
      <w:bookmarkEnd w:id="300"/>
      <w:r>
        <w:rPr>
          <w:rFonts w:hint="eastAsia" w:ascii="宋体" w:hAnsi="宋体" w:eastAsia="宋体" w:cs="宋体"/>
          <w:b/>
          <w:bCs/>
          <w:sz w:val="24"/>
          <w:szCs w:val="24"/>
          <w:lang w:val="en-US" w:eastAsia="zh-CN"/>
        </w:rPr>
        <w:t xml:space="preserve">方式</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现场服务：针对系统宕机、硬件故障、本地操作异常等问题，工程师1小时内抵达现场排查维修；每半年进行周期性全面巡检，覆盖设备运行、系统功能、数据安全等维度，形成巡检报告并整改问题。</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远程技术支持：通过电话、远程控制等方式，7×24小时响应日常操作咨询、软件小故障处理，指导助老员、客服人员等用户解决使用问题，响应时间不超过30分钟。</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定制化培训服务：结合不同用户群体需求，每年开展1次集中培训，包括运维人员的系统维护培训、一线服务人员的操作技能培训（如助餐下单、工单流转），培训形式采用线下授课+线上教程结合。</w:t>
      </w:r>
      <w:r/>
    </w:p>
    <w:p>
      <w:pPr>
        <w:ind w:left="0"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4.客服中心</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本次运维服务周期为24个月，含前2个月平台升级期，无缝衔接现有服务周期，建立“驻场服务+远程支撑+全流程管控”的运维体系，确保平台稳定、安全、高效运行。</w:t>
      </w:r>
      <w:r/>
    </w:p>
    <w:p>
      <w:pPr>
        <w:ind w:left="0" w:firstLine="480"/>
        <w:rPr>
          <w:rFonts w:hint="eastAsia" w:ascii="宋体" w:hAnsi="宋体" w:eastAsia="宋体" w:cs="宋体"/>
          <w:sz w:val="24"/>
          <w:szCs w:val="24"/>
          <w:lang w:val="en-US" w:eastAsia="zh-CN"/>
        </w:rPr>
      </w:pPr>
      <w:r/>
      <w:bookmarkStart w:id="301" w:name="_Toc28996"/>
      <w:r>
        <w:rPr>
          <w:rFonts w:hint="eastAsia" w:ascii="宋体" w:hAnsi="宋体" w:eastAsia="宋体" w:cs="宋体"/>
          <w:sz w:val="24"/>
          <w:szCs w:val="24"/>
          <w:lang w:val="en-US" w:eastAsia="zh-CN"/>
        </w:rPr>
        <w:t xml:space="preserve">（1）驻场服务体系</w:t>
      </w:r>
      <w:bookmarkEnd w:id="301"/>
      <w:r/>
      <w:r/>
    </w:p>
    <w:p>
      <w:pPr>
        <w:ind w:left="0" w:firstLine="560"/>
        <w:rPr>
          <w:rFonts w:hint="eastAsia" w:ascii="宋体" w:hAnsi="宋体" w:eastAsia="宋体" w:cs="宋体"/>
          <w:sz w:val="24"/>
          <w:szCs w:val="24"/>
          <w:lang w:val="en-US" w:eastAsia="zh-CN"/>
        </w:rPr>
      </w:pPr>
      <w:r/>
      <w:bookmarkStart w:id="302" w:name="_Toc24359"/>
      <w:r>
        <w:rPr>
          <w:rFonts w:hint="eastAsia" w:ascii="宋体" w:hAnsi="宋体" w:eastAsia="宋体" w:cs="宋体"/>
          <w:sz w:val="24"/>
          <w:szCs w:val="24"/>
          <w:lang w:val="en-US" w:eastAsia="zh-CN"/>
        </w:rPr>
        <w:t xml:space="preserve">1）</w:t>
      </w:r>
      <w:bookmarkStart w:id="303" w:name="_Toc32034"/>
      <w:r>
        <w:rPr>
          <w:rFonts w:hint="eastAsia" w:ascii="宋体" w:hAnsi="宋体" w:eastAsia="宋体" w:cs="宋体"/>
          <w:sz w:val="24"/>
          <w:szCs w:val="24"/>
          <w:lang w:val="en-US" w:eastAsia="zh-CN"/>
        </w:rPr>
        <w:t xml:space="preserve">驻场人员组织架构</w:t>
      </w:r>
      <w:bookmarkEnd w:id="303"/>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客服组长1名：负责整个团队的管理和协调工作，包括制订工作计划、分配工作任务、监督工作进度等。组长需要熟悉全业务，能够有效地指导和帮助组员解决工作中遇到的问题。</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客服组员4名：负责处理养老服务平台的各类问题（含组长1名），包括用户咨询、投诉处理、技术支持等。需要具备良好的沟通能力和服务意识，能够快速准确地解答用户的问题。</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常驻维保工程师1名：负责客服中心及关联业务系统的日常运维保障，包括养老服务综合监管平台运行状态监控、故障快速排查与修复；定期对客服中心硬件设备（如电脑、打印机、高速扫描仪、电话终端等）进行检测维护，确保设备无间断运行；协助客服人员解决系统操作中的技术问题，提供实时技术支持；参与系统功能升级与优化的测试工作，配合开发团队完成上线前的验证；每年编制运维分析报告提交甲方；严格遵循数据安全与隐私保护要求，配合执行系统安全加固、漏洞扫描等工作，保障平台数据安全。</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2）驻场服务内容</w:t>
      </w:r>
      <w:bookmarkEnd w:id="302"/>
      <w:r/>
      <w:r/>
    </w:p>
    <w:p>
      <w:pPr>
        <w:numPr>
          <w:ilvl w:val="0"/>
          <w:numId w:val="12"/>
        </w:numPr>
        <w:ind w:left="0" w:firstLine="482"/>
        <w:rPr>
          <w:rFonts w:hint="eastAsia" w:ascii="宋体" w:hAnsi="宋体" w:eastAsia="宋体" w:cs="宋体"/>
          <w:b/>
          <w:bCs/>
          <w:sz w:val="24"/>
          <w:szCs w:val="24"/>
          <w:lang w:val="en-US" w:eastAsia="zh-CN"/>
        </w:rPr>
      </w:pPr>
      <w:r/>
      <w:bookmarkStart w:id="304" w:name="_Toc28203"/>
      <w:r>
        <w:rPr>
          <w:rFonts w:hint="eastAsia" w:ascii="宋体" w:hAnsi="宋体" w:eastAsia="宋体" w:cs="宋体"/>
          <w:b/>
          <w:bCs/>
          <w:sz w:val="24"/>
          <w:szCs w:val="24"/>
          <w:lang w:val="en-US" w:eastAsia="zh-CN"/>
        </w:rPr>
        <w:t xml:space="preserve">养老服务中心客服服务内容</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A.为老年人提供养老服务相关的政策法规、服务项目等方面的咨询。</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B.接受并处理老年人对养老服务的投诉，确保他们的权益得到维护。</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C.协助老年人预约上门服务。</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D.为老年人提供养老服务机构的详细信息，包括地址、联系方式、服务项目等。</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E.协助甲方对全市申请等级评定的居家养老服务中心及新建小区进行实地走访及运营考核工作，每日存储所有居家养老服务中心活动照片并进行存档，每日通过监控系统对新建小区的运营情况进行实时考核，每月形成分析报表。</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F.要求熟悉养老服务综合监管平台全部业务，并服从采购人管理。</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负责养老、助餐及助浴服务基础数据录入和养老信息平台的日常监管，每天对开展上门服务的养老服务供应商及助浴服务供应商服务的工单进行回访电话并每月做分析报表。每季度将平台管理情况报送至业务对应科室。每月ai自检助餐工单，对ai异常的工单进行人工复核，并做分析报表。每月审核所有助浴工单并做分析报表。</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H.对正在进行服务的工单进行视频抽查，确认服务项目和服务对象，询问服务对象满意度，将抽查视频跟随工单永久保存并记录在案。</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I.每月20日前上交养老服务供应商及助餐的上月服务抽查情况汇总表及上月工单初核表格。</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J.协助甲方完成对全市中度以上失能老年人发放养老服务消费补贴工作，每周通报消费券具体统计进度，每月定期跟进各机构领取核销消费券进度，辅导养老机构和评估机构使用系统，协助机构在全国系统注册并核销消费券，每月10日前对机构提供的老人核销材料进行审批。</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K.协助甲方完成全市敬老院相关工作。</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L.自备项目内配套使用的电脑、打印机、高速扫描仪、电话桌椅和其他为履职工作而准备的办公用品。</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M.项目内使用的电脑、打印机、扫描仪等设备的维修。</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N.驻场人员的组织架构和驻场内容，需要在评审标准中的技术部分，项目建设方案和项目实施方案中有充分的体现。</w:t>
      </w:r>
      <w:r/>
    </w:p>
    <w:p>
      <w:pPr>
        <w:numPr>
          <w:ilvl w:val="0"/>
          <w:numId w:val="12"/>
        </w:numPr>
        <w:ind w:left="0"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常驻维保工程师</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A.负责基础设施、软件及信息资源的维护，提供日常性能与运行状况监控，对故障进行分析处理，并建立完善的预警机制。</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B.负责保障基础设施正常运行，遵循用户的安全保障管理要求。</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C.接受用户对信息系统维护事件的督办与检查，完成用户意见回访及事件统计与分析，对服务过程及反馈意见进行改进。</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D.及时提供信息系统运行和问题处理情况，并向用户负责，并按年提交运维服务工作进度总结。</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E.负责整理和归纳服务器日常维护知识库，提交至运维服务平台。</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F.负责整理并提交信息系统运维过程资料及相关配套维护文档。</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G.协助客服人员解决系统操作中的技术问题，配合完成系统升级测试与上线工作。</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（3）客服中心管理实施要求</w:t>
      </w:r>
      <w:bookmarkEnd w:id="304"/>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排运维客服人员驻场办公并服从管理。通过专业的服务，提升老年人及子女对养老服务的满意度和信任度。客服人员须具备相关专业知识，经过专业培训后上岗，确保服务响应及时、准确，处理咨询和投诉在指定时限内完成。建立完善的客服管理制度，包括人员排班、日常考核及定期报告机制，确保所有服务记录完整可追溯。同时，客服中心需配备必要的办公设备和系统支持，保障服务不间断运行，并通过数据分析和用户反馈持续优化流程，以提升整体服务水平和用户满意度。</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协助做好以下养老服务工作：</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困难老年人助浴：工单审批，质量回访，策划支撑</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养老服务消费券：合规审批，走访调查，操作指导</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居家养老服务中心：走访检查，监控查点，等级评定</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适老化改造：走访调查，数据汇总</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老年人手机培训：走访调查，数据汇总</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居家上门服务：操作培训指导，工单审批，工单抽查、回访，工单整理上传、信息录入审批，配合做好相关工作</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老年人助餐：操作培训指导，工单审批，工单回访，信息录入审批，配合做好相关工作</w:t>
      </w:r>
      <w:r>
        <w:rPr>
          <w:rFonts w:hint="eastAsia" w:ascii="宋体" w:hAnsi="宋体" w:eastAsia="宋体" w:cs="宋体"/>
          <w:sz w:val="24"/>
          <w:szCs w:val="24"/>
          <w:lang w:val="en-US" w:eastAsia="zh-CN"/>
        </w:rPr>
        <w:tab/>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养老机构运营补贴：金民数据更新，系统维护，养老机构入住老人信息核查；</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涉企行政检查（双随机）：江苏省双随机移动监管系统任务设置，以及联合检查；</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祥泰颐养监管版：消防安全检查以及检查问题上传；</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泰州养老综合监管平台：系统维护；</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协助运营乡镇（街道）养老服务指导站、社区（村）养老服务指导点等其他工作。</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客服中心人员要求：</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①普通话流利，懂兴化方言，遵守道德风尚。</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②熟悉办公软件，有相关工作经验。</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③服务时间分为夏季和冬季，法定节假日须有值班人员。</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夏季（5.1-9.30）：8:30-12:00、14:30-18:00；</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冬季（10.1-4.30）：8:30-12:00、14:00-17:30。</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客服中心服务流程：</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①接听电话或在线接待：客服人员应热情、耐心地接听电话或在线咨询。</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②了解需求：客服人员应详细询问来电人员的需求，以便提供准确的服务。</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③提供服务：根据来点人员的需求，客服人员应提供相应的服务，如解答问题、处理投诉、提供信息等。</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④反馈结果：客服人员应向来电人员反馈服务的结果，如问题的解决情况、投诉的处理结果等。</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⑤跟踪服务：客服人员应对提供的服务进行跟踪，以确保服务对象的满意度。</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服务质量控制：</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如服务人员不能满足业务需求，我单位有权要求更换客服服务人员，平台服务人员须熟悉养老相关政策。</w:t>
      </w:r>
      <w:r/>
    </w:p>
    <w:p>
      <w:pPr>
        <w:ind w:left="0" w:firstLine="560"/>
        <w:rPr>
          <w:rFonts w:hint="eastAsia" w:ascii="宋体" w:hAnsi="宋体" w:eastAsia="宋体" w:cs="宋体"/>
          <w:b/>
          <w:bCs/>
          <w:sz w:val="24"/>
          <w:szCs w:val="24"/>
          <w:lang w:val="en-US" w:eastAsia="zh-CN"/>
        </w:rPr>
      </w:pPr>
      <w:r/>
      <w:bookmarkStart w:id="305" w:name="_Toc22634"/>
      <w:r>
        <w:rPr>
          <w:rFonts w:hint="eastAsia" w:ascii="宋体" w:hAnsi="宋体" w:eastAsia="宋体" w:cs="宋体"/>
          <w:b/>
          <w:bCs/>
          <w:sz w:val="24"/>
          <w:szCs w:val="24"/>
          <w:lang w:val="en-US" w:eastAsia="zh-CN"/>
        </w:rPr>
        <w:t xml:space="preserve">客服中心服务期限</w:t>
      </w:r>
      <w:bookmarkEnd w:id="305"/>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服务时间：周期为24个月。</w:t>
      </w:r>
      <w:r/>
    </w:p>
    <w:p>
      <w:pPr>
        <w:ind w:left="0" w:firstLine="560"/>
        <w:rPr>
          <w:rFonts w:hint="eastAsia" w:ascii="宋体" w:hAnsi="宋体" w:eastAsia="宋体" w:cs="宋体"/>
          <w:b/>
          <w:bCs/>
          <w:sz w:val="24"/>
          <w:szCs w:val="24"/>
          <w:lang w:val="en-US" w:eastAsia="zh-CN"/>
        </w:rPr>
      </w:pPr>
      <w:r/>
      <w:bookmarkStart w:id="306" w:name="_Toc18188"/>
      <w:r/>
      <w:bookmarkStart w:id="307" w:name="_Toc3141"/>
      <w:r>
        <w:rPr>
          <w:rFonts w:hint="eastAsia" w:ascii="宋体" w:hAnsi="宋体" w:eastAsia="宋体" w:cs="宋体"/>
          <w:b/>
          <w:bCs/>
          <w:sz w:val="24"/>
          <w:szCs w:val="24"/>
          <w:lang w:val="en-US" w:eastAsia="zh-CN"/>
        </w:rPr>
        <w:t xml:space="preserve">客服中心详细采购清单</w:t>
      </w:r>
      <w:bookmarkEnd w:id="306"/>
      <w:r/>
      <w:bookmarkEnd w:id="307"/>
      <w:r/>
      <w:r/>
    </w:p>
    <w:tbl>
      <w:tblPr>
        <w:tblStyle w:val="789"/>
        <w:tblW w:w="7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7"/>
        <w:gridCol w:w="4025"/>
        <w:gridCol w:w="1064"/>
        <w:gridCol w:w="1323"/>
      </w:tblGrid>
      <w:tr>
        <w:trPr>
          <w:jc w:val="center"/>
          <w:trHeight w:val="0"/>
          <w:tblHeader/>
        </w:trPr>
        <w:tc>
          <w:tcPr>
            <w:tcW w:w="1477" w:type="dxa"/>
            <w:vAlign w:val="center"/>
            <w:textDirection w:val="lrTb"/>
            <w:noWrap/>
          </w:tcPr>
          <w:p>
            <w:pPr>
              <w:ind w:left="0" w:right="0" w:firstLine="0"/>
              <w:jc w:val="center"/>
              <w:spacing w:before="6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项目</w:t>
            </w:r>
            <w:r/>
          </w:p>
        </w:tc>
        <w:tc>
          <w:tcPr>
            <w:tcW w:w="4025" w:type="dxa"/>
            <w:vAlign w:val="center"/>
            <w:textDirection w:val="lrTb"/>
            <w:noWrap/>
          </w:tcPr>
          <w:p>
            <w:pPr>
              <w:ind w:left="0" w:right="0" w:firstLine="0"/>
              <w:jc w:val="center"/>
              <w:spacing w:before="6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要求配置</w:t>
            </w:r>
            <w:r/>
          </w:p>
        </w:tc>
        <w:tc>
          <w:tcPr>
            <w:tcW w:w="1064" w:type="dxa"/>
            <w:vAlign w:val="center"/>
            <w:textDirection w:val="lrTb"/>
            <w:noWrap/>
          </w:tcPr>
          <w:p>
            <w:pPr>
              <w:ind w:left="0" w:right="0" w:firstLine="0"/>
              <w:jc w:val="center"/>
              <w:spacing w:before="6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单位</w:t>
            </w:r>
            <w:r/>
          </w:p>
        </w:tc>
        <w:tc>
          <w:tcPr>
            <w:tcW w:w="1323" w:type="dxa"/>
            <w:vAlign w:val="center"/>
            <w:textDirection w:val="lrTb"/>
            <w:noWrap/>
          </w:tcPr>
          <w:p>
            <w:pPr>
              <w:ind w:left="0" w:right="0" w:firstLine="0"/>
              <w:jc w:val="center"/>
              <w:spacing w:before="6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数量</w:t>
            </w:r>
            <w:r/>
          </w:p>
        </w:tc>
      </w:tr>
      <w:tr>
        <w:trPr>
          <w:jc w:val="center"/>
          <w:trHeight w:val="0"/>
        </w:trPr>
        <w:tc>
          <w:tcPr>
            <w:tcW w:w="1477" w:type="dxa"/>
            <w:vAlign w:val="center"/>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客服人员</w:t>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按24个月算，每人每月须缴纳社保</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人</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jc w:val="center"/>
          <w:trHeight w:val="0"/>
        </w:trPr>
        <w:tc>
          <w:tcPr>
            <w:tcW w:w="1477" w:type="dxa"/>
            <w:vAlign w:val="center"/>
            <w:vMerge w:val="restart"/>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办公用品</w:t>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台式电脑</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台</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打印机</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台</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2</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高速扫描仪</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台</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2</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电话</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套</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桌椅</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套</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维修</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年</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2</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配件、耗材</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年</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2</w:t>
            </w:r>
            <w:r/>
          </w:p>
        </w:tc>
      </w:tr>
      <w:tr>
        <w:trPr>
          <w:jc w:val="center"/>
          <w:trHeight w:val="0"/>
        </w:trPr>
        <w:tc>
          <w:tcPr>
            <w:gridSpan w:val="4"/>
            <w:tcW w:w="7889" w:type="dxa"/>
            <w:vAlign w:val="center"/>
            <w:textDirection w:val="lrTb"/>
            <w:noWrap/>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备注：1、需为客服人员缴纳社保。</w:t>
            </w:r>
            <w:r>
              <w:rPr>
                <w:rFonts w:hint="eastAsia" w:ascii="仿宋" w:hAnsi="仿宋" w:cs="仿宋"/>
                <w:sz w:val="24"/>
                <w:szCs w:val="24"/>
                <w:lang w:val="en-US" w:eastAsia="zh-CN"/>
              </w:rPr>
              <w:t xml:space="preserve">2、</w:t>
            </w:r>
            <w:r>
              <w:rPr>
                <w:rFonts w:hint="eastAsia" w:ascii="仿宋" w:hAnsi="仿宋" w:eastAsia="仿宋" w:cs="仿宋"/>
                <w:sz w:val="24"/>
                <w:szCs w:val="24"/>
              </w:rPr>
              <w:t xml:space="preserve">办公用品用于客服人员日常办公使用</w:t>
            </w:r>
            <w:r>
              <w:rPr>
                <w:rFonts w:hint="eastAsia" w:ascii="仿宋" w:hAnsi="仿宋" w:cs="仿宋"/>
                <w:sz w:val="24"/>
                <w:szCs w:val="24"/>
                <w:lang w:eastAsia="zh-CN"/>
              </w:rPr>
              <w:t xml:space="preserve">，办公设备服务商免费提供使用</w:t>
            </w:r>
            <w:r>
              <w:rPr>
                <w:rFonts w:hint="eastAsia" w:ascii="仿宋" w:hAnsi="仿宋" w:eastAsia="仿宋" w:cs="仿宋"/>
                <w:sz w:val="24"/>
                <w:szCs w:val="24"/>
              </w:rPr>
              <w:t xml:space="preserve">。</w:t>
            </w:r>
            <w:r>
              <w:rPr>
                <w:rFonts w:hint="eastAsia" w:ascii="仿宋" w:hAnsi="仿宋" w:cs="仿宋"/>
                <w:sz w:val="24"/>
                <w:szCs w:val="24"/>
                <w:lang w:val="en-US" w:eastAsia="zh-CN"/>
              </w:rPr>
              <w:t xml:space="preserve">3、</w:t>
            </w:r>
            <w:r>
              <w:rPr>
                <w:rFonts w:hint="eastAsia" w:ascii="仿宋" w:hAnsi="仿宋" w:eastAsia="仿宋" w:cs="仿宋"/>
                <w:sz w:val="24"/>
                <w:szCs w:val="24"/>
              </w:rPr>
              <w:t xml:space="preserve">项目所用台式电脑、打印机、高速扫描仪、桌椅等固定资产，服务期满后归还服务商。</w:t>
            </w:r>
            <w:r/>
          </w:p>
        </w:tc>
      </w:tr>
    </w:tbl>
    <w:p>
      <w:pPr>
        <w:ind w:left="0"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5.信息化网络安全管理</w:t>
      </w:r>
      <w:r/>
    </w:p>
    <w:p>
      <w:pPr>
        <w:ind w:firstLine="480"/>
        <w:spacing w:before="60" w:line="36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平台严格按照《信息安全技术网络安全等级保护基本要求》（GB/T22239-2019）二级标准，构建“物理安全、网络安全、主机安全、应用安全、数据安全、管理安全”六位一体的全维度信息安全体系，确保平台运行安全、数据安全、操作安全。</w:t>
      </w:r>
      <w:r/>
    </w:p>
    <w:p>
      <w:pPr>
        <w:ind w:left="0"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6.培训方案</w:t>
      </w:r>
      <w:r/>
    </w:p>
    <w:p>
      <w:pPr>
        <w:ind w:firstLine="480"/>
        <w:spacing w:before="60" w:line="360" w:lineRule="exact"/>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（1）培训形式：线下集中授课 + 上机实操 + 一对一答疑；提供电子版操作手册、教学视频等。</w:t>
      </w:r>
      <w:r/>
    </w:p>
    <w:p>
      <w:pPr>
        <w:ind w:firstLine="480"/>
        <w:spacing w:before="60" w:line="360" w:lineRule="exact"/>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（2）覆盖人员：民政局管理人员、乡镇经办人员、辖区各养老机构经办人。</w:t>
      </w:r>
      <w:r/>
    </w:p>
    <w:p>
      <w:pPr>
        <w:ind w:firstLine="480"/>
        <w:spacing w:before="60" w:line="360" w:lineRule="exact"/>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（3）频次：验收前完成全覆盖初训；运维期每年不少于1次集中复训；随时提供线上远程指导培训。</w:t>
      </w:r>
      <w:r/>
    </w:p>
    <w:p>
      <w:pPr>
        <w:ind w:firstLine="480"/>
        <w:spacing w:before="60" w:line="360" w:lineRule="exact"/>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（4）所有培训师资、课件、耗材费用全部包含在运维报价内，采购人无需额外付费。</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308" w:name="_Toc8865"/>
      <w:r>
        <w:rPr>
          <w:rFonts w:hint="eastAsia" w:ascii="宋体" w:hAnsi="宋体" w:eastAsia="宋体" w:cs="宋体"/>
          <w:b/>
          <w:bCs/>
          <w:sz w:val="24"/>
          <w:szCs w:val="24"/>
          <w:lang w:val="en-US" w:eastAsia="zh-CN"/>
        </w:rPr>
        <w:t xml:space="preserve">（四）运维考核</w:t>
      </w:r>
      <w:bookmarkEnd w:id="308"/>
      <w:r/>
      <w:r/>
    </w:p>
    <w:p>
      <w:pPr>
        <w:numPr>
          <w:ilvl w:val="0"/>
          <w:numId w:val="0"/>
        </w:numPr>
        <w:ind w:firstLine="480"/>
        <w:jc w:val="left"/>
        <w:rPr>
          <w:rFonts w:hint="eastAsia" w:ascii="宋体" w:hAnsi="宋体" w:eastAsia="宋体" w:cs="宋体"/>
          <w:sz w:val="24"/>
          <w:szCs w:val="24"/>
        </w:rPr>
      </w:pPr>
      <w:r>
        <w:rPr>
          <w:rFonts w:hint="eastAsia" w:ascii="宋体" w:hAnsi="宋体" w:eastAsia="宋体" w:cs="宋体"/>
          <w:sz w:val="24"/>
          <w:szCs w:val="24"/>
        </w:rPr>
        <w:t xml:space="preserve">成立运维考核小组，对运维服务团队的服务质量、响应速度、故障解决效率等进行年度总评，考核结果与运维服务费用挂钩；持续优化运维服务质量，确保平台运行效果。</w:t>
      </w:r>
      <w:r/>
    </w:p>
    <w:p>
      <w:pPr>
        <w:numPr>
          <w:ilvl w:val="0"/>
          <w:numId w:val="0"/>
        </w:numPr>
        <w:ind w:firstLine="482"/>
        <w:jc w:val="left"/>
        <w:rPr>
          <w:rFonts w:hint="eastAsia" w:ascii="宋体" w:hAnsi="宋体" w:eastAsia="宋体" w:cs="宋体"/>
          <w:b/>
          <w:bCs/>
          <w:sz w:val="24"/>
          <w:szCs w:val="24"/>
        </w:rPr>
      </w:pPr>
      <w:r>
        <w:rPr>
          <w:rFonts w:hint="eastAsia" w:ascii="宋体" w:hAnsi="宋体" w:eastAsia="宋体" w:cs="宋体"/>
          <w:b/>
          <w:bCs/>
          <w:sz w:val="24"/>
          <w:szCs w:val="24"/>
        </w:rPr>
        <w:t xml:space="preserve">1.主要考核内容</w:t>
      </w:r>
      <w:r/>
    </w:p>
    <w:tbl>
      <w:tblPr>
        <w:tblStyle w:val="789"/>
        <w:tblW w:w="8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6711"/>
      </w:tblGrid>
      <w:tr>
        <w:trPr>
          <w:jc w:val="center"/>
          <w:trHeight w:val="0"/>
          <w:tblHeader/>
        </w:trPr>
        <w:tc>
          <w:tcPr>
            <w:tcW w:w="1532" w:type="dxa"/>
            <w:vAlign w:val="center"/>
            <w:textDirection w:val="lrTb"/>
            <w:noWrap w:val="false"/>
          </w:tcPr>
          <w:p>
            <w:pPr>
              <w:numPr>
                <w:ilvl w:val="0"/>
                <w:numId w:val="0"/>
              </w:numPr>
              <w:ind w:right="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服务范围</w:t>
            </w:r>
            <w:r/>
          </w:p>
        </w:tc>
        <w:tc>
          <w:tcPr>
            <w:tcW w:w="6711" w:type="dxa"/>
            <w:vAlign w:val="center"/>
            <w:textDirection w:val="lrTb"/>
            <w:noWrap w:val="false"/>
          </w:tcPr>
          <w:p>
            <w:pPr>
              <w:numPr>
                <w:ilvl w:val="0"/>
                <w:numId w:val="0"/>
              </w:numPr>
              <w:ind w:right="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服务内容</w:t>
            </w:r>
            <w:r/>
          </w:p>
        </w:tc>
      </w:tr>
      <w:tr>
        <w:trPr>
          <w:jc w:val="center"/>
          <w:trHeight w:val="0"/>
        </w:trPr>
        <w:tc>
          <w:tcPr>
            <w:tcW w:w="1532" w:type="dxa"/>
            <w:vAlign w:val="center"/>
            <w:vMerge w:val="restart"/>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信息技术服务考核</w:t>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系统运行状况，以及存储管理状况汇报。</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BUG管理、系统故障检测及排除情况汇报。</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每日数据的备份，对重点数据要求能够进行定时备份。</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每半年进行周期性全面巡检。</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解决数据库运行中出现的各类故障。</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漏洞扫描服务：制定安全扫描计划，对信息系统的服务器、网络设备、安全设备和应用系统进行安全漏洞扫描，包括系统漏洞扫描、数据库扫描、应用安全扫描。</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安全加固服务：根据漏洞扫描所发现的弱点和安全隐患，对信息系统的服务器、网络设备、信息安全设备进行安全加固服务，提高系统与服务器与系统平台运行的安全性、可靠性。</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应急预案和演练服务：针对可能发生的重大事件，制定对应的应急预案，并通过应急演练发现应急过程中存在的问题，进而对应急预案和演练进行优化。</w:t>
            </w:r>
            <w:r/>
          </w:p>
        </w:tc>
      </w:tr>
    </w:tbl>
    <w:p>
      <w:pPr>
        <w:numPr>
          <w:ilvl w:val="0"/>
          <w:numId w:val="0"/>
        </w:numPr>
        <w:ind w:firstLine="482"/>
        <w:jc w:val="left"/>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2.考核实施流程</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自评阶段：供应商需每年提交运维报告。</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综合评分：满足要求为合格。</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309" w:name="_Toc10128"/>
      <w:r>
        <w:rPr>
          <w:rFonts w:hint="eastAsia" w:ascii="宋体" w:hAnsi="宋体" w:eastAsia="宋体" w:cs="宋体"/>
          <w:b/>
          <w:bCs/>
          <w:sz w:val="24"/>
          <w:szCs w:val="24"/>
          <w:lang w:val="en-US" w:eastAsia="zh-CN"/>
        </w:rPr>
        <w:t xml:space="preserve">（五）相关安全措施</w:t>
      </w:r>
      <w:bookmarkEnd w:id="309"/>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本项目部署于政务云，服务器安全以政务云提供的基础信息安全技术服务为主。本信息系统安全按等保二级要求进行方案规划建设。</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310" w:name="_Toc24819"/>
      <w:r>
        <w:rPr>
          <w:rFonts w:hint="eastAsia" w:ascii="宋体" w:hAnsi="宋体" w:eastAsia="宋体" w:cs="宋体"/>
          <w:b/>
          <w:bCs/>
          <w:sz w:val="24"/>
          <w:szCs w:val="24"/>
          <w:lang w:val="en-US" w:eastAsia="zh-CN"/>
        </w:rPr>
        <w:t xml:space="preserve">（六）运维团队</w:t>
      </w:r>
      <w:bookmarkEnd w:id="310"/>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业务指导处室：兴化市民政局养老服务科，负责需求梳理、业务指导、验收评估；</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信息化服务商：第三方服务商，负责提供信息化项目技术支持、客服服务支持、网络安全等保服务。</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311" w:name="_Toc4942"/>
      <w:r>
        <w:rPr>
          <w:rFonts w:hint="eastAsia" w:ascii="宋体" w:hAnsi="宋体" w:eastAsia="宋体" w:cs="宋体"/>
          <w:b/>
          <w:bCs/>
          <w:sz w:val="24"/>
          <w:szCs w:val="24"/>
          <w:lang w:val="en-US" w:eastAsia="zh-CN"/>
        </w:rPr>
        <w:t xml:space="preserve">（七）应急预案体系补充完善（系统故障+业务应急双维度）</w:t>
      </w:r>
      <w:bookmarkEnd w:id="311"/>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结合本项目7×24小时运维保障要求，完善系统技术应急预案、客服业务应急预案，明确应急场景、处置流程、响应时限、人员分工、演练机制，落实原运维考核中“应急预案和演练服务”相关要求。</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1.应急总体目标</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发生平台系统故障、网络中断、客服中心故障、批量工单异常等突发事件时，做到快速响应、分级处置、降低业务影响，保障养老助餐、助浴工单、咨询投诉等核心民生业务尽量不间断，故障处置全程留痕，事后开展复盘优化。</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故障响应时限严格执行原有要求：故障响应时间不超过30分钟；一般故障2小时内修复；重大故障3小时内出具解决方案并推进处置。</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2.突发事件分级</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一级（重大突发事件）：平台整体宕机、政务云服务异常、数据库故障，养老助餐、助浴工单全部无法提交；客服中心整体断网断电，全部热线无法接入；存在老年人敏感数据泄露风险。</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二级（较大突发事件）：部分功能模块不可用，如助餐AI核验、助浴工单模块异常；部分客服坐席失效，部分电话无法接入；批量工单审核异常。</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三级（一般突发事件）：个别账号故障、单条工单异常、单台客服办公设备故障，不影响整体业务运行。</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3.各类场景应急处置流程</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场景1：平台系统技术故障应急</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发现预警：7×24小时运维监控发现故障，或客服、民政反馈业务异常，驻场维保工程师30分钟内响应，判定故障等级。</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分级处置</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级重大故障：立即通知服务商技术负责人、兴化市民政局养老服务科；3小时内输出处置方案；同步启用业务临时手工登记台账，保障助餐、助浴服务工单信息临时记录，避免业务断档；协调政务云厂商协同排查。故障解决后完成数据补录核对。</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二级较大故障：定位模块问题，远程优先处置，必要时现场介入；同步告知客服团队业务受限范围，做好群众解释口径。</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三级一般故障：2小时内完成修复处理。</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故障恢复：系统恢复后校验数据完整性，核对工单、回访记录，防止数据丢失；故障处置完毕后3个工作日内提交故障分析报告，说明故障原因、处置过程、改进措施。</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场景2：客服中心业务应急（断电、断网、话务爆发）</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断网/断电应急：客服中心出现断电断网，驻场技术工程师第一时间排查；如短时间无法恢复，启用服务商远程客服兜底模式，保障咨询、投诉渠道不中断；对外做好群众解释。</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话务高峰/突发话务激增：发生咨询投诉电话集中爆发，客服组长动态调度人员，必要时启动服务商后备客服人员支援，避免来电大面积无人接听。</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工单批量异常应急：AI助餐工单批量识别异常、助浴工单批量报错，立即暂停自动审核，切换人工复核模式，防止错误结算，同步技术排查问题根源。</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场景3：数据安全应急（疑似信息泄露、违规访问）</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旦发现异常访问、疑似数据泄露，驻场技术工程师第一时间阻断风险访问路径，留存系统日志；第一时间上报民政局；开展溯源排查，评估影响范围；按网络安全管理要求落实处置，必要时上报网信等主管部门。</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bookmarkStart w:id="312" w:name="_Toc12439"/>
      <w:r/>
      <w:bookmarkStart w:id="313" w:name="_Toc17985"/>
      <w:r>
        <w:rPr>
          <w:rFonts w:hint="eastAsia" w:ascii="宋体" w:hAnsi="宋体" w:eastAsia="宋体" w:cs="宋体"/>
          <w:b/>
          <w:bCs/>
          <w:sz w:val="24"/>
          <w:lang w:val="en-US" w:eastAsia="zh-CN"/>
        </w:rPr>
        <w:t xml:space="preserve">三、资金支付计划</w:t>
      </w:r>
      <w:bookmarkEnd w:id="312"/>
      <w:r/>
      <w:bookmarkEnd w:id="313"/>
      <w:r/>
      <w:r/>
    </w:p>
    <w:p>
      <w:pPr>
        <w:ind w:left="0" w:firstLine="560"/>
        <w:jc w:val="left"/>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双方签订合同后，供应商需7日内安排相关人员进场提供服务。合同一年一签，预付款为一年服务费的30%，每季度支付一年服务费的17.5%。</w:t>
      </w:r>
      <w:bookmarkEnd w:id="254"/>
      <w:r/>
      <w:bookmarkEnd w:id="255"/>
      <w:r/>
      <w:bookmarkEnd w:id="258"/>
      <w:r/>
      <w:bookmarkEnd w:id="259"/>
      <w:r/>
      <w:r/>
    </w:p>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314" w:name="_Toc32391"/>
      <w:r/>
      <w:bookmarkStart w:id="315" w:name="_Toc27644"/>
      <w:r/>
      <w:bookmarkStart w:id="316" w:name="_Toc27152"/>
      <w:r>
        <w:rPr>
          <w:rFonts w:hint="eastAsia" w:ascii="宋体" w:hAnsi="宋体" w:eastAsia="宋体" w:cs="宋体"/>
          <w:b/>
          <w:bCs/>
          <w:sz w:val="44"/>
          <w:szCs w:val="44"/>
          <w:lang w:val="en-US" w:eastAsia="zh-CN"/>
        </w:rPr>
        <w:t xml:space="preserve">评审方法与评审标准</w:t>
      </w:r>
      <w:bookmarkEnd w:id="314"/>
      <w:r/>
      <w:bookmarkEnd w:id="315"/>
      <w:r/>
      <w:r/>
    </w:p>
    <w:p>
      <w:pPr>
        <w:ind w:left="0" w:firstLine="0"/>
        <w:keepLines w:val="0"/>
        <w:keepNext w:val="0"/>
        <w:pageBreakBefore w:val="0"/>
        <w:spacing w:line="460" w:lineRule="exact"/>
        <w:widowControl w:val="off"/>
        <w:tabs>
          <w:tab w:val="left" w:pos="2700" w:leader="none"/>
        </w:tabs>
        <w:rPr>
          <w:rFonts w:hint="eastAsia" w:ascii="宋体" w:hAnsi="宋体" w:eastAsia="宋体" w:cs="宋体"/>
          <w:b/>
          <w:bCs/>
          <w:sz w:val="24"/>
          <w:lang w:val="en-US" w:eastAsia="zh-CN"/>
        </w:rPr>
        <w:outlineLvl w:val="0"/>
      </w:pPr>
      <w:r/>
      <w:bookmarkStart w:id="317" w:name="_Toc15482"/>
      <w:r/>
      <w:bookmarkStart w:id="318" w:name="_Toc770"/>
      <w:r>
        <w:rPr>
          <w:rFonts w:hint="eastAsia" w:ascii="宋体" w:hAnsi="宋体" w:eastAsia="宋体" w:cs="宋体"/>
          <w:b/>
          <w:bCs/>
          <w:sz w:val="24"/>
          <w:lang w:val="en-US" w:eastAsia="zh-CN"/>
        </w:rPr>
        <w:t xml:space="preserve">一、评审方法</w:t>
      </w:r>
      <w:bookmarkEnd w:id="317"/>
      <w:r/>
      <w:bookmarkEnd w:id="318"/>
      <w:r/>
      <w:r/>
    </w:p>
    <w:p>
      <w:pPr>
        <w:ind w:firstLine="480"/>
        <w:keepLines w:val="0"/>
        <w:keepNext w:val="0"/>
        <w:pageBreakBefore w:val="0"/>
        <w:spacing w:line="420" w:lineRule="exact"/>
        <w:widowControl w:val="off"/>
        <w:rPr>
          <w:rFonts w:hint="eastAsia" w:ascii="宋体" w:hAnsi="宋体" w:eastAsia="宋体" w:cs="宋体"/>
          <w:sz w:val="24"/>
        </w:rPr>
      </w:pPr>
      <w:r>
        <w:rPr>
          <w:rFonts w:hint="eastAsia" w:ascii="宋体" w:hAnsi="宋体" w:eastAsia="宋体" w:cs="宋体"/>
          <w:sz w:val="24"/>
        </w:rPr>
        <w:t xml:space="preserve">本次采购采用综合评分法。报价部分以</w:t>
      </w:r>
      <w:r>
        <w:rPr>
          <w:rFonts w:hint="eastAsia" w:ascii="宋体" w:hAnsi="宋体" w:eastAsia="宋体" w:cs="宋体"/>
          <w:sz w:val="24"/>
          <w:lang w:val="en-US" w:eastAsia="zh-CN"/>
        </w:rPr>
        <w:t xml:space="preserve">优惠</w:t>
      </w:r>
      <w:r>
        <w:rPr>
          <w:rFonts w:hint="eastAsia" w:ascii="宋体" w:hAnsi="宋体" w:eastAsia="宋体" w:cs="宋体"/>
          <w:sz w:val="24"/>
        </w:rPr>
        <w:t xml:space="preserve">率为评审指标。磋商小组根据综合评分情况，按照评审得分由高到低顺序推荐3名成交候选供应商，并编写评审报告。符合本磋商文件第二章第26.1.2条情形的，可以推荐2名成交候选供应商。评审得分相同的，按照</w:t>
      </w:r>
      <w:r>
        <w:rPr>
          <w:rFonts w:hint="eastAsia" w:ascii="宋体" w:hAnsi="宋体" w:eastAsia="宋体" w:cs="宋体"/>
          <w:sz w:val="24"/>
          <w:lang w:val="en-US" w:eastAsia="zh-CN"/>
        </w:rPr>
        <w:t xml:space="preserve">最终</w:t>
      </w:r>
      <w:r>
        <w:rPr>
          <w:rFonts w:hint="eastAsia" w:ascii="宋体" w:hAnsi="宋体" w:eastAsia="宋体" w:cs="宋体"/>
          <w:sz w:val="24"/>
        </w:rPr>
        <w:t xml:space="preserve">报价由低</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本项目为优惠率最高）</w:t>
      </w:r>
      <w:r>
        <w:rPr>
          <w:rFonts w:hint="eastAsia" w:ascii="宋体" w:hAnsi="宋体" w:eastAsia="宋体" w:cs="宋体"/>
          <w:sz w:val="24"/>
        </w:rPr>
        <w:t xml:space="preserve">到高</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优惠率低</w:t>
      </w:r>
      <w:r>
        <w:rPr>
          <w:rFonts w:hint="eastAsia" w:ascii="宋体" w:hAnsi="宋体" w:eastAsia="宋体" w:cs="宋体"/>
          <w:sz w:val="24"/>
          <w:lang w:eastAsia="zh-CN"/>
        </w:rPr>
        <w:t xml:space="preserve">）</w:t>
      </w:r>
      <w:r>
        <w:rPr>
          <w:rFonts w:hint="eastAsia" w:ascii="宋体" w:hAnsi="宋体" w:eastAsia="宋体" w:cs="宋体"/>
          <w:sz w:val="24"/>
        </w:rPr>
        <w:t xml:space="preserve">的顺序推荐。评审得分且最后报价相同的，</w:t>
      </w:r>
      <w:r>
        <w:rPr>
          <w:rFonts w:hint="eastAsia" w:ascii="宋体" w:hAnsi="宋体" w:eastAsia="宋体" w:cs="宋体"/>
          <w:sz w:val="24"/>
          <w:lang w:val="en-US" w:eastAsia="zh-CN"/>
        </w:rPr>
        <w:t xml:space="preserve">由采购人在磋商小组监督下</w:t>
      </w:r>
      <w:r>
        <w:rPr>
          <w:rFonts w:hint="eastAsia" w:ascii="宋体" w:hAnsi="宋体" w:eastAsia="宋体" w:cs="宋体"/>
          <w:sz w:val="24"/>
        </w:rPr>
        <w:t xml:space="preserve">现场抽签</w:t>
      </w:r>
      <w:r>
        <w:rPr>
          <w:rFonts w:hint="eastAsia" w:ascii="宋体" w:hAnsi="宋体" w:eastAsia="宋体" w:cs="宋体"/>
          <w:sz w:val="24"/>
          <w:lang w:val="en-US" w:eastAsia="zh-CN"/>
        </w:rPr>
        <w:t xml:space="preserve">确定第一成交候选人</w:t>
      </w:r>
      <w:r>
        <w:rPr>
          <w:rFonts w:hint="eastAsia" w:ascii="宋体" w:hAnsi="宋体" w:eastAsia="宋体" w:cs="宋体"/>
          <w:sz w:val="24"/>
        </w:rPr>
        <w:t xml:space="preserve">。</w:t>
      </w:r>
      <w:r/>
    </w:p>
    <w:p>
      <w:pPr>
        <w:ind w:left="0" w:firstLine="0"/>
        <w:keepLines w:val="0"/>
        <w:keepNext w:val="0"/>
        <w:pageBreakBefore w:val="0"/>
        <w:spacing w:line="420" w:lineRule="exact"/>
        <w:widowControl w:val="off"/>
        <w:tabs>
          <w:tab w:val="left" w:pos="2700" w:leader="none"/>
        </w:tabs>
        <w:rPr>
          <w:rFonts w:hint="eastAsia" w:ascii="宋体" w:hAnsi="宋体" w:eastAsia="宋体" w:cs="宋体"/>
          <w:b/>
          <w:bCs/>
          <w:sz w:val="24"/>
          <w:lang w:val="zh-CN" w:eastAsia="zh-CN"/>
        </w:rPr>
        <w:outlineLvl w:val="0"/>
      </w:pPr>
      <w:r>
        <w:rPr>
          <w:rFonts w:hint="eastAsia" w:ascii="宋体" w:hAnsi="宋体" w:eastAsia="宋体" w:cs="宋体"/>
          <w:b/>
          <w:bCs/>
          <w:sz w:val="24"/>
          <w:lang w:val="en-US" w:eastAsia="zh-CN"/>
        </w:rPr>
        <w:t xml:space="preserve">二、</w:t>
      </w:r>
      <w:r>
        <w:rPr>
          <w:rFonts w:hint="eastAsia" w:ascii="宋体" w:hAnsi="宋体" w:eastAsia="宋体" w:cs="宋体"/>
          <w:b/>
          <w:bCs/>
          <w:sz w:val="24"/>
          <w:lang w:val="zh-CN" w:eastAsia="zh-CN"/>
        </w:rPr>
        <w:t xml:space="preserve">政府采购政策功能落实</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1、小微型企业价格扣除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（1）本项目对小型和微型企业提供的服务给予10%的扣除价格，用扣除后的价格参与评审。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（2）供应商需按照采购文件的要求提供相应的《中小微企业声明函》。</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（1）本项目对残疾人福利性单位视同小型、微型企业，给予10%的价格扣除，用扣除后的价格参与评审。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（2）残疾人福利单位需按照采购文件的要求提供《残疾人福利性单位声明函》。</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（3）残疾人福利单位标准请参照《关于促进残疾人就业政府采购政策的通知》（财库〔2017〕141号）。</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3、监狱和戒毒企业价格扣除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（1）本项目对监狱和戒毒企业（简称监狱企业）视同小型、微型企业，给予10%的价格扣除，用扣除后的价格参与评审。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（3）监狱企业标准请参照《关于政府采购支持监狱企业发展有关问题的通知》（财库〔2014〕68号）。</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4、残疾人福利单位、监狱企业属于小型、微型企业的，不重复享受政策。</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6、联合体各方均为小型、微型企业（残疾人福利单位、监狱企业）的，联合体享受10%价格扣除，用扣除后的价格参与评审。</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r>
      <w:r/>
    </w:p>
    <w:p>
      <w:pPr>
        <w:ind w:left="0" w:firstLine="0"/>
        <w:keepLines w:val="0"/>
        <w:keepNext w:val="0"/>
        <w:pageBreakBefore w:val="0"/>
        <w:spacing w:line="460" w:lineRule="exact"/>
        <w:widowControl w:val="off"/>
        <w:tabs>
          <w:tab w:val="left" w:pos="2700" w:leader="none"/>
        </w:tabs>
        <w:rPr>
          <w:rFonts w:hint="eastAsia" w:ascii="宋体" w:hAnsi="宋体" w:eastAsia="宋体" w:cs="宋体"/>
          <w:b/>
          <w:bCs/>
          <w:sz w:val="24"/>
          <w:lang w:val="en-US" w:eastAsia="zh-CN"/>
        </w:rPr>
        <w:outlineLvl w:val="0"/>
      </w:pPr>
      <w:r/>
      <w:bookmarkStart w:id="319" w:name="_Toc30189"/>
      <w:r/>
      <w:bookmarkStart w:id="320" w:name="_Toc23149"/>
      <w:r>
        <w:rPr>
          <w:rFonts w:hint="eastAsia" w:ascii="宋体" w:hAnsi="宋体" w:eastAsia="宋体" w:cs="宋体"/>
          <w:b/>
          <w:bCs/>
          <w:sz w:val="24"/>
          <w:lang w:val="en-US" w:eastAsia="zh-CN"/>
        </w:rPr>
        <w:t xml:space="preserve">二、评审标准</w:t>
      </w:r>
      <w:bookmarkEnd w:id="319"/>
      <w:r/>
      <w:bookmarkEnd w:id="320"/>
      <w:r/>
      <w:r/>
    </w:p>
    <w:p>
      <w:pPr>
        <w:pStyle w:val="837"/>
        <w:rPr>
          <w:rFonts w:hint="eastAsia"/>
        </w:rPr>
      </w:pPr>
      <w:r>
        <w:rPr>
          <w:rFonts w:hint="eastAsia"/>
        </w:rPr>
      </w:r>
      <w:r/>
    </w:p>
    <w:tbl>
      <w:tblPr>
        <w:tblStyle w:val="789"/>
        <w:tblW w:w="8336"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108" w:type="dxa"/>
          <w:top w:w="0" w:type="dxa"/>
          <w:right w:w="108" w:type="dxa"/>
          <w:bottom w:w="0" w:type="dxa"/>
        </w:tblCellMar>
        <w:tblLook w:val="04A0" w:firstRow="1" w:lastRow="0" w:firstColumn="1" w:lastColumn="0" w:noHBand="0" w:noVBand="1"/>
      </w:tblPr>
      <w:tblGrid>
        <w:gridCol w:w="1530"/>
        <w:gridCol w:w="1472"/>
        <w:gridCol w:w="5334"/>
      </w:tblGrid>
      <w:tr>
        <w:trPr>
          <w:jc w:val="center"/>
          <w:trHeight w:val="0"/>
          <w:tblHeader/>
        </w:trPr>
        <w:tc>
          <w:tcPr>
            <w:tcW w:w="153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序号</w:t>
            </w:r>
            <w:r/>
          </w:p>
        </w:tc>
        <w:tc>
          <w:tcPr>
            <w:tcW w:w="1472"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W w:w="533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0"/>
        </w:trPr>
        <w:tc>
          <w:tcPr>
            <w:tcW w:w="153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报价</w:t>
            </w:r>
            <w:r/>
          </w:p>
        </w:tc>
        <w:tc>
          <w:tcPr>
            <w:tcW w:w="1472"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533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本项目</w:t>
            </w:r>
            <w:r>
              <w:rPr>
                <w:rFonts w:hint="eastAsia" w:ascii="宋体" w:hAnsi="宋体" w:eastAsia="宋体" w:cs="宋体"/>
                <w:sz w:val="24"/>
                <w:szCs w:val="24"/>
                <w:lang w:val="en-US" w:eastAsia="zh-CN"/>
              </w:rPr>
              <w:t xml:space="preserve">价格分</w:t>
            </w:r>
            <w:r>
              <w:rPr>
                <w:rFonts w:hint="eastAsia" w:ascii="宋体" w:hAnsi="宋体" w:eastAsia="宋体" w:cs="宋体"/>
                <w:sz w:val="24"/>
                <w:szCs w:val="24"/>
                <w:lang w:eastAsia="zh-CN"/>
              </w:rPr>
              <w:t xml:space="preserve">采用</w:t>
            </w:r>
            <w:r>
              <w:rPr>
                <w:rFonts w:hint="eastAsia" w:ascii="宋体" w:hAnsi="宋体" w:eastAsia="宋体" w:cs="宋体"/>
                <w:sz w:val="24"/>
                <w:szCs w:val="24"/>
                <w:lang w:val="en-US" w:eastAsia="zh-CN"/>
              </w:rPr>
              <w:t xml:space="preserve">优惠率</w:t>
            </w:r>
            <w:r>
              <w:rPr>
                <w:rFonts w:hint="eastAsia" w:ascii="宋体" w:hAnsi="宋体" w:eastAsia="宋体" w:cs="宋体"/>
                <w:sz w:val="24"/>
                <w:szCs w:val="24"/>
                <w:lang w:eastAsia="zh-CN"/>
              </w:rPr>
              <w:t xml:space="preserve">报价方式，在所有通过资格性审查、符合性审查的有效投标文件中，以最</w:t>
            </w:r>
            <w:r>
              <w:rPr>
                <w:rFonts w:hint="eastAsia" w:ascii="宋体" w:hAnsi="宋体" w:eastAsia="宋体" w:cs="宋体"/>
                <w:sz w:val="24"/>
                <w:szCs w:val="24"/>
                <w:lang w:val="en-US" w:eastAsia="zh-CN"/>
              </w:rPr>
              <w:t xml:space="preserve">高优惠率</w:t>
            </w:r>
            <w:r>
              <w:rPr>
                <w:rFonts w:hint="eastAsia" w:ascii="宋体" w:hAnsi="宋体" w:eastAsia="宋体" w:cs="宋体"/>
                <w:sz w:val="24"/>
                <w:szCs w:val="24"/>
                <w:lang w:eastAsia="zh-CN"/>
              </w:rPr>
              <w:t xml:space="preserve">作为价格满分基准</w:t>
            </w:r>
            <w:r>
              <w:rPr>
                <w:rFonts w:hint="eastAsia" w:ascii="宋体" w:hAnsi="宋体" w:eastAsia="宋体" w:cs="宋体"/>
                <w:sz w:val="24"/>
                <w:szCs w:val="24"/>
                <w:lang w:val="en-US" w:eastAsia="zh-CN"/>
              </w:rPr>
              <w:t xml:space="preserve">优惠率</w:t>
            </w:r>
            <w:r>
              <w:rPr>
                <w:rFonts w:hint="eastAsia" w:ascii="宋体" w:hAnsi="宋体" w:eastAsia="宋体" w:cs="宋体"/>
                <w:sz w:val="24"/>
                <w:szCs w:val="24"/>
                <w:lang w:eastAsia="zh-CN"/>
              </w:rPr>
              <w:t xml:space="preserve">，该</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lang w:eastAsia="zh-CN"/>
              </w:rPr>
              <w:t xml:space="preserve">的价格得分为满分</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分。其它供应商的价格分统一按照以下公式计算：</w:t>
            </w:r>
            <w:r>
              <w:rPr>
                <w:rFonts w:hint="eastAsia" w:ascii="宋体" w:hAnsi="宋体" w:eastAsia="宋体" w:cs="宋体"/>
                <w:sz w:val="24"/>
                <w:szCs w:val="24"/>
                <w:lang w:val="en-US" w:eastAsia="zh-CN"/>
              </w:rPr>
              <w:t xml:space="preserve">价格</w:t>
            </w:r>
            <w:r>
              <w:rPr>
                <w:rFonts w:hint="eastAsia" w:ascii="宋体" w:hAnsi="宋体" w:eastAsia="宋体" w:cs="宋体"/>
                <w:sz w:val="24"/>
                <w:szCs w:val="24"/>
                <w:lang w:eastAsia="zh-CN"/>
              </w:rPr>
              <w:t xml:space="preserve">得分=（供应商的</w:t>
            </w:r>
            <w:r>
              <w:rPr>
                <w:rFonts w:hint="eastAsia" w:ascii="宋体" w:hAnsi="宋体" w:eastAsia="宋体" w:cs="宋体"/>
                <w:sz w:val="24"/>
                <w:szCs w:val="24"/>
                <w:lang w:val="en-US" w:eastAsia="zh-CN"/>
              </w:rPr>
              <w:t xml:space="preserve">响应优惠率</w:t>
            </w:r>
            <w:r>
              <w:rPr>
                <w:rFonts w:hint="default" w:ascii="Arial" w:hAnsi="Arial" w:eastAsia="宋体" w:cs="Arial"/>
                <w:sz w:val="24"/>
                <w:szCs w:val="24"/>
                <w:lang w:val="en-US" w:eastAsia="zh-CN"/>
              </w:rPr>
              <w:t xml:space="preserve">➗</w:t>
            </w:r>
            <w:r>
              <w:rPr>
                <w:rFonts w:hint="eastAsia" w:ascii="宋体" w:hAnsi="宋体" w:eastAsia="宋体" w:cs="宋体"/>
                <w:sz w:val="24"/>
                <w:szCs w:val="24"/>
                <w:lang w:val="en-US" w:eastAsia="zh-CN"/>
              </w:rPr>
              <w:t xml:space="preserve">基准优惠率）*10</w:t>
            </w:r>
            <w:r>
              <w:rPr>
                <w:rFonts w:hint="eastAsia" w:ascii="宋体" w:hAnsi="宋体" w:eastAsia="宋体" w:cs="宋体"/>
                <w:sz w:val="24"/>
                <w:szCs w:val="24"/>
                <w:lang w:eastAsia="zh-CN"/>
              </w:rPr>
              <w:t xml:space="preserve">。计算结果保留2位小数，若遇小数位数争议，按四舍五入规则处理。</w:t>
            </w:r>
            <w:r/>
          </w:p>
        </w:tc>
      </w:tr>
      <w:tr>
        <w:trPr>
          <w:jc w:val="center"/>
          <w:trHeight w:val="0"/>
        </w:trPr>
        <w:tc>
          <w:tcPr>
            <w:tcW w:w="153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2、商务分（53分）</w:t>
            </w:r>
            <w:r/>
          </w:p>
        </w:tc>
        <w:tc>
          <w:tcPr>
            <w:tcW w:w="1472"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业绩</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533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2021年1月1日至今</w:t>
            </w:r>
            <w:r>
              <w:rPr>
                <w:rFonts w:hint="eastAsia" w:ascii="宋体" w:hAnsi="宋体" w:eastAsia="宋体" w:cs="宋体"/>
                <w:sz w:val="24"/>
                <w:szCs w:val="24"/>
                <w:lang w:eastAsia="zh-CN"/>
              </w:rPr>
              <w:t xml:space="preserve">供应商承担过同类型项目业绩</w:t>
            </w:r>
            <w:r>
              <w:rPr>
                <w:rFonts w:hint="eastAsia" w:ascii="宋体" w:hAnsi="宋体" w:eastAsia="宋体" w:cs="宋体"/>
                <w:sz w:val="24"/>
                <w:szCs w:val="24"/>
              </w:rPr>
              <w:t xml:space="preserve">。每个项目得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最高得4</w:t>
            </w:r>
            <w:r>
              <w:rPr>
                <w:rFonts w:hint="eastAsia" w:ascii="宋体" w:hAnsi="宋体" w:eastAsia="宋体" w:cs="宋体"/>
                <w:sz w:val="24"/>
                <w:szCs w:val="24"/>
              </w:rPr>
              <w:t xml:space="preserve">分。</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提供</w:t>
            </w:r>
            <w:r>
              <w:rPr>
                <w:rFonts w:hint="eastAsia" w:ascii="宋体" w:hAnsi="宋体" w:eastAsia="宋体" w:cs="宋体"/>
                <w:sz w:val="24"/>
                <w:szCs w:val="24"/>
                <w:lang w:eastAsia="zh-CN"/>
              </w:rPr>
              <w:t xml:space="preserve">中标通知书或中标公告</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服务合同</w:t>
            </w:r>
            <w:r>
              <w:rPr>
                <w:rFonts w:hint="eastAsia" w:ascii="宋体" w:hAnsi="宋体" w:eastAsia="宋体" w:cs="宋体"/>
                <w:sz w:val="24"/>
                <w:szCs w:val="24"/>
                <w:lang w:val="en-US" w:eastAsia="zh-CN"/>
              </w:rPr>
              <w:t xml:space="preserve">原件扫描件。</w:t>
            </w:r>
            <w:r/>
          </w:p>
        </w:tc>
      </w:tr>
      <w:tr>
        <w:trPr>
          <w:jc w:val="center"/>
          <w:trHeight w:val="0"/>
        </w:trPr>
        <w:tc>
          <w:tcPr>
            <w:tcW w:w="1530"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center"/>
            <w:textDirection w:val="lrTb"/>
            <w:noWrap/>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认证</w:t>
            </w:r>
            <w:r/>
          </w:p>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533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 w:val="0"/>
                <w:bCs w:val="0"/>
                <w:color w:val="auto"/>
                <w:sz w:val="24"/>
                <w:szCs w:val="24"/>
                <w:lang w:val="en-US" w:eastAsia="zh-CN"/>
              </w:rPr>
              <w:t xml:space="preserve">供应商具有</w:t>
            </w:r>
            <w:r>
              <w:rPr>
                <w:rFonts w:hint="eastAsia" w:ascii="宋体" w:hAnsi="宋体" w:eastAsia="宋体" w:cs="宋体"/>
                <w:color w:val="auto"/>
                <w:sz w:val="24"/>
                <w:szCs w:val="24"/>
              </w:rPr>
              <w:t xml:space="preserve">有效期内的质量管理体系认证证书的得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b w:val="0"/>
                <w:bCs w:val="0"/>
                <w:color w:val="auto"/>
                <w:sz w:val="24"/>
                <w:szCs w:val="24"/>
                <w:lang w:val="en-US" w:eastAsia="zh-CN"/>
              </w:rPr>
              <w:t xml:space="preserve">供应商具有有</w:t>
            </w:r>
            <w:r>
              <w:rPr>
                <w:rFonts w:hint="eastAsia" w:ascii="宋体" w:hAnsi="宋体" w:eastAsia="宋体" w:cs="宋体"/>
                <w:color w:val="auto"/>
                <w:sz w:val="24"/>
                <w:szCs w:val="24"/>
              </w:rPr>
              <w:t xml:space="preserve">效期内的职业健康安全管理体系认证证书的得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b w:val="0"/>
                <w:bCs w:val="0"/>
                <w:color w:val="auto"/>
                <w:sz w:val="24"/>
                <w:szCs w:val="24"/>
                <w:lang w:val="en-US" w:eastAsia="zh-CN"/>
              </w:rPr>
              <w:t xml:space="preserve">供应商具有</w:t>
            </w:r>
            <w:r>
              <w:rPr>
                <w:rFonts w:hint="eastAsia" w:ascii="宋体" w:hAnsi="宋体" w:eastAsia="宋体" w:cs="宋体"/>
                <w:color w:val="auto"/>
                <w:sz w:val="24"/>
                <w:szCs w:val="24"/>
              </w:rPr>
              <w:t xml:space="preserve">在有效期内的环境管理体系认证证书</w:t>
            </w:r>
            <w:r>
              <w:rPr>
                <w:rFonts w:hint="eastAsia" w:ascii="宋体" w:hAnsi="宋体" w:eastAsia="宋体" w:cs="宋体"/>
                <w:color w:val="auto"/>
                <w:sz w:val="24"/>
                <w:szCs w:val="24"/>
                <w:lang w:val="en-US" w:eastAsia="zh-CN"/>
              </w:rPr>
              <w:t xml:space="preserve">认证</w:t>
            </w:r>
            <w:r>
              <w:rPr>
                <w:rFonts w:hint="eastAsia" w:ascii="宋体" w:hAnsi="宋体" w:eastAsia="宋体" w:cs="宋体"/>
                <w:color w:val="auto"/>
                <w:sz w:val="24"/>
                <w:szCs w:val="24"/>
              </w:rPr>
              <w:t xml:space="preserve">证书的得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b w:val="0"/>
                <w:bCs w:val="0"/>
                <w:color w:val="auto"/>
                <w:sz w:val="24"/>
                <w:szCs w:val="24"/>
              </w:rPr>
              <w:t xml:space="preserve">（须提供有效期内认证证书</w:t>
            </w:r>
            <w:r>
              <w:rPr>
                <w:rFonts w:hint="eastAsia" w:ascii="宋体" w:hAnsi="宋体" w:eastAsia="宋体" w:cs="宋体"/>
                <w:b w:val="0"/>
                <w:bCs w:val="0"/>
                <w:color w:val="auto"/>
                <w:sz w:val="24"/>
                <w:szCs w:val="24"/>
                <w:lang w:val="en-US" w:eastAsia="zh-CN"/>
              </w:rPr>
              <w:t xml:space="preserve">原件扫描件</w:t>
            </w:r>
            <w:r>
              <w:rPr>
                <w:rFonts w:hint="eastAsia" w:ascii="宋体" w:hAnsi="宋体" w:eastAsia="宋体" w:cs="宋体"/>
                <w:b w:val="0"/>
                <w:bCs w:val="0"/>
                <w:color w:val="auto"/>
                <w:sz w:val="24"/>
                <w:szCs w:val="24"/>
              </w:rPr>
              <w:t xml:space="preserve">，不提供不得分）</w:t>
            </w:r>
            <w:r/>
          </w:p>
        </w:tc>
      </w:tr>
      <w:tr>
        <w:trPr>
          <w:jc w:val="center"/>
          <w:trHeight w:val="0"/>
        </w:trPr>
        <w:tc>
          <w:tcPr>
            <w:tcW w:w="1530"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center"/>
            <w:textDirection w:val="lrTb"/>
            <w:noWrap/>
          </w:tcPr>
          <w:p>
            <w:pPr>
              <w:ind w:left="0" w:right="0" w:firstLine="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服务团队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39</w:t>
            </w:r>
            <w:r>
              <w:rPr>
                <w:rFonts w:hint="eastAsia" w:ascii="宋体" w:hAnsi="宋体" w:eastAsia="宋体" w:cs="宋体"/>
                <w:sz w:val="24"/>
                <w:szCs w:val="24"/>
                <w:lang w:eastAsia="zh-CN"/>
              </w:rPr>
              <w:t xml:space="preserve">）</w:t>
            </w:r>
            <w:r/>
          </w:p>
        </w:tc>
        <w:tc>
          <w:tcPr>
            <w:tcW w:w="533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1、供应商针对本项目应配备项目经理一名（12分）：项目经理（同一人）具有信息系统业务安全服务工程师、信息系统项目管理师、IT服务项目经理（ITSS）证书，有一个得4分，不提供不得分，最高得12分。</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2、项目负责人（12分）：除项目经理外，项目组成员需配备一名技术负责人，技术负责人（同一人）具备信息系统项目管理师（高级）、信息系统业务安全服务工程师、ITSS服务工程师资质证书，有一个得4分，不提供不得分，最高得12分。</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3、项目组成员需具备安全员、系统分析师、程序员、网络工程师、软件设计师、CISAW信息安全保障人员证书，每提供一类加2分，满分12分。</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4、具有高级网络规划设计师，得3分。</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注：</w:t>
            </w:r>
            <w:r>
              <w:rPr>
                <w:rFonts w:hint="eastAsia" w:ascii="宋体" w:hAnsi="宋体" w:eastAsia="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文件中须提供人员团队配置表</w:t>
            </w:r>
            <w:r>
              <w:rPr>
                <w:rFonts w:hint="eastAsia" w:ascii="宋体" w:hAnsi="宋体" w:eastAsia="宋体" w:cs="宋体"/>
                <w:b w:val="0"/>
                <w:bCs w:val="0"/>
                <w:color w:val="auto"/>
                <w:sz w:val="24"/>
                <w:szCs w:val="24"/>
                <w:lang w:eastAsia="zh-CN"/>
              </w:rPr>
              <w:t xml:space="preserve">及</w:t>
            </w:r>
            <w:r>
              <w:rPr>
                <w:rFonts w:hint="eastAsia" w:ascii="宋体" w:hAnsi="宋体" w:eastAsia="宋体" w:cs="宋体"/>
                <w:sz w:val="24"/>
                <w:szCs w:val="24"/>
              </w:rPr>
              <w:t xml:space="preserve">证书</w:t>
            </w:r>
            <w:r>
              <w:rPr>
                <w:rFonts w:hint="eastAsia" w:ascii="宋体" w:hAnsi="宋体" w:eastAsia="宋体" w:cs="宋体"/>
                <w:sz w:val="24"/>
                <w:szCs w:val="24"/>
                <w:lang w:val="en-US" w:eastAsia="zh-CN"/>
              </w:rPr>
              <w:t xml:space="preserve">原件扫描件</w:t>
            </w:r>
            <w:r>
              <w:rPr>
                <w:rFonts w:hint="eastAsia" w:ascii="宋体" w:hAnsi="宋体" w:eastAsia="宋体" w:cs="宋体"/>
                <w:sz w:val="24"/>
                <w:szCs w:val="24"/>
              </w:rPr>
              <w:t xml:space="preserve">及</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供应商为其缴纳的近6个月任意一个月的社保证明扫描上传，不提供不得分</w:t>
            </w:r>
            <w:r>
              <w:rPr>
                <w:rFonts w:hint="eastAsia" w:ascii="宋体" w:hAnsi="宋体" w:eastAsia="宋体" w:cs="宋体"/>
                <w:b w:val="0"/>
                <w:bCs w:val="0"/>
                <w:color w:val="auto"/>
                <w:sz w:val="24"/>
                <w:szCs w:val="24"/>
              </w:rPr>
              <w:t xml:space="preserve">。</w:t>
            </w:r>
            <w:r/>
          </w:p>
        </w:tc>
      </w:tr>
      <w:tr>
        <w:trPr>
          <w:jc w:val="center"/>
          <w:trHeight w:val="0"/>
        </w:trPr>
        <w:tc>
          <w:tcPr>
            <w:tcW w:w="1530"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center"/>
            <w:textDirection w:val="lrTb"/>
            <w:noWrap/>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企业实力</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p>
        </w:tc>
        <w:tc>
          <w:tcPr>
            <w:tcW w:w="533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供应商具有养老管理信息平台类软件著作权，每提供一个得2分，最高4分</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提供</w:t>
            </w:r>
            <w:r>
              <w:rPr>
                <w:rFonts w:hint="eastAsia" w:ascii="宋体" w:hAnsi="宋体" w:eastAsia="宋体" w:cs="宋体"/>
                <w:sz w:val="24"/>
                <w:szCs w:val="24"/>
                <w:lang w:val="en-US" w:eastAsia="zh-CN"/>
              </w:rPr>
              <w:t xml:space="preserve">原件扫描件。</w:t>
            </w:r>
            <w:r/>
          </w:p>
        </w:tc>
      </w:tr>
      <w:tr>
        <w:trPr>
          <w:jc w:val="center"/>
          <w:trHeight w:val="0"/>
        </w:trPr>
        <w:tc>
          <w:tcPr>
            <w:tcW w:w="1530" w:type="dxa"/>
            <w:vAlign w:val="center"/>
            <w:vMerge w:val="restart"/>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3、技术部分</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37</w:t>
            </w:r>
            <w:r>
              <w:rPr>
                <w:rFonts w:hint="eastAsia" w:ascii="宋体" w:hAnsi="宋体" w:eastAsia="宋体" w:cs="宋体"/>
                <w:sz w:val="24"/>
                <w:szCs w:val="24"/>
              </w:rPr>
              <w:t xml:space="preserve">分）</w:t>
            </w:r>
            <w:r/>
          </w:p>
        </w:tc>
        <w:tc>
          <w:tcPr>
            <w:tcW w:w="1472" w:type="dxa"/>
            <w:vAlign w:val="center"/>
            <w:textDirection w:val="lrTb"/>
            <w:noWrap/>
          </w:tcPr>
          <w:p>
            <w:pPr>
              <w:ind w:left="0" w:right="-160"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项目</w:t>
            </w:r>
            <w:r>
              <w:rPr>
                <w:rFonts w:hint="eastAsia" w:ascii="宋体" w:hAnsi="宋体" w:eastAsia="宋体" w:cs="宋体"/>
                <w:color w:val="auto"/>
                <w:sz w:val="24"/>
                <w:szCs w:val="24"/>
                <w:lang w:val="en-US" w:eastAsia="zh-CN"/>
              </w:rPr>
              <w:t xml:space="preserve">运维</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5334" w:type="dxa"/>
            <w:vAlign w:val="center"/>
            <w:textDirection w:val="lrTb"/>
            <w:noWrap/>
          </w:tcPr>
          <w:p>
            <w:pPr>
              <w:ind w:left="0" w:right="-202" w:firstLine="0"/>
              <w:jc w:val="left"/>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方案优于</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需求得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分，满足项目需求得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分，不满足项目需求或未提供的不得分。</w:t>
            </w:r>
            <w:r/>
          </w:p>
        </w:tc>
      </w:tr>
      <w:tr>
        <w:trPr>
          <w:jc w:val="center"/>
          <w:trHeight w:val="0"/>
        </w:trPr>
        <w:tc>
          <w:tcPr>
            <w:tcW w:w="1530"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center"/>
            <w:textDirection w:val="lrTb"/>
            <w:noWrap/>
          </w:tcPr>
          <w:p>
            <w:pPr>
              <w:ind w:left="0" w:right="-160" w:firstLine="0"/>
              <w:jc w:val="left"/>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建设方案方案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5334" w:type="dxa"/>
            <w:vAlign w:val="center"/>
            <w:textDirection w:val="lrTb"/>
            <w:noWrap/>
          </w:tcPr>
          <w:p>
            <w:pPr>
              <w:ind w:left="0" w:right="-202" w:firstLine="0"/>
              <w:jc w:val="left"/>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方案优于</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需求得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分，满足项目需求得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分，不满足项目需求或未提供的不得分。</w:t>
            </w:r>
            <w:r/>
          </w:p>
        </w:tc>
      </w:tr>
      <w:tr>
        <w:trPr>
          <w:jc w:val="center"/>
          <w:trHeight w:val="0"/>
        </w:trPr>
        <w:tc>
          <w:tcPr>
            <w:tcW w:w="1530"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472" w:type="dxa"/>
            <w:vAlign w:val="center"/>
            <w:textDirection w:val="lrTb"/>
            <w:noWrap/>
          </w:tcPr>
          <w:p>
            <w:pPr>
              <w:ind w:left="0" w:right="-160" w:firstLine="0"/>
              <w:jc w:val="left"/>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售后及培训方案（</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shd w:val="clear" w:color="auto" w:fill="auto"/>
            <w:tcW w:w="5334" w:type="dxa"/>
            <w:vAlign w:val="center"/>
            <w:textDirection w:val="lrTb"/>
            <w:noWrap/>
          </w:tcPr>
          <w:p>
            <w:pPr>
              <w:ind w:left="0" w:right="-202" w:firstLine="0"/>
              <w:jc w:val="left"/>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方案优于</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需求得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分，满足项目需求得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分，不满足项目需求或未提供的不得分。</w:t>
            </w:r>
            <w:r/>
          </w:p>
        </w:tc>
      </w:tr>
      <w:tr>
        <w:trPr>
          <w:jc w:val="center"/>
          <w:trHeight w:val="0"/>
        </w:trPr>
        <w:tc>
          <w:tcPr>
            <w:tcW w:w="1530"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W w:w="1472" w:type="dxa"/>
            <w:vAlign w:val="center"/>
            <w:textDirection w:val="lrTb"/>
            <w:noWrap/>
          </w:tcPr>
          <w:p>
            <w:pPr>
              <w:ind w:left="0" w:right="-160" w:firstLine="0"/>
              <w:jc w:val="left"/>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系统演示（24分）</w:t>
            </w:r>
            <w:r/>
          </w:p>
        </w:tc>
        <w:tc>
          <w:tcPr>
            <w:shd w:val="clear" w:color="auto" w:fill="auto"/>
            <w:tcW w:w="5334"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供应商提前准备好演示设备并完成调试，按下述功能项要求逐条演示（不见面开标，供应商不到现场，为演示PPT或视频</w:t>
            </w:r>
            <w:r>
              <w:rPr>
                <w:rFonts w:hint="eastAsia" w:ascii="宋体" w:hAnsi="宋体" w:eastAsia="宋体" w:cs="宋体"/>
                <w:color w:val="auto"/>
                <w:sz w:val="24"/>
                <w:szCs w:val="24"/>
                <w:lang w:val="en-US" w:eastAsia="zh-CN"/>
              </w:rPr>
              <w:t xml:space="preserve">，</w:t>
            </w:r>
            <w:r>
              <w:rPr>
                <w:rFonts w:ascii="SimSun" w:hAnsi="SimSun" w:eastAsia="SimSun" w:cs="SimSun"/>
                <w:color w:val="000000"/>
                <w:sz w:val="24"/>
              </w:rPr>
              <w:t xml:space="preserve">苏采云系统中上传</w:t>
            </w:r>
            <w:r>
              <w:rPr>
                <w:rFonts w:hint="eastAsia" w:ascii="宋体" w:hAnsi="宋体" w:eastAsia="宋体" w:cs="宋体"/>
                <w:color w:val="auto"/>
                <w:sz w:val="24"/>
                <w:szCs w:val="24"/>
                <w:lang w:val="en-US" w:eastAsia="zh-CN"/>
              </w:rPr>
            </w:r>
            <w:r>
              <w:rPr>
                <w:rFonts w:hint="eastAsia" w:ascii="宋体" w:hAnsi="宋体" w:eastAsia="宋体" w:cs="宋体"/>
                <w:color w:val="auto"/>
                <w:sz w:val="24"/>
                <w:szCs w:val="24"/>
                <w:lang w:val="en-US" w:eastAsia="zh-CN"/>
              </w:rPr>
              <w:t xml:space="preserve">）。每符合一项演示要求得6分，最高得24分，没有演示或不符合要求则不得分。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1、站点或上门助餐扫脸下单：通过面部识别和活体识别的方式确认老人身份，之后提供餐饮服务。</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2、上门服务扫脸下单：通过面部识别和活体识别的方式确认老人身份，再根据老人钱包中的余额，判断并匹配对应的服务套餐。</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3、中心对上门服务进行抽查：通过桌面端对正在上门服务的服务人员进行抽查，并记录保存全程视频，可实时调看。</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4、数据大屏便捷展示信息：通过数据大屏可实时查看儿童居住定位、详细信息、保障情况和帮扶工单。</w:t>
            </w:r>
            <w:bookmarkEnd w:id="316"/>
            <w:r/>
            <w:r/>
          </w:p>
        </w:tc>
      </w:tr>
    </w:tbl>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321" w:name="_Toc20233"/>
      <w:r/>
      <w:bookmarkStart w:id="322" w:name="_Toc14151"/>
      <w:r/>
      <w:bookmarkStart w:id="323" w:name="_Toc20875"/>
      <w:r/>
      <w:bookmarkStart w:id="324" w:name="_Toc30312"/>
      <w:r>
        <w:rPr>
          <w:rFonts w:hint="eastAsia" w:ascii="宋体" w:hAnsi="宋体" w:eastAsia="宋体" w:cs="宋体"/>
          <w:b/>
          <w:bCs/>
          <w:sz w:val="44"/>
          <w:szCs w:val="44"/>
          <w:lang w:val="en-US" w:eastAsia="zh-CN"/>
        </w:rPr>
        <w:t xml:space="preserve">响应文件相关格式</w:t>
      </w:r>
      <w:bookmarkEnd w:id="321"/>
      <w:r/>
      <w:bookmarkEnd w:id="322"/>
      <w:r/>
      <w:bookmarkEnd w:id="323"/>
      <w:r/>
      <w:bookmarkEnd w:id="324"/>
      <w:r/>
      <w:r/>
    </w:p>
    <w:p>
      <w:pPr>
        <w:pStyle w:val="837"/>
        <w:ind w:left="0" w:firstLine="0"/>
        <w:rPr>
          <w:rFonts w:hint="eastAsia" w:ascii="仿宋" w:hAnsi="仿宋" w:eastAsia="仿宋" w:cs="仿宋"/>
        </w:rPr>
      </w:pPr>
      <w:r>
        <w:rPr>
          <w:rFonts w:hint="eastAsia" w:ascii="仿宋" w:hAnsi="仿宋" w:eastAsia="仿宋" w:cs="仿宋"/>
        </w:rPr>
      </w:r>
      <w:r/>
    </w:p>
    <w:p>
      <w:pPr>
        <w:pStyle w:val="837"/>
        <w:ind w:left="0" w:firstLine="0"/>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ind w:left="0" w:firstLine="0"/>
        <w:jc w:val="center"/>
        <w:keepLines w:val="0"/>
        <w:keepNext w:val="0"/>
        <w:pageBreakBefore w:val="0"/>
        <w:spacing w:before="0" w:after="0" w:line="360" w:lineRule="auto"/>
        <w:widowControl w:val="off"/>
        <w:rPr>
          <w:rFonts w:hint="eastAsia" w:ascii="宋体" w:hAnsi="宋体" w:eastAsia="宋体" w:cs="宋体"/>
          <w:b/>
          <w:sz w:val="72"/>
          <w:szCs w:val="72"/>
          <w:lang w:val="en-US" w:eastAsia="zh-CN" w:bidi="ar-SA"/>
        </w:rPr>
        <w:outlineLvl w:val="0"/>
      </w:pPr>
      <w:r/>
      <w:bookmarkStart w:id="325" w:name="_Toc17484"/>
      <w:r/>
      <w:bookmarkStart w:id="326" w:name="_Toc4881"/>
      <w:r/>
      <w:bookmarkStart w:id="327" w:name="_Toc30454"/>
      <w:r>
        <w:rPr>
          <w:rFonts w:hint="eastAsia" w:ascii="宋体" w:hAnsi="宋体" w:eastAsia="宋体" w:cs="宋体"/>
          <w:b/>
          <w:sz w:val="72"/>
          <w:szCs w:val="72"/>
          <w:lang w:val="en-US" w:eastAsia="zh-CN" w:bidi="ar-SA"/>
        </w:rPr>
        <w:t xml:space="preserve">响  应  文  件</w:t>
      </w:r>
      <w:bookmarkEnd w:id="325"/>
      <w:r/>
      <w:bookmarkEnd w:id="326"/>
      <w:r/>
      <w:bookmarkEnd w:id="327"/>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1881"/>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1881"/>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 目 名 称：</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    </w:t>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 目 编 号：</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   </w:t>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u w:val="single"/>
          <w:lang w:val="en-US" w:eastAsia="zh-CN" w:bidi="ar-SA"/>
        </w:rPr>
      </w:pPr>
      <w:r>
        <w:rPr>
          <w:rFonts w:hint="eastAsia" w:ascii="宋体" w:hAnsi="宋体" w:eastAsia="宋体" w:cs="宋体"/>
          <w:b/>
          <w:bCs/>
          <w:sz w:val="36"/>
          <w:szCs w:val="36"/>
          <w:lang w:val="en-US" w:eastAsia="zh-CN" w:bidi="ar-SA"/>
        </w:rPr>
        <w:t xml:space="preserve">供应商名称 ：</w:t>
      </w:r>
      <w:r>
        <w:rPr>
          <w:rFonts w:hint="eastAsia" w:ascii="宋体" w:hAnsi="宋体" w:eastAsia="宋体" w:cs="宋体"/>
          <w:b/>
          <w:bCs/>
          <w:sz w:val="36"/>
          <w:szCs w:val="36"/>
          <w:u w:val="single"/>
          <w:lang w:val="en-US" w:eastAsia="zh-CN" w:bidi="ar-SA"/>
        </w:rPr>
        <w:t xml:space="preserve">（加盖CA电子公章）</w:t>
      </w:r>
      <w:r/>
    </w:p>
    <w:p>
      <w:pPr>
        <w:ind w:left="0" w:firstLine="840"/>
        <w:jc w:val="left"/>
        <w:keepLines w:val="0"/>
        <w:keepNext w:val="0"/>
        <w:pageBreakBefore w:val="0"/>
        <w:spacing w:line="700" w:lineRule="exact"/>
        <w:widowControl w:val="off"/>
        <w:rPr>
          <w:rFonts w:hint="eastAsia" w:ascii="宋体" w:hAnsi="宋体" w:eastAsia="仿宋" w:cs="Courier New"/>
          <w:sz w:val="24"/>
          <w:szCs w:val="24"/>
          <w:u w:val="single"/>
          <w:lang w:val="en-US" w:eastAsia="zh-CN" w:bidi="ar-SA"/>
        </w:rPr>
      </w:pPr>
      <w:r>
        <w:rPr>
          <w:rFonts w:hint="eastAsia" w:ascii="宋体" w:hAnsi="宋体" w:eastAsia="宋体" w:cs="宋体"/>
          <w:b/>
          <w:bCs/>
          <w:sz w:val="36"/>
          <w:szCs w:val="36"/>
          <w:lang w:val="en-US" w:eastAsia="zh-CN" w:bidi="ar-SA"/>
        </w:rPr>
        <w:t xml:space="preserve">日      期 ：</w:t>
      </w:r>
      <w:r>
        <w:rPr>
          <w:rFonts w:hint="eastAsia" w:ascii="宋体" w:hAnsi="宋体" w:eastAsia="宋体" w:cs="宋体"/>
          <w:b/>
          <w:bCs/>
          <w:sz w:val="36"/>
          <w:szCs w:val="36"/>
          <w:u w:val="single"/>
          <w:lang w:val="en-US" w:eastAsia="zh-CN" w:bidi="ar-SA"/>
        </w:rPr>
        <w:t xml:space="preserve">  </w:t>
      </w:r>
      <w:r>
        <w:rPr>
          <w:rFonts w:hint="eastAsia" w:ascii="宋体" w:hAnsi="宋体" w:eastAsia="仿宋" w:cs="Courier New"/>
          <w:sz w:val="24"/>
          <w:szCs w:val="24"/>
          <w:u w:val="single"/>
          <w:lang w:val="en-US" w:eastAsia="zh-CN" w:bidi="ar-SA"/>
        </w:rPr>
        <w:t xml:space="preserve">                       </w:t>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jc w:val="center"/>
        <w:keepLines w:val="0"/>
        <w:keepNext/>
        <w:pageBreakBefore/>
        <w:spacing w:before="80" w:after="100" w:line="360" w:lineRule="auto"/>
        <w:widowControl/>
        <w:rPr>
          <w:rFonts w:hint="eastAsia" w:ascii="仿宋" w:hAnsi="仿宋" w:eastAsia="仿宋" w:cs="仿宋"/>
          <w:b/>
          <w:bCs/>
          <w:color w:val="auto"/>
          <w:sz w:val="28"/>
          <w:szCs w:val="44"/>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响应文件的组成</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一、基本目录</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1.分项报价表（格式见附件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3.技术要求响应及偏离表（格式见附件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4.商务要求响应及偏离表（格式见附件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二、资格审查内容</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1.法人或者其他组织的营业执照等证明文件，自然人的身份证明</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2.上一年度的财务状况报告（</w:t>
      </w:r>
      <w:r>
        <w:rPr>
          <w:rFonts w:hint="eastAsia" w:ascii="宋体" w:hAnsi="宋体" w:eastAsia="宋体" w:cs="宋体"/>
          <w:color w:val="000000" w:themeColor="text1"/>
          <w:sz w:val="24"/>
          <w:szCs w:val="24"/>
          <w:lang w:val="en-US" w:eastAsia="zh-CN"/>
          <w14:textFill>
            <w14:solidFill>
              <w14:schemeClr w14:val="tx1"/>
            </w14:solidFill>
          </w14:textFill>
        </w:rPr>
        <w:t xml:space="preserve">至少包含资产负债表、利润表、现金流量表，</w:t>
      </w:r>
      <w:r>
        <w:rPr>
          <w:rFonts w:hint="eastAsia" w:ascii="宋体" w:hAnsi="宋体" w:eastAsia="宋体" w:cs="宋体"/>
          <w:color w:val="000000" w:themeColor="text1"/>
          <w:sz w:val="24"/>
          <w:szCs w:val="24"/>
          <w14:textFill>
            <w14:solidFill>
              <w14:schemeClr w14:val="tx1"/>
            </w14:solidFill>
          </w14:textFill>
        </w:rPr>
        <w:t xml:space="preserve">投标人成立不满一年无需提供）</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4.具备履行合同所必需的设备和专业技术能力的书面声明（格式见附件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5.参加政府采购活动前3年内在经营活动中没有重大违法记录的书面声明（格式见附件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6.特定资格要求的证明文件（如果本项目对投标人做出特定资格要求的，必须提供）</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8.法人授权书（格式见附件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9.磋商响应函（格式见附件7）</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10.中小微企业声明函（如果本项目专门面向中小微型企业采购，则必须提供。格式见附件8）</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11.残疾人福利性单位声明函（如果本项目专门面向中小微型企业采购，供应商为残疾人福利性单位并提供本单位制造的货物，或者提供其他残疾人福利性单位制造的货物，则必须提供。格式见附件9）</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总备注：上述“资格审查内容”中1-5条、8、9条</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必须在</w:t>
      </w:r>
      <w:r>
        <w:rPr>
          <w:rFonts w:hint="eastAsia" w:ascii="宋体" w:hAnsi="宋体" w:eastAsia="宋体" w:cs="宋体"/>
          <w:color w:val="000000" w:themeColor="text1"/>
          <w:sz w:val="24"/>
          <w:szCs w:val="24"/>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14:textFill>
            <w14:solidFill>
              <w14:schemeClr w14:val="tx1"/>
            </w14:solidFill>
          </w14:textFill>
        </w:rPr>
        <w:t xml:space="preserve">文件中提供相关材料，否则作无效投标处理；6</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10、11</w:t>
      </w:r>
      <w:r>
        <w:rPr>
          <w:rFonts w:hint="eastAsia" w:ascii="宋体" w:hAnsi="宋体" w:eastAsia="宋体" w:cs="宋体"/>
          <w:color w:val="000000" w:themeColor="text1"/>
          <w:sz w:val="24"/>
          <w:szCs w:val="24"/>
          <w14:textFill>
            <w14:solidFill>
              <w14:schemeClr w14:val="tx1"/>
            </w14:solidFill>
          </w14:textFill>
        </w:rPr>
        <w:t xml:space="preserve">条如</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文件要求必须提供相关材料而未提供的，作无效投标处理。</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三、符合性审查内容</w:t>
      </w:r>
      <w:r/>
    </w:p>
    <w:p>
      <w:pPr>
        <w:ind w:left="0" w:firstLine="48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投标人必须对招标文件（含技术要求和商务要求）中的要求逐条做出响应，并按照招标文件要求提供证明材料，否则做无效投标处理。</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四、价格扣除证明文件</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1.中小微企业声明函（格式见附件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2.残疾人福利性单位声明函（格式见附件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5"/>
        <w:ind w:left="0" w:firstLine="0"/>
        <w:jc w:val="left"/>
        <w:keepLines w:val="0"/>
        <w:keepNext w:val="0"/>
        <w:pageBreakBefore w:val="0"/>
        <w:spacing w:before="0" w:after="0" w:line="360" w:lineRule="auto"/>
        <w:widowControl w:val="off"/>
        <w:rPr>
          <w:rFonts w:hint="eastAsia" w:ascii="仿宋" w:hAnsi="仿宋" w:eastAsia="仿宋" w:cs="仿宋"/>
          <w:color w:val="auto"/>
          <w:sz w:val="28"/>
          <w:highlight w:val="none"/>
        </w:rPr>
        <w:outlineLvl w:val="9"/>
      </w:pPr>
      <w:r/>
      <w:bookmarkStart w:id="328" w:name="_Toc15944"/>
      <w:r/>
      <w:bookmarkStart w:id="329" w:name="_Toc31409"/>
      <w:r/>
      <w:bookmarkStart w:id="330" w:name="_Toc30076"/>
      <w:r>
        <w:rPr>
          <w:rFonts w:hint="eastAsia" w:ascii="仿宋" w:hAnsi="仿宋" w:eastAsia="仿宋" w:cs="仿宋"/>
          <w:color w:val="auto"/>
          <w:sz w:val="28"/>
          <w:highlight w:val="none"/>
          <w:lang w:val="en-US" w:eastAsia="zh-CN"/>
        </w:rPr>
        <w:t xml:space="preserve">注：</w:t>
      </w:r>
      <w:r>
        <w:rPr>
          <w:rFonts w:hint="eastAsia" w:ascii="仿宋" w:hAnsi="仿宋" w:eastAsia="仿宋" w:cs="仿宋"/>
          <w:color w:val="auto"/>
          <w:sz w:val="28"/>
          <w:highlight w:val="none"/>
        </w:rPr>
        <w:t xml:space="preserve">本章仅提供响应文件中的部分文件格式，不应被理解为包含了响应文件所需的全部资料</w:t>
      </w:r>
      <w:bookmarkEnd w:id="328"/>
      <w:r/>
      <w:bookmarkEnd w:id="329"/>
      <w:r/>
      <w:bookmarkEnd w:id="330"/>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jc w:val="both"/>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bookmarkStart w:id="331" w:name="_Toc16295"/>
      <w:r/>
      <w:bookmarkStart w:id="332" w:name="_Toc11380"/>
      <w:r/>
      <w:bookmarkStart w:id="333" w:name="_Toc31676"/>
      <w:r/>
      <w:bookmarkStart w:id="334" w:name="_Toc22528"/>
      <w:r/>
      <w:r/>
    </w:p>
    <w:p>
      <w:pPr>
        <w:ind w:left="0" w:firstLine="0"/>
        <w:jc w:val="both"/>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left="0" w:firstLine="0"/>
        <w:jc w:val="center"/>
        <w:keepLines w:val="0"/>
        <w:keepNext/>
        <w:pageBreakBefore/>
        <w:spacing w:line="1000" w:lineRule="exact"/>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竞争性磋商首次报价书</w:t>
      </w:r>
      <w:r/>
    </w:p>
    <w:p>
      <w:pPr>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投标人全称（加盖CA电子签章）：</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default"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tbl>
      <w:tblPr>
        <w:tblStyle w:val="789"/>
        <w:tblW w:w="7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7"/>
      </w:tblGrid>
      <w:tr>
        <w:trPr>
          <w:cantSplit/>
          <w:jc w:val="center"/>
          <w:trHeight w:val="725"/>
        </w:trPr>
        <w:tc>
          <w:tcPr>
            <w:tcW w:w="7647" w:type="dxa"/>
            <w:vAlign w:val="center"/>
            <w:textDirection w:val="lrTb"/>
            <w:noWrap w:val="false"/>
          </w:tcPr>
          <w:p>
            <w:pPr>
              <w:ind w:left="0" w:firstLine="0"/>
              <w:jc w:val="center"/>
              <w:keepLines w:val="0"/>
              <w:keepNext w:val="0"/>
              <w:pageBreakBefore w:val="0"/>
              <w:spacing w:after="0"/>
              <w:widowControl/>
              <w:rPr>
                <w:rFonts w:hint="eastAsia" w:ascii="宋体" w:hAnsi="宋体" w:eastAsia="宋体" w:cs="宋体"/>
                <w:color w:val="ff0000"/>
                <w:sz w:val="24"/>
                <w:szCs w:val="24"/>
                <w:lang w:val="en-US" w:eastAsia="zh-CN"/>
              </w:rPr>
            </w:pPr>
            <w:r>
              <w:rPr>
                <w:rFonts w:hint="eastAsia" w:ascii="宋体" w:hAnsi="宋体" w:eastAsia="宋体" w:cs="宋体"/>
                <w:b w:val="0"/>
                <w:bCs w:val="0"/>
                <w:color w:val="ff0000"/>
                <w:sz w:val="24"/>
                <w:szCs w:val="24"/>
                <w:lang w:val="en-US" w:eastAsia="zh-CN"/>
              </w:rPr>
              <w:t xml:space="preserve">投标</w:t>
            </w:r>
            <w:r>
              <w:rPr>
                <w:rFonts w:hint="eastAsia" w:ascii="宋体" w:hAnsi="宋体" w:eastAsia="宋体" w:cs="宋体"/>
                <w:b w:val="0"/>
                <w:bCs w:val="0"/>
                <w:color w:val="ff0000"/>
                <w:sz w:val="24"/>
                <w:szCs w:val="24"/>
              </w:rPr>
              <w:t xml:space="preserve">报价</w:t>
            </w:r>
            <w:r/>
          </w:p>
        </w:tc>
      </w:tr>
      <w:tr>
        <w:trPr>
          <w:cantSplit/>
          <w:jc w:val="center"/>
          <w:trHeight w:val="612"/>
        </w:trPr>
        <w:tc>
          <w:tcPr>
            <w:tcW w:w="7647" w:type="dxa"/>
            <w:vAlign w:val="center"/>
            <w:textDirection w:val="lrTb"/>
            <w:noWrap w:val="false"/>
          </w:tcPr>
          <w:p>
            <w:pPr>
              <w:ind w:left="0" w:firstLine="0"/>
              <w:jc w:val="both"/>
              <w:keepLines w:val="0"/>
              <w:keepNext w:val="0"/>
              <w:pageBreakBefore w:val="0"/>
              <w:spacing w:after="0" w:line="500" w:lineRule="exact"/>
              <w:widowControl/>
              <w:rPr>
                <w:rFonts w:hint="eastAsia" w:ascii="宋体" w:hAnsi="宋体" w:eastAsia="宋体" w:cs="宋体"/>
                <w:color w:val="ff0000"/>
                <w:sz w:val="24"/>
                <w:szCs w:val="21"/>
                <w:lang w:val="en-US" w:eastAsia="zh-CN"/>
              </w:rPr>
            </w:pPr>
            <w:r>
              <w:rPr>
                <w:rFonts w:hint="eastAsia" w:ascii="宋体" w:hAnsi="宋体" w:eastAsia="宋体" w:cs="宋体"/>
                <w:color w:val="000000" w:themeColor="text1"/>
                <w:sz w:val="24"/>
                <w:szCs w:val="24"/>
                <w14:textFill>
                  <w14:solidFill>
                    <w14:schemeClr w14:val="tx1"/>
                  </w14:solidFill>
                </w14:textFill>
              </w:rPr>
              <w:t xml:space="preserve">小写：                             （人民币：元）</w:t>
            </w:r>
            <w:r/>
          </w:p>
        </w:tc>
      </w:tr>
    </w:tbl>
    <w:p>
      <w:pPr>
        <w:pStyle w:val="836"/>
        <w:ind w:left="0" w:firstLine="0"/>
        <w:jc w:val="left"/>
        <w:keepLines w:val="0"/>
        <w:keepNext/>
        <w:pageBreakBefore/>
        <w:spacing w:line="400" w:lineRule="exact"/>
        <w:widowControl/>
        <w:rPr>
          <w:rFonts w:hint="eastAsia" w:ascii="宋体" w:hAnsi="宋体" w:eastAsia="宋体" w:cs="宋体"/>
          <w:b/>
          <w:color w:val="000000" w:themeColor="text1"/>
          <w:sz w:val="32"/>
          <w:szCs w:val="32"/>
          <w:lang w:val="en-US" w:eastAsia="zh-CN" w:bidi="ar-SA"/>
          <w14:textFill>
            <w14:solidFill>
              <w14:schemeClr w14:val="tx1"/>
            </w14:solidFill>
          </w14:textFill>
        </w:rPr>
        <w:outlineLvl w:val="0"/>
      </w:pPr>
      <w:r/>
      <w:bookmarkStart w:id="335" w:name="_Toc24618"/>
      <w:r>
        <w:rPr>
          <w:rFonts w:hint="eastAsia" w:ascii="宋体" w:hAnsi="宋体" w:eastAsia="宋体" w:cs="宋体"/>
          <w:b/>
          <w:color w:val="000000" w:themeColor="text1"/>
          <w:sz w:val="32"/>
          <w:szCs w:val="32"/>
          <w:lang w:val="en-US" w:eastAsia="zh-CN" w:bidi="ar-SA"/>
          <w14:textFill>
            <w14:solidFill>
              <w14:schemeClr w14:val="tx1"/>
            </w14:solidFill>
          </w14:textFill>
        </w:rPr>
        <w:t xml:space="preserve">附件1</w:t>
      </w:r>
      <w:bookmarkEnd w:id="331"/>
      <w:r/>
      <w:bookmarkEnd w:id="332"/>
      <w:r/>
      <w:bookmarkEnd w:id="333"/>
      <w:r/>
      <w:bookmarkEnd w:id="334"/>
      <w:r/>
      <w:bookmarkEnd w:id="335"/>
      <w:r/>
      <w:r/>
    </w:p>
    <w:p>
      <w:pPr>
        <w:pStyle w:val="836"/>
        <w:ind w:left="0" w:firstLine="0"/>
        <w:jc w:val="center"/>
        <w:keepLines w:val="0"/>
        <w:keepNext/>
        <w:pageBreakBefore w:val="0"/>
        <w:spacing w:line="400" w:lineRule="exact"/>
        <w:widowControl/>
        <w:rPr>
          <w:rFonts w:hint="default" w:ascii="仿宋" w:hAnsi="仿宋" w:eastAsia="仿宋" w:cs="仿宋"/>
          <w:b/>
          <w:bCs/>
          <w:sz w:val="30"/>
          <w:szCs w:val="30"/>
          <w:lang w:val="en-US"/>
        </w:rPr>
        <w:outlineLvl w:val="0"/>
      </w:pPr>
      <w:r/>
      <w:bookmarkStart w:id="336" w:name="_Toc31436"/>
      <w:r>
        <w:rPr>
          <w:rFonts w:hint="eastAsia" w:ascii="仿宋" w:hAnsi="仿宋" w:eastAsia="仿宋" w:cs="仿宋"/>
          <w:b/>
          <w:bCs/>
          <w:sz w:val="30"/>
          <w:szCs w:val="30"/>
          <w:lang w:val="en-US" w:eastAsia="zh-CN"/>
        </w:rPr>
        <w:t xml:space="preserve">分项报价表</w:t>
      </w:r>
      <w:bookmarkEnd w:id="336"/>
      <w:r/>
      <w:r/>
    </w:p>
    <w:p>
      <w:pPr>
        <w:pStyle w:val="836"/>
        <w:ind w:left="0" w:firstLine="0"/>
        <w:jc w:val="center"/>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single"/>
          <w:lang w:val="en-US" w:eastAsia="zh-CN"/>
        </w:rPr>
        <w:t xml:space="preserve">       次</w:t>
      </w:r>
      <w:r/>
    </w:p>
    <w:p>
      <w:pPr>
        <w:pStyle w:val="836"/>
        <w:ind w:left="0" w:firstLine="0"/>
        <w:rPr>
          <w:rFonts w:hint="eastAsia" w:ascii="仿宋" w:hAnsi="仿宋" w:eastAsia="仿宋" w:cs="仿宋"/>
          <w:sz w:val="24"/>
          <w:szCs w:val="24"/>
          <w:u w:val="single"/>
          <w:lang w:val="en-US" w:eastAsia="zh-CN"/>
        </w:rPr>
      </w:pPr>
      <w:r>
        <w:rPr>
          <w:rFonts w:hint="eastAsia" w:ascii="仿宋" w:hAnsi="仿宋" w:eastAsia="仿宋" w:cs="仿宋"/>
          <w:sz w:val="24"/>
          <w:szCs w:val="24"/>
        </w:rPr>
        <w:t xml:space="preserve">项目编号：</w:t>
      </w:r>
      <w:r>
        <w:rPr>
          <w:rFonts w:hint="eastAsia" w:ascii="仿宋" w:hAnsi="仿宋" w:eastAsia="仿宋" w:cs="仿宋"/>
          <w:bCs/>
          <w:sz w:val="24"/>
          <w:szCs w:val="24"/>
          <w:u w:val="single"/>
          <w:lang w:val="en-US" w:eastAsia="zh-CN"/>
        </w:rPr>
        <w:t xml:space="preserve">               </w:t>
      </w:r>
      <w:r/>
    </w:p>
    <w:p>
      <w:pPr>
        <w:pStyle w:val="837"/>
        <w:numPr>
          <w:ilvl w:val="0"/>
          <w:numId w:val="0"/>
        </w:numPr>
        <w:rPr>
          <w:rFonts w:hint="eastAsia"/>
          <w:lang w:val="en-US" w:eastAsia="zh-CN"/>
        </w:rPr>
      </w:pPr>
      <w:r>
        <w:rPr>
          <w:rFonts w:hint="eastAsia"/>
          <w:lang w:val="en-US" w:eastAsia="zh-CN"/>
        </w:rPr>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3920"/>
        <w:gridCol w:w="629"/>
        <w:gridCol w:w="616"/>
        <w:gridCol w:w="1257"/>
        <w:gridCol w:w="1258"/>
      </w:tblGrid>
      <w:tr>
        <w:trPr>
          <w:jc w:val="center"/>
          <w:trHeight w:val="478"/>
          <w:tblHeader/>
        </w:trPr>
        <w:tc>
          <w:tcPr>
            <w:tcBorders>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服务内容</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ascii="宋体" w:hAnsi="宋体"/>
                <w:b/>
                <w:sz w:val="24"/>
              </w:rPr>
              <w:t xml:space="preserve">单位</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数量</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单价（元）</w:t>
            </w:r>
            <w:r/>
          </w:p>
        </w:tc>
        <w:tc>
          <w:tcPr>
            <w:tcBorders>
              <w:lef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总价（元）</w:t>
            </w:r>
            <w:r/>
          </w:p>
        </w:tc>
      </w:tr>
      <w:tr>
        <w:trPr>
          <w:jc w:val="center"/>
          <w:trHeight w:val="745"/>
        </w:trPr>
        <w:tc>
          <w:tcPr>
            <w:tcBorders>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w:t>
            </w:r>
            <w:r/>
          </w:p>
        </w:tc>
        <w:tc>
          <w:tcPr>
            <w:tcBorders>
              <w:left w:val="single" w:color="000000" w:sz="4" w:space="0"/>
              <w:right w:val="single" w:color="000000" w:sz="4" w:space="0"/>
            </w:tcBorders>
            <w:tcW w:w="0" w:type="auto"/>
            <w:vAlign w:val="center"/>
            <w:textDirection w:val="lrTb"/>
            <w:noWrap w:val="false"/>
          </w:tcPr>
          <w:p>
            <w:pPr>
              <w:pStyle w:val="1014"/>
              <w:ind w:left="0" w:right="0" w:firstLine="0"/>
              <w:jc w:val="center"/>
              <w:keepLines w:val="0"/>
              <w:keepNext w:val="0"/>
              <w:pageBreakBefore w:val="0"/>
              <w:spacing w:line="240" w:lineRule="auto"/>
              <w:widowControl/>
              <w:rPr>
                <w:rFonts w:hint="default" w:ascii="宋体" w:hAnsi="宋体" w:eastAsia="宋体" w:cs="宋体"/>
                <w:sz w:val="28"/>
                <w:szCs w:val="28"/>
                <w:lang w:val="en-US"/>
              </w:rPr>
            </w:pPr>
            <w:r>
              <w:rPr>
                <w:rFonts w:hint="eastAsia" w:ascii="宋体" w:hAnsi="宋体" w:eastAsia="宋体" w:cs="宋体"/>
                <w:color w:val="000000" w:themeColor="text1"/>
                <w:sz w:val="28"/>
                <w:szCs w:val="28"/>
                <w:lang w:eastAsia="zh-CN"/>
                <w14:textFill>
                  <w14:solidFill>
                    <w14:schemeClr w14:val="tx1"/>
                  </w14:solidFill>
                </w14:textFill>
              </w:rPr>
              <w:t xml:space="preserve">兴化市“一老一小”监管平台维保服务</w:t>
            </w:r>
            <w:r>
              <w:rPr>
                <w:rFonts w:hint="eastAsia" w:ascii="宋体" w:hAnsi="宋体" w:eastAsia="宋体" w:cs="宋体"/>
                <w:color w:val="000000" w:themeColor="text1"/>
                <w:sz w:val="28"/>
                <w:szCs w:val="28"/>
                <w:lang w:val="en-US" w:eastAsia="zh-CN"/>
                <w14:textFill>
                  <w14:solidFill>
                    <w14:schemeClr w14:val="tx1"/>
                  </w14:solidFill>
                </w14:textFill>
              </w:rPr>
              <w:t xml:space="preserve">项目</w:t>
            </w:r>
            <w:r/>
          </w:p>
        </w:tc>
        <w:tc>
          <w:tcPr>
            <w:tcBorders>
              <w:left w:val="single" w:color="000000" w:sz="4" w:space="0"/>
              <w:right w:val="single" w:color="000000" w:sz="4" w:space="0"/>
            </w:tcBorders>
            <w:tcW w:w="0" w:type="auto"/>
            <w:vAlign w:val="center"/>
            <w:textDirection w:val="lrTb"/>
            <w:noWrap w:val="false"/>
          </w:tcPr>
          <w:p>
            <w:pPr>
              <w:pStyle w:val="1014"/>
              <w:ind w:left="0" w:right="0" w:firstLine="0"/>
              <w:jc w:val="center"/>
              <w:keepLines w:val="0"/>
              <w:keepNext w:val="0"/>
              <w:pageBreakBefore w:val="0"/>
              <w:spacing w:line="24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w:t>
            </w:r>
            <w:r/>
          </w:p>
        </w:tc>
        <w:tc>
          <w:tcPr>
            <w:tcBorders>
              <w:left w:val="single" w:color="000000" w:sz="4" w:space="0"/>
              <w:right w:val="single" w:color="000000" w:sz="4" w:space="0"/>
            </w:tcBorders>
            <w:tcW w:w="0" w:type="auto"/>
            <w:vAlign w:val="center"/>
            <w:textDirection w:val="lrTb"/>
            <w:noWrap w:val="false"/>
          </w:tcPr>
          <w:p>
            <w:pPr>
              <w:pStyle w:val="1014"/>
              <w:ind w:left="0" w:right="0" w:firstLine="0"/>
              <w:jc w:val="center"/>
              <w:keepLines w:val="0"/>
              <w:keepNext w:val="0"/>
              <w:pageBreakBefore w:val="0"/>
              <w:spacing w:line="24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lef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836"/>
        <w:ind w:left="0" w:firstLine="0"/>
        <w:spacing w:line="360" w:lineRule="auto"/>
        <w:rPr>
          <w:rFonts w:hint="eastAsia" w:ascii="仿宋" w:hAnsi="仿宋" w:eastAsia="仿宋" w:cs="仿宋"/>
          <w:lang w:val="en-US" w:eastAsia="zh-CN"/>
        </w:rPr>
      </w:pPr>
      <w:r>
        <w:rPr>
          <w:rFonts w:hint="eastAsia" w:ascii="仿宋" w:hAnsi="仿宋" w:eastAsia="仿宋" w:cs="仿宋"/>
          <w:lang w:val="en-US" w:eastAsia="zh-CN"/>
        </w:rPr>
      </w:r>
      <w:r/>
    </w:p>
    <w:p>
      <w:pPr>
        <w:pStyle w:val="836"/>
        <w:ind w:left="0" w:firstLine="0"/>
        <w:jc w:val="both"/>
        <w:rPr>
          <w:rFonts w:hint="eastAsia" w:ascii="仿宋" w:hAnsi="仿宋" w:eastAsia="仿宋" w:cs="仿宋"/>
          <w:b/>
          <w:bCs/>
          <w:sz w:val="24"/>
          <w:szCs w:val="24"/>
        </w:rPr>
      </w:pPr>
      <w:r>
        <w:rPr>
          <w:rFonts w:hint="eastAsia" w:ascii="仿宋" w:hAnsi="仿宋" w:eastAsia="仿宋" w:cs="仿宋"/>
          <w:b/>
          <w:bCs/>
          <w:sz w:val="24"/>
          <w:szCs w:val="24"/>
        </w:rPr>
      </w:r>
      <w:r/>
    </w:p>
    <w:p>
      <w:pPr>
        <w:pStyle w:val="998"/>
        <w:ind w:left="0" w:firstLine="0"/>
        <w:rPr>
          <w:rFonts w:hint="eastAsia" w:ascii="仿宋" w:hAnsi="仿宋" w:eastAsia="仿宋" w:cs="仿宋"/>
          <w:b/>
          <w:bCs/>
          <w:sz w:val="24"/>
          <w:szCs w:val="24"/>
        </w:rPr>
      </w:pPr>
      <w:r/>
      <w:bookmarkStart w:id="360" w:name="_GoBack"/>
      <w:r/>
      <w:bookmarkEnd w:id="360"/>
      <w:r/>
      <w:r/>
    </w:p>
    <w:p>
      <w:pPr>
        <w:pStyle w:val="998"/>
        <w:ind w:left="0" w:firstLine="0"/>
        <w:rPr>
          <w:rFonts w:hint="eastAsia" w:ascii="仿宋" w:hAnsi="仿宋" w:eastAsia="仿宋" w:cs="仿宋"/>
          <w:b/>
          <w:bCs/>
          <w:sz w:val="24"/>
          <w:szCs w:val="24"/>
        </w:rPr>
      </w:pPr>
      <w:r>
        <w:rPr>
          <w:rFonts w:hint="eastAsia" w:ascii="仿宋" w:hAnsi="仿宋" w:eastAsia="仿宋" w:cs="仿宋"/>
          <w:b/>
          <w:bCs/>
          <w:sz w:val="24"/>
          <w:szCs w:val="24"/>
        </w:rPr>
      </w:r>
      <w:r/>
    </w:p>
    <w:p>
      <w:pPr>
        <w:pStyle w:val="828"/>
        <w:ind w:left="0" w:firstLine="0"/>
        <w:jc w:val="left"/>
        <w:spacing w:line="400" w:lineRule="exact"/>
        <w:widowControl w:val="off"/>
        <w:rPr>
          <w:rStyle w:val="996"/>
          <w:rFonts w:hint="eastAsia" w:ascii="仿宋" w:hAnsi="仿宋" w:eastAsia="仿宋" w:cs="仿宋"/>
          <w:color w:val="auto"/>
          <w:sz w:val="24"/>
          <w:highlight w:val="none"/>
        </w:rPr>
      </w:pPr>
      <w:r/>
      <w:bookmarkStart w:id="337" w:name="_Toc15808"/>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rPr>
          <w:rStyle w:val="996"/>
          <w:rFonts w:hint="eastAsia" w:ascii="仿宋" w:hAnsi="仿宋" w:eastAsia="仿宋" w:cs="仿宋"/>
          <w:color w:val="auto"/>
          <w:sz w:val="24"/>
          <w:highlight w:val="none"/>
        </w:rPr>
        <w:t xml:space="preserve"> </w:t>
      </w:r>
      <w:r/>
    </w:p>
    <w:p>
      <w:pPr>
        <w:pStyle w:val="828"/>
        <w:ind w:left="0" w:firstLine="0"/>
        <w:jc w:val="left"/>
        <w:spacing w:line="4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日期：</w:t>
      </w:r>
      <w:r/>
    </w:p>
    <w:p>
      <w:pPr>
        <w:pStyle w:val="1007"/>
        <w:ind w:left="0" w:firstLine="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2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ind w:left="0" w:firstLine="0"/>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2</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技术要求响应及偏离表</w:t>
      </w:r>
      <w:r/>
    </w:p>
    <w:tbl>
      <w:tblPr>
        <w:tblStyle w:val="789"/>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769"/>
        <w:gridCol w:w="2490"/>
        <w:gridCol w:w="3213"/>
      </w:tblGrid>
      <w:tr>
        <w:trPr>
          <w:jc w:val="center"/>
          <w:trHeight w:val="438"/>
          <w:tblHeader/>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技术要求</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投标响应情况</w:t>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超出、符合或偏离</w:t>
            </w:r>
            <w:r/>
          </w:p>
        </w:tc>
      </w:tr>
      <w:tr>
        <w:trPr>
          <w:jc w:val="center"/>
          <w:trHeight w:val="363"/>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0" w:firstLine="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附件3-1  证明材料1，证明材料2，……</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需对</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文件技术要求逐条做出明确响应。</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文件要求提供证明材料，</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需将证明材料列于该表之下。</w:t>
      </w:r>
      <w:r/>
    </w:p>
    <w:p>
      <w:pPr>
        <w:pStyle w:val="81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1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18"/>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3</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商务要求响应及偏离表</w:t>
      </w:r>
      <w:r/>
    </w:p>
    <w:tbl>
      <w:tblPr>
        <w:tblStyle w:val="789"/>
        <w:tblW w:w="8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769"/>
        <w:gridCol w:w="2490"/>
        <w:gridCol w:w="2916"/>
      </w:tblGrid>
      <w:tr>
        <w:trPr>
          <w:jc w:val="center"/>
          <w:trHeight w:val="0"/>
          <w:tblHeader/>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商务要求</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投标响应情况</w:t>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超出、符合或偏离</w:t>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附件4-1  证明材料1，证明材料2，……</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需对</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文件商务要求逐条做出明确响应。</w:t>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文件要求提供证明材料，</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需将证明材料列于该表之下。</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32"/>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r>
      <w:r/>
    </w:p>
    <w:p>
      <w:pPr>
        <w:pStyle w:val="832"/>
        <w:ind w:firstLine="2578"/>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pStyle w:val="832"/>
        <w:ind w:firstLine="2578"/>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u w:val="single"/>
          <w:lang w:eastAsia="en-US"/>
          <w14:textFill>
            <w14:solidFill>
              <w14:schemeClr w14:val="tx1"/>
            </w14:solidFill>
          </w14:textFill>
        </w:rPr>
      </w:r>
      <w:r/>
    </w:p>
    <w:p>
      <w:pPr>
        <w:ind w:left="0" w:firstLine="0"/>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4</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left="0" w:firstLine="0"/>
        <w:jc w:val="center"/>
        <w:keepLines w:val="0"/>
        <w:keepNext/>
        <w:pageBreakBefore w:val="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具备履行合同所必需的设备和专业技术能力的书面声明</w:t>
      </w:r>
      <w:r/>
    </w:p>
    <w:p>
      <w:pPr>
        <w:ind w:left="0" w:firstLine="0"/>
        <w:keepLines w:val="0"/>
        <w:keepNext w:val="0"/>
        <w:pageBreakBefore w:val="0"/>
        <w:spacing w:line="540" w:lineRule="exact"/>
        <w:widowControl/>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ind w:left="0" w:firstLine="560"/>
        <w:keepLines w:val="0"/>
        <w:keepNext w:val="0"/>
        <w:pageBreakBefore w:val="0"/>
        <w:spacing w:line="540" w:lineRule="exact"/>
        <w:widowControl/>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left="0" w:firstLine="56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主要设备有：</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w:t>
      </w:r>
      <w:r/>
    </w:p>
    <w:p>
      <w:pPr>
        <w:ind w:left="0" w:firstLine="56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主要专业技术能力有：</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w:t>
      </w:r>
      <w:r/>
    </w:p>
    <w:p>
      <w:pPr>
        <w:pStyle w:val="818"/>
        <w:ind w:left="0" w:firstLine="0"/>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818"/>
        <w:ind w:left="0" w:firstLine="0"/>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818"/>
        <w:ind w:left="0" w:firstLine="0"/>
        <w:jc w:val="right"/>
        <w:rPr>
          <w:rFonts w:hint="eastAsia" w:ascii="宋体" w:hAnsi="宋体" w:eastAsia="宋体" w:cs="宋体"/>
          <w:bCs/>
          <w:color w:val="000000" w:themeColor="text1"/>
          <w:sz w:val="24"/>
          <w:szCs w:val="21"/>
          <w:lang w:eastAsia="en-US"/>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ind w:left="0" w:firstLine="0"/>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                                     </w:t>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5</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参加政府采购活动前3年内在经营活动中没有重大违法记录的书面声明</w:t>
      </w:r>
      <w:r/>
    </w:p>
    <w:p>
      <w:pPr>
        <w:ind w:left="0" w:firstLine="560"/>
        <w:keepLines w:val="0"/>
        <w:keepNext w:val="0"/>
        <w:pageBreakBefore w:val="0"/>
        <w:spacing w:line="460" w:lineRule="exact"/>
        <w:widowControl w:val="off"/>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left="0" w:firstLine="560"/>
        <w:keepLines w:val="0"/>
        <w:keepNext w:val="0"/>
        <w:pageBreakBefore w:val="0"/>
        <w:spacing w:line="5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0" w:firstLine="560"/>
        <w:keepLines w:val="0"/>
        <w:keepNext w:val="0"/>
        <w:pageBreakBefore w:val="0"/>
        <w:spacing w:line="5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我单位对上述声明的真实性负责。如有虚假，将依法承担相应责任。</w:t>
      </w:r>
      <w:r/>
    </w:p>
    <w:p>
      <w:pPr>
        <w:ind w:left="0" w:firstLine="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pStyle w:val="818"/>
        <w:ind w:left="0" w:firstLine="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p>
    <w:p>
      <w:pPr>
        <w:ind w:left="0" w:firstLine="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keepLines w:val="0"/>
        <w:keepNext/>
        <w:pageBreakBefore/>
        <w:spacing w:after="0" w:line="400" w:lineRule="exact"/>
        <w:widowControl/>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6</w:t>
      </w:r>
      <w:r>
        <w:rPr>
          <w:rFonts w:hint="eastAsia" w:ascii="宋体" w:hAnsi="宋体" w:eastAsia="宋体" w:cs="宋体"/>
          <w:b/>
          <w:color w:val="000000" w:themeColor="text1"/>
          <w:sz w:val="32"/>
          <w:szCs w:val="32"/>
          <w14:textFill>
            <w14:solidFill>
              <w14:schemeClr w14:val="tx1"/>
            </w14:solidFill>
          </w14:textFill>
        </w:rPr>
        <w:t xml:space="preserve">  </w:t>
      </w:r>
      <w:r>
        <w:rPr>
          <w:rFonts w:hint="eastAsia" w:ascii="宋体" w:hAnsi="宋体" w:eastAsia="宋体" w:cs="宋体"/>
          <w:b/>
          <w:color w:val="000000" w:themeColor="text1"/>
          <w:sz w:val="24"/>
          <w:szCs w:val="21"/>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法人授权书</w:t>
      </w:r>
      <w:r/>
    </w:p>
    <w:p>
      <w:pPr>
        <w:ind w:left="0" w:firstLine="480"/>
        <w:keepLines w:val="0"/>
        <w:keepNext w:val="0"/>
        <w:pageBreakBefore w:val="0"/>
        <w:spacing w:line="5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本授权书声明：____________（</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名称）授权_____________（被授权人的姓名）为我方就</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ind w:left="0" w:firstLine="480"/>
        <w:keepLines w:val="0"/>
        <w:keepNext w:val="0"/>
        <w:pageBreakBefore w:val="0"/>
        <w:spacing w:line="5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本授权书于______年____月____日起生效，特此声明。</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被授权人身份证号码：</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被授权人联系电话：（手机）</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被授权人电子邮箱：</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授权单位名称：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bookmarkStart w:id="338" w:name="_Hlt26671380"/>
      <w:r/>
      <w:bookmarkEnd w:id="338"/>
      <w:r/>
      <w:bookmarkStart w:id="339" w:name="_格式3__银行出具的资信证明"/>
      <w:r/>
      <w:bookmarkEnd w:id="339"/>
      <w:r/>
      <w:bookmarkStart w:id="340" w:name="_Hlt26955070"/>
      <w:r/>
      <w:bookmarkEnd w:id="340"/>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360"/>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yellow"/>
          <w14:textFill>
            <w14:solidFill>
              <w14:schemeClr w14:val="tx1"/>
            </w14:solidFill>
          </w14:textFill>
        </w:rPr>
      </w:r>
      <w:r/>
    </w:p>
    <w:p>
      <w:pPr>
        <w:ind w:firstLine="480"/>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t xml:space="preserve">被授权人身份证</w:t>
      </w:r>
      <w:r>
        <w:rPr>
          <w:rFonts w:hint="eastAsia" w:ascii="宋体" w:hAnsi="宋体" w:eastAsia="宋体" w:cs="宋体"/>
          <w:color w:val="000000" w:themeColor="text1"/>
          <w:sz w:val="24"/>
          <w:szCs w:val="24"/>
          <w:lang w:val="en-US" w:eastAsia="zh-CN"/>
          <w14:textFill>
            <w14:solidFill>
              <w14:schemeClr w14:val="tx1"/>
            </w14:solidFill>
          </w14:textFill>
        </w:rPr>
        <w:t xml:space="preserve">原件</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jc w:val="center"/>
          <w:trHeight w:val="1657"/>
        </w:trPr>
        <w:tc>
          <w:tcPr>
            <w:tcW w:w="6675" w:type="dxa"/>
            <w:textDirection w:val="lrTb"/>
            <w:noWrap w:val="false"/>
          </w:tcPr>
          <w:p>
            <w:pPr>
              <w:keepLines w:val="0"/>
              <w:keepNext w:val="0"/>
              <w:pageBreakBefore w:val="0"/>
              <w:spacing w:after="200" w:line="440" w:lineRule="exact"/>
              <w:widowControl/>
              <w:tabs>
                <w:tab w:val="left" w:pos="0" w:leader="none"/>
              </w:tabs>
              <w:rPr>
                <w:rFonts w:hint="default"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正面</w:t>
            </w:r>
            <w:r/>
          </w:p>
        </w:tc>
      </w:tr>
      <w:tr>
        <w:trPr>
          <w:jc w:val="center"/>
          <w:trHeight w:val="1653"/>
        </w:trPr>
        <w:tc>
          <w:tcPr>
            <w:tcW w:w="6675" w:type="dxa"/>
            <w:textDirection w:val="lrTb"/>
            <w:noWrap w:val="false"/>
          </w:tcPr>
          <w:p>
            <w:pPr>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反面</w:t>
            </w:r>
            <w:r/>
          </w:p>
        </w:tc>
      </w:tr>
    </w:tbl>
    <w:p>
      <w:pPr>
        <w:pStyle w:val="832"/>
        <w:ind w:left="0" w:firstLine="0"/>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u w:val="single"/>
          <w:lang w:eastAsia="en-US"/>
          <w14:textFill>
            <w14:solidFill>
              <w14:schemeClr w14:val="tx1"/>
            </w14:solidFill>
          </w14:textFill>
        </w:rPr>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341" w:name="_Toc31906"/>
      <w:r/>
      <w:bookmarkStart w:id="342" w:name="_Toc8821"/>
      <w:r/>
      <w:bookmarkStart w:id="343" w:name="_Toc5505"/>
      <w:r/>
      <w:bookmarkStart w:id="344" w:name="_Toc23969"/>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7</w:t>
      </w:r>
      <w:bookmarkEnd w:id="341"/>
      <w:r/>
      <w:r/>
    </w:p>
    <w:p>
      <w:pPr>
        <w:pStyle w:val="824"/>
        <w:ind w:left="0" w:firstLine="0"/>
        <w:jc w:val="center"/>
        <w:rPr>
          <w:rFonts w:hint="eastAsia" w:ascii="宋体" w:hAnsi="宋体" w:eastAsia="宋体" w:cs="宋体"/>
          <w:b/>
          <w:color w:val="000000" w:themeColor="text1"/>
          <w:sz w:val="32"/>
          <w:szCs w:val="32"/>
          <w:lang w:val="en-US" w:eastAsia="zh-CN" w:bidi="ar-SA"/>
          <w14:textFill>
            <w14:solidFill>
              <w14:schemeClr w14:val="tx1"/>
            </w14:solidFill>
          </w14:textFill>
        </w:rPr>
      </w:pPr>
      <w:r>
        <w:rPr>
          <w:rFonts w:hint="eastAsia" w:ascii="宋体" w:hAnsi="宋体" w:eastAsia="宋体" w:cs="宋体"/>
          <w:b/>
          <w:color w:val="000000" w:themeColor="text1"/>
          <w:sz w:val="32"/>
          <w:szCs w:val="32"/>
          <w:lang w:val="en-US" w:eastAsia="zh-CN" w:bidi="ar-SA"/>
          <w14:textFill>
            <w14:solidFill>
              <w14:schemeClr w14:val="tx1"/>
            </w14:solidFill>
          </w14:textFill>
        </w:rPr>
        <w:t xml:space="preserve">磋商响应函</w:t>
      </w:r>
      <w:r/>
    </w:p>
    <w:p>
      <w:pPr>
        <w:ind w:left="0" w:firstLine="0"/>
        <w:jc w:val="left"/>
        <w:keepLines w:val="0"/>
        <w:keepNext w:val="0"/>
        <w:pageBreakBefore w:val="0"/>
        <w:spacing w:after="100" w:line="440" w:lineRule="exact"/>
        <w:widowControl/>
        <w:rPr>
          <w:rFonts w:hint="eastAsia" w:ascii="宋体" w:hAnsi="宋体" w:eastAsia="宋体" w:cs="宋体"/>
          <w:b/>
          <w:bCs w:val="0"/>
          <w:color w:val="000000" w:themeColor="text1"/>
          <w:sz w:val="32"/>
          <w:szCs w:val="32"/>
          <w:lang w:eastAsia="zh-CN"/>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致：</w:t>
      </w:r>
      <w:r>
        <w:rPr>
          <w:rFonts w:hint="eastAsia" w:ascii="宋体" w:hAnsi="宋体" w:eastAsia="宋体" w:cs="宋体"/>
          <w:color w:val="000000" w:themeColor="text1"/>
          <w:sz w:val="24"/>
          <w:szCs w:val="21"/>
          <w:lang w:val="en-US" w:eastAsia="zh-CN"/>
          <w14:textFill>
            <w14:solidFill>
              <w14:schemeClr w14:val="tx1"/>
            </w14:solidFill>
          </w14:textFill>
        </w:rPr>
        <w:t xml:space="preserve">泰州中招投标代理有限公司</w:t>
      </w:r>
      <w:r/>
    </w:p>
    <w:p>
      <w:pPr>
        <w:ind w:left="0" w:firstLine="480"/>
        <w:jc w:val="left"/>
        <w:keepLines w:val="0"/>
        <w:keepNext w:val="0"/>
        <w:pageBreakBefore w:val="0"/>
        <w:spacing w:after="100" w:line="44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根据贵方的</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1"/>
          <w14:textFill>
            <w14:solidFill>
              <w14:schemeClr w14:val="tx1"/>
            </w14:solidFill>
          </w14:textFill>
        </w:rPr>
        <w:t xml:space="preserve">磋商文件，正式授权下述签字人_______(姓名)代表我方_____________（</w:t>
      </w:r>
      <w:r>
        <w:rPr>
          <w:rFonts w:hint="eastAsia" w:ascii="宋体" w:hAnsi="宋体" w:eastAsia="宋体" w:cs="宋体"/>
          <w:color w:val="000000" w:themeColor="text1"/>
          <w:sz w:val="24"/>
          <w:szCs w:val="21"/>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14:textFill>
            <w14:solidFill>
              <w14:schemeClr w14:val="tx1"/>
            </w14:solidFill>
          </w14:textFill>
        </w:rPr>
        <w:t xml:space="preserve">的名称），全权处理本次项目</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的有关事宜。</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据此函，__________签字人兹宣布同意如下：</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1.按磋商文件规定的各项要求，向买方提供所需货物</w:t>
      </w: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服务</w:t>
      </w:r>
      <w:r>
        <w:rPr>
          <w:rFonts w:hint="eastAsia" w:ascii="宋体" w:hAnsi="宋体" w:eastAsia="宋体" w:cs="宋体"/>
          <w:color w:val="000000" w:themeColor="text1"/>
          <w:sz w:val="24"/>
          <w:szCs w:val="21"/>
          <w14:textFill>
            <w14:solidFill>
              <w14:schemeClr w14:val="tx1"/>
            </w14:solidFill>
          </w14:textFill>
        </w:rPr>
        <w:t xml:space="preserve">（包含与货物相关的服务）。</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2.我们完全理解贵方不一定将合同授予最低报价的</w:t>
      </w:r>
      <w:r>
        <w:rPr>
          <w:rFonts w:hint="eastAsia" w:ascii="宋体" w:hAnsi="宋体" w:eastAsia="宋体" w:cs="宋体"/>
          <w:color w:val="000000" w:themeColor="text1"/>
          <w:sz w:val="24"/>
          <w:szCs w:val="21"/>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14:textFill>
            <w14:solidFill>
              <w14:schemeClr w14:val="tx1"/>
            </w14:solidFill>
          </w14:textFill>
        </w:rPr>
        <w:t xml:space="preserve">。</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3.我们已详细审核全部</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文件及其有效补充文件，我们知道必须放弃提出含糊不清或误解问题的权利。</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4.我们同意从规定的开标日期起遵循本投标文件，并在规定的</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有效期期满之前均具有约束力。</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5.同意向贵方提供贵方可能另外要求的与</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有关的任何证据或资料，并保证我方已提供和将要提供的文件是真实的、准确的。</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6.一旦我方</w:t>
      </w:r>
      <w:r>
        <w:rPr>
          <w:rFonts w:hint="eastAsia" w:ascii="宋体" w:hAnsi="宋体" w:eastAsia="宋体" w:cs="宋体"/>
          <w:color w:val="000000" w:themeColor="text1"/>
          <w:sz w:val="24"/>
          <w:szCs w:val="21"/>
          <w:lang w:val="en-US" w:eastAsia="zh-CN"/>
          <w14:textFill>
            <w14:solidFill>
              <w14:schemeClr w14:val="tx1"/>
            </w14:solidFill>
          </w14:textFill>
        </w:rPr>
        <w:t xml:space="preserve">成交</w:t>
      </w:r>
      <w:r>
        <w:rPr>
          <w:rFonts w:hint="eastAsia" w:ascii="宋体" w:hAnsi="宋体" w:eastAsia="宋体" w:cs="宋体"/>
          <w:color w:val="000000" w:themeColor="text1"/>
          <w:sz w:val="24"/>
          <w:szCs w:val="21"/>
          <w14:textFill>
            <w14:solidFill>
              <w14:schemeClr w14:val="tx1"/>
            </w14:solidFill>
          </w14:textFill>
        </w:rPr>
        <w:t xml:space="preserve">,我方将根据</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文件的规定，严格履行合同的责任和义务,并保证在</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文件规定的时间完成项目，交付买方验收、使用。</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7.与本投标有关的正式通讯地址为：</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地     址：</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邮     编：</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电     话：</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传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 真：</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投标人开户行：</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账     号： </w:t>
      </w:r>
      <w:r/>
    </w:p>
    <w:p>
      <w:pPr>
        <w:pStyle w:val="1003"/>
        <w:ind w:right="565"/>
        <w:jc w:val="both"/>
        <w:keepLines w:val="0"/>
        <w:keepNext w:val="0"/>
        <w:pageBreakBefore w:val="0"/>
        <w:spacing w:after="10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3"/>
        <w:ind w:right="565"/>
        <w:jc w:val="right"/>
        <w:keepLines w:val="0"/>
        <w:keepNext w:val="0"/>
        <w:pageBreakBefore w:val="0"/>
        <w:spacing w:after="100"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加盖CA电子公章</w:t>
      </w:r>
      <w:r>
        <w:rPr>
          <w:rFonts w:hint="eastAsia" w:ascii="宋体" w:hAnsi="宋体" w:eastAsia="宋体" w:cs="宋体"/>
          <w:sz w:val="24"/>
          <w:szCs w:val="24"/>
          <w:lang w:val="en-US" w:eastAsia="zh-CN"/>
        </w:rPr>
        <w:t xml:space="preserve">）</w:t>
      </w:r>
      <w:r/>
    </w:p>
    <w:p>
      <w:pPr>
        <w:pStyle w:val="824"/>
        <w:ind w:left="0" w:firstLine="0"/>
        <w:jc w:val="center"/>
        <w:rPr>
          <w:rFonts w:hint="eastAsia" w:ascii="宋体" w:hAnsi="宋体" w:eastAsia="宋体" w:cs="宋体"/>
          <w:b/>
          <w:color w:val="000000" w:themeColor="text1"/>
          <w:sz w:val="32"/>
          <w:szCs w:val="32"/>
          <w:lang w:val="en-US" w:eastAsia="zh-CN" w:bidi="ar-SA"/>
          <w14:textFill>
            <w14:solidFill>
              <w14:schemeClr w14:val="tx1"/>
            </w14:solidFill>
          </w14:textFill>
        </w:rPr>
      </w:pP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日   期：________年____月____</w:t>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345" w:name="_Toc27806"/>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8</w:t>
      </w:r>
      <w:bookmarkEnd w:id="345"/>
      <w:r/>
      <w:r/>
    </w:p>
    <w:p>
      <w:pPr>
        <w:pStyle w:val="824"/>
        <w:ind w:left="0" w:firstLine="0"/>
        <w:jc w:val="center"/>
        <w:rPr>
          <w:rFonts w:hint="eastAsia" w:ascii="宋体" w:hAnsi="宋体" w:eastAsia="宋体" w:cs="宋体"/>
          <w:b/>
          <w:sz w:val="32"/>
          <w:szCs w:val="32"/>
        </w:rPr>
      </w:pPr>
      <w:r>
        <w:rPr>
          <w:rFonts w:hint="eastAsia" w:ascii="宋体" w:hAnsi="宋体" w:eastAsia="宋体" w:cs="宋体"/>
          <w:b/>
          <w:sz w:val="32"/>
          <w:szCs w:val="32"/>
        </w:rPr>
        <w:t xml:space="preserve">中小微企业声明函（服务类项目）</w:t>
      </w:r>
      <w:r/>
    </w:p>
    <w:p>
      <w:pPr>
        <w:ind w:left="0" w:firstLine="480"/>
        <w:jc w:val="left"/>
        <w:keepLines w:val="0"/>
        <w:keepNext w:val="0"/>
        <w:pageBreakBefore w:val="0"/>
        <w:spacing w:before="100" w:beforeAutospacing="0" w:after="10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单位的</w:t>
      </w:r>
      <w:r>
        <w:rPr>
          <w:rFonts w:hint="eastAsia" w:ascii="宋体" w:hAnsi="宋体" w:eastAsia="宋体" w:cs="宋体"/>
          <w:sz w:val="24"/>
          <w:szCs w:val="24"/>
          <w:u w:val="single"/>
          <w:lang w:val="en-US" w:eastAsia="zh-CN"/>
        </w:rPr>
        <w:t xml:space="preserve">             </w:t>
      </w:r>
      <w:r>
        <w:rPr>
          <w:rFonts w:hint="eastAsia" w:ascii="宋体" w:hAnsi="宋体" w:eastAsia="宋体" w:cs="宋体"/>
          <w:spacing w:val="6"/>
          <w:sz w:val="24"/>
          <w:szCs w:val="24"/>
        </w:rPr>
        <w:t xml:space="preserve">项目</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left="0" w:firstLine="480"/>
        <w:jc w:val="left"/>
        <w:keepLines w:val="0"/>
        <w:keepNext w:val="0"/>
        <w:pageBreakBefore w:val="0"/>
        <w:spacing w:before="100" w:beforeAutospacing="0" w:after="100" w:afterAutospacing="0" w:line="4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软件和信息技术服务</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sz w:val="24"/>
          <w:szCs w:val="24"/>
          <w:u w:val="single"/>
          <w:lang w:eastAsia="zh-CN"/>
        </w:rPr>
        <w:t xml:space="preserve">□</w:t>
      </w:r>
      <w:r>
        <w:rPr>
          <w:rFonts w:hint="eastAsia" w:ascii="宋体" w:hAnsi="宋体" w:eastAsia="宋体" w:cs="宋体"/>
          <w:b/>
          <w:sz w:val="24"/>
          <w:szCs w:val="24"/>
          <w:u w:val="single"/>
        </w:rPr>
        <w:t xml:space="preserve">中型企业、</w:t>
      </w:r>
      <w:r>
        <w:rPr>
          <w:rFonts w:hint="eastAsia" w:ascii="宋体" w:hAnsi="宋体"/>
          <w:sz w:val="24"/>
          <w:szCs w:val="24"/>
          <w:u w:val="single"/>
        </w:rPr>
        <w:t xml:space="preserve">□</w:t>
      </w:r>
      <w:r>
        <w:rPr>
          <w:rFonts w:hint="eastAsia" w:ascii="宋体" w:hAnsi="宋体" w:eastAsia="宋体" w:cs="宋体"/>
          <w:b/>
          <w:sz w:val="24"/>
          <w:szCs w:val="24"/>
          <w:u w:val="single"/>
        </w:rPr>
        <w:t xml:space="preserve">小型企业、</w:t>
      </w:r>
      <w:r>
        <w:rPr>
          <w:rFonts w:hint="eastAsia" w:ascii="宋体" w:hAnsi="宋体"/>
          <w:sz w:val="24"/>
          <w:szCs w:val="24"/>
          <w:u w:val="single"/>
        </w:rPr>
        <w:t xml:space="preserve">□</w:t>
      </w:r>
      <w:r>
        <w:rPr>
          <w:rFonts w:hint="eastAsia" w:ascii="宋体" w:hAnsi="宋体" w:eastAsia="宋体" w:cs="宋体"/>
          <w:b/>
          <w:sz w:val="24"/>
          <w:szCs w:val="24"/>
          <w:u w:val="single"/>
        </w:rPr>
        <w:t xml:space="preserve">微型企业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left="0" w:firstLine="480"/>
        <w:jc w:val="left"/>
        <w:keepLines w:val="0"/>
        <w:keepNext w:val="0"/>
        <w:pageBreakBefore w:val="0"/>
        <w:spacing w:before="100" w:beforeAutospacing="0" w:after="10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以上企业，不属于大企业的分值机构，不存在控股股东为大企业的情况，也不存在与大企业的负责人为同一人的情况。</w:t>
      </w:r>
      <w:r/>
    </w:p>
    <w:p>
      <w:pPr>
        <w:ind w:left="0" w:firstLine="480"/>
        <w:jc w:val="left"/>
        <w:keepLines w:val="0"/>
        <w:keepNext w:val="0"/>
        <w:pageBreakBefore w:val="0"/>
        <w:spacing w:before="100" w:beforeAutospacing="0" w:after="100" w:afterAutospacing="0" w:line="460" w:lineRule="exact"/>
        <w:rPr>
          <w:rFonts w:hint="eastAsia" w:ascii="仿宋" w:hAnsi="仿宋" w:eastAsia="仿宋" w:cs="仿宋"/>
          <w:sz w:val="24"/>
          <w:szCs w:val="24"/>
        </w:rPr>
      </w:pPr>
      <w:r>
        <w:rPr>
          <w:rFonts w:hint="eastAsia" w:ascii="宋体" w:hAnsi="宋体" w:eastAsia="宋体" w:cs="宋体"/>
          <w:sz w:val="24"/>
          <w:szCs w:val="24"/>
        </w:rPr>
        <w:t xml:space="preserve">本企业对上述声明内容的真实性负责。如有虚假，将依法承担相应责任。</w:t>
      </w:r>
      <w:r/>
    </w:p>
    <w:p>
      <w:pPr>
        <w:ind w:left="0" w:firstLine="0"/>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 </w:t>
      </w:r>
      <w:r>
        <w:rPr>
          <w:rFonts w:hint="eastAsia" w:ascii="仿宋" w:hAnsi="仿宋" w:eastAsia="仿宋" w:cs="仿宋"/>
          <w:bCs/>
          <w:sz w:val="24"/>
          <w:szCs w:val="24"/>
          <w:lang w:val="en-US" w:eastAsia="zh-CN"/>
        </w:rPr>
        <w:t xml:space="preserve">       </w:t>
      </w:r>
      <w:r/>
    </w:p>
    <w:p>
      <w:pPr>
        <w:ind w:left="0" w:firstLine="0"/>
        <w:jc w:val="center"/>
        <w:spacing w:line="360" w:lineRule="auto"/>
        <w:rPr>
          <w:rFonts w:hint="eastAsia" w:ascii="宋体" w:hAnsi="宋体" w:eastAsia="宋体" w:cs="宋体"/>
          <w:bCs/>
          <w:sz w:val="24"/>
          <w:szCs w:val="24"/>
          <w:u w:val="single"/>
          <w:lang w:val="en-US" w:eastAsia="zh-CN"/>
        </w:rPr>
      </w:pPr>
      <w:r>
        <w:rPr>
          <w:rFonts w:hint="eastAsia" w:ascii="仿宋" w:hAnsi="仿宋" w:cs="仿宋"/>
          <w:bCs/>
          <w:sz w:val="24"/>
          <w:szCs w:val="24"/>
          <w:lang w:val="en-US" w:eastAsia="zh-CN"/>
        </w:rPr>
        <w:t xml:space="preserve">         </w:t>
      </w:r>
      <w:r>
        <w:rPr>
          <w:rFonts w:hint="eastAsia" w:ascii="宋体" w:hAnsi="宋体" w:eastAsia="宋体" w:cs="宋体"/>
          <w:bCs/>
          <w:sz w:val="24"/>
          <w:szCs w:val="24"/>
          <w:lang w:val="en-US" w:eastAsia="zh-CN"/>
        </w:rPr>
        <w:t xml:space="preserve"> 企业名称（加盖CA电子公章）</w:t>
      </w:r>
      <w:r>
        <w:rPr>
          <w:rFonts w:hint="eastAsia" w:ascii="宋体" w:hAnsi="宋体" w:eastAsia="宋体" w:cs="宋体"/>
          <w:bCs/>
          <w:sz w:val="24"/>
          <w:szCs w:val="24"/>
        </w:rPr>
        <w:t xml:space="preserve">：</w:t>
      </w:r>
      <w:r>
        <w:rPr>
          <w:rFonts w:hint="eastAsia" w:ascii="宋体" w:hAnsi="宋体" w:eastAsia="宋体" w:cs="宋体"/>
          <w:bCs/>
          <w:sz w:val="24"/>
          <w:szCs w:val="24"/>
          <w:u w:val="single"/>
          <w:lang w:val="en-US" w:eastAsia="zh-CN"/>
        </w:rPr>
        <w:t xml:space="preserve">      </w:t>
      </w:r>
      <w:r/>
    </w:p>
    <w:p>
      <w:pPr>
        <w:ind w:left="0" w:firstLine="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pStyle w:val="796"/>
        <w:ind w:left="0" w:firstLine="0"/>
        <w:keepLines w:val="0"/>
        <w:keepNext w:val="0"/>
        <w:pageBreakBefore w:val="0"/>
        <w:spacing w:line="500" w:lineRule="exact"/>
        <w:widowControl w:val="off"/>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796"/>
        <w:ind w:left="0" w:firstLine="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本项目采购属于</w:t>
      </w:r>
      <w:r>
        <w:rPr>
          <w:rFonts w:hint="eastAsia" w:ascii="宋体" w:hAnsi="宋体" w:eastAsia="宋体" w:cs="宋体"/>
          <w:color w:val="ff0000"/>
          <w:sz w:val="24"/>
          <w:szCs w:val="24"/>
          <w:u w:val="none"/>
          <w:lang w:val="en-US" w:eastAsia="zh-CN"/>
        </w:rPr>
        <w:t xml:space="preserve">：软件和信息技术服务</w:t>
      </w:r>
      <w:r>
        <w:rPr>
          <w:rFonts w:hint="eastAsia" w:ascii="宋体" w:hAnsi="宋体" w:eastAsia="宋体" w:cs="宋体"/>
          <w:b/>
          <w:bCs/>
          <w:color w:val="ff0000"/>
          <w:sz w:val="24"/>
          <w:szCs w:val="24"/>
        </w:rPr>
        <w:t xml:space="preserve">。</w:t>
      </w:r>
      <w:r/>
    </w:p>
    <w:p>
      <w:pPr>
        <w:pStyle w:val="824"/>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备注：1.从业人员、营业收入、资产总额填报上一年度数据，无上一年度数据的新成立企业可不填报。</w:t>
      </w:r>
      <w:r/>
    </w:p>
    <w:p>
      <w:pPr>
        <w:pStyle w:val="824"/>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24"/>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3.供应商应对照《工业和信息化部、国家统计局、国家发展和改革委员会、</w:t>
      </w:r>
      <w:r/>
    </w:p>
    <w:p>
      <w:pPr>
        <w:pStyle w:val="824"/>
        <w:ind w:left="0" w:firstLine="0"/>
        <w:jc w:val="both"/>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val="0"/>
          <w:bCs w:val="0"/>
          <w:sz w:val="24"/>
          <w:szCs w:val="24"/>
        </w:rPr>
        <w:t xml:space="preserve">财政部关于印发中小企业划型标准规定的通知》(工信部联企业〔2011〕300号)《国家统计局关于印发〈统计上大中小微型企业划分办法（2017）〉的通知》（国统字〔2017〕213号）的规定，自行勾选承接企业的企业规模类型。</w:t>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346" w:name="_Toc15389"/>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9</w:t>
      </w:r>
      <w:bookmarkEnd w:id="346"/>
      <w:r/>
      <w:r/>
    </w:p>
    <w:p>
      <w:pPr>
        <w:pStyle w:val="836"/>
        <w:ind w:left="0" w:right="266" w:firstLine="0"/>
        <w:jc w:val="center"/>
        <w:spacing w:line="588" w:lineRule="exact"/>
        <w:rPr>
          <w:rFonts w:hint="eastAsia" w:ascii="宋体" w:hAnsi="宋体" w:eastAsia="宋体" w:cs="宋体"/>
          <w:b/>
          <w:bCs/>
          <w:spacing w:val="6"/>
          <w:sz w:val="36"/>
          <w:szCs w:val="36"/>
        </w:rPr>
      </w:pPr>
      <w:r>
        <w:rPr>
          <w:rFonts w:hint="eastAsia" w:ascii="宋体" w:hAnsi="宋体" w:eastAsia="宋体" w:cs="宋体"/>
          <w:b/>
          <w:bCs/>
          <w:spacing w:val="6"/>
          <w:sz w:val="36"/>
          <w:szCs w:val="36"/>
          <w:lang w:eastAsia="zh-CN"/>
        </w:rPr>
        <w:t xml:space="preserve">残疾人福利性单位声明函</w:t>
      </w:r>
      <w:r/>
    </w:p>
    <w:p>
      <w:pPr>
        <w:pStyle w:val="836"/>
        <w:ind w:left="0" w:right="-92" w:firstLine="557"/>
        <w:keepLines w:val="0"/>
        <w:keepNext w:val="0"/>
        <w:pageBreakBefore w:val="0"/>
        <w:spacing w:before="100" w:after="100" w:line="50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pacing w:val="6"/>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pacing w:val="6"/>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36"/>
        <w:ind w:left="0" w:right="-92" w:firstLine="557"/>
        <w:keepLines w:val="0"/>
        <w:keepNext w:val="0"/>
        <w:pageBreakBefore w:val="0"/>
        <w:spacing w:before="100" w:after="100" w:line="50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本单位对上述声明的真实性负责。如有虚假，将依法承担相应责任。</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1.专门面向中小微型企业采购的项目，供应商为残疾人福利性单位并提供服务的必须提供此声明函，否则将不能通过资格审查。</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非专门面向中小微型企业采购的项目，供应商如不提供此声明函，价格将不做相应扣除。</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3.中标/成交供应商为残疾人福利性单位的，此声明函将随中标/成交结果同时公告，接受社会监督）</w:t>
      </w:r>
      <w:r/>
    </w:p>
    <w:p>
      <w:pPr>
        <w:ind w:left="0" w:right="-92" w:firstLine="481"/>
        <w:jc w:val="center"/>
        <w:keepLines w:val="0"/>
        <w:pageBreakBefore w:val="0"/>
        <w:spacing w:line="400" w:lineRule="exact"/>
        <w:widowControl w:val="off"/>
        <w:tabs>
          <w:tab w:val="left" w:pos="4860" w:leader="none"/>
        </w:tabs>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z w:val="24"/>
          <w:szCs w:val="24"/>
        </w:rPr>
        <w:t xml:space="preserve">     </w:t>
      </w:r>
      <w:r/>
    </w:p>
    <w:p>
      <w:pPr>
        <w:ind w:left="0" w:right="-92" w:firstLine="534"/>
        <w:jc w:val="both"/>
        <w:keepLines w:val="0"/>
        <w:pageBreakBefore w:val="0"/>
        <w:spacing w:line="400" w:lineRule="exact"/>
        <w:widowControl w:val="off"/>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供应商全称（加盖CA电子公章）：</w:t>
      </w:r>
      <w:r/>
    </w:p>
    <w:p>
      <w:pPr>
        <w:ind w:left="0" w:right="-92" w:firstLine="534"/>
        <w:jc w:val="both"/>
        <w:keepLines w:val="0"/>
        <w:keepNext/>
        <w:pageBreakBefore w:val="0"/>
        <w:spacing w:line="400" w:lineRule="exact"/>
        <w:widowControl w:val="off"/>
        <w:rPr>
          <w:rFonts w:hint="eastAsia" w:ascii="宋体" w:hAnsi="宋体" w:eastAsia="宋体" w:cs="宋体"/>
          <w:b/>
          <w:color w:val="000000" w:themeColor="text1"/>
          <w:sz w:val="28"/>
          <w:szCs w:val="28"/>
          <w:lang w:val="en-US" w:eastAsia="zh-CN"/>
          <w14:textFill>
            <w14:solidFill>
              <w14:schemeClr w14:val="tx1"/>
            </w14:solidFill>
          </w14:textFill>
        </w:rPr>
        <w:outlineLvl w:val="0"/>
      </w:pPr>
      <w:r/>
      <w:bookmarkStart w:id="347" w:name="_Toc12153"/>
      <w:r>
        <w:rPr>
          <w:rFonts w:hint="eastAsia" w:ascii="宋体" w:hAnsi="宋体" w:eastAsia="宋体" w:cs="宋体"/>
          <w:sz w:val="28"/>
          <w:szCs w:val="28"/>
        </w:rPr>
        <w:t xml:space="preserve">日  期：</w:t>
      </w:r>
      <w:bookmarkEnd w:id="337"/>
      <w:r/>
      <w:bookmarkEnd w:id="342"/>
      <w:r/>
      <w:bookmarkEnd w:id="343"/>
      <w:r/>
      <w:bookmarkEnd w:id="344"/>
      <w:r/>
      <w:bookmarkEnd w:id="347"/>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jc w:val="both"/>
        <w:keepLines w:val="0"/>
        <w:keepNext/>
        <w:pageBreakBefore/>
        <w:spacing w:line="400" w:lineRule="exact"/>
        <w:widowControl w:val="off"/>
        <w:rPr>
          <w:rFonts w:hint="default" w:ascii="宋体" w:hAnsi="宋体" w:eastAsia="宋体" w:cs="宋体"/>
          <w:b/>
          <w:color w:val="000000" w:themeColor="text1"/>
          <w:sz w:val="32"/>
          <w:szCs w:val="32"/>
          <w:lang w:val="en-US" w:eastAsia="zh-CN"/>
          <w14:textFill>
            <w14:solidFill>
              <w14:schemeClr w14:val="tx1"/>
            </w14:solidFill>
          </w14:textFill>
        </w:rPr>
        <w:outlineLvl w:val="0"/>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10</w:t>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jc w:val="center"/>
        <w:keepLines w:val="0"/>
        <w:spacing w:line="400" w:lineRule="exact"/>
        <w:widowControl/>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val="en-US" w:eastAsia="zh-CN"/>
          <w14:textFill>
            <w14:solidFill>
              <w14:schemeClr w14:val="tx1"/>
            </w14:solidFill>
          </w14:textFill>
        </w:rPr>
        <w:t xml:space="preserve">投标人类似业绩一览表（如有）</w:t>
      </w:r>
      <w:r/>
    </w:p>
    <w:p>
      <w:pPr>
        <w:ind w:left="0" w:firstLine="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项目名称：</w:t>
      </w:r>
      <w:r/>
    </w:p>
    <w:p>
      <w:pPr>
        <w:ind w:left="0" w:firstLine="0"/>
        <w:jc w:val="left"/>
        <w:keepLines w:val="0"/>
        <w:keepNext w:val="0"/>
        <w:pageBreakBefore w:val="0"/>
        <w:spacing w:beforeAutospacing="0" w:afterAutospacing="0" w:line="360" w:lineRule="auto"/>
        <w:widowControl/>
        <w:rPr>
          <w:rFonts w:hint="eastAsia" w:ascii="宋体" w:hAnsi="宋体" w:eastAsia="宋体" w:cs="宋体"/>
          <w:sz w:val="24"/>
          <w:u w:val="single"/>
          <w:lang w:val="en-US"/>
        </w:rPr>
      </w:pPr>
      <w:r>
        <w:rPr>
          <w:rFonts w:hint="eastAsia" w:ascii="宋体" w:hAnsi="宋体" w:eastAsia="宋体" w:cs="宋体"/>
          <w:sz w:val="24"/>
        </w:rPr>
        <w:t xml:space="preserve">项目编号：</w:t>
      </w:r>
      <w:r/>
    </w:p>
    <w:p>
      <w:pPr>
        <w:pStyle w:val="794"/>
        <w:rPr>
          <w:rFonts w:hint="eastAsia" w:ascii="宋体" w:hAnsi="宋体" w:eastAsia="宋体" w:cs="宋体"/>
        </w:rPr>
      </w:pPr>
      <w:r>
        <w:rPr>
          <w:rFonts w:hint="eastAsia" w:ascii="宋体" w:hAnsi="宋体" w:eastAsia="宋体" w:cs="宋体"/>
        </w:rPr>
      </w:r>
      <w:r/>
    </w:p>
    <w:tbl>
      <w:tblPr>
        <w:tblStyle w:val="819"/>
        <w:tblW w:w="6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871"/>
        <w:gridCol w:w="1329"/>
        <w:gridCol w:w="1870"/>
        <w:gridCol w:w="1136"/>
      </w:tblGrid>
      <w:tr>
        <w:trPr>
          <w:jc w:val="center"/>
          <w:trHeight w:val="0"/>
          <w:tblHeader/>
        </w:trPr>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合同签订时间</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项目名称</w:t>
            </w:r>
            <w:r/>
          </w:p>
        </w:tc>
        <w:tc>
          <w:tcPr>
            <w:tcW w:w="1870" w:type="dxa"/>
            <w:vAlign w:val="center"/>
            <w:textDirection w:val="lrTb"/>
            <w:noWrap w:val="false"/>
          </w:tcPr>
          <w:p>
            <w:pPr>
              <w:ind w:left="0" w:right="0" w:firstLine="0"/>
              <w:jc w:val="center"/>
              <w:spacing w:after="0" w:line="24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服务内容</w:t>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78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tcW w:w="1871"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29"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817"/>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注：1.此表仅提供了表格样式，各</w:t>
      </w: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可参照上述格式自制表格，但应至少包含上述表格内条目。</w:t>
      </w:r>
      <w:r/>
    </w:p>
    <w:p>
      <w:pPr>
        <w:numPr>
          <w:ilvl w:val="0"/>
          <w:numId w:val="14"/>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应如实填写</w:t>
      </w:r>
      <w:r>
        <w:rPr>
          <w:rFonts w:hint="eastAsia" w:ascii="宋体" w:hAnsi="宋体" w:eastAsia="宋体" w:cs="宋体"/>
          <w:sz w:val="24"/>
          <w:lang w:eastAsia="zh-CN"/>
        </w:rPr>
        <w:t xml:space="preserve">业绩信息</w:t>
      </w:r>
      <w:r>
        <w:rPr>
          <w:rFonts w:hint="eastAsia" w:ascii="宋体" w:hAnsi="宋体" w:eastAsia="宋体" w:cs="宋体"/>
          <w:sz w:val="24"/>
        </w:rPr>
        <w:t xml:space="preserve">，并附相关证明材料</w:t>
      </w:r>
      <w:r>
        <w:rPr>
          <w:rFonts w:hint="eastAsia" w:ascii="宋体" w:hAnsi="宋体" w:eastAsia="宋体" w:cs="宋体"/>
          <w:sz w:val="24"/>
          <w:lang w:val="en-US" w:eastAsia="zh-CN"/>
        </w:rPr>
        <w:t xml:space="preserve">原件扫描件</w:t>
      </w:r>
      <w:r>
        <w:rPr>
          <w:rFonts w:hint="eastAsia" w:ascii="宋体" w:hAnsi="宋体" w:eastAsia="宋体" w:cs="宋体"/>
          <w:sz w:val="24"/>
        </w:rPr>
        <w:t xml:space="preserve">。</w:t>
      </w:r>
      <w:r/>
    </w:p>
    <w:p>
      <w:pPr>
        <w:numPr>
          <w:ilvl w:val="0"/>
          <w:numId w:val="14"/>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后附业绩请按上面序号排放。</w:t>
      </w:r>
      <w:r/>
    </w:p>
    <w:p>
      <w:pPr>
        <w:pStyle w:val="818"/>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18"/>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300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全称（加盖CA电子公章）：</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                </w:t>
      </w:r>
      <w:r/>
    </w:p>
    <w:p>
      <w:pPr>
        <w:ind w:firstLine="3120"/>
        <w:spacing w:line="360" w:lineRule="auto"/>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sz w:val="24"/>
        </w:rPr>
        <w:t xml:space="preserve">日期：   年  月  日</w:t>
      </w:r>
      <w:r/>
    </w:p>
    <w:p>
      <w:pPr>
        <w:ind w:left="0" w:firstLine="0"/>
        <w:rPr>
          <w:rFonts w:hint="eastAsia" w:ascii="仿宋" w:hAnsi="仿宋" w:eastAsia="仿宋" w:cs="仿宋"/>
        </w:rPr>
      </w:pPr>
      <w:r>
        <w:rPr>
          <w:rFonts w:hint="eastAsia" w:ascii="仿宋" w:hAnsi="仿宋" w:eastAsia="仿宋" w:cs="仿宋"/>
        </w:rPr>
      </w:r>
      <w:r/>
    </w:p>
    <w:p>
      <w:pPr>
        <w:pStyle w:val="836"/>
        <w:ind w:left="0" w:firstLine="0"/>
        <w:jc w:val="center"/>
        <w:keepLines w:val="0"/>
        <w:keepNext/>
        <w:pageBreakBefore/>
        <w:widowControl/>
        <w:rPr>
          <w:rFonts w:hint="eastAsia" w:ascii="仿宋" w:hAnsi="仿宋" w:eastAsia="仿宋" w:cs="仿宋"/>
          <w:b/>
          <w:bCs/>
          <w:sz w:val="32"/>
          <w:szCs w:val="32"/>
          <w:lang w:val="en-US" w:eastAsia="zh-CN"/>
        </w:rPr>
        <w:outlineLvl w:val="0"/>
      </w:pPr>
      <w:r/>
      <w:bookmarkStart w:id="348" w:name="_Toc25562"/>
      <w:r/>
      <w:bookmarkStart w:id="349" w:name="_Toc12488"/>
      <w:r/>
      <w:bookmarkStart w:id="350" w:name="_Toc24869"/>
      <w:r/>
      <w:bookmarkStart w:id="351" w:name="_Toc1056"/>
      <w:r>
        <w:rPr>
          <w:rFonts w:hint="eastAsia" w:ascii="仿宋" w:hAnsi="仿宋" w:eastAsia="仿宋" w:cs="仿宋"/>
          <w:b/>
          <w:bCs/>
          <w:sz w:val="32"/>
          <w:szCs w:val="32"/>
          <w:lang w:val="en-US" w:eastAsia="zh-CN"/>
        </w:rPr>
        <w:t xml:space="preserve">第七章 质疑函范本</w:t>
      </w:r>
      <w:bookmarkEnd w:id="348"/>
      <w:r/>
      <w:bookmarkEnd w:id="349"/>
      <w:r/>
      <w:bookmarkEnd w:id="350"/>
      <w:r/>
      <w:bookmarkEnd w:id="351"/>
      <w:r/>
      <w:r/>
    </w:p>
    <w:p>
      <w:pPr>
        <w:ind w:left="0" w:firstLine="0"/>
        <w:keepLines w:val="0"/>
        <w:keepNext w:val="0"/>
        <w:pageBreakBefore w:val="0"/>
        <w:spacing w:before="287" w:line="500" w:lineRule="exact"/>
        <w:widowControl w:val="off"/>
        <w:rPr>
          <w:rFonts w:hint="eastAsia" w:ascii="仿宋" w:hAnsi="仿宋" w:eastAsia="仿宋" w:cs="仿宋"/>
          <w:bCs/>
          <w:sz w:val="24"/>
          <w:szCs w:val="24"/>
        </w:rPr>
        <w:outlineLvl w:val="0"/>
      </w:pPr>
      <w:r/>
      <w:bookmarkStart w:id="352" w:name="_Toc9492"/>
      <w:r/>
      <w:bookmarkStart w:id="353" w:name="_Toc7846"/>
      <w:r>
        <w:rPr>
          <w:rFonts w:hint="eastAsia" w:ascii="仿宋" w:hAnsi="仿宋" w:eastAsia="仿宋" w:cs="仿宋"/>
          <w:bCs/>
          <w:sz w:val="24"/>
          <w:szCs w:val="24"/>
        </w:rPr>
        <w:t xml:space="preserve">一、质疑供应商基本信息</w:t>
      </w:r>
      <w:bookmarkEnd w:id="352"/>
      <w:r/>
      <w:bookmarkEnd w:id="353"/>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54" w:name="_Toc5078"/>
      <w:r/>
      <w:bookmarkStart w:id="355" w:name="_Toc12382"/>
      <w:r>
        <w:rPr>
          <w:rFonts w:hint="eastAsia" w:ascii="仿宋" w:hAnsi="仿宋" w:eastAsia="仿宋" w:cs="仿宋"/>
          <w:bCs/>
          <w:sz w:val="24"/>
          <w:szCs w:val="24"/>
        </w:rPr>
        <w:t xml:space="preserve">二、质疑项目基本情况</w:t>
      </w:r>
      <w:bookmarkEnd w:id="354"/>
      <w:r/>
      <w:bookmarkEnd w:id="355"/>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56" w:name="_Toc1721"/>
      <w:r/>
      <w:bookmarkStart w:id="357" w:name="_Toc684"/>
      <w:r>
        <w:rPr>
          <w:rFonts w:hint="eastAsia" w:ascii="仿宋" w:hAnsi="仿宋" w:eastAsia="仿宋" w:cs="仿宋"/>
          <w:bCs/>
          <w:sz w:val="24"/>
          <w:szCs w:val="24"/>
        </w:rPr>
        <w:t xml:space="preserve">三、质疑事项具体内容</w:t>
      </w:r>
      <w:bookmarkEnd w:id="356"/>
      <w:r/>
      <w:bookmarkEnd w:id="357"/>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58" w:name="_Toc21583"/>
      <w:r/>
      <w:bookmarkStart w:id="359" w:name="_Toc19849"/>
      <w:r>
        <w:rPr>
          <w:rFonts w:hint="eastAsia" w:ascii="仿宋" w:hAnsi="仿宋" w:eastAsia="仿宋" w:cs="仿宋"/>
          <w:bCs/>
          <w:sz w:val="24"/>
          <w:szCs w:val="24"/>
        </w:rPr>
        <w:t xml:space="preserve">四、与质疑事项相关的质疑请求</w:t>
      </w:r>
      <w:bookmarkEnd w:id="358"/>
      <w:r/>
      <w:bookmarkEnd w:id="359"/>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日期：    </w:t>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r>
      <w:r/>
    </w:p>
    <w:p>
      <w:pPr>
        <w:ind w:left="0" w:firstLine="0"/>
        <w:rPr>
          <w:rFonts w:hint="eastAsia" w:ascii="仿宋" w:hAnsi="仿宋" w:eastAsia="仿宋" w:cs="仿宋"/>
          <w:b/>
          <w:sz w:val="24"/>
          <w:szCs w:val="24"/>
        </w:rPr>
      </w:pPr>
      <w:r>
        <w:rPr>
          <w:rFonts w:hint="eastAsia" w:ascii="仿宋" w:hAnsi="仿宋" w:eastAsia="仿宋" w:cs="仿宋"/>
          <w:b/>
          <w:sz w:val="24"/>
          <w:szCs w:val="24"/>
        </w:rPr>
      </w:r>
      <w:r/>
    </w:p>
    <w:p>
      <w:pPr>
        <w:pStyle w:val="796"/>
        <w:ind w:left="0" w:firstLine="0"/>
        <w:rPr>
          <w:rFonts w:hint="eastAsia" w:ascii="仿宋" w:hAnsi="仿宋" w:eastAsia="仿宋" w:cs="仿宋"/>
        </w:rPr>
      </w:pPr>
      <w:r>
        <w:rPr>
          <w:rFonts w:hint="eastAsia" w:ascii="仿宋" w:hAnsi="仿宋" w:eastAsia="仿宋" w:cs="仿宋"/>
        </w:rPr>
      </w:r>
      <w:r/>
    </w:p>
    <w:p>
      <w:pPr>
        <w:rPr>
          <w:rFonts w:hint="eastAsia"/>
        </w:rPr>
      </w:pPr>
      <w:r>
        <w:rPr>
          <w:rFonts w:hint="eastAsia"/>
        </w:rPr>
      </w:r>
      <w:r/>
    </w:p>
    <w:p>
      <w:pPr>
        <w:ind w:left="0" w:firstLine="0"/>
        <w:keepLines w:val="0"/>
        <w:keepNext w:val="0"/>
        <w:pageBreakBefore w:val="0"/>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7.按该表格填写，一式两份，并将该函和相关证据盖公章在规定的时间内分别送达采购人和采购代理机构。</w:t>
      </w:r>
      <w:r/>
    </w:p>
    <w:p>
      <w:pPr>
        <w:jc w:val="both"/>
        <w:keepLines w:val="0"/>
        <w:keepNext w:val="0"/>
        <w:pageBreakBefore w:val="0"/>
        <w:spacing w:after="287"/>
        <w:widowControl w:val="off"/>
        <w:rPr>
          <w:rFonts w:hint="default" w:ascii="楷体" w:hAnsi="楷体" w:eastAsia="楷体"/>
          <w:b/>
          <w:bCs/>
          <w:sz w:val="36"/>
          <w:lang w:val="en-US" w:eastAsia="zh-CN"/>
        </w:rPr>
      </w:pPr>
      <w:r>
        <w:rPr>
          <w:rFonts w:hint="default" w:ascii="楷体" w:hAnsi="楷体" w:eastAsia="楷体"/>
          <w:b/>
          <w:bCs/>
          <w:sz w:val="36"/>
          <w:lang w:val="en-US" w:eastAsia="zh-CN"/>
        </w:rPr>
      </w:r>
      <w:r/>
    </w:p>
    <w:sectPr>
      <w:headerReference w:type="first" r:id="rId11"/>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K">
    <w:panose1 w:val="020B0503020202020204"/>
  </w:font>
  <w:font w:name="方正小标宋_GBK">
    <w:panose1 w:val="020B0503020202020204"/>
  </w:font>
  <w:font w:name="方正小标宋简体">
    <w:panose1 w:val="020B0503020202020204"/>
  </w:font>
  <w:font w:name="楷体">
    <w:panose1 w:val="02010609060101010101"/>
  </w:font>
  <w:font w:name="Symbol">
    <w:panose1 w:val="05050102010706020507"/>
  </w:font>
  <w:font w:name="方正仿宋_GB2312">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Century Schoolbook">
    <w:panose1 w:val="02040604050505020304"/>
  </w:font>
  <w:font w:name="华文楷体">
    <w:panose1 w:val="02010600040101010101"/>
  </w:font>
  <w:font w:name="Wingdings">
    <w:panose1 w:val="05000000000000000000"/>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top w:val="single" w:color="auto" w:sz="4"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pPr>
    <w:r>
      <mc:AlternateContent>
        <mc:Choice Requires="wpg">
          <w:drawing>
            <wp:inline xmlns:wp="http://schemas.openxmlformats.org/drawingml/2006/wordprocessingDrawing" distT="0" distB="0" distL="0" distR="0">
              <wp:extent cx="790575" cy="23812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
                      <a:stretch/>
                    </pic:blipFill>
                    <pic:spPr bwMode="auto">
                      <a:xfrm>
                        <a:off x="0" y="0"/>
                        <a:ext cx="790575"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2pt;height:18.8pt;mso-wrap-distance-left:0.0pt;mso-wrap-distance-top:0.0pt;mso-wrap-distance-right:0.0pt;mso-wrap-distance-bottom:0.0pt;" stroked="false">
              <v:path textboxrect="0,0,0,0"/>
              <v:imagedata r:id="rId1" o:title=""/>
            </v:shape>
          </w:pict>
        </mc:Fallback>
      </mc:AlternateContent>
    </w:r>
    <w:r>
      <w:t xml:space="preserve">                                      </w:t>
    </w:r>
    <w:r>
      <w:fldChar w:fldCharType="begin"/>
    </w:r>
    <w:r>
      <w:instrText xml:space="preserve">PAGE \* MERGEFORMAT</w:instrText>
    </w:r>
    <w:r>
      <w:fldChar w:fldCharType="separate"/>
    </w:r>
    <w: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pPr>
    <w:r>
      <mc:AlternateContent>
        <mc:Choice Requires="wpg">
          <w:drawing>
            <wp:inline xmlns:wp="http://schemas.openxmlformats.org/drawingml/2006/wordprocessingDrawing" distT="0" distB="0" distL="0" distR="0">
              <wp:extent cx="790575" cy="2381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790575"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2.2pt;height:18.8pt;mso-wrap-distance-left:0.0pt;mso-wrap-distance-top:0.0pt;mso-wrap-distance-right:0.0pt;mso-wrap-distance-bottom:0.0pt;" stroked="false">
              <v:path textboxrect="0,0,0,0"/>
              <v:imagedata r:id="rId1" o:title=""/>
            </v:shape>
          </w:pict>
        </mc:Fallback>
      </mc:AlternateContent>
    </w:r>
    <w:r>
      <w:t xml:space="preserve">                                      </w:t>
    </w: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left="0" w:right="0" w:firstLine="0"/>
      <w:jc w:val="center"/>
      <w:pBdr>
        <w:bottom w:val="single" w:color="auto" w:sz="4" w:space="1"/>
      </w:pBdr>
    </w:pP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left="0" w:firstLine="0"/>
      <w:jc w:val="center"/>
      <w:pBdr>
        <w:bottom w:val="single" w:color="auto" w:sz="4" w:space="1"/>
      </w:pBdr>
    </w:pP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2"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12"/>
  </w:num>
  <w:num w:numId="4">
    <w:abstractNumId w:val="7"/>
  </w:num>
  <w:num w:numId="5">
    <w:abstractNumId w:val="0"/>
  </w:num>
  <w:num w:numId="6">
    <w:abstractNumId w:val="3"/>
  </w:num>
  <w:num w:numId="7">
    <w:abstractNumId w:val="9"/>
  </w:num>
  <w:num w:numId="8">
    <w:abstractNumId w:val="11"/>
  </w:num>
  <w:num w:numId="9">
    <w:abstractNumId w:val="1"/>
  </w:num>
  <w:num w:numId="10">
    <w:abstractNumId w:val="10"/>
  </w:num>
  <w:num w:numId="11">
    <w:abstractNumId w:val="5"/>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013"/>
    <w:uiPriority w:val="0"/>
    <w:qFormat/>
    <w:pPr>
      <w:ind w:firstLine="2232"/>
      <w:jc w:val="left"/>
      <w:spacing w:line="500" w:lineRule="exact"/>
      <w:widowControl w:val="off"/>
    </w:pPr>
    <w:rPr>
      <w:rFonts w:hint="default" w:ascii="Times New Roman" w:hAnsi="Times New Roman" w:eastAsia="仿宋" w:cs="Times New Roman"/>
      <w:sz w:val="28"/>
      <w:szCs w:val="24"/>
      <w:lang w:val="en-US" w:eastAsia="zh-CN" w:bidi="ar-SA"/>
    </w:rPr>
  </w:style>
  <w:style w:type="paragraph" w:styleId="779">
    <w:name w:val="Heading 1"/>
    <w:basedOn w:val="778"/>
    <w:next w:val="778"/>
    <w:link w:val="1009"/>
    <w:uiPriority w:val="9"/>
    <w:qFormat/>
    <w:pPr>
      <w:jc w:val="center"/>
      <w:keepLines/>
      <w:keepNext/>
      <w:spacing w:before="480" w:after="200"/>
      <w:outlineLvl w:val="0"/>
    </w:pPr>
    <w:rPr>
      <w:rFonts w:ascii="Arial" w:hAnsi="Arial" w:cs="Arial"/>
      <w:b/>
      <w:sz w:val="32"/>
      <w:szCs w:val="40"/>
    </w:rPr>
  </w:style>
  <w:style w:type="paragraph" w:styleId="780">
    <w:name w:val="Heading 2"/>
    <w:basedOn w:val="778"/>
    <w:next w:val="778"/>
    <w:uiPriority w:val="99"/>
    <w:qFormat/>
    <w:pPr>
      <w:ind w:firstLine="2234"/>
      <w:jc w:val="center"/>
      <w:keepLines/>
      <w:keepNext/>
      <w:spacing w:before="200" w:after="160" w:line="300" w:lineRule="exact"/>
      <w:outlineLvl w:val="1"/>
    </w:pPr>
    <w:rPr>
      <w:rFonts w:ascii="Arial" w:hAnsi="Arial" w:eastAsiaTheme="majorEastAsia"/>
      <w:b/>
      <w:sz w:val="44"/>
      <w:szCs w:val="20"/>
    </w:rPr>
  </w:style>
  <w:style w:type="paragraph" w:styleId="781">
    <w:name w:val="Heading 3"/>
    <w:basedOn w:val="778"/>
    <w:next w:val="790"/>
    <w:link w:val="845"/>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83">
    <w:name w:val="Heading 5"/>
    <w:basedOn w:val="778"/>
    <w:next w:val="778"/>
    <w:link w:val="847"/>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48"/>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50"/>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51"/>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0"/>
    <w:semiHidden/>
    <w:qFormat/>
  </w:style>
  <w:style w:type="table" w:styleId="789" w:default="1">
    <w:name w:val="Normal Table"/>
    <w:uiPriority w:val="0"/>
    <w:semiHidden/>
    <w:qFormat/>
    <w:tblPr>
      <w:tblCellMar>
        <w:left w:w="108" w:type="dxa"/>
        <w:top w:w="0" w:type="dxa"/>
        <w:right w:w="108" w:type="dxa"/>
        <w:bottom w:w="0" w:type="dxa"/>
      </w:tblCellMar>
    </w:tblPr>
  </w:style>
  <w:style w:type="paragraph" w:styleId="790">
    <w:name w:val="Normal Indent"/>
    <w:basedOn w:val="778"/>
    <w:uiPriority w:val="0"/>
    <w:qFormat/>
    <w:pPr>
      <w:ind w:firstLine="420"/>
    </w:pPr>
    <w:rPr>
      <w:szCs w:val="20"/>
    </w:rPr>
  </w:style>
  <w:style w:type="paragraph" w:styleId="791">
    <w:name w:val="toc 7"/>
    <w:basedOn w:val="778"/>
    <w:next w:val="778"/>
    <w:uiPriority w:val="39"/>
    <w:unhideWhenUsed/>
    <w:qFormat/>
    <w:pPr>
      <w:ind w:left="1701" w:right="0" w:firstLine="0"/>
      <w:spacing w:after="57"/>
    </w:pPr>
  </w:style>
  <w:style w:type="paragraph" w:styleId="792">
    <w:name w:val="table of authorities"/>
    <w:basedOn w:val="778"/>
    <w:next w:val="778"/>
    <w:uiPriority w:val="99"/>
    <w:qFormat/>
    <w:pPr>
      <w:ind w:left="420"/>
    </w:pPr>
  </w:style>
  <w:style w:type="paragraph" w:styleId="793">
    <w:name w:val="Caption"/>
    <w:basedOn w:val="778"/>
    <w:next w:val="7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4">
    <w:name w:val="Body Text"/>
    <w:basedOn w:val="778"/>
    <w:uiPriority w:val="0"/>
    <w:qFormat/>
    <w:pPr>
      <w:spacing w:after="120"/>
    </w:pPr>
  </w:style>
  <w:style w:type="paragraph" w:styleId="795">
    <w:name w:val="Body Text Indent"/>
    <w:basedOn w:val="778"/>
    <w:uiPriority w:val="0"/>
    <w:qFormat/>
    <w:pPr>
      <w:ind w:firstLine="600"/>
    </w:pPr>
    <w:rPr>
      <w:rFonts w:eastAsia="仿宋_GB2312"/>
      <w:sz w:val="28"/>
    </w:rPr>
  </w:style>
  <w:style w:type="paragraph" w:styleId="796">
    <w:name w:val="Block Text"/>
    <w:basedOn w:val="778"/>
    <w:next w:val="778"/>
    <w:uiPriority w:val="99"/>
    <w:qFormat/>
    <w:pPr>
      <w:ind w:left="256" w:right="6" w:firstLine="624"/>
    </w:pPr>
    <w:rPr>
      <w:rFonts w:eastAsia="仿宋_GB2312"/>
      <w:sz w:val="28"/>
      <w:szCs w:val="20"/>
    </w:rPr>
  </w:style>
  <w:style w:type="paragraph" w:styleId="797">
    <w:name w:val="toc 5"/>
    <w:basedOn w:val="778"/>
    <w:next w:val="778"/>
    <w:uiPriority w:val="39"/>
    <w:unhideWhenUsed/>
    <w:qFormat/>
    <w:pPr>
      <w:ind w:left="1134" w:right="0" w:firstLine="0"/>
      <w:spacing w:after="57"/>
    </w:pPr>
  </w:style>
  <w:style w:type="paragraph" w:styleId="798">
    <w:name w:val="toc 3"/>
    <w:basedOn w:val="778"/>
    <w:next w:val="778"/>
    <w:uiPriority w:val="39"/>
    <w:unhideWhenUsed/>
    <w:qFormat/>
    <w:pPr>
      <w:ind w:left="567" w:right="0" w:firstLine="0"/>
      <w:spacing w:after="57"/>
    </w:pPr>
  </w:style>
  <w:style w:type="paragraph" w:styleId="799">
    <w:name w:val="Plain Text"/>
    <w:basedOn w:val="778"/>
    <w:next w:val="790"/>
    <w:uiPriority w:val="0"/>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800">
    <w:name w:val="toc 8"/>
    <w:basedOn w:val="778"/>
    <w:next w:val="778"/>
    <w:uiPriority w:val="39"/>
    <w:unhideWhenUsed/>
    <w:qFormat/>
    <w:pPr>
      <w:ind w:left="1984" w:right="0" w:firstLine="0"/>
      <w:spacing w:after="57"/>
    </w:pPr>
  </w:style>
  <w:style w:type="paragraph" w:styleId="801">
    <w:name w:val="Body Text Indent 2"/>
    <w:basedOn w:val="778"/>
    <w:uiPriority w:val="0"/>
    <w:qFormat/>
    <w:pPr>
      <w:ind w:firstLine="412"/>
      <w:spacing w:line="400" w:lineRule="exact"/>
    </w:pPr>
    <w:rPr>
      <w:rFonts w:ascii="仿宋_GB2312" w:eastAsia="仿宋_GB2312"/>
      <w:sz w:val="24"/>
    </w:rPr>
  </w:style>
  <w:style w:type="paragraph" w:styleId="802">
    <w:name w:val="endnote text"/>
    <w:basedOn w:val="778"/>
    <w:link w:val="989"/>
    <w:uiPriority w:val="99"/>
    <w:semiHidden/>
    <w:unhideWhenUsed/>
    <w:qFormat/>
    <w:pPr>
      <w:spacing w:after="0" w:line="240" w:lineRule="auto"/>
    </w:pPr>
    <w:rPr>
      <w:sz w:val="20"/>
    </w:rPr>
  </w:style>
  <w:style w:type="paragraph" w:styleId="803">
    <w:name w:val="Footer"/>
    <w:basedOn w:val="778"/>
    <w:uiPriority w:val="0"/>
    <w:qFormat/>
    <w:pPr>
      <w:jc w:val="left"/>
      <w:tabs>
        <w:tab w:val="center" w:pos="4153" w:leader="none"/>
        <w:tab w:val="right" w:pos="8306" w:leader="none"/>
      </w:tabs>
    </w:pPr>
    <w:rPr>
      <w:sz w:val="18"/>
    </w:rPr>
  </w:style>
  <w:style w:type="paragraph" w:styleId="804">
    <w:name w:val="envelope return"/>
    <w:basedOn w:val="778"/>
    <w:uiPriority w:val="0"/>
    <w:qFormat/>
    <w:rPr>
      <w:rFonts w:ascii="Arial" w:hAnsi="Arial"/>
    </w:rPr>
  </w:style>
  <w:style w:type="paragraph" w:styleId="805">
    <w:name w:val="Header"/>
    <w:basedOn w:val="77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06">
    <w:name w:val="toc 1"/>
    <w:basedOn w:val="778"/>
    <w:next w:val="778"/>
    <w:uiPriority w:val="0"/>
    <w:qFormat/>
  </w:style>
  <w:style w:type="paragraph" w:styleId="807">
    <w:name w:val="toc 4"/>
    <w:basedOn w:val="778"/>
    <w:next w:val="778"/>
    <w:uiPriority w:val="39"/>
    <w:unhideWhenUsed/>
    <w:qFormat/>
    <w:pPr>
      <w:ind w:left="850" w:right="0" w:firstLine="0"/>
      <w:spacing w:after="57"/>
    </w:pPr>
  </w:style>
  <w:style w:type="paragraph" w:styleId="808">
    <w:name w:val="Subtitle"/>
    <w:basedOn w:val="778"/>
    <w:next w:val="778"/>
    <w:link w:val="855"/>
    <w:uiPriority w:val="11"/>
    <w:qFormat/>
    <w:pPr>
      <w:spacing w:before="200" w:after="200"/>
    </w:pPr>
    <w:rPr>
      <w:sz w:val="24"/>
      <w:szCs w:val="24"/>
    </w:rPr>
  </w:style>
  <w:style w:type="paragraph" w:styleId="809">
    <w:name w:val="footnote text"/>
    <w:basedOn w:val="778"/>
    <w:link w:val="988"/>
    <w:uiPriority w:val="99"/>
    <w:semiHidden/>
    <w:unhideWhenUsed/>
    <w:qFormat/>
    <w:pPr>
      <w:spacing w:after="40" w:line="240" w:lineRule="auto"/>
    </w:pPr>
    <w:rPr>
      <w:sz w:val="18"/>
    </w:rPr>
  </w:style>
  <w:style w:type="paragraph" w:styleId="810">
    <w:name w:val="toc 6"/>
    <w:basedOn w:val="778"/>
    <w:next w:val="778"/>
    <w:uiPriority w:val="39"/>
    <w:unhideWhenUsed/>
    <w:qFormat/>
    <w:pPr>
      <w:ind w:left="1417" w:right="0" w:firstLine="0"/>
      <w:spacing w:after="57"/>
    </w:pPr>
  </w:style>
  <w:style w:type="paragraph" w:styleId="811">
    <w:name w:val="table of figures"/>
    <w:basedOn w:val="778"/>
    <w:next w:val="778"/>
    <w:uiPriority w:val="99"/>
    <w:unhideWhenUsed/>
    <w:qFormat/>
    <w:pPr>
      <w:spacing w:after="0" w:afterAutospacing="0"/>
    </w:pPr>
  </w:style>
  <w:style w:type="paragraph" w:styleId="812">
    <w:name w:val="toc 2"/>
    <w:basedOn w:val="778"/>
    <w:next w:val="778"/>
    <w:uiPriority w:val="39"/>
    <w:unhideWhenUsed/>
    <w:qFormat/>
    <w:pPr>
      <w:ind w:left="283" w:right="0" w:firstLine="0"/>
      <w:spacing w:after="57"/>
    </w:pPr>
  </w:style>
  <w:style w:type="paragraph" w:styleId="813">
    <w:name w:val="toc 9"/>
    <w:basedOn w:val="778"/>
    <w:next w:val="778"/>
    <w:uiPriority w:val="39"/>
    <w:unhideWhenUsed/>
    <w:qFormat/>
    <w:pPr>
      <w:ind w:left="2268" w:right="0" w:firstLine="0"/>
      <w:spacing w:after="57"/>
    </w:pPr>
  </w:style>
  <w:style w:type="paragraph" w:styleId="814">
    <w:name w:val="Body Text 2"/>
    <w:basedOn w:val="778"/>
    <w:uiPriority w:val="0"/>
    <w:qFormat/>
    <w:pPr>
      <w:jc w:val="center"/>
      <w:widowControl/>
    </w:pPr>
    <w:rPr>
      <w:rFonts w:ascii="楷体_GB2312" w:eastAsia="楷体_GB2312"/>
      <w:sz w:val="28"/>
      <w:szCs w:val="28"/>
    </w:rPr>
  </w:style>
  <w:style w:type="paragraph" w:styleId="815">
    <w:name w:val="Normal (Web)"/>
    <w:basedOn w:val="778"/>
    <w:uiPriority w:val="99"/>
    <w:qFormat/>
    <w:pPr>
      <w:jc w:val="left"/>
      <w:spacing w:before="100" w:beforeAutospacing="1" w:after="100" w:afterAutospacing="1"/>
      <w:widowControl/>
    </w:pPr>
    <w:rPr>
      <w:rFonts w:ascii="宋体" w:hAnsi="宋体"/>
      <w:sz w:val="24"/>
    </w:rPr>
  </w:style>
  <w:style w:type="paragraph" w:styleId="816">
    <w:name w:val="Title"/>
    <w:basedOn w:val="778"/>
    <w:next w:val="778"/>
    <w:link w:val="854"/>
    <w:uiPriority w:val="10"/>
    <w:qFormat/>
    <w:pPr>
      <w:contextualSpacing/>
      <w:spacing w:before="300" w:after="200"/>
    </w:pPr>
    <w:rPr>
      <w:sz w:val="48"/>
      <w:szCs w:val="48"/>
    </w:rPr>
  </w:style>
  <w:style w:type="paragraph" w:styleId="817">
    <w:name w:val="Body Text First Indent"/>
    <w:basedOn w:val="794"/>
    <w:next w:val="818"/>
    <w:uiPriority w:val="0"/>
    <w:qFormat/>
    <w:pPr>
      <w:ind w:firstLine="200"/>
      <w:spacing w:line="360" w:lineRule="auto"/>
    </w:pPr>
    <w:rPr>
      <w:rFonts w:ascii="仿宋_GB2312" w:eastAsia="仿宋_GB2312"/>
      <w:sz w:val="30"/>
      <w:szCs w:val="30"/>
    </w:rPr>
  </w:style>
  <w:style w:type="paragraph" w:styleId="818">
    <w:name w:val="Body Text First Indent 2"/>
    <w:basedOn w:val="795"/>
    <w:uiPriority w:val="0"/>
    <w:qFormat/>
    <w:pPr>
      <w:ind w:left="0" w:firstLine="420"/>
      <w:spacing w:after="0" w:line="360" w:lineRule="auto"/>
    </w:pPr>
    <w:rPr>
      <w:rFonts w:ascii="宋体" w:hAnsi="宋体"/>
      <w:sz w:val="20"/>
      <w:szCs w:val="20"/>
    </w:rPr>
  </w:style>
  <w:style w:type="table" w:styleId="819">
    <w:name w:val="Table Grid"/>
    <w:basedOn w:val="78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basedOn w:val="788"/>
    <w:uiPriority w:val="0"/>
    <w:qFormat/>
    <w:rPr>
      <w:b/>
    </w:rPr>
  </w:style>
  <w:style w:type="character" w:styleId="821">
    <w:name w:val="endnote reference"/>
    <w:basedOn w:val="788"/>
    <w:uiPriority w:val="99"/>
    <w:semiHidden/>
    <w:unhideWhenUsed/>
    <w:qFormat/>
    <w:rPr>
      <w:vertAlign w:val="superscript"/>
    </w:rPr>
  </w:style>
  <w:style w:type="character" w:styleId="822">
    <w:name w:val="Hyperlink"/>
    <w:basedOn w:val="788"/>
    <w:uiPriority w:val="99"/>
    <w:qFormat/>
    <w:rPr>
      <w:color w:val="333333"/>
      <w:u w:val="none"/>
    </w:rPr>
  </w:style>
  <w:style w:type="character" w:styleId="823">
    <w:name w:val="footnote reference"/>
    <w:basedOn w:val="788"/>
    <w:uiPriority w:val="99"/>
    <w:unhideWhenUsed/>
    <w:qFormat/>
    <w:rPr>
      <w:vertAlign w:val="superscript"/>
    </w:rPr>
  </w:style>
  <w:style w:type="paragraph" w:styleId="824" w:customStyle="1">
    <w:name w:val="_Style 3"/>
    <w:basedOn w:val="778"/>
    <w:uiPriority w:val="0"/>
    <w:qFormat/>
    <w:rPr>
      <w:rFonts w:ascii="Times New Roman" w:hAnsi="Times New Roman"/>
      <w:szCs w:val="22"/>
    </w:rPr>
  </w:style>
  <w:style w:type="paragraph" w:styleId="825" w:customStyle="1">
    <w:name w:val="一级条标题"/>
    <w:basedOn w:val="826"/>
    <w:next w:val="82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6" w:customStyle="1">
    <w:name w:val="章标题"/>
    <w:next w:val="778"/>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27" w:customStyle="1">
    <w:name w:val="段"/>
    <w:basedOn w:val="828"/>
    <w:next w:val="778"/>
    <w:uiPriority w:val="99"/>
    <w:qFormat/>
    <w:pPr>
      <w:ind w:firstLine="200"/>
      <w:widowControl/>
    </w:pPr>
    <w:rPr>
      <w:rFonts w:ascii="宋体"/>
      <w:sz w:val="20"/>
      <w:szCs w:val="20"/>
    </w:rPr>
  </w:style>
  <w:style w:type="paragraph" w:styleId="828" w:customStyle="1">
    <w:name w:val="正文11"/>
    <w:next w:val="829"/>
    <w:uiPriority w:val="0"/>
    <w:qFormat/>
    <w:pPr>
      <w:jc w:val="both"/>
      <w:widowControl w:val="off"/>
    </w:pPr>
    <w:rPr>
      <w:rFonts w:hint="default" w:ascii="Calibri" w:hAnsi="Calibri" w:eastAsia="宋体" w:cs="Times New Roman"/>
      <w:sz w:val="21"/>
      <w:szCs w:val="24"/>
      <w:lang w:val="en-US" w:eastAsia="zh-CN" w:bidi="ar-SA"/>
    </w:rPr>
  </w:style>
  <w:style w:type="paragraph" w:styleId="829" w:customStyle="1">
    <w:name w:val="正文1"/>
    <w:basedOn w:val="830"/>
    <w:next w:val="831"/>
    <w:link w:val="996"/>
    <w:uiPriority w:val="0"/>
    <w:qFormat/>
    <w:pPr>
      <w:spacing w:line="560" w:lineRule="atLeast"/>
      <w:widowControl w:val="off"/>
    </w:pPr>
    <w:rPr>
      <w:rFonts w:ascii="Times New Roman" w:hAnsi="Times New Roman" w:eastAsia="宋体" w:cs="Times New Roman"/>
      <w:sz w:val="28"/>
      <w:lang w:val="en-US" w:eastAsia="zh-CN" w:bidi="ar-SA"/>
    </w:rPr>
  </w:style>
  <w:style w:type="paragraph" w:styleId="830" w:customStyle="1">
    <w:name w:val="正文111"/>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customStyle="1">
    <w:name w:val="正文文本1"/>
    <w:basedOn w:val="830"/>
    <w:next w:val="825"/>
    <w:uiPriority w:val="0"/>
    <w:qFormat/>
    <w:pPr>
      <w:spacing w:after="120"/>
    </w:pPr>
    <w:rPr>
      <w:rFonts w:ascii="Calibri" w:hAnsi="Calibri"/>
    </w:rPr>
  </w:style>
  <w:style w:type="paragraph" w:styleId="832" w:customStyle="1">
    <w:name w:val="文本块1"/>
    <w:basedOn w:val="833"/>
    <w:uiPriority w:val="0"/>
    <w:qFormat/>
    <w:pPr>
      <w:ind w:left="256" w:right="6" w:firstLine="624"/>
    </w:pPr>
    <w:rPr>
      <w:rFonts w:eastAsia="仿宋"/>
      <w:sz w:val="28"/>
      <w:szCs w:val="20"/>
    </w:rPr>
  </w:style>
  <w:style w:type="paragraph" w:styleId="833" w:customStyle="1">
    <w:name w:val="正文1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标题 41"/>
    <w:basedOn w:val="835"/>
    <w:next w:val="828"/>
    <w:uiPriority w:val="0"/>
    <w:qFormat/>
    <w:pPr>
      <w:keepLines/>
      <w:keepNext/>
      <w:spacing w:before="280" w:after="290" w:line="376" w:lineRule="auto"/>
      <w:outlineLvl w:val="3"/>
    </w:pPr>
    <w:rPr>
      <w:sz w:val="28"/>
      <w:szCs w:val="28"/>
    </w:rPr>
  </w:style>
  <w:style w:type="paragraph" w:styleId="835" w:customStyle="1">
    <w:name w:val="标题1"/>
    <w:basedOn w:val="830"/>
    <w:next w:val="836"/>
    <w:uiPriority w:val="0"/>
    <w:qFormat/>
    <w:pPr>
      <w:jc w:val="center"/>
      <w:spacing w:before="300" w:after="300"/>
      <w:outlineLvl w:val="0"/>
    </w:pPr>
    <w:rPr>
      <w:rFonts w:ascii="Cambria" w:hAnsi="Cambria" w:eastAsia="仿宋_GB2312"/>
      <w:b/>
      <w:bCs/>
      <w:sz w:val="36"/>
      <w:szCs w:val="32"/>
    </w:rPr>
  </w:style>
  <w:style w:type="paragraph" w:styleId="836" w:customStyle="1">
    <w:name w:val="正文112"/>
    <w:next w:val="837"/>
    <w:uiPriority w:val="0"/>
    <w:qFormat/>
    <w:rPr>
      <w:rFonts w:hint="default" w:ascii="宋体" w:hAnsi="宋体" w:eastAsia="宋体" w:cs="Times New Roman"/>
      <w:sz w:val="24"/>
      <w:szCs w:val="24"/>
      <w:lang w:val="en-US" w:eastAsia="zh-CN" w:bidi="ar-SA"/>
    </w:rPr>
  </w:style>
  <w:style w:type="paragraph" w:styleId="837" w:customStyle="1">
    <w:name w:val="无间隔1"/>
    <w:uiPriority w:val="0"/>
    <w:qFormat/>
    <w:rPr>
      <w:rFonts w:hint="default" w:ascii="Times New Roman" w:hAnsi="Times New Roman" w:eastAsia="宋体" w:cs="Times New Roman"/>
      <w:sz w:val="22"/>
      <w:szCs w:val="22"/>
      <w:lang w:val="en-US" w:eastAsia="en-US" w:bidi="ar-SA"/>
    </w:rPr>
  </w:style>
  <w:style w:type="paragraph" w:styleId="838" w:customStyle="1">
    <w:name w:val="目录 111"/>
    <w:basedOn w:val="830"/>
    <w:next w:val="830"/>
    <w:uiPriority w:val="0"/>
    <w:qFormat/>
    <w:pPr>
      <w:spacing w:after="57"/>
    </w:pPr>
  </w:style>
  <w:style w:type="paragraph" w:styleId="839" w:customStyle="1">
    <w:name w:val="正文首行缩进1"/>
    <w:basedOn w:val="794"/>
    <w:next w:val="840"/>
    <w:uiPriority w:val="0"/>
    <w:qFormat/>
    <w:pPr>
      <w:ind w:firstLine="420"/>
    </w:pPr>
    <w:rPr>
      <w:rFonts w:ascii="仿宋_GB2312" w:hAnsi="Times New Roman" w:eastAsia="仿宋_GB2312"/>
      <w:sz w:val="30"/>
      <w:szCs w:val="30"/>
    </w:rPr>
  </w:style>
  <w:style w:type="paragraph" w:styleId="840" w:customStyle="1">
    <w:name w:val="正文首行缩进 211"/>
    <w:basedOn w:val="841"/>
    <w:next w:val="836"/>
    <w:uiPriority w:val="0"/>
    <w:qFormat/>
    <w:pPr>
      <w:ind w:firstLine="420"/>
    </w:pPr>
    <w:rPr>
      <w:sz w:val="24"/>
    </w:rPr>
  </w:style>
  <w:style w:type="paragraph" w:styleId="841" w:customStyle="1">
    <w:name w:val="正文文本缩进11"/>
    <w:basedOn w:val="836"/>
    <w:next w:val="842"/>
    <w:uiPriority w:val="0"/>
    <w:qFormat/>
    <w:pPr>
      <w:ind w:left="420"/>
      <w:spacing w:after="120"/>
    </w:pPr>
  </w:style>
  <w:style w:type="paragraph" w:styleId="842" w:customStyle="1">
    <w:name w:val="寄信人地址11"/>
    <w:basedOn w:val="836"/>
    <w:uiPriority w:val="0"/>
    <w:qFormat/>
    <w:rPr>
      <w:rFonts w:ascii="Arial" w:hAnsi="Arial"/>
    </w:rPr>
  </w:style>
  <w:style w:type="character" w:styleId="843" w:customStyle="1">
    <w:name w:val="Heading 1 Char"/>
    <w:basedOn w:val="788"/>
    <w:uiPriority w:val="9"/>
    <w:qFormat/>
    <w:rPr>
      <w:rFonts w:ascii="Arial" w:hAnsi="Arial" w:eastAsia="Arial" w:cs="Arial"/>
      <w:sz w:val="40"/>
      <w:szCs w:val="40"/>
    </w:rPr>
  </w:style>
  <w:style w:type="character" w:styleId="844" w:customStyle="1">
    <w:name w:val="Heading 2 Char"/>
    <w:basedOn w:val="788"/>
    <w:uiPriority w:val="9"/>
    <w:qFormat/>
    <w:rPr>
      <w:rFonts w:ascii="Arial" w:hAnsi="Arial" w:eastAsia="Arial" w:cs="Arial"/>
      <w:sz w:val="34"/>
    </w:rPr>
  </w:style>
  <w:style w:type="character" w:styleId="845" w:customStyle="1">
    <w:name w:val="Heading 3 Char"/>
    <w:basedOn w:val="788"/>
    <w:link w:val="781"/>
    <w:uiPriority w:val="9"/>
    <w:qFormat/>
    <w:rPr>
      <w:rFonts w:ascii="Arial" w:hAnsi="Arial" w:eastAsia="Arial" w:cs="Arial"/>
      <w:sz w:val="30"/>
      <w:szCs w:val="30"/>
    </w:rPr>
  </w:style>
  <w:style w:type="character" w:styleId="846" w:customStyle="1">
    <w:name w:val="Heading 4 Char"/>
    <w:basedOn w:val="788"/>
    <w:uiPriority w:val="9"/>
    <w:qFormat/>
    <w:rPr>
      <w:rFonts w:ascii="Arial" w:hAnsi="Arial" w:eastAsia="Arial" w:cs="Arial"/>
      <w:b/>
      <w:bCs/>
      <w:sz w:val="26"/>
      <w:szCs w:val="26"/>
    </w:rPr>
  </w:style>
  <w:style w:type="character" w:styleId="847" w:customStyle="1">
    <w:name w:val="Heading 5 Char"/>
    <w:basedOn w:val="788"/>
    <w:link w:val="783"/>
    <w:uiPriority w:val="9"/>
    <w:qFormat/>
    <w:rPr>
      <w:rFonts w:ascii="Arial" w:hAnsi="Arial" w:eastAsia="Arial" w:cs="Arial"/>
      <w:b/>
      <w:bCs/>
      <w:sz w:val="24"/>
      <w:szCs w:val="24"/>
    </w:rPr>
  </w:style>
  <w:style w:type="character" w:styleId="848" w:customStyle="1">
    <w:name w:val="Heading 6 Char"/>
    <w:basedOn w:val="788"/>
    <w:link w:val="784"/>
    <w:uiPriority w:val="9"/>
    <w:qFormat/>
    <w:rPr>
      <w:rFonts w:ascii="Arial" w:hAnsi="Arial" w:eastAsia="Arial" w:cs="Arial"/>
      <w:b/>
      <w:bCs/>
      <w:sz w:val="22"/>
      <w:szCs w:val="22"/>
    </w:rPr>
  </w:style>
  <w:style w:type="character" w:styleId="849" w:customStyle="1">
    <w:name w:val="Heading 7 Char"/>
    <w:basedOn w:val="788"/>
    <w:link w:val="785"/>
    <w:uiPriority w:val="9"/>
    <w:qFormat/>
    <w:rPr>
      <w:rFonts w:ascii="Arial" w:hAnsi="Arial" w:eastAsia="Arial" w:cs="Arial"/>
      <w:b/>
      <w:bCs/>
      <w:i/>
      <w:iCs/>
      <w:sz w:val="22"/>
      <w:szCs w:val="22"/>
    </w:rPr>
  </w:style>
  <w:style w:type="character" w:styleId="850" w:customStyle="1">
    <w:name w:val="Heading 8 Char"/>
    <w:basedOn w:val="788"/>
    <w:link w:val="786"/>
    <w:uiPriority w:val="9"/>
    <w:qFormat/>
    <w:rPr>
      <w:rFonts w:ascii="Arial" w:hAnsi="Arial" w:eastAsia="Arial" w:cs="Arial"/>
      <w:i/>
      <w:iCs/>
      <w:sz w:val="22"/>
      <w:szCs w:val="22"/>
    </w:rPr>
  </w:style>
  <w:style w:type="character" w:styleId="851" w:customStyle="1">
    <w:name w:val="Heading 9 Char"/>
    <w:basedOn w:val="788"/>
    <w:link w:val="787"/>
    <w:uiPriority w:val="9"/>
    <w:qFormat/>
    <w:rPr>
      <w:rFonts w:ascii="Arial" w:hAnsi="Arial" w:eastAsia="Arial" w:cs="Arial"/>
      <w:i/>
      <w:iCs/>
      <w:sz w:val="21"/>
      <w:szCs w:val="21"/>
    </w:rPr>
  </w:style>
  <w:style w:type="paragraph" w:styleId="852">
    <w:name w:val="List Paragraph"/>
    <w:basedOn w:val="778"/>
    <w:uiPriority w:val="34"/>
    <w:qFormat/>
    <w:pPr>
      <w:contextualSpacing/>
      <w:ind w:left="720"/>
    </w:pPr>
  </w:style>
  <w:style w:type="paragraph" w:styleId="853">
    <w:name w:val="No Spacing"/>
    <w:uiPriority w:val="1"/>
    <w:qFormat/>
    <w:pPr>
      <w:spacing w:before="0" w:after="0" w:line="240" w:lineRule="auto"/>
    </w:pPr>
    <w:rPr>
      <w:rFonts w:hint="default" w:asciiTheme="minorHAnsi" w:hAnsiTheme="minorHAnsi" w:eastAsiaTheme="minorEastAsia" w:cstheme="minorBidi"/>
    </w:rPr>
  </w:style>
  <w:style w:type="character" w:styleId="854" w:customStyle="1">
    <w:name w:val="Title Char"/>
    <w:basedOn w:val="788"/>
    <w:link w:val="816"/>
    <w:uiPriority w:val="10"/>
    <w:qFormat/>
    <w:rPr>
      <w:sz w:val="48"/>
      <w:szCs w:val="48"/>
    </w:rPr>
  </w:style>
  <w:style w:type="character" w:styleId="855" w:customStyle="1">
    <w:name w:val="Subtitle Char"/>
    <w:basedOn w:val="788"/>
    <w:link w:val="808"/>
    <w:uiPriority w:val="11"/>
    <w:qFormat/>
    <w:rPr>
      <w:sz w:val="24"/>
      <w:szCs w:val="24"/>
    </w:rPr>
  </w:style>
  <w:style w:type="paragraph" w:styleId="856">
    <w:name w:val="Quote"/>
    <w:basedOn w:val="778"/>
    <w:next w:val="778"/>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778"/>
    <w:next w:val="778"/>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basedOn w:val="788"/>
    <w:uiPriority w:val="99"/>
    <w:qFormat/>
  </w:style>
  <w:style w:type="character" w:styleId="861" w:customStyle="1">
    <w:name w:val="Footer Char"/>
    <w:basedOn w:val="788"/>
    <w:uiPriority w:val="99"/>
    <w:qFormat/>
  </w:style>
  <w:style w:type="character" w:styleId="862" w:customStyle="1">
    <w:name w:val="Caption Char"/>
    <w:uiPriority w:val="99"/>
    <w:qFormat/>
  </w:style>
  <w:style w:type="table" w:styleId="863" w:customStyle="1">
    <w:name w:val="Table Grid Light"/>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3"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7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2" w:customStyle="1">
    <w:name w:val="Grid Table 4 - Accent 2"/>
    <w:basedOn w:val="7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3" w:customStyle="1">
    <w:name w:val="Grid Table 4 - Accent 3"/>
    <w:basedOn w:val="7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4" w:customStyle="1">
    <w:name w:val="Grid Table 4 - Accent 4"/>
    <w:basedOn w:val="7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5" w:customStyle="1">
    <w:name w:val="Grid Table 4 - Accent 5"/>
    <w:basedOn w:val="7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6" w:customStyle="1">
    <w:name w:val="Grid Table 4 - Accent 6"/>
    <w:basedOn w:val="7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7"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9" w:customStyle="1">
    <w:name w:val="Grid Table 5 Dark - Accent 2"/>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0" w:customStyle="1">
    <w:name w:val="Grid Table 5 Dark - Accent 3"/>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1" w:customStyle="1">
    <w:name w:val="Grid Table 5 Dark- Accent 4"/>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2" w:customStyle="1">
    <w:name w:val="Grid Table 5 Dark - Accent 5"/>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3" w:customStyle="1">
    <w:name w:val="Grid Table 5 Dark - Accent 6"/>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4"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7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7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8" w:customStyle="1">
    <w:name w:val="Grid Table 6 Colorful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7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0" w:customStyle="1">
    <w:name w:val="Grid Table 6 Colorful - Accent 6"/>
    <w:basedOn w:val="7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1"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7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7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5"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7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7" w:customStyle="1">
    <w:name w:val="List Table 2 - Accent 2"/>
    <w:basedOn w:val="7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8" w:customStyle="1">
    <w:name w:val="List Table 2 - Accent 3"/>
    <w:basedOn w:val="7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9" w:customStyle="1">
    <w:name w:val="List Table 2 - Accent 4"/>
    <w:basedOn w:val="7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0" w:customStyle="1">
    <w:name w:val="List Table 2 - Accent 5"/>
    <w:basedOn w:val="7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1" w:customStyle="1">
    <w:name w:val="List Table 2 - Accent 6"/>
    <w:basedOn w:val="7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2"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7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4" w:customStyle="1">
    <w:name w:val="List Table 3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7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7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7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9"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7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1" w:customStyle="1">
    <w:name w:val="List Table 4 - Accent 2"/>
    <w:basedOn w:val="7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2" w:customStyle="1">
    <w:name w:val="List Table 4 - Accent 3"/>
    <w:basedOn w:val="7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3" w:customStyle="1">
    <w:name w:val="List Table 4 - Accent 4"/>
    <w:basedOn w:val="7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4" w:customStyle="1">
    <w:name w:val="List Table 4 - Accent 5"/>
    <w:basedOn w:val="7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5" w:customStyle="1">
    <w:name w:val="List Table 4 - Accent 6"/>
    <w:basedOn w:val="7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6"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7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7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5" w:customStyle="1">
    <w:name w:val="List Table 6 Colorful - Accent 2"/>
    <w:basedOn w:val="7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6" w:customStyle="1">
    <w:name w:val="List Table 6 Colorful - Accent 3"/>
    <w:basedOn w:val="7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7" w:customStyle="1">
    <w:name w:val="List Table 6 Colorful - Accent 4"/>
    <w:basedOn w:val="7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8" w:customStyle="1">
    <w:name w:val="List Table 6 Colorful - Accent 5"/>
    <w:basedOn w:val="7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9" w:customStyle="1">
    <w:name w:val="List Table 6 Colorful - Accent 6"/>
    <w:basedOn w:val="7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0"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7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9" w:customStyle="1">
    <w:name w:val="Lined - Accent 2"/>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0" w:customStyle="1">
    <w:name w:val="Lined - Accent 3"/>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1" w:customStyle="1">
    <w:name w:val="Lined - Accent 4"/>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2" w:customStyle="1">
    <w:name w:val="Lined - Accent 5"/>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3" w:customStyle="1">
    <w:name w:val="Lined - Accent 6"/>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4" w:customStyle="1">
    <w:name w:val="Bordered &amp; Lined - Accent"/>
    <w:basedOn w:val="7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7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6" w:customStyle="1">
    <w:name w:val="Bordered &amp; Lined - Accent 2"/>
    <w:basedOn w:val="7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7" w:customStyle="1">
    <w:name w:val="Bordered &amp; Lined - Accent 3"/>
    <w:basedOn w:val="7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8" w:customStyle="1">
    <w:name w:val="Bordered &amp; Lined - Accent 4"/>
    <w:basedOn w:val="7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9" w:customStyle="1">
    <w:name w:val="Bordered &amp; Lined - Accent 5"/>
    <w:basedOn w:val="7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0" w:customStyle="1">
    <w:name w:val="Bordered &amp; Lined - Accent 6"/>
    <w:basedOn w:val="7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1" w:customStyle="1">
    <w:name w:val="Bordered"/>
    <w:basedOn w:val="7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3" w:customStyle="1">
    <w:name w:val="Bordered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4" w:customStyle="1">
    <w:name w:val="Bordered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5" w:customStyle="1">
    <w:name w:val="Bordered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6" w:customStyle="1">
    <w:name w:val="Bordered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7" w:customStyle="1">
    <w:name w:val="Bordered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8" w:customStyle="1">
    <w:name w:val="Footnote Text Char"/>
    <w:link w:val="809"/>
    <w:uiPriority w:val="99"/>
    <w:qFormat/>
    <w:rPr>
      <w:sz w:val="18"/>
    </w:rPr>
  </w:style>
  <w:style w:type="character" w:styleId="989" w:customStyle="1">
    <w:name w:val="Endnote Text Char"/>
    <w:link w:val="802"/>
    <w:uiPriority w:val="99"/>
    <w:qFormat/>
    <w:rPr>
      <w:sz w:val="20"/>
    </w:rPr>
  </w:style>
  <w:style w:type="paragraph" w:styleId="990" w:customStyle="1">
    <w:name w:val="TOC Heading"/>
    <w:uiPriority w:val="39"/>
    <w:unhideWhenUsed/>
    <w:qFormat/>
    <w:rPr>
      <w:rFonts w:hint="default" w:asciiTheme="minorHAnsi" w:hAnsiTheme="minorHAnsi" w:eastAsiaTheme="minorEastAsia" w:cstheme="minorBidi"/>
    </w:rPr>
  </w:style>
  <w:style w:type="paragraph" w:styleId="991" w:customStyle="1">
    <w:name w:val="文本块11"/>
    <w:basedOn w:val="836"/>
    <w:uiPriority w:val="0"/>
    <w:qFormat/>
    <w:pPr>
      <w:ind w:left="420" w:right="33"/>
      <w:jc w:val="left"/>
    </w:pPr>
    <w:rPr>
      <w:rFonts w:ascii="Times New Roman" w:hAnsi="Times New Roman" w:eastAsia="宋体"/>
      <w:sz w:val="24"/>
      <w:szCs w:val="20"/>
    </w:rPr>
  </w:style>
  <w:style w:type="paragraph" w:styleId="992" w:customStyle="1">
    <w:name w:val="脚注文本1"/>
    <w:basedOn w:val="836"/>
    <w:next w:val="993"/>
    <w:uiPriority w:val="0"/>
    <w:qFormat/>
    <w:pPr>
      <w:spacing w:after="40"/>
    </w:pPr>
    <w:rPr>
      <w:sz w:val="18"/>
    </w:rPr>
  </w:style>
  <w:style w:type="paragraph" w:styleId="993" w:customStyle="1">
    <w:name w:val="索引 51"/>
    <w:basedOn w:val="836"/>
    <w:next w:val="829"/>
    <w:uiPriority w:val="0"/>
    <w:qFormat/>
    <w:pPr>
      <w:ind w:left="798"/>
    </w:pPr>
    <w:rPr>
      <w:rFonts w:ascii="Calibri" w:hAnsi="Calibri"/>
    </w:rPr>
  </w:style>
  <w:style w:type="paragraph" w:styleId="994" w:customStyle="1">
    <w:name w:val="black1"/>
    <w:basedOn w:val="778"/>
    <w:uiPriority w:val="0"/>
    <w:qFormat/>
    <w:pPr>
      <w:jc w:val="left"/>
      <w:spacing w:before="100" w:beforeAutospacing="1" w:after="100" w:afterAutospacing="1"/>
      <w:widowControl/>
    </w:pPr>
    <w:rPr>
      <w:rFonts w:ascii="宋体" w:hAnsi="宋体"/>
      <w:sz w:val="24"/>
    </w:rPr>
  </w:style>
  <w:style w:type="paragraph" w:styleId="995" w:customStyle="1">
    <w:name w:val="标题 11"/>
    <w:basedOn w:val="828"/>
    <w:next w:val="828"/>
    <w:uiPriority w:val="0"/>
    <w:qFormat/>
    <w:pPr>
      <w:keepLines/>
      <w:keepNext/>
      <w:spacing w:before="340" w:after="330" w:line="578" w:lineRule="auto"/>
      <w:outlineLvl w:val="0"/>
    </w:pPr>
    <w:rPr>
      <w:b/>
      <w:bCs/>
      <w:sz w:val="44"/>
      <w:szCs w:val="44"/>
    </w:rPr>
  </w:style>
  <w:style w:type="character" w:styleId="996" w:customStyle="1">
    <w:name w:val="NormalCharacter"/>
    <w:link w:val="829"/>
    <w:uiPriority w:val="0"/>
    <w:semiHidden/>
    <w:qFormat/>
    <w:rPr>
      <w:rFonts w:ascii="Times New Roman" w:hAnsi="Times New Roman" w:eastAsia="宋体" w:cs="Times New Roman"/>
      <w:sz w:val="28"/>
      <w:lang w:val="en-US" w:eastAsia="zh-CN" w:bidi="ar-SA"/>
    </w:rPr>
  </w:style>
  <w:style w:type="paragraph" w:styleId="997" w:customStyle="1">
    <w:name w:val="页脚1"/>
    <w:basedOn w:val="829"/>
    <w:uiPriority w:val="0"/>
    <w:qFormat/>
    <w:pPr>
      <w:spacing w:line="240" w:lineRule="auto"/>
      <w:tabs>
        <w:tab w:val="center" w:pos="4153" w:leader="none"/>
        <w:tab w:val="right" w:pos="8306" w:leader="none"/>
      </w:tabs>
    </w:pPr>
    <w:rPr>
      <w:sz w:val="18"/>
      <w:szCs w:val="18"/>
    </w:rPr>
  </w:style>
  <w:style w:type="paragraph" w:styleId="998"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99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1001" w:customStyle="1">
    <w:name w:val="列出段落1"/>
    <w:basedOn w:val="829"/>
    <w:uiPriority w:val="0"/>
    <w:qFormat/>
    <w:pPr>
      <w:ind w:firstLine="420"/>
    </w:pPr>
  </w:style>
  <w:style w:type="paragraph" w:styleId="1002" w:customStyle="1">
    <w:name w:val="正文仿宋"/>
    <w:basedOn w:val="778"/>
    <w:uiPriority w:val="0"/>
    <w:qFormat/>
    <w:pPr>
      <w:ind w:firstLine="520"/>
      <w:spacing w:line="350" w:lineRule="exact"/>
    </w:pPr>
    <w:rPr>
      <w:rFonts w:ascii="Times New Roman" w:hAnsi="Times New Roman" w:eastAsia="方正仿宋_GB2312" w:cs="Times New Roman"/>
      <w:sz w:val="24"/>
      <w:lang w:val="zh-CN"/>
    </w:rPr>
  </w:style>
  <w:style w:type="paragraph" w:styleId="1003" w:customStyle="1">
    <w:name w:val="正文文本缩进1"/>
    <w:basedOn w:val="829"/>
    <w:next w:val="1004"/>
    <w:uiPriority w:val="0"/>
    <w:qFormat/>
    <w:pPr>
      <w:ind w:left="420"/>
      <w:spacing w:after="120"/>
    </w:pPr>
  </w:style>
  <w:style w:type="paragraph" w:styleId="1004" w:customStyle="1">
    <w:name w:val="寄信人地址1"/>
    <w:basedOn w:val="828"/>
    <w:uiPriority w:val="0"/>
    <w:qFormat/>
    <w:rPr>
      <w:rFonts w:ascii="Arial" w:hAnsi="Arial"/>
      <w:sz w:val="22"/>
      <w:szCs w:val="22"/>
    </w:rPr>
  </w:style>
  <w:style w:type="paragraph" w:styleId="1005" w:customStyle="1">
    <w:name w:val="WPSOffice手动目录 1"/>
    <w:uiPriority w:val="0"/>
    <w:qFormat/>
    <w:rPr>
      <w:rFonts w:hint="default" w:asciiTheme="minorHAnsi" w:hAnsiTheme="minorHAnsi" w:eastAsiaTheme="minorEastAsia" w:cstheme="minorBidi"/>
      <w:sz w:val="20"/>
      <w:szCs w:val="20"/>
    </w:rPr>
  </w:style>
  <w:style w:type="paragraph" w:styleId="1006" w:customStyle="1">
    <w:name w:val="目录 11"/>
    <w:basedOn w:val="828"/>
    <w:next w:val="828"/>
    <w:uiPriority w:val="0"/>
    <w:qFormat/>
  </w:style>
  <w:style w:type="paragraph" w:styleId="1007" w:customStyle="1">
    <w:name w:val="正文文本11"/>
    <w:basedOn w:val="828"/>
    <w:next w:val="828"/>
    <w:uiPriority w:val="0"/>
    <w:qFormat/>
    <w:pPr>
      <w:spacing w:after="120"/>
    </w:pPr>
  </w:style>
  <w:style w:type="paragraph" w:styleId="1008"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09" w:customStyle="1">
    <w:name w:val="标题 1 Char"/>
    <w:link w:val="779"/>
    <w:uiPriority w:val="0"/>
    <w:qFormat/>
    <w:rPr>
      <w:rFonts w:ascii="Arial" w:hAnsi="Arial" w:cs="Arial"/>
      <w:b/>
      <w:sz w:val="32"/>
      <w:szCs w:val="40"/>
    </w:rPr>
  </w:style>
  <w:style w:type="paragraph" w:styleId="1010" w:customStyle="1">
    <w:name w:val="Table Paragraph"/>
    <w:basedOn w:val="778"/>
    <w:uiPriority w:val="1"/>
    <w:qFormat/>
    <w:rPr>
      <w:rFonts w:ascii="宋体" w:hAnsi="宋体" w:cs="宋体"/>
      <w:lang w:val="zh-CN" w:bidi="zh-CN"/>
    </w:rPr>
  </w:style>
  <w:style w:type="paragraph" w:styleId="1011" w:customStyle="1">
    <w:name w:val="纯文本1"/>
    <w:basedOn w:val="778"/>
    <w:uiPriority w:val="0"/>
    <w:qFormat/>
    <w:rPr>
      <w:rFonts w:ascii="宋体" w:hAnsi="Courier New" w:cs="Courier New"/>
      <w:szCs w:val="21"/>
    </w:rPr>
  </w:style>
  <w:style w:type="paragraph" w:styleId="1012" w:customStyle="1">
    <w:name w:val="正文空2格  1."/>
    <w:basedOn w:val="778"/>
    <w:uiPriority w:val="0"/>
    <w:qFormat/>
    <w:pPr>
      <w:ind w:firstLine="480"/>
      <w:spacing w:line="360" w:lineRule="auto"/>
    </w:pPr>
    <w:rPr>
      <w:rFonts w:hint="eastAsia" w:ascii="宋体" w:hAnsi="Times New Roman" w:eastAsia="仿宋"/>
      <w:sz w:val="28"/>
      <w:szCs w:val="20"/>
    </w:rPr>
  </w:style>
  <w:style w:type="character" w:styleId="1013" w:customStyle="1">
    <w:name w:val="NormalCharacter1"/>
    <w:link w:val="778"/>
    <w:uiPriority w:val="0"/>
    <w:qFormat/>
    <w:rPr>
      <w:rFonts w:hint="default" w:ascii="Times New Roman" w:hAnsi="Times New Roman" w:eastAsia="仿宋" w:cs="Times New Roman"/>
      <w:sz w:val="28"/>
      <w:szCs w:val="24"/>
      <w:lang w:val="en-US" w:eastAsia="zh-CN" w:bidi="ar-SA"/>
    </w:rPr>
  </w:style>
  <w:style w:type="paragraph" w:styleId="1014" w:customStyle="1">
    <w:name w:val="Normal_2"/>
    <w:uiPriority w:val="0"/>
    <w:qFormat/>
    <w:rPr>
      <w:rFonts w:hint="default" w:ascii="Times New Roman" w:hAnsi="Times New Roman" w:eastAsia="Times New Roman" w:cs="Times New Roman"/>
      <w:sz w:val="24"/>
      <w:szCs w:val="24"/>
      <w:lang w:bidi="ar-SA"/>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er3.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dc:creator>
  <cp:lastModifiedBy>朱云</cp:lastModifiedBy>
  <cp:revision>7</cp:revision>
  <dcterms:created xsi:type="dcterms:W3CDTF">2025-01-14T00:01:00Z</dcterms:created>
  <dcterms:modified xsi:type="dcterms:W3CDTF">2026-09-09T08:22:04Z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8198E6712E6D42FEB33EAC343566F479_13</vt:lpwstr>
  </property>
  <property fmtid="{D5CDD505-2E9C-101B-9397-08002B2CF9AE}" pid="4" name="KSOTemplateDocerSaveRecord">
    <vt:lpwstr>eyJoZGlkIjoiYmQ0MjA2YzA5ZTU0NjMxNDFjOWU4OTI4ODkxODk0YTUiLCJ1c2VySWQiOiIyMjYxODI1MTYifQ==</vt:lpwstr>
  </property>
</Properties>
</file>